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2347" w:lineRule="exact"/>
        <w:ind w:left="117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6"/>
          <w:sz w:val="20"/>
          <w:szCs w:val="20"/>
        </w:rPr>
        <w:drawing>
          <wp:inline distT="0" distB="0" distL="0" distR="0">
            <wp:extent cx="4804461" cy="149047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4804461" cy="1490472"/>
                    </a:xfrm>
                    <a:prstGeom prst="rect">
                      <a:avLst/>
                    </a:prstGeom>
                  </pic:spPr>
                </pic:pic>
              </a:graphicData>
            </a:graphic>
          </wp:inline>
        </w:drawing>
      </w:r>
      <w:r>
        <w:rPr>
          <w:rFonts w:ascii="Times New Roman" w:hAnsi="Times New Roman" w:cs="Times New Roman" w:eastAsia="Times New Roman" w:hint="default"/>
          <w:position w:val="-46"/>
          <w:sz w:val="20"/>
          <w:szCs w:val="20"/>
        </w:rPr>
      </w:r>
    </w:p>
    <w:p>
      <w:pPr>
        <w:spacing w:line="240" w:lineRule="auto" w:before="2"/>
        <w:rPr>
          <w:rFonts w:ascii="Times New Roman" w:hAnsi="Times New Roman" w:cs="Times New Roman" w:eastAsia="Times New Roman" w:hint="default"/>
          <w:sz w:val="15"/>
          <w:szCs w:val="15"/>
        </w:rPr>
      </w:pPr>
    </w:p>
    <w:p>
      <w:pPr>
        <w:spacing w:line="539" w:lineRule="exact" w:before="0"/>
        <w:ind w:left="133" w:right="134" w:firstLine="0"/>
        <w:jc w:val="center"/>
        <w:rPr>
          <w:rFonts w:ascii="宋体" w:hAnsi="宋体" w:cs="宋体" w:eastAsia="宋体" w:hint="default"/>
          <w:sz w:val="44"/>
          <w:szCs w:val="44"/>
        </w:rPr>
      </w:pPr>
      <w:r>
        <w:rPr>
          <w:rFonts w:ascii="宋体" w:hAnsi="宋体" w:cs="宋体" w:eastAsia="宋体" w:hint="default"/>
          <w:b/>
          <w:bCs/>
          <w:sz w:val="44"/>
          <w:szCs w:val="44"/>
        </w:rPr>
        <w:t>青岛市恒顺众昇集团股份有限公司</w:t>
      </w:r>
      <w:r>
        <w:rPr>
          <w:rFonts w:ascii="宋体" w:hAnsi="宋体" w:cs="宋体" w:eastAsia="宋体" w:hint="default"/>
          <w:sz w:val="44"/>
          <w:szCs w:val="44"/>
        </w:rPr>
      </w:r>
    </w:p>
    <w:p>
      <w:pPr>
        <w:spacing w:line="240" w:lineRule="auto" w:before="4"/>
        <w:rPr>
          <w:rFonts w:ascii="宋体" w:hAnsi="宋体" w:cs="宋体" w:eastAsia="宋体" w:hint="default"/>
          <w:b/>
          <w:bCs/>
          <w:sz w:val="30"/>
          <w:szCs w:val="30"/>
        </w:rPr>
      </w:pPr>
    </w:p>
    <w:p>
      <w:pPr>
        <w:spacing w:before="0"/>
        <w:ind w:left="133" w:right="138"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2015</w:t>
      </w:r>
      <w:r>
        <w:rPr>
          <w:rFonts w:ascii="Times New Roman" w:hAnsi="Times New Roman" w:cs="Times New Roman" w:eastAsia="Times New Roman" w:hint="default"/>
          <w:b/>
          <w:bCs/>
          <w:spacing w:val="-8"/>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11"/>
        <w:rPr>
          <w:rFonts w:ascii="宋体" w:hAnsi="宋体" w:cs="宋体" w:eastAsia="宋体" w:hint="default"/>
          <w:b/>
          <w:bCs/>
          <w:sz w:val="42"/>
          <w:szCs w:val="42"/>
        </w:rPr>
      </w:pPr>
    </w:p>
    <w:p>
      <w:pPr>
        <w:spacing w:before="0"/>
        <w:ind w:left="133" w:right="13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215"/>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5"/>
        <w:ind w:right="236" w:firstLine="562"/>
        <w:jc w:val="both"/>
        <w:rPr>
          <w:b w:val="0"/>
          <w:bCs w:val="0"/>
        </w:rPr>
      </w:pPr>
      <w:r>
        <w:rPr>
          <w:spacing w:val="2"/>
        </w:rPr>
        <w:t>本公司董事会、监事会及董事、监事、高级管理人员保证年度报告内容的</w:t>
      </w:r>
      <w:r>
        <w:rPr>
          <w:w w:val="99"/>
        </w:rPr>
        <w:t> </w:t>
      </w:r>
      <w:r>
        <w:rPr>
          <w:spacing w:val="2"/>
        </w:rPr>
        <w:t>真实、准确、完整，不存在虚假记载、误导性陈述或重大遗漏，并承担个别和</w:t>
      </w:r>
      <w:r>
        <w:rPr>
          <w:w w:val="99"/>
        </w:rPr>
        <w:t> </w:t>
      </w:r>
      <w:r>
        <w:rPr/>
        <w:t>连带的法律责任。</w:t>
      </w:r>
      <w:r>
        <w:rPr>
          <w:b w:val="0"/>
          <w:bCs w:val="0"/>
        </w:rPr>
      </w:r>
    </w:p>
    <w:p>
      <w:pPr>
        <w:pStyle w:val="Heading2"/>
        <w:spacing w:line="386" w:lineRule="auto" w:before="163"/>
        <w:ind w:right="231" w:firstLine="562"/>
        <w:jc w:val="both"/>
        <w:rPr>
          <w:b w:val="0"/>
          <w:bCs w:val="0"/>
        </w:rPr>
      </w:pPr>
      <w:r>
        <w:rPr>
          <w:w w:val="95"/>
        </w:rPr>
        <w:t>公司负责人贾全臣、主管会计工作负责人刘涛及会计机构负责人</w:t>
      </w:r>
      <w:r>
        <w:rPr>
          <w:rFonts w:ascii="Times New Roman" w:hAnsi="Times New Roman" w:cs="Times New Roman" w:eastAsia="Times New Roman" w:hint="default"/>
          <w:w w:val="95"/>
        </w:rPr>
        <w:t>(</w:t>
      </w:r>
      <w:r>
        <w:rPr>
          <w:w w:val="95"/>
        </w:rPr>
        <w:t>会计主管</w:t>
      </w:r>
      <w:r>
        <w:rPr>
          <w:w w:val="99"/>
        </w:rPr>
        <w:t> </w:t>
      </w:r>
      <w:r>
        <w:rPr/>
        <w:t>人员</w:t>
      </w:r>
      <w:r>
        <w:rPr>
          <w:rFonts w:ascii="Times New Roman" w:hAnsi="Times New Roman" w:cs="Times New Roman" w:eastAsia="Times New Roman" w:hint="default"/>
        </w:rPr>
        <w:t>)</w:t>
      </w:r>
      <w:r>
        <w:rPr/>
        <w:t>于越声明：保证年度报告中财务报告的真实、准确、完整。</w:t>
      </w:r>
      <w:r>
        <w:rPr>
          <w:b w:val="0"/>
          <w:bCs w:val="0"/>
        </w:rPr>
      </w:r>
    </w:p>
    <w:p>
      <w:pPr>
        <w:pStyle w:val="Heading2"/>
        <w:spacing w:line="240" w:lineRule="auto" w:before="148"/>
        <w:ind w:left="714" w:right="215"/>
        <w:jc w:val="left"/>
        <w:rPr>
          <w:b w:val="0"/>
          <w:bCs w:val="0"/>
        </w:rPr>
      </w:pPr>
      <w:r>
        <w:rPr/>
        <w:t>除下列董事外，其他董事亲自出席了审议本次年报的董事会会议</w:t>
      </w:r>
      <w:r>
        <w:rPr>
          <w:b w:val="0"/>
          <w:bCs w:val="0"/>
        </w:rPr>
      </w:r>
    </w:p>
    <w:p>
      <w:pPr>
        <w:spacing w:line="240" w:lineRule="auto" w:before="9"/>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936"/>
        <w:gridCol w:w="2210"/>
        <w:gridCol w:w="2211"/>
        <w:gridCol w:w="2213"/>
      </w:tblGrid>
      <w:tr>
        <w:trPr>
          <w:trHeight w:val="403" w:hRule="exact"/>
        </w:trPr>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0"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2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强力</w:t>
            </w:r>
          </w:p>
        </w:tc>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个人工作原因</w:t>
            </w:r>
          </w:p>
        </w:tc>
        <w:tc>
          <w:tcPr>
            <w:tcW w:w="2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3"/>
          <w:szCs w:val="13"/>
        </w:rPr>
      </w:pPr>
    </w:p>
    <w:p>
      <w:pPr>
        <w:pStyle w:val="Heading2"/>
        <w:spacing w:line="408" w:lineRule="auto" w:before="14"/>
        <w:ind w:right="236" w:firstLine="562"/>
        <w:jc w:val="both"/>
        <w:rPr>
          <w:b w:val="0"/>
          <w:bCs w:val="0"/>
        </w:rPr>
      </w:pPr>
      <w:r>
        <w:rPr>
          <w:spacing w:val="2"/>
        </w:rPr>
        <w:t>山东和信会计师事务所（特殊普通合伙）为本公司出具了带强调事项段的</w:t>
      </w:r>
      <w:r>
        <w:rPr>
          <w:w w:val="99"/>
        </w:rPr>
        <w:t> </w:t>
      </w:r>
      <w:r>
        <w:rPr>
          <w:spacing w:val="2"/>
        </w:rPr>
        <w:t>无保留意见，本公司董事会、监事会对相关事项已有详细说明，请投资者注意</w:t>
      </w:r>
      <w:r>
        <w:rPr>
          <w:w w:val="99"/>
        </w:rPr>
        <w:t> </w:t>
      </w:r>
      <w:r>
        <w:rPr/>
        <w:t>阅读。</w:t>
      </w:r>
      <w:r>
        <w:rPr>
          <w:b w:val="0"/>
          <w:bCs w:val="0"/>
        </w:rPr>
      </w:r>
    </w:p>
    <w:p>
      <w:pPr>
        <w:spacing w:line="357" w:lineRule="auto" w:before="162"/>
        <w:ind w:left="635" w:right="215" w:firstLine="79"/>
        <w:jc w:val="left"/>
        <w:rPr>
          <w:rFonts w:ascii="宋体" w:hAnsi="宋体" w:cs="宋体" w:eastAsia="宋体" w:hint="default"/>
          <w:sz w:val="24"/>
          <w:szCs w:val="24"/>
        </w:rPr>
      </w:pPr>
      <w:r>
        <w:rPr>
          <w:rFonts w:ascii="宋体" w:hAnsi="宋体" w:cs="宋体" w:eastAsia="宋体" w:hint="default"/>
          <w:b/>
          <w:bCs/>
          <w:sz w:val="28"/>
          <w:szCs w:val="28"/>
        </w:rPr>
        <w:t>本公司请投资者认真阅读本年度报告全文，并特别注意下列风险因素：</w:t>
      </w:r>
      <w:r>
        <w:rPr>
          <w:rFonts w:ascii="宋体" w:hAnsi="宋体" w:cs="宋体" w:eastAsia="宋体" w:hint="default"/>
          <w:b/>
          <w:bCs/>
          <w:w w:val="99"/>
          <w:sz w:val="28"/>
          <w:szCs w:val="28"/>
        </w:rPr>
        <w:t> </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、海外投资政治环境的风险</w:t>
      </w:r>
      <w:r>
        <w:rPr>
          <w:rFonts w:ascii="宋体" w:hAnsi="宋体" w:cs="宋体" w:eastAsia="宋体" w:hint="default"/>
          <w:b/>
          <w:bCs/>
          <w:w w:val="99"/>
          <w:sz w:val="24"/>
          <w:szCs w:val="24"/>
        </w:rPr>
        <w:t> </w:t>
      </w:r>
      <w:r>
        <w:rPr>
          <w:rFonts w:ascii="宋体" w:hAnsi="宋体" w:cs="宋体" w:eastAsia="宋体" w:hint="default"/>
          <w:b/>
          <w:bCs/>
          <w:sz w:val="24"/>
          <w:szCs w:val="24"/>
        </w:rPr>
        <w:t>目前，海外业务已成为公司收入的重要来源。公司目前在海外投资的项目主要在印尼、</w:t>
      </w:r>
      <w:r>
        <w:rPr>
          <w:rFonts w:ascii="宋体" w:hAnsi="宋体" w:cs="宋体" w:eastAsia="宋体" w:hint="default"/>
          <w:sz w:val="24"/>
          <w:szCs w:val="24"/>
        </w:rPr>
      </w:r>
    </w:p>
    <w:p>
      <w:pPr>
        <w:pStyle w:val="Heading3"/>
        <w:spacing w:line="350" w:lineRule="auto" w:before="37"/>
        <w:ind w:right="103"/>
        <w:jc w:val="left"/>
        <w:rPr>
          <w:b w:val="0"/>
          <w:bCs w:val="0"/>
        </w:rPr>
      </w:pPr>
      <w:r>
        <w:rPr/>
        <w:t>南非、津巴布韦等国家，上述地区属于发展中国家，近年来，政治民主环境逐步改善，但政</w:t>
      </w:r>
      <w:r>
        <w:rPr>
          <w:w w:val="99"/>
        </w:rPr>
        <w:t> </w:t>
      </w:r>
      <w:r>
        <w:rPr/>
        <w:t>治环境仍相对较为复杂，市场开放有限，对外投资存在限制，公司仍可能面临上述国家政策</w:t>
      </w:r>
      <w:r>
        <w:rPr>
          <w:w w:val="99"/>
        </w:rPr>
        <w:t> </w:t>
      </w:r>
      <w:r>
        <w:rPr/>
        <w:t>的变化带来的不利影响。随着公司海外业务的不断开拓，因海外业务所在国政治经济格局变</w:t>
      </w:r>
      <w:r>
        <w:rPr>
          <w:w w:val="99"/>
        </w:rPr>
        <w:t> </w:t>
      </w:r>
      <w:r>
        <w:rPr/>
        <w:t>化引发的风险可能性在上升，公司与海外业主方、合作方可能发生的商业争端风险也在不断</w:t>
      </w:r>
      <w:r>
        <w:rPr>
          <w:w w:val="99"/>
        </w:rPr>
        <w:t> </w:t>
      </w:r>
      <w:r>
        <w:rPr/>
        <w:t>增加。</w:t>
      </w:r>
      <w:r>
        <w:rPr>
          <w:spacing w:val="-78"/>
        </w:rPr>
        <w:t> </w:t>
      </w:r>
      <w:r>
        <w:rPr>
          <w:spacing w:val="-8"/>
        </w:rPr>
        <w:t>针对以上风险，公司于</w:t>
      </w:r>
      <w:r>
        <w:rPr>
          <w:spacing w:val="-5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60"/>
        </w:rPr>
        <w:t> </w:t>
      </w:r>
      <w:r>
        <w:rPr>
          <w:rFonts w:ascii="Times New Roman" w:hAnsi="Times New Roman" w:cs="Times New Roman" w:eastAsia="Times New Roman" w:hint="default"/>
        </w:rPr>
        <w:t>27</w:t>
      </w:r>
      <w:r>
        <w:rPr>
          <w:rFonts w:ascii="Times New Roman" w:hAnsi="Times New Roman" w:cs="Times New Roman" w:eastAsia="Times New Roman" w:hint="default"/>
          <w:spacing w:val="-4"/>
        </w:rPr>
        <w:t> </w:t>
      </w:r>
      <w:r>
        <w:rPr>
          <w:spacing w:val="-4"/>
        </w:rPr>
        <w:t>日与青岛市人民政府，印尼中苏拉威西省政府、</w:t>
      </w:r>
      <w:r>
        <w:rPr>
          <w:w w:val="99"/>
        </w:rPr>
        <w:t> </w:t>
      </w:r>
      <w:r>
        <w:rPr/>
        <w:t>印尼</w:t>
      </w:r>
      <w:r>
        <w:rPr>
          <w:spacing w:val="-61"/>
        </w:rPr>
        <w:t> </w:t>
      </w:r>
      <w:r>
        <w:rPr>
          <w:rFonts w:ascii="Times New Roman" w:hAnsi="Times New Roman" w:cs="Times New Roman" w:eastAsia="Times New Roman" w:hint="default"/>
          <w:spacing w:val="-7"/>
        </w:rPr>
        <w:t>PT.</w:t>
      </w:r>
      <w:r>
        <w:rPr>
          <w:rFonts w:ascii="Times New Roman" w:hAnsi="Times New Roman" w:cs="Times New Roman" w:eastAsia="Times New Roman" w:hint="default"/>
          <w:spacing w:val="-2"/>
        </w:rPr>
        <w:t> </w:t>
      </w:r>
      <w:r>
        <w:rPr>
          <w:rFonts w:ascii="Times New Roman" w:hAnsi="Times New Roman" w:cs="Times New Roman" w:eastAsia="Times New Roman" w:hint="default"/>
        </w:rPr>
        <w:t>Batue</w:t>
      </w:r>
      <w:r>
        <w:rPr>
          <w:rFonts w:ascii="Times New Roman" w:hAnsi="Times New Roman" w:cs="Times New Roman" w:eastAsia="Times New Roman" w:hint="default"/>
          <w:spacing w:val="-8"/>
        </w:rPr>
        <w:t> </w:t>
      </w:r>
      <w:r>
        <w:rPr>
          <w:rFonts w:ascii="Times New Roman" w:hAnsi="Times New Roman" w:cs="Times New Roman" w:eastAsia="Times New Roman" w:hint="default"/>
        </w:rPr>
        <w:t>Tjepper</w:t>
      </w:r>
      <w:r>
        <w:rPr>
          <w:rFonts w:ascii="Times New Roman" w:hAnsi="Times New Roman" w:cs="Times New Roman" w:eastAsia="Times New Roman" w:hint="default"/>
          <w:spacing w:val="-8"/>
        </w:rPr>
        <w:t> </w:t>
      </w:r>
      <w:r>
        <w:rPr>
          <w:rFonts w:ascii="Times New Roman" w:hAnsi="Times New Roman" w:cs="Times New Roman" w:eastAsia="Times New Roman" w:hint="default"/>
        </w:rPr>
        <w:t>Resouces</w:t>
      </w:r>
      <w:r>
        <w:rPr>
          <w:rFonts w:ascii="Times New Roman" w:hAnsi="Times New Roman" w:cs="Times New Roman" w:eastAsia="Times New Roman" w:hint="default"/>
          <w:spacing w:val="-2"/>
        </w:rPr>
        <w:t> </w:t>
      </w:r>
      <w:r>
        <w:rPr>
          <w:spacing w:val="-4"/>
        </w:rPr>
        <w:t>公司，四方签署了《青岛市政府与印尼中苏拉威西省政府签</w:t>
      </w:r>
      <w:r>
        <w:rPr>
          <w:w w:val="99"/>
        </w:rPr>
        <w:t> </w:t>
      </w:r>
      <w:r>
        <w:rPr/>
        <w:t>订关于对恒顺众昇集团及印尼 </w:t>
      </w:r>
      <w:r>
        <w:rPr>
          <w:rFonts w:ascii="Times New Roman" w:hAnsi="Times New Roman" w:cs="Times New Roman" w:eastAsia="Times New Roman" w:hint="default"/>
          <w:spacing w:val="-7"/>
        </w:rPr>
        <w:t>PT. </w:t>
      </w:r>
      <w:r>
        <w:rPr>
          <w:rFonts w:ascii="Times New Roman" w:hAnsi="Times New Roman" w:cs="Times New Roman" w:eastAsia="Times New Roman" w:hint="default"/>
        </w:rPr>
        <w:t>Batue Tjepper Resouces</w:t>
      </w:r>
      <w:r>
        <w:rPr>
          <w:rFonts w:ascii="Times New Roman" w:hAnsi="Times New Roman" w:cs="Times New Roman" w:eastAsia="Times New Roman" w:hint="default"/>
          <w:spacing w:val="12"/>
        </w:rPr>
        <w:t> </w:t>
      </w:r>
      <w:r>
        <w:rPr/>
        <w:t>公司在印尼开展投资项目的支持</w:t>
      </w:r>
      <w:r>
        <w:rPr>
          <w:w w:val="99"/>
        </w:rPr>
        <w:t> </w:t>
      </w:r>
      <w:r>
        <w:rPr>
          <w:spacing w:val="-36"/>
          <w:w w:val="99"/>
        </w:rPr>
        <w:t>协议》；于</w:t>
      </w:r>
      <w:r>
        <w:rPr>
          <w:spacing w:val="-53"/>
          <w:w w:val="9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w w:val="99"/>
        </w:rPr>
        <w:t>年</w:t>
      </w:r>
      <w:r>
        <w:rPr>
          <w:spacing w:val="-54"/>
          <w:w w:val="9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w w:val="99"/>
        </w:rPr>
        <w:t>月</w:t>
      </w:r>
      <w:r>
        <w:rPr>
          <w:spacing w:val="-56"/>
          <w:w w:val="9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spacing w:val="-2"/>
          <w:w w:val="99"/>
        </w:rPr>
        <w:t>日与中国中铁二院工程集团有限责任公司，青岛城市建设投资集团，</w:t>
      </w:r>
      <w:r>
        <w:rPr>
          <w:b w:val="0"/>
          <w:bCs w:val="0"/>
          <w:spacing w:val="-2"/>
        </w:rPr>
      </w:r>
    </w:p>
    <w:p>
      <w:pPr>
        <w:spacing w:after="0" w:line="350" w:lineRule="auto"/>
        <w:jc w:val="left"/>
        <w:sectPr>
          <w:footerReference w:type="default" r:id="rId8"/>
          <w:pgSz w:w="11910" w:h="16840"/>
          <w:pgMar w:footer="979" w:header="745" w:top="1060" w:bottom="1160" w:left="980" w:right="90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b/>
          <w:bCs/>
          <w:sz w:val="25"/>
          <w:szCs w:val="25"/>
        </w:rPr>
      </w:pPr>
    </w:p>
    <w:p>
      <w:pPr>
        <w:pStyle w:val="Heading3"/>
        <w:spacing w:line="348" w:lineRule="auto" w:before="26"/>
        <w:ind w:right="231"/>
        <w:jc w:val="both"/>
        <w:rPr>
          <w:b w:val="0"/>
          <w:bCs w:val="0"/>
        </w:rPr>
      </w:pPr>
      <w:r>
        <w:rPr/>
        <w:t>青岛市人民政府，津巴布韦共和国工商部，国家开发银行股份有限公司，共同签订了《关于</w:t>
      </w:r>
      <w:r>
        <w:rPr>
          <w:w w:val="99"/>
        </w:rPr>
        <w:t> </w:t>
      </w:r>
      <w:r>
        <w:rPr>
          <w:w w:val="99"/>
        </w:rPr>
        <w:t>津巴布韦经济特区与工业园项目的谅解备忘录》。符合国家</w:t>
      </w:r>
      <w:r>
        <w:rPr>
          <w:rFonts w:ascii="Times New Roman" w:hAnsi="Times New Roman" w:cs="Times New Roman" w:eastAsia="Times New Roman" w:hint="default"/>
          <w:w w:val="99"/>
        </w:rPr>
        <w:t>“</w:t>
      </w:r>
      <w:r>
        <w:rPr>
          <w:w w:val="99"/>
        </w:rPr>
        <w:t>一带一路</w:t>
      </w:r>
      <w:r>
        <w:rPr>
          <w:rFonts w:ascii="Times New Roman" w:hAnsi="Times New Roman" w:cs="Times New Roman" w:eastAsia="Times New Roman" w:hint="default"/>
          <w:w w:val="99"/>
        </w:rPr>
        <w:t>”</w:t>
      </w:r>
      <w:r>
        <w:rPr>
          <w:w w:val="99"/>
        </w:rPr>
        <w:t>及</w:t>
      </w:r>
      <w:r>
        <w:rPr>
          <w:rFonts w:ascii="Times New Roman" w:hAnsi="Times New Roman" w:cs="Times New Roman" w:eastAsia="Times New Roman" w:hint="default"/>
          <w:w w:val="99"/>
        </w:rPr>
        <w:t>“</w:t>
      </w:r>
      <w:r>
        <w:rPr>
          <w:w w:val="99"/>
        </w:rPr>
        <w:t>走出去</w:t>
      </w:r>
      <w:r>
        <w:rPr>
          <w:rFonts w:ascii="Times New Roman" w:hAnsi="Times New Roman" w:cs="Times New Roman" w:eastAsia="Times New Roman" w:hint="default"/>
          <w:w w:val="99"/>
        </w:rPr>
        <w:t>”</w:t>
      </w:r>
      <w:r>
        <w:rPr>
          <w:w w:val="99"/>
        </w:rPr>
        <w:t>的发展战</w:t>
      </w:r>
      <w:r>
        <w:rPr>
          <w:spacing w:val="-102"/>
          <w:w w:val="99"/>
        </w:rPr>
        <w:t> </w:t>
      </w:r>
      <w:r>
        <w:rPr>
          <w:spacing w:val="-102"/>
          <w:w w:val="99"/>
        </w:rPr>
      </w:r>
      <w:r>
        <w:rPr/>
        <w:t>略，为公司在上述国家开展工业园及其延伸项目提供了政策保障。</w:t>
      </w:r>
      <w:r>
        <w:rPr>
          <w:b w:val="0"/>
          <w:bCs w:val="0"/>
        </w:rPr>
      </w:r>
    </w:p>
    <w:p>
      <w:pPr>
        <w:pStyle w:val="Heading3"/>
        <w:spacing w:line="240" w:lineRule="auto" w:before="46"/>
        <w:ind w:left="635" w:right="215"/>
        <w:jc w:val="left"/>
        <w:rPr>
          <w:b w:val="0"/>
          <w:bCs w:val="0"/>
        </w:rPr>
      </w:pPr>
      <w:r>
        <w:rPr>
          <w:rFonts w:ascii="Times New Roman" w:hAnsi="Times New Roman" w:cs="Times New Roman" w:eastAsia="Times New Roman" w:hint="default"/>
        </w:rPr>
        <w:t>2</w:t>
      </w:r>
      <w:r>
        <w:rPr/>
        <w:t>、公司管理的风险</w:t>
      </w:r>
      <w:r>
        <w:rPr>
          <w:b w:val="0"/>
          <w:bCs w:val="0"/>
        </w:rPr>
      </w:r>
    </w:p>
    <w:p>
      <w:pPr>
        <w:pStyle w:val="Heading3"/>
        <w:spacing w:line="355" w:lineRule="auto" w:before="135"/>
        <w:ind w:right="98" w:firstLine="482"/>
        <w:jc w:val="left"/>
        <w:rPr>
          <w:b w:val="0"/>
          <w:bCs w:val="0"/>
        </w:rPr>
      </w:pPr>
      <w:r>
        <w:rPr/>
        <w:t>自</w:t>
      </w:r>
      <w:r>
        <w:rPr>
          <w:spacing w:val="-6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年以来，随着公司集团化进程的推进，公司资产规模和经营规模都将迅速扩张，</w:t>
      </w:r>
      <w:r>
        <w:rPr>
          <w:w w:val="99"/>
        </w:rPr>
        <w:t> </w:t>
      </w:r>
      <w:r>
        <w:rPr/>
        <w:t>在经营管理、资源整合、市场开拓、统筹管理等方面对公司的管理层提出更高的要求。如公</w:t>
      </w:r>
      <w:r>
        <w:rPr>
          <w:w w:val="99"/>
        </w:rPr>
        <w:t> </w:t>
      </w:r>
      <w:r>
        <w:rPr/>
        <w:t>司不能有效地进一步提升管理标准及理念、完善管理流程和内部控制制度，将会对公司的整</w:t>
      </w:r>
      <w:r>
        <w:rPr>
          <w:w w:val="99"/>
        </w:rPr>
        <w:t> </w:t>
      </w:r>
      <w:r>
        <w:rPr/>
        <w:t>体运营带来一定风险。同时，公司在并购海外公司后的业务整合、人员整合、文化整合等方</w:t>
      </w:r>
      <w:r>
        <w:rPr>
          <w:w w:val="99"/>
        </w:rPr>
        <w:t> </w:t>
      </w:r>
      <w:r>
        <w:rPr/>
        <w:t>面也面临相应的风险。针对以上风险，公司已不断完善组织结构、加强人才队伍建设和管理</w:t>
      </w:r>
      <w:r>
        <w:rPr>
          <w:w w:val="99"/>
        </w:rPr>
        <w:t> </w:t>
      </w:r>
      <w:r>
        <w:rPr/>
        <w:t>制度建设。为不断吸引新的技术人才加盟，增强公司的技术实力，公司制定了有竞争力的薪</w:t>
      </w:r>
      <w:r>
        <w:rPr>
          <w:w w:val="99"/>
        </w:rPr>
        <w:t> </w:t>
      </w:r>
      <w:r>
        <w:rPr/>
        <w:t>酬体系和职业发展规划，并对核心技术和管理人员进行股权激励，同时与核心人员签订了保</w:t>
      </w:r>
      <w:r>
        <w:rPr>
          <w:w w:val="99"/>
        </w:rPr>
        <w:t> </w:t>
      </w:r>
      <w:r>
        <w:rPr/>
        <w:t>密协议，对竞业禁止义务和责任等进行了明确约定，尽可能降低或消除核心人员流失及由此</w:t>
      </w:r>
      <w:r>
        <w:rPr>
          <w:w w:val="99"/>
        </w:rPr>
        <w:t> </w:t>
      </w:r>
      <w:r>
        <w:rPr>
          <w:spacing w:val="-3"/>
        </w:rPr>
        <w:t>带来的技术扩散风险。对于海外收购的企业，以尊重当地文化为主旨，互相融合，加强沟通，</w:t>
      </w:r>
      <w:r>
        <w:rPr>
          <w:w w:val="99"/>
        </w:rPr>
        <w:t> </w:t>
      </w:r>
      <w:r>
        <w:rPr/>
        <w:t>逐步消除因文化差异存在的障碍。</w:t>
      </w:r>
      <w:r>
        <w:rPr>
          <w:b w:val="0"/>
          <w:bCs w:val="0"/>
        </w:rPr>
      </w:r>
    </w:p>
    <w:p>
      <w:pPr>
        <w:pStyle w:val="Heading3"/>
        <w:spacing w:line="338" w:lineRule="auto" w:before="39"/>
        <w:ind w:left="635" w:right="215"/>
        <w:jc w:val="left"/>
        <w:rPr>
          <w:b w:val="0"/>
          <w:bCs w:val="0"/>
        </w:rPr>
      </w:pPr>
      <w:r>
        <w:rPr>
          <w:rFonts w:ascii="Times New Roman" w:hAnsi="Times New Roman" w:cs="Times New Roman" w:eastAsia="Times New Roman" w:hint="default"/>
        </w:rPr>
        <w:t>3</w:t>
      </w:r>
      <w:r>
        <w:rPr/>
        <w:t>、投资项目实施的风险</w:t>
      </w:r>
      <w:r>
        <w:rPr>
          <w:w w:val="99"/>
        </w:rPr>
        <w:t> </w:t>
      </w:r>
      <w:r>
        <w:rPr/>
        <w:t>公司在海外投资及拟收购的项目，虽然在前期已请相关专业机构进行了充分论证，并经</w:t>
      </w:r>
      <w:r>
        <w:rPr>
          <w:b w:val="0"/>
          <w:bCs w:val="0"/>
        </w:rPr>
      </w:r>
    </w:p>
    <w:p>
      <w:pPr>
        <w:pStyle w:val="Heading3"/>
        <w:spacing w:line="357" w:lineRule="auto" w:before="55"/>
        <w:ind w:right="234"/>
        <w:jc w:val="both"/>
        <w:rPr>
          <w:b w:val="0"/>
          <w:bCs w:val="0"/>
        </w:rPr>
      </w:pPr>
      <w:r>
        <w:rPr/>
        <w:t>过了董事会及股东会的审议研究，但由于在项目实施及营运过程中可能会由于市场的变化、</w:t>
      </w:r>
      <w:r>
        <w:rPr>
          <w:w w:val="99"/>
        </w:rPr>
        <w:t> </w:t>
      </w:r>
      <w:r>
        <w:rPr/>
        <w:t>政策的调整、投资地人文环境的不适应、市场拓展不力、人力资源的不足等问题，存在投资</w:t>
      </w:r>
      <w:r>
        <w:rPr>
          <w:w w:val="99"/>
        </w:rPr>
        <w:t> </w:t>
      </w:r>
      <w:r>
        <w:rPr/>
        <w:t>项目时间进度不能按照计划进行或项目收益无法达到预期的风险。针对以上风险，在项目时</w:t>
      </w:r>
      <w:r>
        <w:rPr>
          <w:w w:val="99"/>
        </w:rPr>
        <w:t> </w:t>
      </w:r>
      <w:r>
        <w:rPr/>
        <w:t>间进度方面，公司会对各项目的进展情况及时跟踪，及时处理项目实施过程中出现的问题，</w:t>
      </w:r>
      <w:r>
        <w:rPr>
          <w:w w:val="99"/>
        </w:rPr>
        <w:t> </w:t>
      </w:r>
      <w:r>
        <w:rPr/>
        <w:t>尽可能使项目时间按计划进度进行。公司将积极开展融资，进一步开拓思路，通过寻求有资</w:t>
      </w:r>
      <w:r>
        <w:rPr>
          <w:w w:val="99"/>
        </w:rPr>
        <w:t> </w:t>
      </w:r>
      <w:r>
        <w:rPr/>
        <w:t>金实力的合作伙伴、争取资本市场直接融资等方式，解决项目资金需求、降低财务成本。</w:t>
      </w:r>
      <w:r>
        <w:rPr>
          <w:b w:val="0"/>
          <w:bCs w:val="0"/>
        </w:rPr>
      </w:r>
    </w:p>
    <w:p>
      <w:pPr>
        <w:pStyle w:val="Heading3"/>
        <w:spacing w:line="338" w:lineRule="auto" w:before="36"/>
        <w:ind w:left="635" w:right="215"/>
        <w:jc w:val="left"/>
        <w:rPr>
          <w:b w:val="0"/>
          <w:bCs w:val="0"/>
        </w:rPr>
      </w:pPr>
      <w:r>
        <w:rPr>
          <w:rFonts w:ascii="Times New Roman" w:hAnsi="Times New Roman" w:cs="Times New Roman" w:eastAsia="Times New Roman" w:hint="default"/>
        </w:rPr>
        <w:t>4</w:t>
      </w:r>
      <w:r>
        <w:rPr/>
        <w:t>、汇率变动的风险</w:t>
      </w:r>
      <w:r>
        <w:rPr>
          <w:w w:val="99"/>
        </w:rPr>
        <w:t> </w:t>
      </w:r>
      <w:r>
        <w:rPr/>
        <w:t>公司签署的合作项目，目前在执行的合同多以外币为结算货币，虽然在合同中约定了相</w:t>
      </w:r>
      <w:r>
        <w:rPr>
          <w:b w:val="0"/>
          <w:bCs w:val="0"/>
        </w:rPr>
      </w:r>
    </w:p>
    <w:p>
      <w:pPr>
        <w:pStyle w:val="Heading3"/>
        <w:spacing w:line="357" w:lineRule="auto" w:before="55"/>
        <w:ind w:right="237"/>
        <w:jc w:val="both"/>
        <w:rPr>
          <w:b w:val="0"/>
          <w:bCs w:val="0"/>
        </w:rPr>
      </w:pPr>
      <w:r>
        <w:rPr/>
        <w:t>关的汇率变化调整条款，但仍存在一定的风险。针对以上风险，公司将进一步完善合同中汇</w:t>
      </w:r>
      <w:r>
        <w:rPr>
          <w:w w:val="99"/>
        </w:rPr>
        <w:t> </w:t>
      </w:r>
      <w:r>
        <w:rPr/>
        <w:t>率调整的条款。</w:t>
      </w:r>
      <w:r>
        <w:rPr>
          <w:b w:val="0"/>
          <w:bCs w:val="0"/>
        </w:rPr>
      </w:r>
    </w:p>
    <w:p>
      <w:pPr>
        <w:pStyle w:val="Heading3"/>
        <w:spacing w:line="240" w:lineRule="auto" w:before="36"/>
        <w:ind w:left="635" w:right="215"/>
        <w:jc w:val="left"/>
        <w:rPr>
          <w:b w:val="0"/>
          <w:bCs w:val="0"/>
        </w:rPr>
      </w:pPr>
      <w:r>
        <w:rPr>
          <w:rFonts w:ascii="Times New Roman" w:hAnsi="Times New Roman" w:cs="Times New Roman" w:eastAsia="Times New Roman" w:hint="default"/>
        </w:rPr>
        <w:t>5</w:t>
      </w:r>
      <w:r>
        <w:rPr/>
        <w:t>、公司股票存在被暂停上市的风险</w:t>
      </w:r>
      <w:r>
        <w:rPr>
          <w:b w:val="0"/>
          <w:bCs w:val="0"/>
        </w:rPr>
      </w:r>
    </w:p>
    <w:p>
      <w:pPr>
        <w:pStyle w:val="Heading3"/>
        <w:spacing w:line="338" w:lineRule="auto" w:before="135"/>
        <w:ind w:right="103" w:firstLine="482"/>
        <w:jc w:val="left"/>
        <w:rPr>
          <w:b w:val="0"/>
          <w:bCs w:val="0"/>
        </w:rPr>
      </w:pPr>
      <w:r>
        <w:rPr>
          <w:w w:val="99"/>
        </w:rPr>
        <w:t>公司于</w:t>
      </w:r>
      <w:r>
        <w:rPr>
          <w:spacing w:val="-56"/>
          <w:w w:val="9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w w:val="99"/>
        </w:rPr>
        <w:t>年</w:t>
      </w:r>
      <w:r>
        <w:rPr>
          <w:spacing w:val="-56"/>
          <w:w w:val="99"/>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w w:val="99"/>
        </w:rPr>
        <w:t>月</w:t>
      </w:r>
      <w:r>
        <w:rPr>
          <w:spacing w:val="-56"/>
          <w:w w:val="99"/>
        </w:rPr>
        <w:t> </w:t>
      </w:r>
      <w:r>
        <w:rPr>
          <w:rFonts w:ascii="Times New Roman" w:hAnsi="Times New Roman" w:cs="Times New Roman" w:eastAsia="Times New Roman" w:hint="default"/>
        </w:rPr>
        <w:t>3 </w:t>
      </w:r>
      <w:r>
        <w:rPr>
          <w:spacing w:val="-5"/>
          <w:w w:val="99"/>
        </w:rPr>
        <w:t>日收到中国证监会调查通知书（编号：深专调查通字</w:t>
      </w:r>
      <w:r>
        <w:rPr>
          <w:spacing w:val="-53"/>
          <w:w w:val="99"/>
        </w:rPr>
        <w:t> </w:t>
      </w:r>
      <w:r>
        <w:rPr>
          <w:rFonts w:ascii="Times New Roman" w:hAnsi="Times New Roman" w:cs="Times New Roman" w:eastAsia="Times New Roman" w:hint="default"/>
        </w:rPr>
        <w:t>2015689</w:t>
      </w:r>
      <w:r>
        <w:rPr>
          <w:rFonts w:ascii="Times New Roman" w:hAnsi="Times New Roman" w:cs="Times New Roman" w:eastAsia="Times New Roman" w:hint="default"/>
          <w:spacing w:val="2"/>
        </w:rPr>
        <w:t> </w:t>
      </w:r>
      <w:r>
        <w:rPr>
          <w:spacing w:val="-41"/>
          <w:w w:val="99"/>
        </w:rPr>
        <w:t>号）。</w:t>
      </w:r>
      <w:r>
        <w:rPr>
          <w:w w:val="99"/>
        </w:rPr>
        <w:t> </w:t>
      </w:r>
      <w:r>
        <w:rPr/>
        <w:t>因公司涉嫌违反证券法律法规，根据《中华人民共和国证券法》的有关规定，决定对公司进</w:t>
      </w:r>
      <w:r>
        <w:rPr>
          <w:b w:val="0"/>
          <w:bCs w:val="0"/>
        </w:rPr>
      </w:r>
    </w:p>
    <w:p>
      <w:pPr>
        <w:spacing w:after="0" w:line="338" w:lineRule="auto"/>
        <w:jc w:val="left"/>
        <w:sectPr>
          <w:pgSz w:w="11910" w:h="16840"/>
          <w:pgMar w:header="745" w:footer="979" w:top="1060" w:bottom="1160" w:left="980" w:right="900"/>
        </w:sectPr>
      </w:pPr>
    </w:p>
    <w:p>
      <w:pPr>
        <w:spacing w:line="240" w:lineRule="auto" w:before="7"/>
        <w:rPr>
          <w:rFonts w:ascii="宋体" w:hAnsi="宋体" w:cs="宋体" w:eastAsia="宋体" w:hint="default"/>
          <w:b/>
          <w:bCs/>
          <w:sz w:val="29"/>
          <w:szCs w:val="29"/>
        </w:rPr>
      </w:pPr>
    </w:p>
    <w:p>
      <w:pPr>
        <w:pStyle w:val="Heading3"/>
        <w:spacing w:line="240" w:lineRule="auto" w:before="26"/>
        <w:ind w:right="0"/>
        <w:jc w:val="both"/>
        <w:rPr>
          <w:b w:val="0"/>
          <w:bCs w:val="0"/>
        </w:rPr>
      </w:pPr>
      <w:r>
        <w:rPr/>
        <w:t>行立案调查。根据中国证监会《关于改革完善并严格实施上市公司退市制度的若干意见》和</w:t>
      </w:r>
      <w:r>
        <w:rPr>
          <w:b w:val="0"/>
          <w:bCs w:val="0"/>
        </w:rPr>
      </w:r>
    </w:p>
    <w:p>
      <w:pPr>
        <w:pStyle w:val="Heading3"/>
        <w:spacing w:line="348" w:lineRule="auto" w:before="154"/>
        <w:ind w:right="156"/>
        <w:jc w:val="both"/>
        <w:rPr>
          <w:b w:val="0"/>
          <w:bCs w:val="0"/>
        </w:rPr>
      </w:pPr>
      <w:r>
        <w:rPr>
          <w:w w:val="99"/>
        </w:rPr>
        <w:t>《深圳证券交易所创业板股票上市规则（</w:t>
      </w:r>
      <w:r>
        <w:rPr>
          <w:rFonts w:ascii="Times New Roman" w:hAnsi="Times New Roman" w:cs="Times New Roman" w:eastAsia="Times New Roman" w:hint="default"/>
          <w:w w:val="99"/>
        </w:rPr>
        <w:t>2014</w:t>
      </w:r>
      <w:r>
        <w:rPr>
          <w:rFonts w:ascii="Times New Roman" w:hAnsi="Times New Roman" w:cs="Times New Roman" w:eastAsia="Times New Roman" w:hint="default"/>
          <w:spacing w:val="28"/>
          <w:w w:val="99"/>
        </w:rPr>
        <w:t> </w:t>
      </w:r>
      <w:r>
        <w:rPr>
          <w:spacing w:val="-6"/>
          <w:w w:val="99"/>
        </w:rPr>
        <w:t>年修订）》的有关规定，如本公司存在或涉嫌</w:t>
      </w:r>
      <w:r>
        <w:rPr>
          <w:spacing w:val="-119"/>
          <w:w w:val="99"/>
        </w:rPr>
        <w:t> </w:t>
      </w:r>
      <w:r>
        <w:rPr>
          <w:spacing w:val="-119"/>
          <w:w w:val="99"/>
        </w:rPr>
      </w:r>
      <w:r>
        <w:rPr/>
        <w:t>存在重大违反证券法律法规行为的，公司股票将被深圳证券交易所实施暂停上市，请广大投</w:t>
      </w:r>
      <w:r>
        <w:rPr>
          <w:w w:val="99"/>
        </w:rPr>
        <w:t> </w:t>
      </w:r>
      <w:r>
        <w:rPr/>
        <w:t>资者注意投资风险。截至目前，公司尚未收到中国证监会的最终调查结论文件。</w:t>
      </w:r>
      <w:r>
        <w:rPr>
          <w:b w:val="0"/>
          <w:bCs w:val="0"/>
        </w:rPr>
      </w:r>
    </w:p>
    <w:p>
      <w:pPr>
        <w:pStyle w:val="Heading2"/>
        <w:spacing w:line="240" w:lineRule="auto" w:before="193"/>
        <w:ind w:left="714" w:right="0"/>
        <w:jc w:val="left"/>
        <w:rPr>
          <w:b w:val="0"/>
          <w:bCs w:val="0"/>
        </w:rPr>
      </w:pPr>
      <w:r>
        <w:rPr/>
        <w:t>公司计划不派发现金红利，不送红股，不以公积金转增股本。</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5"/>
        <w:ind w:left="133" w:right="13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管理层讨论与分析</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财务报告</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4"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备查文件目录</w:t>
            </w:r>
            <w:r>
              <w:rPr>
                <w:rFonts w:ascii="Times New Roman" w:hAnsi="Times New Roman" w:cs="Times New Roman" w:eastAsia="Times New Roman" w:hint="default"/>
              </w:rPr>
              <w:tab/>
              <w:t>156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79" w:top="1060" w:bottom="1160" w:left="980" w:right="980"/>
        </w:sectPr>
      </w:pPr>
    </w:p>
    <w:p>
      <w:pPr>
        <w:spacing w:before="945"/>
        <w:ind w:left="133" w:right="13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3"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本公司、公司、恒顺众昇</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青岛市恒顺众昇集团股份有限公司董事会</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《青岛市恒顺众昇集团股份有限公司章程》</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山东和信会计师事务所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创业板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深圳证券交易所创业板</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青岛市恒顺众昇集团股份有限公司监事会</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城投金控</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印度尼西亚共和国</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津巴布韦</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津巴布韦共和国</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南非共和国</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非洲煤业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非洲煤业有限公司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中加煤矿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恒顺印尼中加煤矿公司，</w:t>
            </w: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Resources</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Madani </w:t>
            </w:r>
            <w:r>
              <w:rPr>
                <w:rFonts w:ascii="宋体" w:hAnsi="宋体" w:cs="宋体" w:eastAsia="宋体" w:hint="default"/>
                <w:sz w:val="18"/>
                <w:szCs w:val="18"/>
              </w:rPr>
              <w:t>镍矿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恒顺印尼苏岛镍矿公司，</w:t>
            </w:r>
            <w:r>
              <w:rPr>
                <w:rFonts w:ascii="Times New Roman" w:hAnsi="Times New Roman" w:cs="Times New Roman" w:eastAsia="Times New Roman" w:hint="default"/>
                <w:sz w:val="18"/>
                <w:szCs w:val="18"/>
              </w:rPr>
              <w:t>PT. Madani</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Sejahtera</w:t>
            </w:r>
          </w:p>
        </w:tc>
      </w:tr>
      <w:tr>
        <w:trPr>
          <w:trHeight w:val="404"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BMU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镍矿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恒顺印尼中苏镍矿公司，</w:t>
            </w: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Utama</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印尼帝汶岛锰矿</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 Alam jaya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锰矿公司</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pict>
          <v:group style="position:absolute;margin-left:172.339996pt;margin-top:114.705597pt;width:361.55pt;height:19.7pt;mso-position-horizontal-relative:page;mso-position-vertical-relative:paragraph;z-index:-893392" coordorigin="3447,2294" coordsize="7231,394">
            <v:shape style="position:absolute;left:3447;top:2294;width:7231;height:394" coordorigin="3447,2294" coordsize="7231,394" path="m3447,2688l10677,2688,10677,2294,3447,2294,3447,2688xe" filled="true" fillcolor="#ffffff" stroked="false">
              <v:path arrowok="t"/>
              <v:fill type="solid"/>
            </v:shape>
            <w10:wrap type="none"/>
          </v:group>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4"/>
        <w:gridCol w:w="2177"/>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恒顺众昇</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300208</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青岛市恒顺众昇集团股份有限公司</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恒顺众昇</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Qingdao Hengshun Zhongsheng Group</w:t>
            </w:r>
            <w:r>
              <w:rPr>
                <w:rFonts w:ascii="Times New Roman"/>
                <w:spacing w:val="-13"/>
                <w:sz w:val="18"/>
              </w:rPr>
              <w:t> </w:t>
            </w:r>
            <w:r>
              <w:rPr>
                <w:rFonts w:ascii="Times New Roman"/>
                <w:sz w:val="18"/>
              </w:rPr>
              <w:t>Co.,Ltd.</w:t>
            </w:r>
          </w:p>
        </w:tc>
      </w:tr>
      <w:tr>
        <w:trPr>
          <w:trHeight w:val="403"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HSZS</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贾全臣</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青岛市城阳区流亭街道双元路西侧（空港工业聚集区）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266108</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www.qdhengshun.com</w:t>
              </w:r>
            </w:hyperlink>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hengshun@188.com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赵子明</w:t>
            </w:r>
          </w:p>
        </w:tc>
      </w:tr>
      <w:tr>
        <w:trPr>
          <w:trHeight w:val="161" w:hRule="exact"/>
        </w:trPr>
        <w:tc>
          <w:tcPr>
            <w:tcW w:w="3168"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9" w:space="0" w:color="D2D2D2"/>
              <w:right w:val="single" w:sz="4" w:space="0" w:color="000000"/>
            </w:tcBorders>
          </w:tcPr>
          <w:p>
            <w:pPr>
              <w:pStyle w:val="TableParagraph"/>
              <w:spacing w:line="316" w:lineRule="auto" w:before="49"/>
              <w:ind w:left="28" w:right="94"/>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 港工业聚集区）</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青岛市城阳区流亭街道双元路西侧（空 港工业聚集区）</w:t>
            </w:r>
          </w:p>
        </w:tc>
      </w:tr>
      <w:tr>
        <w:trPr>
          <w:trHeight w:val="391" w:hRule="exact"/>
        </w:trPr>
        <w:tc>
          <w:tcPr>
            <w:tcW w:w="31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1"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0532-68004136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0532-68004136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0532-87712839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0532-87712839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hengshunzqb@188.com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hengshunzqb@188.com</w:t>
              </w:r>
            </w:hyperlink>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71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3"/>
              <w:jc w:val="left"/>
              <w:rPr>
                <w:rFonts w:ascii="宋体" w:hAnsi="宋体" w:cs="宋体" w:eastAsia="宋体" w:hint="default"/>
                <w:sz w:val="18"/>
                <w:szCs w:val="18"/>
              </w:rPr>
            </w:pPr>
            <w:r>
              <w:rPr>
                <w:rFonts w:ascii="宋体" w:hAnsi="宋体" w:cs="宋体" w:eastAsia="宋体" w:hint="default"/>
                <w:spacing w:val="-2"/>
                <w:sz w:val="18"/>
                <w:szCs w:val="18"/>
              </w:rPr>
              <w:t>青岛市城阳区流亭街道双元路西侧（空港工业聚集区）公司董事会办公</w:t>
            </w:r>
            <w:r>
              <w:rPr>
                <w:rFonts w:ascii="宋体" w:hAnsi="宋体" w:cs="宋体" w:eastAsia="宋体" w:hint="default"/>
                <w:sz w:val="18"/>
                <w:szCs w:val="18"/>
              </w:rPr>
              <w:t> 室</w:t>
            </w:r>
          </w:p>
        </w:tc>
      </w:tr>
    </w:tbl>
    <w:p>
      <w:pPr>
        <w:spacing w:after="0" w:line="314"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山东省济南市经十路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13777 </w:t>
            </w:r>
            <w:r>
              <w:rPr>
                <w:rFonts w:ascii="宋体" w:hAnsi="宋体" w:cs="宋体" w:eastAsia="宋体" w:hint="default"/>
                <w:sz w:val="18"/>
                <w:szCs w:val="18"/>
              </w:rPr>
              <w:t>号中润世纪广场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左伟，李长欢</w:t>
            </w:r>
          </w:p>
        </w:tc>
      </w:tr>
    </w:tbl>
    <w:p>
      <w:pPr>
        <w:pStyle w:val="BodyText"/>
        <w:spacing w:line="240" w:lineRule="auto" w:before="49"/>
        <w:ind w:right="0"/>
        <w:jc w:val="left"/>
      </w:pPr>
      <w:r>
        <w:rPr/>
        <w:t>公司聘请的报告期内履行持续督导职责的保荐机构</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1,163,266,236.47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670,442,561.22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169,062,898.82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338,648,755.97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109,530,694.55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209.18%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37,932,509.82</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298,901,535.87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106,628,027.28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180.32%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7,876,007.86</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568,713,207.23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138,405,422.75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105,320,672.66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5.58%</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2,136,752,237.51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1,437,004,902.33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1,188,898,178.69</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1,152,220,665.85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805,445,045.25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698,812,892.32</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229,162,169.00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401,675,138.39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299,453,364.96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232,975,564.12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67,164,961.36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136,893,702.57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73,638,868.95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60,951,223.09</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66,891,155.71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126,610,133.97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72,835,002.73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32,565,243.46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0"/>
      </w:tblGrid>
      <w:tr>
        <w:trPr>
          <w:trHeight w:val="36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5" w:right="0"/>
              <w:jc w:val="left"/>
              <w:rPr>
                <w:rFonts w:ascii="Times New Roman" w:hAnsi="Times New Roman" w:cs="Times New Roman" w:eastAsia="Times New Roman" w:hint="default"/>
                <w:sz w:val="18"/>
                <w:szCs w:val="18"/>
              </w:rPr>
            </w:pPr>
            <w:r>
              <w:rPr>
                <w:rFonts w:ascii="Times New Roman"/>
                <w:sz w:val="18"/>
              </w:rPr>
              <w:t>26,817,627.93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0" w:right="0"/>
              <w:jc w:val="left"/>
              <w:rPr>
                <w:rFonts w:ascii="Times New Roman" w:hAnsi="Times New Roman" w:cs="Times New Roman" w:eastAsia="Times New Roman" w:hint="default"/>
                <w:sz w:val="18"/>
                <w:szCs w:val="18"/>
              </w:rPr>
            </w:pPr>
            <w:r>
              <w:rPr>
                <w:rFonts w:ascii="Times New Roman"/>
                <w:sz w:val="18"/>
              </w:rPr>
              <w:t>209,901,637.35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-48,848,045.91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380,841,987.86</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-108,760.76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14,955.95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-38,909.20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46,202,961.28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3,205,332.44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30,488,343.78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479,483.45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6,826,463.87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318,771.12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392,332.62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39,747,220.10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2,902,667.27</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30,056,501.96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1"/>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70"/>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4"/>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（一）主要业务及经营模式</w:t>
      </w:r>
    </w:p>
    <w:p>
      <w:pPr>
        <w:pStyle w:val="BodyText"/>
        <w:spacing w:line="309" w:lineRule="auto" w:before="76"/>
        <w:ind w:right="190" w:firstLine="360"/>
        <w:jc w:val="both"/>
      </w:pPr>
      <w:r>
        <w:rPr>
          <w:rFonts w:ascii="Times New Roman" w:hAnsi="Times New Roman" w:cs="Times New Roman" w:eastAsia="Times New Roman" w:hint="default"/>
          <w:spacing w:val="-2"/>
        </w:rPr>
        <w:t>2015</w:t>
      </w:r>
      <w:r>
        <w:rPr>
          <w:spacing w:val="-2"/>
        </w:rPr>
        <w:t>年，随着公司战略方向的调整，公司主营业务调整为六大板块，公司逐步转变为集绿色节能电网整体解决方案设计</w:t>
      </w:r>
      <w:r>
        <w:rPr/>
        <w:t> </w:t>
      </w:r>
      <w:r>
        <w:rPr>
          <w:spacing w:val="-2"/>
        </w:rPr>
        <w:t>与建设，电力基础设施建设及能源投资开发运营，特种有色金属矿产运营及产业链整合，工业园区投资开发与运营，特许经</w:t>
      </w:r>
      <w:r>
        <w:rPr>
          <w:spacing w:val="-65"/>
        </w:rPr>
        <w:t> </w:t>
      </w:r>
      <w:r>
        <w:rPr>
          <w:spacing w:val="-65"/>
        </w:rPr>
      </w:r>
      <w:r>
        <w:rPr/>
        <w:t>营权投资开发与运营以及金融投资控股的多层次综合性跨国民营企业集团。</w:t>
      </w:r>
    </w:p>
    <w:p>
      <w:pPr>
        <w:pStyle w:val="BodyText"/>
        <w:spacing w:line="240" w:lineRule="auto" w:before="24"/>
        <w:ind w:left="513" w:right="94"/>
        <w:jc w:val="left"/>
      </w:pPr>
      <w:r>
        <w:rPr>
          <w:rFonts w:ascii="Times New Roman" w:hAnsi="Times New Roman" w:cs="Times New Roman" w:eastAsia="Times New Roman" w:hint="default"/>
        </w:rPr>
        <w:t>1</w:t>
      </w:r>
      <w:r>
        <w:rPr/>
        <w:t>、绿色节能电网整体解决方案设计与建设</w:t>
      </w:r>
    </w:p>
    <w:p>
      <w:pPr>
        <w:pStyle w:val="BodyText"/>
        <w:spacing w:line="307" w:lineRule="auto" w:before="63"/>
        <w:ind w:right="191" w:firstLine="360"/>
        <w:jc w:val="both"/>
      </w:pPr>
      <w:r>
        <w:rPr>
          <w:spacing w:val="3"/>
        </w:rPr>
        <w:t>公司进行</w:t>
      </w:r>
      <w:r>
        <w:rPr>
          <w:rFonts w:ascii="Times New Roman" w:hAnsi="Times New Roman" w:cs="Times New Roman" w:eastAsia="Times New Roman" w:hint="default"/>
          <w:spacing w:val="3"/>
        </w:rPr>
        <w:t>10kV-500kV</w:t>
      </w:r>
      <w:r>
        <w:rPr>
          <w:spacing w:val="3"/>
        </w:rPr>
        <w:t>电网的设计、建设和改造，以及</w:t>
      </w:r>
      <w:r>
        <w:rPr>
          <w:rFonts w:ascii="Times New Roman" w:hAnsi="Times New Roman" w:cs="Times New Roman" w:eastAsia="Times New Roman" w:hint="default"/>
          <w:spacing w:val="3"/>
        </w:rPr>
        <w:t>7.5MW~600MW</w:t>
      </w:r>
      <w:r>
        <w:rPr>
          <w:spacing w:val="3"/>
        </w:rPr>
        <w:t>单机发电机组的成套和安装调试，研发生产的</w:t>
      </w:r>
      <w:r>
        <w:rPr/>
        <w:t> </w:t>
      </w:r>
      <w:r>
        <w:rPr>
          <w:rFonts w:ascii="Times New Roman" w:hAnsi="Times New Roman" w:cs="Times New Roman" w:eastAsia="Times New Roman" w:hint="default"/>
        </w:rPr>
        <w:t>10kV-500kV</w:t>
      </w:r>
      <w:r>
        <w:rPr/>
        <w:t>的变压器、开关、静止无功发生器（</w:t>
      </w:r>
      <w:r>
        <w:rPr>
          <w:rFonts w:ascii="Times New Roman" w:hAnsi="Times New Roman" w:cs="Times New Roman" w:eastAsia="Times New Roman" w:hint="default"/>
        </w:rPr>
        <w:t>SVG</w:t>
      </w:r>
      <w:r>
        <w:rPr/>
        <w:t>）、有源滤波器（</w:t>
      </w:r>
      <w:r>
        <w:rPr>
          <w:rFonts w:ascii="Times New Roman" w:hAnsi="Times New Roman" w:cs="Times New Roman" w:eastAsia="Times New Roman" w:hint="default"/>
        </w:rPr>
        <w:t>APF</w:t>
      </w:r>
      <w:r>
        <w:rPr/>
        <w:t>）、电能质量综合优化装置（</w:t>
      </w:r>
      <w:r>
        <w:rPr>
          <w:rFonts w:ascii="Times New Roman" w:hAnsi="Times New Roman" w:cs="Times New Roman" w:eastAsia="Times New Roman" w:hint="default"/>
        </w:rPr>
        <w:t>MEC</w:t>
      </w:r>
      <w:r>
        <w:rPr/>
        <w:t>）、并联电</w:t>
      </w:r>
      <w:r>
        <w:rPr>
          <w:spacing w:val="-53"/>
        </w:rPr>
        <w:t> </w:t>
      </w:r>
      <w:r>
        <w:rPr>
          <w:spacing w:val="-53"/>
        </w:rPr>
      </w:r>
      <w:r>
        <w:rPr>
          <w:spacing w:val="-2"/>
        </w:rPr>
        <w:t>容器装置和动态无功补偿装置等产品，可快速动态补偿系统无功，滤除各次谐波，有效控制电网电压波动和闪变，抑制三相</w:t>
      </w:r>
      <w:r>
        <w:rPr>
          <w:spacing w:val="-64"/>
        </w:rPr>
        <w:t> </w:t>
      </w:r>
      <w:r>
        <w:rPr>
          <w:spacing w:val="-64"/>
        </w:rPr>
      </w:r>
      <w:r>
        <w:rPr/>
        <w:t>电压和电流不平衡，阻尼电网振荡，确保电网安全和节能。</w:t>
      </w:r>
    </w:p>
    <w:p>
      <w:pPr>
        <w:pStyle w:val="BodyText"/>
        <w:spacing w:line="300" w:lineRule="auto" w:before="26"/>
        <w:ind w:left="513" w:right="94"/>
        <w:jc w:val="left"/>
      </w:pPr>
      <w:r>
        <w:rPr>
          <w:rFonts w:ascii="Times New Roman" w:hAnsi="Times New Roman" w:cs="Times New Roman" w:eastAsia="Times New Roman" w:hint="default"/>
        </w:rPr>
        <w:t>2</w:t>
      </w:r>
      <w:r>
        <w:rPr/>
        <w:t>、电力基础设施建设及能源投资开发运营 </w:t>
      </w:r>
      <w:r>
        <w:rPr>
          <w:spacing w:val="-2"/>
        </w:rPr>
        <w:t>公司在海外投资的国家如印尼、南非、津巴布韦等，大多电力匮乏及电力基础设施薄弱。公司在上述国家投资建设电厂</w:t>
      </w:r>
    </w:p>
    <w:p>
      <w:pPr>
        <w:pStyle w:val="BodyText"/>
        <w:spacing w:line="316" w:lineRule="auto" w:before="31"/>
        <w:ind w:right="94"/>
        <w:jc w:val="left"/>
      </w:pPr>
      <w:r>
        <w:rPr>
          <w:spacing w:val="-2"/>
        </w:rPr>
        <w:t>及电网输配设施，以满足当地电力能源需求。同时，利用当地丰富的矿产资源，进行资源整合，在当地开展工业园建设，并</w:t>
      </w:r>
      <w:r>
        <w:rPr>
          <w:spacing w:val="-69"/>
        </w:rPr>
        <w:t> </w:t>
      </w:r>
      <w:r>
        <w:rPr>
          <w:spacing w:val="-69"/>
        </w:rPr>
      </w:r>
      <w:r>
        <w:rPr/>
        <w:t>投资余热电厂进行合同能源管理，以解决能源的高效利用。依据海外投资国矿产资源的差异，因地制宜的投资煤矿、石油、 太阳能等能源行业。</w:t>
      </w:r>
    </w:p>
    <w:p>
      <w:pPr>
        <w:pStyle w:val="BodyText"/>
        <w:spacing w:line="300" w:lineRule="auto" w:before="19"/>
        <w:ind w:left="513" w:right="94"/>
        <w:jc w:val="left"/>
      </w:pPr>
      <w:r>
        <w:rPr>
          <w:rFonts w:ascii="Times New Roman" w:hAnsi="Times New Roman" w:cs="Times New Roman" w:eastAsia="Times New Roman" w:hint="default"/>
        </w:rPr>
        <w:t>3</w:t>
      </w:r>
      <w:r>
        <w:rPr/>
        <w:t>、特种有色金属矿产运营及产业链整合 </w:t>
      </w:r>
      <w:r>
        <w:rPr>
          <w:spacing w:val="-2"/>
        </w:rPr>
        <w:t>公司在海外收购了优质低价的煤矿、镍矿及锰矿资源，作为工业园矿产资源储备。目前，公司在印尼加里曼丹省持有的</w:t>
      </w:r>
    </w:p>
    <w:p>
      <w:pPr>
        <w:pStyle w:val="BodyText"/>
        <w:spacing w:line="300" w:lineRule="auto" w:before="31"/>
        <w:ind w:right="190"/>
        <w:jc w:val="both"/>
      </w:pPr>
      <w:r>
        <w:rPr>
          <w:spacing w:val="-3"/>
        </w:rPr>
        <w:t>中加煤矿约</w:t>
      </w:r>
      <w:r>
        <w:rPr>
          <w:rFonts w:ascii="Times New Roman" w:hAnsi="Times New Roman" w:cs="Times New Roman" w:eastAsia="Times New Roman" w:hint="default"/>
          <w:spacing w:val="-3"/>
        </w:rPr>
        <w:t>2212</w:t>
      </w:r>
      <w:r>
        <w:rPr>
          <w:spacing w:val="-3"/>
        </w:rPr>
        <w:t>公顷，在印尼苏拉威西省持有</w:t>
      </w:r>
      <w:r>
        <w:rPr>
          <w:rFonts w:ascii="Times New Roman" w:hAnsi="Times New Roman" w:cs="Times New Roman" w:eastAsia="Times New Roman" w:hint="default"/>
          <w:spacing w:val="-3"/>
        </w:rPr>
        <w:t>Madani</w:t>
      </w:r>
      <w:r>
        <w:rPr>
          <w:spacing w:val="-3"/>
        </w:rPr>
        <w:t>镍矿约</w:t>
      </w:r>
      <w:r>
        <w:rPr>
          <w:rFonts w:ascii="Times New Roman" w:hAnsi="Times New Roman" w:cs="Times New Roman" w:eastAsia="Times New Roman" w:hint="default"/>
          <w:spacing w:val="-3"/>
        </w:rPr>
        <w:t>2014</w:t>
      </w:r>
      <w:r>
        <w:rPr>
          <w:spacing w:val="-3"/>
        </w:rPr>
        <w:t>公顷，持有的</w:t>
      </w:r>
      <w:r>
        <w:rPr>
          <w:rFonts w:ascii="Times New Roman" w:hAnsi="Times New Roman" w:cs="Times New Roman" w:eastAsia="Times New Roman" w:hint="default"/>
          <w:spacing w:val="-3"/>
        </w:rPr>
        <w:t>BMU</w:t>
      </w:r>
      <w:r>
        <w:rPr>
          <w:spacing w:val="-3"/>
        </w:rPr>
        <w:t>镍矿约</w:t>
      </w:r>
      <w:r>
        <w:rPr>
          <w:rFonts w:ascii="Times New Roman" w:hAnsi="Times New Roman" w:cs="Times New Roman" w:eastAsia="Times New Roman" w:hint="default"/>
          <w:spacing w:val="-3"/>
        </w:rPr>
        <w:t>1963</w:t>
      </w:r>
      <w:r>
        <w:rPr>
          <w:spacing w:val="-3"/>
        </w:rPr>
        <w:t>公顷（公司合计持有</w:t>
      </w:r>
      <w:r>
        <w:rPr>
          <w:rFonts w:ascii="Times New Roman" w:hAnsi="Times New Roman" w:cs="Times New Roman" w:eastAsia="Times New Roman" w:hint="default"/>
          <w:spacing w:val="-3"/>
        </w:rPr>
        <w:t>BMU80%</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的股权），在印尼帝汶岛正在收购的锰矿约</w:t>
      </w:r>
      <w:r>
        <w:rPr>
          <w:rFonts w:ascii="Times New Roman" w:hAnsi="Times New Roman" w:cs="Times New Roman" w:eastAsia="Times New Roman" w:hint="default"/>
        </w:rPr>
        <w:t>476</w:t>
      </w:r>
      <w:r>
        <w:rPr/>
        <w:t>公顷。矿产资源具有不可再生性的特点，公司将根据工业园的建设进程，对</w:t>
      </w:r>
      <w:r>
        <w:rPr>
          <w:spacing w:val="-84"/>
        </w:rPr>
        <w:t> </w:t>
      </w:r>
      <w:r>
        <w:rPr>
          <w:spacing w:val="-84"/>
        </w:rPr>
      </w:r>
      <w:r>
        <w:rPr/>
        <w:t>矿产进行自采或对外承包，以实现矿权交易以及下游企业整合。</w:t>
      </w:r>
    </w:p>
    <w:p>
      <w:pPr>
        <w:pStyle w:val="BodyText"/>
        <w:spacing w:line="300" w:lineRule="auto" w:before="31"/>
        <w:ind w:left="513" w:right="93"/>
        <w:jc w:val="left"/>
      </w:pPr>
      <w:r>
        <w:rPr>
          <w:rFonts w:ascii="Times New Roman" w:hAnsi="Times New Roman" w:cs="Times New Roman" w:eastAsia="Times New Roman" w:hint="default"/>
        </w:rPr>
        <w:t>4</w:t>
      </w:r>
      <w:r>
        <w:rPr/>
        <w:t>、工业园区投资开发与运营 公司以电力建设为核心，以并购海外当地矿产资源为切入点，在海外投资建立工业园区，从事工业园区基础设施建设，</w:t>
      </w:r>
    </w:p>
    <w:p>
      <w:pPr>
        <w:pStyle w:val="BodyText"/>
        <w:spacing w:line="319" w:lineRule="auto" w:before="31"/>
        <w:ind w:right="94"/>
        <w:jc w:val="left"/>
      </w:pPr>
      <w:r>
        <w:rPr>
          <w:spacing w:val="-4"/>
        </w:rPr>
        <w:t>打造五通一平的工业园平台。同时招商企业入园，并提供工商、税务、物流、生活等后勤保障。在工业园招商入园的建设期，</w:t>
      </w:r>
      <w:r>
        <w:rPr>
          <w:spacing w:val="-44"/>
        </w:rPr>
        <w:t> </w:t>
      </w:r>
      <w:r>
        <w:rPr>
          <w:spacing w:val="-44"/>
        </w:rPr>
      </w:r>
      <w:r>
        <w:rPr>
          <w:spacing w:val="-2"/>
        </w:rPr>
        <w:t>公司可向入园企业以市场公允价格提供冶炼所需成套设备，一方面能拉动国内设备出口，转移国内过剩的产能，另一方面能</w:t>
      </w:r>
      <w:r>
        <w:rPr>
          <w:spacing w:val="-63"/>
        </w:rPr>
        <w:t> </w:t>
      </w:r>
      <w:r>
        <w:rPr>
          <w:spacing w:val="-63"/>
        </w:rPr>
      </w:r>
      <w:r>
        <w:rPr>
          <w:spacing w:val="-2"/>
        </w:rPr>
        <w:t>够提高公司主营业务收入。在工业园区的运营期，公司可向入园企业提供冶炼所需的矿产原料，降低入园企业运输及采购的</w:t>
      </w:r>
      <w:r>
        <w:rPr>
          <w:spacing w:val="-62"/>
        </w:rPr>
        <w:t> </w:t>
      </w:r>
      <w:r>
        <w:rPr>
          <w:spacing w:val="-62"/>
        </w:rPr>
      </w:r>
      <w:r>
        <w:rPr>
          <w:spacing w:val="-2"/>
        </w:rPr>
        <w:t>成本，同时向入园企业提供水、电、物业等高毛利服务。经过资源整合，形成工业园上下游互惠共赢的工业生态。目前在建</w:t>
      </w:r>
      <w:r>
        <w:rPr>
          <w:spacing w:val="-70"/>
        </w:rPr>
        <w:t> </w:t>
      </w:r>
      <w:r>
        <w:rPr>
          <w:spacing w:val="-70"/>
        </w:rPr>
      </w:r>
      <w:r>
        <w:rPr/>
        <w:t>的印尼苏拉威西镍铁冶炼工业园项目，入园企业高炉一期工程已于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日已经点火试车，</w:t>
      </w:r>
      <w:r>
        <w:rPr>
          <w:rFonts w:ascii="Times New Roman" w:hAnsi="Times New Roman" w:cs="Times New Roman" w:eastAsia="Times New Roman" w:hint="default"/>
        </w:rPr>
        <w:t>2016</w:t>
      </w:r>
      <w:r>
        <w:rPr/>
        <w:t>年将正式投产。</w:t>
      </w:r>
    </w:p>
    <w:p>
      <w:pPr>
        <w:pStyle w:val="BodyText"/>
        <w:spacing w:line="300" w:lineRule="auto"/>
        <w:ind w:right="192" w:firstLine="360"/>
        <w:jc w:val="both"/>
      </w:pPr>
      <w:r>
        <w:rPr/>
        <w:t>公司投资设立了北京科程物联网技术有限公司，将</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等信息技术应用平台，引入工业园，构建海外智慧园区， 推进智能电力、智能矿业解决方案的实施。</w:t>
      </w:r>
    </w:p>
    <w:p>
      <w:pPr>
        <w:pStyle w:val="BodyText"/>
        <w:spacing w:line="300" w:lineRule="auto" w:before="31"/>
        <w:ind w:left="513" w:right="94"/>
        <w:jc w:val="left"/>
      </w:pPr>
      <w:r>
        <w:rPr>
          <w:rFonts w:ascii="Times New Roman" w:hAnsi="Times New Roman" w:cs="Times New Roman" w:eastAsia="Times New Roman" w:hint="default"/>
        </w:rPr>
        <w:t>5</w:t>
      </w:r>
      <w:r>
        <w:rPr/>
        <w:t>、特许经营权投资开发与运营 </w:t>
      </w:r>
      <w:r>
        <w:rPr>
          <w:spacing w:val="-2"/>
        </w:rPr>
        <w:t>公司将在海外工业园区建设基础上，适时打造工业城，并对园区和当地城市的自来水、天然气、公路、港口、码头、渔</w:t>
      </w:r>
    </w:p>
    <w:p>
      <w:pPr>
        <w:pStyle w:val="BodyText"/>
        <w:spacing w:line="240" w:lineRule="auto" w:before="31"/>
        <w:ind w:right="94"/>
        <w:jc w:val="left"/>
      </w:pPr>
      <w:r>
        <w:rPr/>
        <w:t>业等进行开发与运营。</w:t>
      </w:r>
    </w:p>
    <w:p>
      <w:pPr>
        <w:pStyle w:val="BodyText"/>
        <w:spacing w:line="300" w:lineRule="auto" w:before="76"/>
        <w:ind w:left="513" w:right="94"/>
        <w:jc w:val="left"/>
      </w:pPr>
      <w:r>
        <w:rPr>
          <w:rFonts w:ascii="Times New Roman" w:hAnsi="Times New Roman" w:cs="Times New Roman" w:eastAsia="Times New Roman" w:hint="default"/>
        </w:rPr>
        <w:t>6</w:t>
      </w:r>
      <w:r>
        <w:rPr/>
        <w:t>、金融投资控股 </w:t>
      </w:r>
      <w:r>
        <w:rPr>
          <w:spacing w:val="-2"/>
        </w:rPr>
        <w:t>公司将适时成立产业投资基金及私募股权创业投资基金等，专注于环保产业，清洁生产，医疗健康，特种矿产高效利用</w:t>
      </w:r>
    </w:p>
    <w:p>
      <w:pPr>
        <w:pStyle w:val="BodyText"/>
        <w:spacing w:line="240" w:lineRule="auto" w:before="31"/>
        <w:ind w:right="94"/>
        <w:jc w:val="left"/>
      </w:pPr>
      <w:r>
        <w:rPr/>
        <w:t>与新材料的开发领域的投资。</w:t>
      </w:r>
    </w:p>
    <w:p>
      <w:pPr>
        <w:pStyle w:val="BodyText"/>
        <w:spacing w:line="316" w:lineRule="auto" w:before="76"/>
        <w:ind w:left="513" w:right="94"/>
        <w:jc w:val="left"/>
      </w:pPr>
      <w:r>
        <w:rPr/>
        <w:t>（二）行业状况 </w:t>
      </w:r>
      <w:r>
        <w:rPr>
          <w:spacing w:val="-2"/>
        </w:rPr>
        <w:t>公司自</w:t>
      </w:r>
      <w:r>
        <w:rPr>
          <w:rFonts w:ascii="Times New Roman" w:hAnsi="Times New Roman" w:cs="Times New Roman" w:eastAsia="Times New Roman" w:hint="default"/>
          <w:spacing w:val="-2"/>
        </w:rPr>
        <w:t>2012</w:t>
      </w:r>
      <w:r>
        <w:rPr>
          <w:spacing w:val="-2"/>
        </w:rPr>
        <w:t>年开始在印尼探索海外发展之路，形成了通过海外工业园模式带动成套设备输出、进行能源投资开发和矿产</w:t>
      </w:r>
    </w:p>
    <w:p>
      <w:pPr>
        <w:pStyle w:val="BodyText"/>
        <w:spacing w:line="300" w:lineRule="auto"/>
        <w:ind w:left="513" w:right="94" w:hanging="361"/>
        <w:jc w:val="left"/>
      </w:pPr>
      <w:r>
        <w:rPr/>
        <w:t>投资开发的新业态，成为落实国家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战略的较好的实践路径。 </w:t>
      </w:r>
      <w:r>
        <w:rPr>
          <w:spacing w:val="-2"/>
        </w:rPr>
        <w:t>从海外工业园行业来看，早期的中国企业在海外主要是投资建设一些规模较小的产品类工业园，既</w:t>
      </w:r>
      <w:r>
        <w:rPr>
          <w:rFonts w:ascii="Times New Roman" w:hAnsi="Times New Roman" w:cs="Times New Roman" w:eastAsia="Times New Roman" w:hint="default"/>
          <w:spacing w:val="-2"/>
        </w:rPr>
        <w:t>“</w:t>
      </w:r>
      <w:r>
        <w:rPr>
          <w:spacing w:val="-2"/>
        </w:rPr>
        <w:t>投资建厂</w:t>
      </w:r>
      <w:r>
        <w:rPr>
          <w:rFonts w:ascii="Times New Roman" w:hAnsi="Times New Roman" w:cs="Times New Roman" w:eastAsia="Times New Roman" w:hint="default"/>
          <w:spacing w:val="-2"/>
        </w:rPr>
        <w:t>”</w:t>
      </w:r>
      <w:r>
        <w:rPr>
          <w:spacing w:val="-2"/>
        </w:rPr>
        <w:t>，主要解</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4"/>
        </w:rPr>
        <w:t>决国内产品的海外市场拓展。我公司提出的海外工业园则是将公司电力优势和投资所在国的资源优势（如煤矿、有色金属矿）</w:t>
      </w:r>
      <w:r>
        <w:rPr>
          <w:spacing w:val="-44"/>
        </w:rPr>
        <w:t> </w:t>
      </w:r>
      <w:r>
        <w:rPr>
          <w:spacing w:val="-44"/>
        </w:rPr>
      </w:r>
      <w:r>
        <w:rPr>
          <w:spacing w:val="-2"/>
        </w:rPr>
        <w:t>结合起来，把当地煤炭资源转换为急缺的电力能源，把当地矿产原料冶炼成初级加工产品提升附加值，整个工业园建设融入</w:t>
      </w:r>
      <w:r>
        <w:rPr>
          <w:spacing w:val="-63"/>
        </w:rPr>
        <w:t> </w:t>
      </w:r>
      <w:r>
        <w:rPr>
          <w:spacing w:val="-63"/>
        </w:rPr>
      </w:r>
      <w:r>
        <w:rPr>
          <w:spacing w:val="-4"/>
        </w:rPr>
        <w:t>了当地经济发展，规模大，能创造出较高的经济效益和社会效益，如解决当地就业，是我国海外工业园投资建设行业的升级。</w:t>
      </w:r>
    </w:p>
    <w:p>
      <w:pPr>
        <w:pStyle w:val="BodyText"/>
        <w:spacing w:line="300" w:lineRule="auto" w:before="19"/>
        <w:ind w:right="192" w:firstLine="360"/>
        <w:jc w:val="both"/>
      </w:pPr>
      <w:r>
        <w:rPr>
          <w:spacing w:val="-2"/>
        </w:rPr>
        <w:t>随着我国</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战略的推进，公司新型的海外工业园模式越来越受到国内企业的重视，也陆续出现一些有一定规模</w:t>
      </w:r>
      <w:r>
        <w:rPr/>
        <w:t> 的工业园区建设，以</w:t>
      </w:r>
      <w:r>
        <w:rPr>
          <w:rFonts w:ascii="Times New Roman" w:hAnsi="Times New Roman" w:cs="Times New Roman" w:eastAsia="Times New Roman" w:hint="default"/>
        </w:rPr>
        <w:t>“</w:t>
      </w:r>
      <w:r>
        <w:rPr/>
        <w:t>投资</w:t>
      </w:r>
      <w:r>
        <w:rPr>
          <w:rFonts w:ascii="Times New Roman" w:hAnsi="Times New Roman" w:cs="Times New Roman" w:eastAsia="Times New Roman" w:hint="default"/>
        </w:rPr>
        <w:t>+</w:t>
      </w:r>
      <w:r>
        <w:rPr/>
        <w:t>提升当地资源附加值</w:t>
      </w:r>
      <w:r>
        <w:rPr>
          <w:rFonts w:ascii="Times New Roman" w:hAnsi="Times New Roman" w:cs="Times New Roman" w:eastAsia="Times New Roman" w:hint="default"/>
        </w:rPr>
        <w:t>”</w:t>
      </w:r>
      <w:r>
        <w:rPr/>
        <w:t>为目标的工业园模式从探索逐步走向稳步发展阶段。目前中国企业在东南</w:t>
      </w:r>
      <w:r>
        <w:rPr>
          <w:spacing w:val="-77"/>
        </w:rPr>
        <w:t> </w:t>
      </w:r>
      <w:r>
        <w:rPr>
          <w:spacing w:val="-77"/>
        </w:rPr>
      </w:r>
      <w:r>
        <w:rPr/>
        <w:t>亚、中亚、非洲的海外工业园数量和规模正进一步扩大，模式也在不断创新，有力地推动</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战略落地。</w:t>
      </w:r>
    </w:p>
    <w:p>
      <w:pPr>
        <w:pStyle w:val="BodyText"/>
        <w:spacing w:line="312" w:lineRule="auto" w:before="13"/>
        <w:ind w:right="94" w:firstLine="360"/>
        <w:jc w:val="left"/>
      </w:pPr>
      <w:r>
        <w:rPr>
          <w:spacing w:val="-2"/>
        </w:rPr>
        <w:t>从资源储备上来看，公司在建的主要为印尼苏拉威西镍铁工业园。我国是红土镍矿资源比较缺乏的国家之一，目前全国</w:t>
      </w:r>
      <w:r>
        <w:rPr/>
        <w:t> 红土镍矿保有量仅占全部镍矿资源的</w:t>
      </w:r>
      <w:r>
        <w:rPr>
          <w:rFonts w:ascii="Times New Roman" w:hAnsi="Times New Roman" w:cs="Times New Roman" w:eastAsia="Times New Roman" w:hint="default"/>
        </w:rPr>
        <w:t>9.6%</w:t>
      </w:r>
      <w:r>
        <w:rPr/>
        <w:t>，不仅储量比较少，而且国内红土镍矿品位比较低，开采成本比较高，这就意味</w:t>
      </w:r>
      <w:r>
        <w:rPr>
          <w:spacing w:val="-19"/>
        </w:rPr>
        <w:t> </w:t>
      </w:r>
      <w:r>
        <w:rPr>
          <w:spacing w:val="-19"/>
        </w:rPr>
      </w:r>
      <w:r>
        <w:rPr>
          <w:spacing w:val="-2"/>
        </w:rPr>
        <w:t>着我国在红土镍矿方面并没有竞争力。而我国又是不锈钢产品主产国，红土镍矿是镍铁的主要原料，且镍铁又是不锈钢的主</w:t>
      </w:r>
      <w:r>
        <w:rPr>
          <w:spacing w:val="-63"/>
        </w:rPr>
        <w:t> </w:t>
      </w:r>
      <w:r>
        <w:rPr>
          <w:spacing w:val="-63"/>
        </w:rPr>
      </w:r>
      <w:r>
        <w:rPr>
          <w:spacing w:val="-2"/>
        </w:rPr>
        <w:t>要原料，因此我国每年都需大量进口红土镍矿来发展不锈钢工业。主要进口国家为印尼、澳大利亚和菲律宾等地。由于印尼</w:t>
      </w:r>
      <w:r>
        <w:rPr>
          <w:spacing w:val="-63"/>
        </w:rPr>
        <w:t> </w:t>
      </w:r>
      <w:r>
        <w:rPr>
          <w:spacing w:val="-63"/>
        </w:rPr>
      </w:r>
      <w:r>
        <w:rPr>
          <w:spacing w:val="-2"/>
        </w:rPr>
        <w:t>从</w:t>
      </w:r>
      <w:r>
        <w:rPr>
          <w:rFonts w:ascii="Times New Roman" w:hAnsi="Times New Roman" w:cs="Times New Roman" w:eastAsia="Times New Roman" w:hint="default"/>
          <w:spacing w:val="-2"/>
        </w:rPr>
        <w:t>2014</w:t>
      </w:r>
      <w:r>
        <w:rPr>
          <w:spacing w:val="-2"/>
        </w:rPr>
        <w:t>年禁止镍矿原矿出口，目前国内镍生产企业需另寻渠道，大幅增加了其生产成本。多数企业由于缺少生产原料及从他</w:t>
      </w:r>
      <w:r>
        <w:rPr>
          <w:spacing w:val="-62"/>
        </w:rPr>
        <w:t> </w:t>
      </w:r>
      <w:r>
        <w:rPr>
          <w:spacing w:val="-62"/>
        </w:rPr>
      </w:r>
      <w:r>
        <w:rPr>
          <w:spacing w:val="-2"/>
        </w:rPr>
        <w:t>国运输成本的增加，已处于亏损或停产的状态。因此，公司在印尼建立镍铁冶炼工业园，既可以拉动公司国内设备出口，把</w:t>
      </w:r>
      <w:r>
        <w:rPr>
          <w:spacing w:val="-67"/>
        </w:rPr>
        <w:t> </w:t>
      </w:r>
      <w:r>
        <w:rPr>
          <w:spacing w:val="-67"/>
        </w:rPr>
      </w:r>
      <w:r>
        <w:rPr>
          <w:spacing w:val="-4"/>
        </w:rPr>
        <w:t>中国电力、制造、建设、冶炼的优势及中国资本的优势带到印尼；又能够将冶炼的镍铁出口到国内，缓解国内对镍铁的需求，</w:t>
      </w:r>
      <w:r>
        <w:rPr>
          <w:spacing w:val="-43"/>
        </w:rPr>
        <w:t> </w:t>
      </w:r>
      <w:r>
        <w:rPr>
          <w:spacing w:val="-43"/>
        </w:rPr>
      </w:r>
      <w:r>
        <w:rPr/>
        <w:t>同时大幅降低运输成本。</w:t>
      </w:r>
    </w:p>
    <w:p>
      <w:pPr>
        <w:pStyle w:val="BodyText"/>
        <w:spacing w:line="300" w:lineRule="auto" w:before="22"/>
        <w:ind w:right="191"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日，印尼总统佐科访华期间，与李克强总理共同出席在人民大会堂举行的</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印尼经济合作论坛</w:t>
      </w:r>
      <w:r>
        <w:rPr>
          <w:rFonts w:ascii="Times New Roman" w:hAnsi="Times New Roman" w:cs="Times New Roman" w:eastAsia="Times New Roman" w:hint="default"/>
        </w:rPr>
        <w:t>”</w:t>
      </w:r>
      <w:r>
        <w:rPr/>
        <w:t>， 公司苏拉威西工业园项目是此次论坛中签约项目之一，印尼苏拉威西省、青岛市政府、印尼</w:t>
      </w:r>
      <w:r>
        <w:rPr>
          <w:rFonts w:ascii="Times New Roman" w:hAnsi="Times New Roman" w:cs="Times New Roman" w:eastAsia="Times New Roman" w:hint="default"/>
        </w:rPr>
        <w:t>PT. Batue Tjepper</w:t>
      </w:r>
      <w:r>
        <w:rPr>
          <w:rFonts w:ascii="Times New Roman" w:hAnsi="Times New Roman" w:cs="Times New Roman" w:eastAsia="Times New Roman" w:hint="default"/>
          <w:spacing w:val="25"/>
        </w:rPr>
        <w:t> </w:t>
      </w:r>
      <w:r>
        <w:rPr>
          <w:rFonts w:ascii="Times New Roman" w:hAnsi="Times New Roman" w:cs="Times New Roman" w:eastAsia="Times New Roman" w:hint="default"/>
        </w:rPr>
        <w:t>Resouces</w:t>
      </w:r>
      <w:r>
        <w:rPr/>
        <w:t>公司 和我公司签订了支持公司在印尼发展的四方协议，公司苏拉威西工业园也成为印尼</w:t>
      </w:r>
      <w:r>
        <w:rPr>
          <w:rFonts w:ascii="Times New Roman" w:hAnsi="Times New Roman" w:cs="Times New Roman" w:eastAsia="Times New Roman" w:hint="default"/>
        </w:rPr>
        <w:t>“</w:t>
      </w:r>
      <w:r>
        <w:rPr/>
        <w:t>国家级工业园</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3"/>
        <w:spacing w:line="240" w:lineRule="auto"/>
        <w:ind w:right="9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10" w:space="0" w:color="D2D2D2"/>
              <w:right w:val="single" w:sz="4" w:space="0" w:color="000000"/>
            </w:tcBorders>
          </w:tcPr>
          <w:p>
            <w:pPr>
              <w:pStyle w:val="TableParagraph"/>
              <w:spacing w:line="297" w:lineRule="auto" w:before="51"/>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年期末金额较</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年期末金额增加</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57.34%</w:t>
            </w:r>
            <w:r>
              <w:rPr>
                <w:rFonts w:ascii="宋体" w:hAnsi="宋体" w:cs="宋体" w:eastAsia="宋体" w:hint="default"/>
                <w:sz w:val="18"/>
                <w:szCs w:val="18"/>
              </w:rPr>
              <w:t>，主要原因是海外工业园投资额增 加所致。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10" w:space="0" w:color="D2D2D2"/>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10" w:space="0" w:color="D2D2D2"/>
              <w:bottom w:val="single" w:sz="4" w:space="0" w:color="000000"/>
              <w:right w:val="single" w:sz="4" w:space="0" w:color="000000"/>
            </w:tcBorders>
          </w:tcPr>
          <w:p>
            <w:pP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年期末金额较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年期末金额增加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269.84%</w:t>
            </w:r>
            <w:r>
              <w:rPr>
                <w:rFonts w:ascii="宋体" w:hAnsi="宋体" w:cs="宋体" w:eastAsia="宋体" w:hint="default"/>
                <w:sz w:val="18"/>
                <w:szCs w:val="18"/>
              </w:rPr>
              <w:t>，主要原因是销售商品收到的货 款增加所致。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年期末金额较</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年期末金额增加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89.15%</w:t>
            </w:r>
            <w:r>
              <w:rPr>
                <w:rFonts w:ascii="宋体" w:hAnsi="宋体" w:cs="宋体" w:eastAsia="宋体" w:hint="default"/>
                <w:sz w:val="18"/>
                <w:szCs w:val="18"/>
              </w:rPr>
              <w:t>，主要原因是销售收入增加所致。</w:t>
            </w:r>
          </w:p>
        </w:tc>
      </w:tr>
    </w:tbl>
    <w:p>
      <w:pPr>
        <w:spacing w:line="240" w:lineRule="auto" w:before="3"/>
        <w:rPr>
          <w:rFonts w:ascii="宋体" w:hAnsi="宋体" w:cs="宋体" w:eastAsia="宋体" w:hint="default"/>
          <w:b/>
          <w:bCs/>
          <w:sz w:val="19"/>
          <w:szCs w:val="19"/>
        </w:rPr>
      </w:pPr>
    </w:p>
    <w:p>
      <w:pPr>
        <w:pStyle w:val="Heading5"/>
        <w:spacing w:line="240" w:lineRule="auto" w:before="36"/>
        <w:ind w:right="9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94"/>
        <w:jc w:val="left"/>
        <w:rPr>
          <w:b w:val="0"/>
          <w:bCs w:val="0"/>
        </w:rPr>
      </w:pPr>
      <w:r>
        <w:rPr/>
        <w:t>三、核心竞争力分析</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left="513" w:right="94"/>
        <w:jc w:val="left"/>
      </w:pPr>
      <w:r>
        <w:rPr>
          <w:rFonts w:ascii="Times New Roman" w:hAnsi="Times New Roman" w:cs="Times New Roman" w:eastAsia="Times New Roman" w:hint="default"/>
        </w:rPr>
        <w:t>1</w:t>
      </w:r>
      <w:r>
        <w:rPr/>
        <w:t>、技术优势 </w:t>
      </w:r>
      <w:r>
        <w:rPr>
          <w:spacing w:val="-2"/>
        </w:rPr>
        <w:t>公司为高新技术企业，自设立以来坚持技术创新的路线，奠定了公司的技术基础。公司引进了矿产冶炼、电厂建设工程</w:t>
      </w:r>
    </w:p>
    <w:p>
      <w:pPr>
        <w:pStyle w:val="BodyText"/>
        <w:spacing w:line="240" w:lineRule="auto" w:before="74"/>
        <w:ind w:right="0"/>
        <w:jc w:val="left"/>
      </w:pPr>
      <w:r>
        <w:rPr/>
        <w:t>专业人才团队，加强产品的技术研发及改进，不断进行优化设计升级，</w:t>
      </w:r>
      <w:r>
        <w:rPr>
          <w:rFonts w:ascii="Times New Roman" w:hAnsi="Times New Roman" w:cs="Times New Roman" w:eastAsia="Times New Roman" w:hint="default"/>
        </w:rPr>
        <w:t>2015</w:t>
      </w:r>
      <w:r>
        <w:rPr/>
        <w:t>年取得了《一种镍铁冶炼工艺尾气发电系统》、</w:t>
      </w:r>
    </w:p>
    <w:p>
      <w:pPr>
        <w:spacing w:line="240" w:lineRule="auto" w:before="10"/>
        <w:rPr>
          <w:rFonts w:ascii="宋体" w:hAnsi="宋体" w:cs="宋体" w:eastAsia="宋体" w:hint="default"/>
          <w:sz w:val="16"/>
          <w:szCs w:val="16"/>
        </w:rPr>
      </w:pPr>
    </w:p>
    <w:p>
      <w:pPr>
        <w:pStyle w:val="BodyText"/>
        <w:spacing w:line="240" w:lineRule="auto"/>
        <w:ind w:right="0"/>
        <w:jc w:val="left"/>
      </w:pPr>
      <w:r>
        <w:rPr/>
        <w:t>《一种镍铁冶炼工艺余气发电装置》、《一种镍铁冶炼设备尾气发电装置》、《一种带有废热回收利用系统的冶炼设备》、</w:t>
      </w:r>
    </w:p>
    <w:p>
      <w:pPr>
        <w:spacing w:line="240" w:lineRule="auto" w:before="10"/>
        <w:rPr>
          <w:rFonts w:ascii="宋体" w:hAnsi="宋体" w:cs="宋体" w:eastAsia="宋体" w:hint="default"/>
          <w:sz w:val="17"/>
          <w:szCs w:val="17"/>
        </w:rPr>
      </w:pPr>
    </w:p>
    <w:p>
      <w:pPr>
        <w:pStyle w:val="BodyText"/>
        <w:spacing w:line="240" w:lineRule="auto"/>
        <w:ind w:right="0"/>
        <w:jc w:val="left"/>
      </w:pPr>
      <w:r>
        <w:rPr/>
        <w:t>《一种带有废气处理装置的冶炼设备》、《一种镍冶炼设备》、《一种新型冶炼燃烧炉》、《一种小型熔炼炉炉外脱气用冶</w:t>
      </w:r>
    </w:p>
    <w:p>
      <w:pPr>
        <w:spacing w:after="0" w:line="240"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94"/>
        <w:jc w:val="left"/>
      </w:pPr>
      <w:r>
        <w:rPr/>
        <w:t>炼设备》、《铁芯电抗器》、《电子式互感器》十项实用新型专利。</w:t>
      </w:r>
      <w:r>
        <w:rPr>
          <w:rFonts w:ascii="Times New Roman" w:hAnsi="Times New Roman" w:cs="Times New Roman" w:eastAsia="Times New Roman" w:hint="default"/>
        </w:rPr>
        <w:t>2015</w:t>
      </w:r>
      <w:r>
        <w:rPr/>
        <w:t>年公司先后荣获</w:t>
      </w:r>
      <w:r>
        <w:rPr>
          <w:rFonts w:ascii="Times New Roman" w:hAnsi="Times New Roman" w:cs="Times New Roman" w:eastAsia="Times New Roman" w:hint="default"/>
        </w:rPr>
        <w:t>“</w:t>
      </w:r>
      <w:r>
        <w:rPr/>
        <w:t>市长质量奖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先进民营企业称</w:t>
      </w:r>
      <w:r>
        <w:rPr>
          <w:spacing w:val="-57"/>
        </w:rPr>
        <w:t> </w:t>
      </w:r>
      <w:r>
        <w:rPr>
          <w:spacing w:val="-57"/>
        </w:rPr>
      </w:r>
      <w:r>
        <w:rPr>
          <w:spacing w:val="-3"/>
        </w:rPr>
        <w:t>号</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山东省著名商标</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工业技术创新奖</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青岛市守合同重信用企业</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高新技术企业</w:t>
      </w:r>
      <w:r>
        <w:rPr>
          <w:rFonts w:ascii="Times New Roman" w:hAnsi="Times New Roman" w:cs="Times New Roman" w:eastAsia="Times New Roman" w:hint="default"/>
          <w:spacing w:val="-3"/>
        </w:rPr>
        <w:t>”</w:t>
      </w:r>
      <w:r>
        <w:rPr>
          <w:spacing w:val="-3"/>
        </w:rPr>
        <w:t>及</w:t>
      </w:r>
      <w:r>
        <w:rPr>
          <w:rFonts w:ascii="Times New Roman" w:hAnsi="Times New Roman" w:cs="Times New Roman" w:eastAsia="Times New Roman" w:hint="default"/>
          <w:spacing w:val="-3"/>
        </w:rPr>
        <w:t>“</w:t>
      </w:r>
      <w:r>
        <w:rPr>
          <w:spacing w:val="-3"/>
        </w:rPr>
        <w:t>市级工程技术研究中心</w:t>
      </w:r>
      <w:r>
        <w:rPr>
          <w:rFonts w:ascii="Times New Roman" w:hAnsi="Times New Roman" w:cs="Times New Roman" w:eastAsia="Times New Roman" w:hint="default"/>
          <w:spacing w:val="-3"/>
        </w:rPr>
        <w:t>”</w:t>
      </w:r>
      <w:r>
        <w:rPr>
          <w:spacing w:val="-3"/>
        </w:rPr>
        <w:t>称号，</w:t>
      </w:r>
      <w:r>
        <w:rPr>
          <w:spacing w:val="-65"/>
        </w:rPr>
        <w:t> </w:t>
      </w:r>
      <w:r>
        <w:rPr>
          <w:spacing w:val="-65"/>
        </w:rPr>
      </w:r>
      <w:r>
        <w:rPr/>
        <w:t>公司聘请的专家工作组获得</w:t>
      </w:r>
      <w:r>
        <w:rPr>
          <w:rFonts w:ascii="Times New Roman" w:hAnsi="Times New Roman" w:cs="Times New Roman" w:eastAsia="Times New Roman" w:hint="default"/>
        </w:rPr>
        <w:t>“</w:t>
      </w:r>
      <w:r>
        <w:rPr/>
        <w:t>专家工作站专项奖</w:t>
      </w:r>
      <w:r>
        <w:rPr>
          <w:rFonts w:ascii="Times New Roman" w:hAnsi="Times New Roman" w:cs="Times New Roman" w:eastAsia="Times New Roman" w:hint="default"/>
        </w:rPr>
        <w:t>”</w:t>
      </w:r>
      <w:r>
        <w:rPr/>
        <w:t>，并建立了青岛市唯一一家</w:t>
      </w:r>
      <w:r>
        <w:rPr>
          <w:rFonts w:ascii="Times New Roman" w:hAnsi="Times New Roman" w:cs="Times New Roman" w:eastAsia="Times New Roman" w:hint="default"/>
        </w:rPr>
        <w:t>“</w:t>
      </w:r>
      <w:r>
        <w:rPr/>
        <w:t>青岛市红土镍矿研究开发专家工作站</w:t>
      </w:r>
      <w:r>
        <w:rPr>
          <w:rFonts w:ascii="Times New Roman" w:hAnsi="Times New Roman" w:cs="Times New Roman" w:eastAsia="Times New Roman" w:hint="default"/>
        </w:rPr>
        <w:t>”</w:t>
      </w:r>
      <w:r>
        <w:rPr/>
        <w:t>。</w:t>
      </w:r>
    </w:p>
    <w:p>
      <w:pPr>
        <w:pStyle w:val="BodyText"/>
        <w:spacing w:line="451" w:lineRule="auto" w:before="43"/>
        <w:ind w:left="513" w:right="9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、矿产及园区建设优势 公司目前在印尼加里曼丹省持有的中加煤矿约</w:t>
      </w:r>
      <w:r>
        <w:rPr>
          <w:rFonts w:ascii="Times New Roman" w:hAnsi="Times New Roman" w:cs="Times New Roman" w:eastAsia="Times New Roman" w:hint="default"/>
        </w:rPr>
        <w:t>2212</w:t>
      </w:r>
      <w:r>
        <w:rPr/>
        <w:t>公顷，在印尼苏拉威西省持有</w:t>
      </w:r>
      <w:r>
        <w:rPr>
          <w:rFonts w:ascii="Times New Roman" w:hAnsi="Times New Roman" w:cs="Times New Roman" w:eastAsia="Times New Roman" w:hint="default"/>
        </w:rPr>
        <w:t>Madani</w:t>
      </w:r>
      <w:r>
        <w:rPr/>
        <w:t>镍矿约</w:t>
      </w:r>
      <w:r>
        <w:rPr>
          <w:rFonts w:ascii="Times New Roman" w:hAnsi="Times New Roman" w:cs="Times New Roman" w:eastAsia="Times New Roman" w:hint="default"/>
        </w:rPr>
        <w:t>2014</w:t>
      </w:r>
      <w:r>
        <w:rPr/>
        <w:t>公顷，持有的</w:t>
      </w:r>
      <w:r>
        <w:rPr>
          <w:rFonts w:ascii="Times New Roman" w:hAnsi="Times New Roman" w:cs="Times New Roman" w:eastAsia="Times New Roman" w:hint="default"/>
        </w:rPr>
        <w:t>BMU</w:t>
      </w:r>
    </w:p>
    <w:p>
      <w:pPr>
        <w:pStyle w:val="BodyText"/>
        <w:spacing w:line="451" w:lineRule="auto" w:before="43"/>
        <w:ind w:right="104"/>
        <w:jc w:val="both"/>
      </w:pPr>
      <w:r>
        <w:rPr/>
        <w:t>镍矿约</w:t>
      </w:r>
      <w:r>
        <w:rPr>
          <w:rFonts w:ascii="Times New Roman" w:hAnsi="Times New Roman" w:cs="Times New Roman" w:eastAsia="Times New Roman" w:hint="default"/>
        </w:rPr>
        <w:t>1963</w:t>
      </w:r>
      <w:r>
        <w:rPr/>
        <w:t>公顷（公司合计持有</w:t>
      </w:r>
      <w:r>
        <w:rPr>
          <w:rFonts w:ascii="Times New Roman" w:hAnsi="Times New Roman" w:cs="Times New Roman" w:eastAsia="Times New Roman" w:hint="default"/>
        </w:rPr>
        <w:t>BMU80%</w:t>
      </w:r>
      <w:r>
        <w:rPr/>
        <w:t>的股权），公司取得了上述矿产的探矿权及采矿权。在印尼帝汶岛正在收购的锰</w:t>
      </w:r>
      <w:r>
        <w:rPr>
          <w:spacing w:val="-28"/>
        </w:rPr>
        <w:t> </w:t>
      </w:r>
      <w:r>
        <w:rPr>
          <w:spacing w:val="-28"/>
        </w:rPr>
      </w:r>
      <w:r>
        <w:rPr/>
        <w:t>矿约</w:t>
      </w:r>
      <w:r>
        <w:rPr>
          <w:rFonts w:ascii="Times New Roman" w:hAnsi="Times New Roman" w:cs="Times New Roman" w:eastAsia="Times New Roman" w:hint="default"/>
        </w:rPr>
        <w:t>476</w:t>
      </w:r>
      <w:r>
        <w:rPr/>
        <w:t>公顷。矿产资源具有不可再生性的特点，因此，为公司冶炼工业园的建设创立了先发优势。同时，公司在电力设备</w:t>
      </w:r>
      <w:r>
        <w:rPr>
          <w:spacing w:val="-85"/>
        </w:rPr>
        <w:t> </w:t>
      </w:r>
      <w:r>
        <w:rPr>
          <w:spacing w:val="-85"/>
        </w:rPr>
      </w:r>
      <w:r>
        <w:rPr>
          <w:spacing w:val="-4"/>
        </w:rPr>
        <w:t>及基础设施建设方面，有丰厚的经验，为镍铁冶炼工业园的开展奠定了基础。另外，公司拥有对园区内公路及码头的运营权。</w:t>
      </w:r>
    </w:p>
    <w:p>
      <w:pPr>
        <w:pStyle w:val="BodyText"/>
        <w:spacing w:line="451" w:lineRule="auto" w:before="74"/>
        <w:ind w:left="513" w:right="94"/>
        <w:jc w:val="left"/>
      </w:pPr>
      <w:r>
        <w:rPr>
          <w:rFonts w:ascii="Times New Roman" w:hAnsi="Times New Roman" w:cs="Times New Roman" w:eastAsia="Times New Roman" w:hint="default"/>
        </w:rPr>
        <w:t>3</w:t>
      </w:r>
      <w:r>
        <w:rPr/>
        <w:t>、生产组织方式的优势 </w:t>
      </w:r>
      <w:r>
        <w:rPr>
          <w:spacing w:val="-2"/>
        </w:rPr>
        <w:t>公司</w:t>
      </w:r>
      <w:r>
        <w:rPr>
          <w:rFonts w:ascii="Times New Roman" w:hAnsi="Times New Roman" w:cs="Times New Roman" w:eastAsia="Times New Roman" w:hint="default"/>
          <w:spacing w:val="-2"/>
        </w:rPr>
        <w:t>2015</w:t>
      </w:r>
      <w:r>
        <w:rPr>
          <w:spacing w:val="-2"/>
        </w:rPr>
        <w:t>年完成了从传统的全过程制造生产组织模式转向了平台化轻资产现代制造业模式。具体生产组织划分为三个部</w:t>
      </w:r>
    </w:p>
    <w:p>
      <w:pPr>
        <w:pStyle w:val="BodyText"/>
        <w:spacing w:line="458" w:lineRule="auto" w:before="43"/>
        <w:ind w:right="94"/>
        <w:jc w:val="left"/>
      </w:pPr>
      <w:r>
        <w:rPr>
          <w:spacing w:val="-2"/>
        </w:rPr>
        <w:t>分即</w:t>
      </w:r>
      <w:r>
        <w:rPr>
          <w:rFonts w:ascii="Times New Roman" w:hAnsi="Times New Roman" w:cs="Times New Roman" w:eastAsia="Times New Roman" w:hint="default"/>
          <w:spacing w:val="-2"/>
        </w:rPr>
        <w:t>“</w:t>
      </w:r>
      <w:r>
        <w:rPr>
          <w:spacing w:val="-2"/>
        </w:rPr>
        <w:t>决策中心</w:t>
      </w:r>
      <w:r>
        <w:rPr>
          <w:rFonts w:ascii="Times New Roman" w:hAnsi="Times New Roman" w:cs="Times New Roman" w:eastAsia="Times New Roman" w:hint="default"/>
          <w:spacing w:val="-2"/>
        </w:rPr>
        <w:t>+</w:t>
      </w:r>
      <w:r>
        <w:rPr>
          <w:spacing w:val="-2"/>
        </w:rPr>
        <w:t>经营指挥中心</w:t>
      </w:r>
      <w:r>
        <w:rPr>
          <w:rFonts w:ascii="Times New Roman" w:hAnsi="Times New Roman" w:cs="Times New Roman" w:eastAsia="Times New Roman" w:hint="default"/>
          <w:spacing w:val="-2"/>
        </w:rPr>
        <w:t>+</w:t>
      </w:r>
      <w:r>
        <w:rPr>
          <w:spacing w:val="-2"/>
        </w:rPr>
        <w:t>业务执行中心</w:t>
      </w:r>
      <w:r>
        <w:rPr>
          <w:rFonts w:ascii="Times New Roman" w:hAnsi="Times New Roman" w:cs="Times New Roman" w:eastAsia="Times New Roman" w:hint="default"/>
          <w:spacing w:val="-2"/>
        </w:rPr>
        <w:t>”</w:t>
      </w:r>
      <w:r>
        <w:rPr>
          <w:spacing w:val="-2"/>
        </w:rPr>
        <w:t>的生产组织形式，所谓</w:t>
      </w:r>
      <w:r>
        <w:rPr>
          <w:rFonts w:ascii="Times New Roman" w:hAnsi="Times New Roman" w:cs="Times New Roman" w:eastAsia="Times New Roman" w:hint="default"/>
          <w:spacing w:val="-2"/>
        </w:rPr>
        <w:t>“</w:t>
      </w:r>
      <w:r>
        <w:rPr>
          <w:spacing w:val="-2"/>
        </w:rPr>
        <w:t>决策中心</w:t>
      </w:r>
      <w:r>
        <w:rPr>
          <w:rFonts w:ascii="Times New Roman" w:hAnsi="Times New Roman" w:cs="Times New Roman" w:eastAsia="Times New Roman" w:hint="default"/>
          <w:spacing w:val="-2"/>
        </w:rPr>
        <w:t>”</w:t>
      </w:r>
      <w:r>
        <w:rPr>
          <w:spacing w:val="-2"/>
        </w:rPr>
        <w:t>就是前期和相关领域及业界顶尖水平的机构</w:t>
      </w:r>
      <w:r>
        <w:rPr>
          <w:spacing w:val="-44"/>
        </w:rPr>
        <w:t> </w:t>
      </w:r>
      <w:r>
        <w:rPr>
          <w:spacing w:val="-44"/>
        </w:rPr>
      </w:r>
      <w:r>
        <w:rPr/>
        <w:t>合作，负责调研工作，为公司提供专业性的决策意见。所谓</w:t>
      </w:r>
      <w:r>
        <w:rPr>
          <w:rFonts w:ascii="Times New Roman" w:hAnsi="Times New Roman" w:cs="Times New Roman" w:eastAsia="Times New Roman" w:hint="default"/>
        </w:rPr>
        <w:t>“</w:t>
      </w:r>
      <w:r>
        <w:rPr/>
        <w:t>经营指挥中心</w:t>
      </w:r>
      <w:r>
        <w:rPr>
          <w:rFonts w:ascii="Times New Roman" w:hAnsi="Times New Roman" w:cs="Times New Roman" w:eastAsia="Times New Roman" w:hint="default"/>
        </w:rPr>
        <w:t>”</w:t>
      </w:r>
      <w:r>
        <w:rPr/>
        <w:t>就是在相关专家的意见基础上，公司董事会、总 裁会及各事业部做好工作的决策。所谓</w:t>
      </w:r>
      <w:r>
        <w:rPr>
          <w:rFonts w:ascii="Times New Roman" w:hAnsi="Times New Roman" w:cs="Times New Roman" w:eastAsia="Times New Roman" w:hint="default"/>
        </w:rPr>
        <w:t>“</w:t>
      </w:r>
      <w:r>
        <w:rPr/>
        <w:t>业务执行中心</w:t>
      </w:r>
      <w:r>
        <w:rPr>
          <w:rFonts w:ascii="Times New Roman" w:hAnsi="Times New Roman" w:cs="Times New Roman" w:eastAsia="Times New Roman" w:hint="default"/>
        </w:rPr>
        <w:t>”</w:t>
      </w:r>
      <w:r>
        <w:rPr/>
        <w:t>就是按照</w:t>
      </w:r>
      <w:r>
        <w:rPr>
          <w:rFonts w:ascii="Times New Roman" w:hAnsi="Times New Roman" w:cs="Times New Roman" w:eastAsia="Times New Roman" w:hint="default"/>
        </w:rPr>
        <w:t>“</w:t>
      </w:r>
      <w:r>
        <w:rPr/>
        <w:t>经营指挥中心</w:t>
      </w:r>
      <w:r>
        <w:rPr>
          <w:rFonts w:ascii="Times New Roman" w:hAnsi="Times New Roman" w:cs="Times New Roman" w:eastAsia="Times New Roman" w:hint="default"/>
        </w:rPr>
        <w:t>”</w:t>
      </w:r>
      <w:r>
        <w:rPr/>
        <w:t>的部署，进行生产和加工，以公司人员监造 </w:t>
      </w:r>
      <w:r>
        <w:rPr>
          <w:spacing w:val="-4"/>
        </w:rPr>
        <w:t>和管控，外部协作加工为主的模式，大量的非核心产品的加工生产，主要委托给业内的专业企业。通过生产组织方式的转型，</w:t>
      </w:r>
      <w:r>
        <w:rPr>
          <w:spacing w:val="-46"/>
        </w:rPr>
        <w:t> </w:t>
      </w:r>
      <w:r>
        <w:rPr>
          <w:spacing w:val="-46"/>
        </w:rPr>
      </w:r>
      <w:r>
        <w:rPr/>
        <w:t>不但提高了产品的质量，并且节约了大量的人力成本，使公司的人才结构不断优化。</w:t>
      </w:r>
    </w:p>
    <w:p>
      <w:pPr>
        <w:spacing w:after="0" w:line="458" w:lineRule="auto"/>
        <w:jc w:val="left"/>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5" w:right="94"/>
        <w:jc w:val="left"/>
        <w:rPr>
          <w:b w:val="0"/>
          <w:bCs w:val="0"/>
        </w:rPr>
      </w:pPr>
      <w:bookmarkStart w:name="_bookmark3" w:id="4"/>
      <w:bookmarkEnd w:id="4"/>
      <w:r>
        <w:rPr>
          <w:b w:val="0"/>
          <w:bCs w:val="0"/>
        </w:rPr>
      </w:r>
      <w:r>
        <w:rPr/>
        <w:t>第四节</w:t>
      </w:r>
      <w:r>
        <w:rPr>
          <w:spacing w:val="-6"/>
        </w:rPr>
        <w:t> </w:t>
      </w:r>
      <w:r>
        <w:rPr/>
        <w:t>管理层讨论与分析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3"/>
        <w:spacing w:line="240" w:lineRule="auto" w:before="26"/>
        <w:ind w:right="94"/>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94" w:firstLine="360"/>
        <w:jc w:val="left"/>
      </w:pPr>
      <w:r>
        <w:rPr>
          <w:spacing w:val="-4"/>
        </w:rPr>
        <w:t>报告期内，公司围绕年度经营计划，积极拓展电力基础设施建设及能源投资开发、特种有色金属矿产运营及产业链整合、</w:t>
      </w:r>
      <w:r>
        <w:rPr/>
        <w:t> </w:t>
      </w:r>
      <w:r>
        <w:rPr>
          <w:spacing w:val="-2"/>
        </w:rPr>
        <w:t>工业园区投资开发与运营等业务板块，销售规模进一步扩大，盈利能力大幅提升。</w:t>
      </w:r>
      <w:r>
        <w:rPr>
          <w:rFonts w:ascii="Times New Roman" w:hAnsi="Times New Roman" w:cs="Times New Roman" w:eastAsia="Times New Roman" w:hint="default"/>
          <w:spacing w:val="-2"/>
        </w:rPr>
        <w:t>2015</w:t>
      </w:r>
      <w:r>
        <w:rPr>
          <w:spacing w:val="-2"/>
        </w:rPr>
        <w:t>年公司实现营业收入</w:t>
      </w:r>
      <w:r>
        <w:rPr>
          <w:rFonts w:ascii="Times New Roman" w:hAnsi="Times New Roman" w:cs="Times New Roman" w:eastAsia="Times New Roman" w:hint="default"/>
          <w:spacing w:val="-2"/>
        </w:rPr>
        <w:t>116,326.62</w:t>
      </w:r>
      <w:r>
        <w:rPr>
          <w:spacing w:val="-2"/>
        </w:rPr>
        <w:t>万元，</w:t>
      </w:r>
      <w:r>
        <w:rPr>
          <w:spacing w:val="-52"/>
        </w:rPr>
        <w:t> </w:t>
      </w:r>
      <w:r>
        <w:rPr>
          <w:spacing w:val="-52"/>
        </w:rPr>
      </w:r>
      <w:r>
        <w:rPr/>
        <w:t>比上年同期增长</w:t>
      </w:r>
      <w:r>
        <w:rPr>
          <w:rFonts w:ascii="Times New Roman" w:hAnsi="Times New Roman" w:cs="Times New Roman" w:eastAsia="Times New Roman" w:hint="default"/>
        </w:rPr>
        <w:t>73.51%</w:t>
      </w:r>
      <w:r>
        <w:rPr/>
        <w:t>，营业成本</w:t>
      </w:r>
      <w:r>
        <w:rPr>
          <w:rFonts w:ascii="Times New Roman" w:hAnsi="Times New Roman" w:cs="Times New Roman" w:eastAsia="Times New Roman" w:hint="default"/>
        </w:rPr>
        <w:t>63,845.80</w:t>
      </w:r>
      <w:r>
        <w:rPr/>
        <w:t>万元，比上年同期增长</w:t>
      </w:r>
      <w:r>
        <w:rPr>
          <w:rFonts w:ascii="Times New Roman" w:hAnsi="Times New Roman" w:cs="Times New Roman" w:eastAsia="Times New Roman" w:hint="default"/>
        </w:rPr>
        <w:t>42.17%</w:t>
      </w:r>
      <w:r>
        <w:rPr/>
        <w:t>，实现营业利润</w:t>
      </w:r>
      <w:r>
        <w:rPr>
          <w:rFonts w:ascii="Times New Roman" w:hAnsi="Times New Roman" w:cs="Times New Roman" w:eastAsia="Times New Roman" w:hint="default"/>
        </w:rPr>
        <w:t>35,195.50</w:t>
      </w:r>
      <w:r>
        <w:rPr/>
        <w:t>万元，比上年同期增长</w:t>
      </w:r>
      <w:r>
        <w:rPr>
          <w:spacing w:val="-37"/>
        </w:rPr>
        <w:t> </w:t>
      </w:r>
      <w:r>
        <w:rPr>
          <w:spacing w:val="-37"/>
        </w:rPr>
      </w:r>
      <w:r>
        <w:rPr>
          <w:rFonts w:ascii="Times New Roman" w:hAnsi="Times New Roman" w:cs="Times New Roman" w:eastAsia="Times New Roman" w:hint="default"/>
        </w:rPr>
        <w:t>160.35%</w:t>
      </w:r>
      <w:r>
        <w:rPr/>
        <w:t>，实现归属于母公司股东的净利润</w:t>
      </w:r>
      <w:r>
        <w:rPr>
          <w:rFonts w:ascii="Times New Roman" w:hAnsi="Times New Roman" w:cs="Times New Roman" w:eastAsia="Times New Roman" w:hint="default"/>
        </w:rPr>
        <w:t>33,864.88</w:t>
      </w:r>
      <w:r>
        <w:rPr/>
        <w:t>万元，比上年同期增长</w:t>
      </w:r>
      <w:r>
        <w:rPr>
          <w:rFonts w:ascii="Times New Roman" w:hAnsi="Times New Roman" w:cs="Times New Roman" w:eastAsia="Times New Roman" w:hint="default"/>
        </w:rPr>
        <w:t>209.18%</w:t>
      </w:r>
      <w:r>
        <w:rPr/>
        <w:t>。公司本报告期的收入、成本和利润较</w:t>
      </w:r>
      <w:r>
        <w:rPr>
          <w:spacing w:val="-35"/>
        </w:rPr>
        <w:t> </w:t>
      </w:r>
      <w:r>
        <w:rPr>
          <w:spacing w:val="-35"/>
        </w:rPr>
      </w:r>
      <w:r>
        <w:rPr>
          <w:spacing w:val="-2"/>
        </w:rPr>
        <w:t>去年同期增幅较大，主要原因是公司机械成套装备业务的订单较去年同期大幅增加，从而使收入、成本和利润大幅增加，机</w:t>
      </w:r>
      <w:r>
        <w:rPr>
          <w:spacing w:val="-64"/>
        </w:rPr>
        <w:t> </w:t>
      </w:r>
      <w:r>
        <w:rPr>
          <w:spacing w:val="-64"/>
        </w:rPr>
      </w:r>
      <w:r>
        <w:rPr>
          <w:spacing w:val="-2"/>
        </w:rPr>
        <w:t>械成套装备主要包括特种冶炼设备成套及余热余压电站设备成套等。公司在本报告期也加大了此类产品的研发投入，本年研</w:t>
      </w:r>
      <w:r>
        <w:rPr>
          <w:spacing w:val="-64"/>
        </w:rPr>
        <w:t> </w:t>
      </w:r>
      <w:r>
        <w:rPr>
          <w:spacing w:val="-64"/>
        </w:rPr>
      </w:r>
      <w:r>
        <w:rPr/>
        <w:t>发投入</w:t>
      </w:r>
      <w:r>
        <w:rPr>
          <w:rFonts w:ascii="Times New Roman" w:hAnsi="Times New Roman" w:cs="Times New Roman" w:eastAsia="Times New Roman" w:hint="default"/>
        </w:rPr>
        <w:t>4,357.20</w:t>
      </w:r>
      <w:r>
        <w:rPr/>
        <w:t>万元，较去年同期增长</w:t>
      </w:r>
      <w:r>
        <w:rPr>
          <w:rFonts w:ascii="Times New Roman" w:hAnsi="Times New Roman" w:cs="Times New Roman" w:eastAsia="Times New Roman" w:hint="default"/>
        </w:rPr>
        <w:t>279.90%</w:t>
      </w:r>
      <w:r>
        <w:rPr/>
        <w:t>。</w:t>
      </w:r>
    </w:p>
    <w:p>
      <w:pPr>
        <w:pStyle w:val="BodyText"/>
        <w:spacing w:line="240" w:lineRule="auto" w:before="43"/>
        <w:ind w:left="513" w:right="94"/>
        <w:jc w:val="left"/>
      </w:pPr>
      <w:r>
        <w:rPr/>
        <w:t>报告期内，在公司董事会的领导下，公司完成重点工作如下：</w:t>
      </w:r>
    </w:p>
    <w:p>
      <w:pPr>
        <w:pStyle w:val="BodyText"/>
        <w:spacing w:line="340" w:lineRule="auto" w:before="117"/>
        <w:ind w:left="513" w:right="94"/>
        <w:jc w:val="left"/>
      </w:pPr>
      <w:r>
        <w:rPr>
          <w:rFonts w:ascii="Times New Roman" w:hAnsi="Times New Roman" w:cs="Times New Roman" w:eastAsia="Times New Roman" w:hint="default"/>
        </w:rPr>
        <w:t>1</w:t>
      </w:r>
      <w:r>
        <w:rPr/>
        <w:t>、恒顺国际化的发展战略研究与实施 </w:t>
      </w:r>
      <w:r>
        <w:rPr>
          <w:spacing w:val="-2"/>
        </w:rPr>
        <w:t>公司</w:t>
      </w:r>
      <w:r>
        <w:rPr>
          <w:rFonts w:ascii="Times New Roman" w:hAnsi="Times New Roman" w:cs="Times New Roman" w:eastAsia="Times New Roman" w:hint="default"/>
          <w:spacing w:val="-2"/>
        </w:rPr>
        <w:t>2015</w:t>
      </w:r>
      <w:r>
        <w:rPr>
          <w:spacing w:val="-2"/>
        </w:rPr>
        <w:t>年，成功的实现了战略方向的调整。转变为致力于绿色节能电网整体解决方案设计与建设，电力基础设施建设</w:t>
      </w:r>
    </w:p>
    <w:p>
      <w:pPr>
        <w:pStyle w:val="BodyText"/>
        <w:spacing w:line="215" w:lineRule="exact"/>
        <w:ind w:right="0"/>
        <w:jc w:val="left"/>
      </w:pPr>
      <w:r>
        <w:rPr/>
        <w:t>及能源投资开发运营商，特种有色金属矿产运营及产业链整合，工业园区投资开发与运营，特许经营权投资开发与运营以及</w:t>
      </w:r>
    </w:p>
    <w:p>
      <w:pPr>
        <w:pStyle w:val="BodyText"/>
        <w:spacing w:line="312" w:lineRule="auto" w:before="76"/>
        <w:ind w:right="94"/>
        <w:jc w:val="left"/>
      </w:pPr>
      <w:r>
        <w:rPr/>
        <w:t>金融投资控股的综合性跨国民营企业集团。公司积极响应国家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的发展战略，继续稳步扩展海外市场， </w:t>
      </w:r>
      <w:r>
        <w:rPr>
          <w:spacing w:val="-4"/>
        </w:rPr>
        <w:t>以印尼工业园项目为起点，逐步探索向南非、津巴布韦、孟加拉国等资源丰富的国家进行电力基础设施建设及能源投资开发，</w:t>
      </w:r>
      <w:r>
        <w:rPr>
          <w:spacing w:val="-44"/>
        </w:rPr>
        <w:t> </w:t>
      </w:r>
      <w:r>
        <w:rPr>
          <w:spacing w:val="-44"/>
        </w:rPr>
      </w:r>
      <w:r>
        <w:rPr>
          <w:spacing w:val="-2"/>
        </w:rPr>
        <w:t>特种有色金属矿产运营及产业链整合，工业园区投资开发与运营，公司进一步深化国际化发展战略，全面开展海外工业园模</w:t>
      </w:r>
      <w:r>
        <w:rPr>
          <w:spacing w:val="-63"/>
        </w:rPr>
        <w:t> </w:t>
      </w:r>
      <w:r>
        <w:rPr>
          <w:spacing w:val="-63"/>
        </w:rPr>
      </w:r>
      <w:r>
        <w:rPr/>
        <w:t>式。</w:t>
      </w:r>
    </w:p>
    <w:p>
      <w:pPr>
        <w:pStyle w:val="BodyText"/>
        <w:spacing w:line="340" w:lineRule="auto" w:before="61"/>
        <w:ind w:left="513" w:right="94"/>
        <w:jc w:val="left"/>
      </w:pPr>
      <w:r>
        <w:rPr>
          <w:rFonts w:ascii="Times New Roman" w:hAnsi="Times New Roman" w:cs="Times New Roman" w:eastAsia="Times New Roman" w:hint="default"/>
        </w:rPr>
        <w:t>2</w:t>
      </w:r>
      <w:r>
        <w:rPr/>
        <w:t>、建立全新的商业模式及集团化管理体系 </w:t>
      </w:r>
      <w:r>
        <w:rPr>
          <w:spacing w:val="-2"/>
        </w:rPr>
        <w:t>印尼工业园筹划并建设以来，至今已探索出了一套完整的工业园投资、开发、招商和运营的发展模式。即以电力建设为</w:t>
      </w:r>
    </w:p>
    <w:p>
      <w:pPr>
        <w:pStyle w:val="BodyText"/>
        <w:spacing w:line="316" w:lineRule="auto" w:before="1"/>
        <w:ind w:right="94"/>
        <w:jc w:val="left"/>
      </w:pPr>
      <w:r>
        <w:rPr/>
        <w:t>核心，以并购当地矿产资源为切入点，在当地投资建立工业园，从事工业园区基础设施建设，打造五通一平的工业园平台， </w:t>
      </w:r>
      <w:r>
        <w:rPr>
          <w:spacing w:val="-2"/>
        </w:rPr>
        <w:t>招商相关企业入园，并提供工商、税务、物流、生活等后勤保障；对矿产资源进行深加工，提高产品附加值，形成了工业园</w:t>
      </w:r>
      <w:r>
        <w:rPr>
          <w:spacing w:val="-73"/>
        </w:rPr>
        <w:t> </w:t>
      </w:r>
      <w:r>
        <w:rPr>
          <w:spacing w:val="-73"/>
        </w:rPr>
      </w:r>
      <w:r>
        <w:rPr/>
        <w:t>上下游互惠互赢的工业生态。</w:t>
      </w:r>
    </w:p>
    <w:p>
      <w:pPr>
        <w:pStyle w:val="BodyText"/>
        <w:spacing w:line="316" w:lineRule="auto" w:before="59"/>
        <w:ind w:right="94" w:firstLine="360"/>
        <w:jc w:val="left"/>
      </w:pPr>
      <w:r>
        <w:rPr/>
        <w:t>公司的工业园区发展模式是一种新型的产业发展模式，实现了把我国产能、技术、资本、管理等整体打包输送至海外， 以国外市场需求拉动国内市场，以全产业链走出去的方式推进国际产能合作，是对国家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战略的最好实践。</w:t>
      </w:r>
    </w:p>
    <w:p>
      <w:pPr>
        <w:pStyle w:val="BodyText"/>
        <w:spacing w:line="300" w:lineRule="auto" w:before="37"/>
        <w:ind w:right="94" w:firstLine="360"/>
        <w:jc w:val="left"/>
      </w:pPr>
      <w:r>
        <w:rPr>
          <w:spacing w:val="-2"/>
        </w:rPr>
        <w:t>公司</w:t>
      </w:r>
      <w:r>
        <w:rPr>
          <w:rFonts w:ascii="Times New Roman" w:hAnsi="Times New Roman" w:cs="Times New Roman" w:eastAsia="Times New Roman" w:hint="default"/>
          <w:spacing w:val="-2"/>
        </w:rPr>
        <w:t>2015</w:t>
      </w:r>
      <w:r>
        <w:rPr>
          <w:spacing w:val="-2"/>
        </w:rPr>
        <w:t>年，对组织架构进行了进一步的调整，优化了公司各部门的职能，使公司的管理模式能够更好地推动公司商业</w:t>
      </w:r>
      <w:r>
        <w:rPr/>
        <w:t> 模式的发展。</w:t>
      </w:r>
    </w:p>
    <w:p>
      <w:pPr>
        <w:pStyle w:val="BodyText"/>
        <w:spacing w:line="340" w:lineRule="auto" w:before="73"/>
        <w:ind w:left="513" w:right="94"/>
        <w:jc w:val="left"/>
      </w:pPr>
      <w:r>
        <w:rPr>
          <w:rFonts w:ascii="Times New Roman" w:hAnsi="Times New Roman" w:cs="Times New Roman" w:eastAsia="Times New Roman" w:hint="default"/>
        </w:rPr>
        <w:t>3</w:t>
      </w:r>
      <w:r>
        <w:rPr/>
        <w:t>、完成了生产组织方式的转型 </w:t>
      </w:r>
      <w:r>
        <w:rPr>
          <w:spacing w:val="-2"/>
        </w:rPr>
        <w:t>公司</w:t>
      </w:r>
      <w:r>
        <w:rPr>
          <w:rFonts w:ascii="Times New Roman" w:hAnsi="Times New Roman" w:cs="Times New Roman" w:eastAsia="Times New Roman" w:hint="default"/>
          <w:spacing w:val="-2"/>
        </w:rPr>
        <w:t>2015</w:t>
      </w:r>
      <w:r>
        <w:rPr>
          <w:spacing w:val="-2"/>
        </w:rPr>
        <w:t>年完成了从传统的全过程制造生产组织模式转向了平台化轻资产现代制造业模式，具体生产组织划分为三个部</w:t>
      </w:r>
    </w:p>
    <w:p>
      <w:pPr>
        <w:pStyle w:val="BodyText"/>
        <w:spacing w:line="228" w:lineRule="exact"/>
        <w:ind w:right="0"/>
        <w:jc w:val="left"/>
      </w:pPr>
      <w:r>
        <w:rPr/>
        <w:t>分，即</w:t>
      </w:r>
      <w:r>
        <w:rPr>
          <w:rFonts w:ascii="Times New Roman" w:hAnsi="Times New Roman" w:cs="Times New Roman" w:eastAsia="Times New Roman" w:hint="default"/>
        </w:rPr>
        <w:t>“</w:t>
      </w:r>
      <w:r>
        <w:rPr/>
        <w:t>决策中心</w:t>
      </w:r>
      <w:r>
        <w:rPr>
          <w:rFonts w:ascii="Times New Roman" w:hAnsi="Times New Roman" w:cs="Times New Roman" w:eastAsia="Times New Roman" w:hint="default"/>
        </w:rPr>
        <w:t>+</w:t>
      </w:r>
      <w:r>
        <w:rPr/>
        <w:t>经营指挥中心</w:t>
      </w:r>
      <w:r>
        <w:rPr>
          <w:rFonts w:ascii="Times New Roman" w:hAnsi="Times New Roman" w:cs="Times New Roman" w:eastAsia="Times New Roman" w:hint="default"/>
        </w:rPr>
        <w:t>+</w:t>
      </w:r>
      <w:r>
        <w:rPr/>
        <w:t>业务执行中心</w:t>
      </w:r>
      <w:r>
        <w:rPr>
          <w:rFonts w:ascii="Times New Roman" w:hAnsi="Times New Roman" w:cs="Times New Roman" w:eastAsia="Times New Roman" w:hint="default"/>
        </w:rPr>
        <w:t>”</w:t>
      </w:r>
      <w:r>
        <w:rPr/>
        <w:t>的生产组织形式，所谓</w:t>
      </w:r>
      <w:r>
        <w:rPr>
          <w:rFonts w:ascii="Times New Roman" w:hAnsi="Times New Roman" w:cs="Times New Roman" w:eastAsia="Times New Roman" w:hint="default"/>
        </w:rPr>
        <w:t>“</w:t>
      </w:r>
      <w:r>
        <w:rPr/>
        <w:t>决策中心</w:t>
      </w:r>
      <w:r>
        <w:rPr>
          <w:rFonts w:ascii="Times New Roman" w:hAnsi="Times New Roman" w:cs="Times New Roman" w:eastAsia="Times New Roman" w:hint="default"/>
        </w:rPr>
        <w:t>”</w:t>
      </w:r>
      <w:r>
        <w:rPr/>
        <w:t>就是前期和相关领域及业界顶尖水平的机</w:t>
      </w:r>
    </w:p>
    <w:p>
      <w:pPr>
        <w:pStyle w:val="BodyText"/>
        <w:spacing w:line="307" w:lineRule="auto" w:before="63"/>
        <w:ind w:right="111"/>
        <w:jc w:val="both"/>
      </w:pPr>
      <w:r>
        <w:rPr/>
        <w:t>构合作，负责调研工作，为公司提供专业性的决策意见。所谓</w:t>
      </w:r>
      <w:r>
        <w:rPr>
          <w:rFonts w:ascii="Times New Roman" w:hAnsi="Times New Roman" w:cs="Times New Roman" w:eastAsia="Times New Roman" w:hint="default"/>
        </w:rPr>
        <w:t>“</w:t>
      </w:r>
      <w:r>
        <w:rPr/>
        <w:t>经营指挥中心</w:t>
      </w:r>
      <w:r>
        <w:rPr>
          <w:rFonts w:ascii="Times New Roman" w:hAnsi="Times New Roman" w:cs="Times New Roman" w:eastAsia="Times New Roman" w:hint="default"/>
        </w:rPr>
        <w:t>”</w:t>
      </w:r>
      <w:r>
        <w:rPr/>
        <w:t>就是在相关专家的意见基础上，公司董事会、 总裁会及各事业部做好工作的决策。所谓</w:t>
      </w:r>
      <w:r>
        <w:rPr>
          <w:rFonts w:ascii="Times New Roman" w:hAnsi="Times New Roman" w:cs="Times New Roman" w:eastAsia="Times New Roman" w:hint="default"/>
        </w:rPr>
        <w:t>“</w:t>
      </w:r>
      <w:r>
        <w:rPr/>
        <w:t>业务执行中心</w:t>
      </w:r>
      <w:r>
        <w:rPr>
          <w:rFonts w:ascii="Times New Roman" w:hAnsi="Times New Roman" w:cs="Times New Roman" w:eastAsia="Times New Roman" w:hint="default"/>
        </w:rPr>
        <w:t>”</w:t>
      </w:r>
      <w:r>
        <w:rPr/>
        <w:t>就是按照</w:t>
      </w:r>
      <w:r>
        <w:rPr>
          <w:rFonts w:ascii="Times New Roman" w:hAnsi="Times New Roman" w:cs="Times New Roman" w:eastAsia="Times New Roman" w:hint="default"/>
        </w:rPr>
        <w:t>“</w:t>
      </w:r>
      <w:r>
        <w:rPr/>
        <w:t>经营指挥中心</w:t>
      </w:r>
      <w:r>
        <w:rPr>
          <w:rFonts w:ascii="Times New Roman" w:hAnsi="Times New Roman" w:cs="Times New Roman" w:eastAsia="Times New Roman" w:hint="default"/>
        </w:rPr>
        <w:t>”</w:t>
      </w:r>
      <w:r>
        <w:rPr/>
        <w:t>的部署，进行生产和加工，以公司监造和 管控，外部协作加工为主的模式，大量的非核心产品的加工生产，主要委托给业内的专业企业。通过生产组织方式的转型， 不但提高了产品的质量，并且节约了大量的人力成本，使公司的人才结构不断优化。</w:t>
      </w:r>
    </w:p>
    <w:p>
      <w:pPr>
        <w:pStyle w:val="BodyText"/>
        <w:spacing w:line="240" w:lineRule="auto" w:before="64"/>
        <w:ind w:left="873" w:right="94"/>
        <w:jc w:val="left"/>
      </w:pPr>
      <w:r>
        <w:rPr>
          <w:rFonts w:ascii="Times New Roman" w:hAnsi="Times New Roman" w:cs="Times New Roman" w:eastAsia="Times New Roman" w:hint="default"/>
        </w:rPr>
        <w:t>4</w:t>
      </w:r>
      <w:r>
        <w:rPr/>
        <w:t>、人力资源提升方面</w:t>
      </w:r>
    </w:p>
    <w:p>
      <w:pPr>
        <w:pStyle w:val="BodyText"/>
        <w:spacing w:line="340" w:lineRule="auto" w:before="103"/>
        <w:ind w:left="513" w:right="94"/>
        <w:jc w:val="left"/>
      </w:pPr>
      <w:r>
        <w:rPr/>
        <w:t>（</w:t>
      </w:r>
      <w:r>
        <w:rPr>
          <w:rFonts w:ascii="Times New Roman" w:hAnsi="Times New Roman" w:cs="Times New Roman" w:eastAsia="Times New Roman" w:hint="default"/>
        </w:rPr>
        <w:t>1</w:t>
      </w:r>
      <w:r>
        <w:rPr/>
        <w:t>）培训工作 </w:t>
      </w:r>
      <w:r>
        <w:rPr>
          <w:spacing w:val="-2"/>
        </w:rPr>
        <w:t>坚持核心团队树立相同的价值观。人力资源部门将根据各个部门的需求，制定一系列的培训计划，并根据实践中的效果</w:t>
      </w:r>
    </w:p>
    <w:p>
      <w:pPr>
        <w:pStyle w:val="BodyText"/>
        <w:spacing w:line="316" w:lineRule="auto" w:before="1"/>
        <w:ind w:right="94"/>
        <w:jc w:val="left"/>
      </w:pPr>
      <w:r>
        <w:rPr>
          <w:spacing w:val="-2"/>
        </w:rPr>
        <w:t>对计划进行完善，开展应需式培训。进一步加强中高层领导干部职业能力培训，通过内外培训相结合的方式，重点提高技术</w:t>
      </w:r>
      <w:r>
        <w:rPr>
          <w:spacing w:val="-65"/>
        </w:rPr>
        <w:t> </w:t>
      </w:r>
      <w:r>
        <w:rPr>
          <w:spacing w:val="-65"/>
        </w:rPr>
      </w:r>
      <w:r>
        <w:rPr>
          <w:spacing w:val="-2"/>
        </w:rPr>
        <w:t>部门的专业水平；经营和采购部门的前瞻性思维、风险控制意识、产品技术水平和市场敏感度；生产部门成本控制、计划制</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定、安全生产、提高劳动效率、工艺改进等方面的能力；财务部门成本核算水平，对税务、财政和外汇结算等政策的掌握能</w:t>
      </w:r>
      <w:r>
        <w:rPr>
          <w:spacing w:val="-68"/>
        </w:rPr>
        <w:t> </w:t>
      </w:r>
      <w:r>
        <w:rPr>
          <w:spacing w:val="-68"/>
        </w:rPr>
      </w:r>
      <w:r>
        <w:rPr/>
        <w:t>力。</w:t>
      </w:r>
    </w:p>
    <w:p>
      <w:pPr>
        <w:pStyle w:val="BodyText"/>
        <w:spacing w:line="338" w:lineRule="auto" w:before="59"/>
        <w:ind w:left="513" w:right="94"/>
        <w:jc w:val="left"/>
      </w:pPr>
      <w:r>
        <w:rPr/>
        <w:t>（</w:t>
      </w:r>
      <w:r>
        <w:rPr>
          <w:rFonts w:ascii="Times New Roman" w:hAnsi="Times New Roman" w:cs="Times New Roman" w:eastAsia="Times New Roman" w:hint="default"/>
        </w:rPr>
        <w:t>2</w:t>
      </w:r>
      <w:r>
        <w:rPr/>
        <w:t>）业绩考核工作 </w:t>
      </w:r>
      <w:r>
        <w:rPr>
          <w:spacing w:val="-2"/>
        </w:rPr>
        <w:t>对现有的绩效考核制度进行完善，制定激励性的薪酬制度和相对公平的绩效考核体系。在实践的基础上，对考核指标不</w:t>
      </w:r>
    </w:p>
    <w:p>
      <w:pPr>
        <w:pStyle w:val="BodyText"/>
        <w:spacing w:line="316" w:lineRule="auto" w:before="2"/>
        <w:ind w:right="94"/>
        <w:jc w:val="left"/>
      </w:pPr>
      <w:r>
        <w:rPr>
          <w:spacing w:val="-4"/>
        </w:rPr>
        <w:t>断进行优化，加强对考核中员工存在问题的反馈，提出解决和改进方法，对一些关键岗位和重大问题，做到二次或多次考核，</w:t>
      </w:r>
      <w:r>
        <w:rPr>
          <w:spacing w:val="-46"/>
        </w:rPr>
        <w:t> </w:t>
      </w:r>
      <w:r>
        <w:rPr>
          <w:spacing w:val="-46"/>
        </w:rPr>
      </w:r>
      <w:r>
        <w:rPr/>
        <w:t>多次反馈。做好过程控制，做到凡事必有结果。</w:t>
      </w:r>
    </w:p>
    <w:p>
      <w:pPr>
        <w:pStyle w:val="BodyText"/>
        <w:spacing w:line="340" w:lineRule="auto" w:before="59"/>
        <w:ind w:left="513" w:right="183"/>
        <w:jc w:val="left"/>
      </w:pPr>
      <w:r>
        <w:rPr/>
        <w:t>（</w:t>
      </w:r>
      <w:r>
        <w:rPr>
          <w:rFonts w:ascii="Times New Roman" w:hAnsi="Times New Roman" w:cs="Times New Roman" w:eastAsia="Times New Roman" w:hint="default"/>
        </w:rPr>
        <w:t>3</w:t>
      </w:r>
      <w:r>
        <w:rPr/>
        <w:t>）实施激励政策 公司</w:t>
      </w:r>
      <w:r>
        <w:rPr>
          <w:rFonts w:ascii="Times New Roman" w:hAnsi="Times New Roman" w:cs="Times New Roman" w:eastAsia="Times New Roman" w:hint="default"/>
        </w:rPr>
        <w:t>2015</w:t>
      </w:r>
      <w:r>
        <w:rPr/>
        <w:t>年继续完善公司的激励政策，吸收和留住核心人才。公司于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月推出了《员工持股计划草案》，并已顺</w:t>
      </w:r>
    </w:p>
    <w:p>
      <w:pPr>
        <w:pStyle w:val="BodyText"/>
        <w:spacing w:line="228" w:lineRule="exact"/>
        <w:ind w:right="94"/>
        <w:jc w:val="left"/>
      </w:pPr>
      <w:r>
        <w:rPr/>
        <w:t>利实施。</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月完成了股权激励计划股票期权第三个行权期的行权工作。</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月，公司限制性股票激励计划第一期</w:t>
      </w:r>
    </w:p>
    <w:p>
      <w:pPr>
        <w:pStyle w:val="BodyText"/>
        <w:spacing w:line="240" w:lineRule="auto" w:before="63"/>
        <w:ind w:right="94"/>
        <w:jc w:val="left"/>
      </w:pPr>
      <w:r>
        <w:rPr/>
        <w:t>可解锁股份解锁上市流通，增强了员工对公司发展的信心，能够有效降低核心技术人员的流失。</w:t>
      </w:r>
    </w:p>
    <w:p>
      <w:pPr>
        <w:pStyle w:val="BodyText"/>
        <w:spacing w:line="340" w:lineRule="auto" w:before="115"/>
        <w:ind w:left="801" w:right="187" w:hanging="288"/>
        <w:jc w:val="left"/>
      </w:pPr>
      <w:r>
        <w:rPr>
          <w:rFonts w:ascii="Times New Roman" w:hAnsi="Times New Roman" w:cs="Times New Roman" w:eastAsia="Times New Roman" w:hint="default"/>
        </w:rPr>
        <w:t>5</w:t>
      </w:r>
      <w:r>
        <w:rPr/>
        <w:t>、深入研究国际化的恒顺企业文化与国际接轨 </w:t>
      </w:r>
      <w:r>
        <w:rPr>
          <w:spacing w:val="-2"/>
        </w:rPr>
        <w:t>报告期内，公司进一步深化感恩的企业文化，感恩社会、感恩客户、感恩父母、感恩员工、感恩股东，始终秉承</w:t>
      </w:r>
      <w:r>
        <w:rPr>
          <w:rFonts w:ascii="Times New Roman" w:hAnsi="Times New Roman" w:cs="Times New Roman" w:eastAsia="Times New Roman" w:hint="default"/>
          <w:spacing w:val="-2"/>
        </w:rPr>
        <w:t>“</w:t>
      </w:r>
      <w:r>
        <w:rPr>
          <w:spacing w:val="-2"/>
        </w:rPr>
        <w:t>知</w:t>
      </w:r>
    </w:p>
    <w:p>
      <w:pPr>
        <w:pStyle w:val="BodyText"/>
        <w:spacing w:line="228" w:lineRule="exact"/>
        <w:ind w:right="94"/>
        <w:jc w:val="left"/>
      </w:pPr>
      <w:r>
        <w:rPr/>
        <w:t>恩报恩善始善终，有情有义为善而行</w:t>
      </w:r>
      <w:r>
        <w:rPr>
          <w:rFonts w:ascii="Times New Roman" w:hAnsi="Times New Roman" w:cs="Times New Roman" w:eastAsia="Times New Roman" w:hint="default"/>
        </w:rPr>
        <w:t>”</w:t>
      </w:r>
      <w:r>
        <w:rPr/>
        <w:t>的理念，以实际行动回报相关利益方。</w:t>
      </w:r>
    </w:p>
    <w:p>
      <w:pPr>
        <w:pStyle w:val="BodyText"/>
        <w:spacing w:line="316" w:lineRule="auto" w:before="103"/>
        <w:ind w:right="94" w:firstLine="360"/>
        <w:jc w:val="left"/>
      </w:pPr>
      <w:r>
        <w:rPr>
          <w:spacing w:val="-4"/>
        </w:rPr>
        <w:t>公司始终关注人与自然、人与人、人与未来的和谐发展，在节能环保、扶贫赈灾、助学圆梦等方面主动承担应有的责任。</w:t>
      </w:r>
      <w:r>
        <w:rPr/>
        <w:t> </w:t>
      </w:r>
      <w:r>
        <w:rPr>
          <w:spacing w:val="-2"/>
        </w:rPr>
        <w:t>同时也将公司的文化与社会责任输送到海外的投资地区，以共赢的思路与战略，与国外的文化互融互通。公司将在印尼、津</w:t>
      </w:r>
      <w:r>
        <w:rPr>
          <w:spacing w:val="-64"/>
        </w:rPr>
        <w:t> </w:t>
      </w:r>
      <w:r>
        <w:rPr>
          <w:spacing w:val="-64"/>
        </w:rPr>
      </w:r>
      <w:r>
        <w:rPr/>
        <w:t>巴布韦、南非等国捐建希望小学及教堂等，促进当地教育及人文的发展。</w:t>
      </w:r>
    </w:p>
    <w:p>
      <w:pPr>
        <w:pStyle w:val="BodyText"/>
        <w:spacing w:line="340" w:lineRule="auto" w:before="57"/>
        <w:ind w:left="513" w:right="94"/>
        <w:jc w:val="left"/>
      </w:pPr>
      <w:r>
        <w:rPr>
          <w:rFonts w:ascii="Times New Roman" w:hAnsi="Times New Roman" w:cs="Times New Roman" w:eastAsia="Times New Roman" w:hint="default"/>
        </w:rPr>
        <w:t>6</w:t>
      </w:r>
      <w:r>
        <w:rPr/>
        <w:t>、公司品牌建设及公司经营的透明化 公司建立了官方微信平台，打造了全新的网站及</w:t>
      </w:r>
      <w:r>
        <w:rPr>
          <w:rFonts w:ascii="Times New Roman" w:hAnsi="Times New Roman" w:cs="Times New Roman" w:eastAsia="Times New Roman" w:hint="default"/>
        </w:rPr>
        <w:t>VI,</w:t>
      </w:r>
      <w:r>
        <w:rPr/>
        <w:t>将公司动态展现给投资者，使投资者能够对公司更加及时全面的了</w:t>
      </w:r>
    </w:p>
    <w:p>
      <w:pPr>
        <w:pStyle w:val="BodyText"/>
        <w:spacing w:line="215" w:lineRule="exact"/>
        <w:ind w:right="94"/>
        <w:jc w:val="left"/>
      </w:pPr>
      <w:r>
        <w:rPr/>
        <w:t>解。公司制作了全新的公司品牌宣传册，倡导梦想改变未来。</w:t>
      </w:r>
    </w:p>
    <w:p>
      <w:pPr>
        <w:pStyle w:val="BodyText"/>
        <w:spacing w:line="309" w:lineRule="auto" w:before="117"/>
        <w:ind w:right="190" w:firstLine="360"/>
        <w:jc w:val="both"/>
      </w:pPr>
      <w:r>
        <w:rPr>
          <w:spacing w:val="-2"/>
        </w:rPr>
        <w:t>公司的海外工业园模式得到了国家主流媒体的高度认可。印尼苏拉威西工业园先后被人民日报、中央电视台报道，成为</w:t>
      </w:r>
      <w:r>
        <w:rPr/>
        <w:t> </w:t>
      </w:r>
      <w:r>
        <w:rPr>
          <w:spacing w:val="-1"/>
        </w:rPr>
        <w:t>我国</w:t>
      </w:r>
      <w:r>
        <w:rPr>
          <w:rFonts w:ascii="Times New Roman" w:hAnsi="Times New Roman" w:cs="Times New Roman" w:eastAsia="Times New Roman" w:hint="default"/>
          <w:spacing w:val="-1"/>
        </w:rPr>
        <w:t>“</w:t>
      </w:r>
      <w:r>
        <w:rPr>
          <w:spacing w:val="-1"/>
        </w:rPr>
        <w:t>一带一路</w:t>
      </w:r>
      <w:r>
        <w:rPr>
          <w:rFonts w:ascii="Times New Roman" w:hAnsi="Times New Roman" w:cs="Times New Roman" w:eastAsia="Times New Roman" w:hint="default"/>
          <w:spacing w:val="-1"/>
        </w:rPr>
        <w:t>”</w:t>
      </w:r>
      <w:r>
        <w:rPr>
          <w:spacing w:val="-1"/>
        </w:rPr>
        <w:t>在海外建设工业园区的典型代表，同时该工业园还获得了印尼政府颁发的</w:t>
      </w:r>
      <w:r>
        <w:rPr>
          <w:rFonts w:ascii="Times New Roman" w:hAnsi="Times New Roman" w:cs="Times New Roman" w:eastAsia="Times New Roman" w:hint="default"/>
          <w:spacing w:val="-1"/>
        </w:rPr>
        <w:t>“</w:t>
      </w:r>
      <w:r>
        <w:rPr>
          <w:spacing w:val="-1"/>
        </w:rPr>
        <w:t>绿色通道</w:t>
      </w:r>
      <w:r>
        <w:rPr>
          <w:rFonts w:ascii="Times New Roman" w:hAnsi="Times New Roman" w:cs="Times New Roman" w:eastAsia="Times New Roman" w:hint="default"/>
          <w:spacing w:val="-1"/>
        </w:rPr>
        <w:t>”</w:t>
      </w:r>
      <w:r>
        <w:rPr>
          <w:spacing w:val="-1"/>
        </w:rPr>
        <w:t>。公司海外工业园品牌</w:t>
      </w:r>
      <w:r>
        <w:rPr>
          <w:spacing w:val="-78"/>
        </w:rPr>
        <w:t> </w:t>
      </w:r>
      <w:r>
        <w:rPr>
          <w:spacing w:val="-78"/>
        </w:rPr>
      </w:r>
      <w:r>
        <w:rPr/>
        <w:t>得到的大幅提升，为下一步在非洲以及其他一带一路沿线国家的发展打下了很好的基础。</w:t>
      </w:r>
    </w:p>
    <w:p>
      <w:pPr>
        <w:spacing w:line="240" w:lineRule="auto" w:before="1"/>
        <w:rPr>
          <w:rFonts w:ascii="宋体" w:hAnsi="宋体" w:cs="宋体" w:eastAsia="宋体" w:hint="default"/>
          <w:sz w:val="21"/>
          <w:szCs w:val="21"/>
        </w:rPr>
      </w:pPr>
    </w:p>
    <w:p>
      <w:pPr>
        <w:pStyle w:val="Heading3"/>
        <w:spacing w:line="240" w:lineRule="auto"/>
        <w:ind w:right="94"/>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4"/>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参见“管理层讨论与分析”中的“一、概述”相关内容。</w:t>
      </w:r>
    </w:p>
    <w:p>
      <w:pPr>
        <w:spacing w:line="240" w:lineRule="auto" w:before="0"/>
        <w:rPr>
          <w:rFonts w:ascii="宋体" w:hAnsi="宋体" w:cs="宋体" w:eastAsia="宋体" w:hint="default"/>
          <w:sz w:val="18"/>
          <w:szCs w:val="18"/>
        </w:rPr>
      </w:pPr>
    </w:p>
    <w:p>
      <w:pPr>
        <w:pStyle w:val="Heading5"/>
        <w:spacing w:line="240" w:lineRule="auto" w:before="118"/>
        <w:ind w:right="94"/>
        <w:jc w:val="left"/>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88"/>
        <w:gridCol w:w="1602"/>
        <w:gridCol w:w="1582"/>
        <w:gridCol w:w="1600"/>
      </w:tblGrid>
      <w:tr>
        <w:trPr>
          <w:trHeight w:val="206"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6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2" w:type="dxa"/>
            <w:vMerge/>
            <w:tcBorders>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1,163,266,236.47</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670,442,561.22</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z w:val="18"/>
              </w:rPr>
              <w:t>100%</w:t>
            </w:r>
          </w:p>
        </w:tc>
        <w:tc>
          <w:tcPr>
            <w:tcW w:w="16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73.51%</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6"/>
              <w:jc w:val="right"/>
              <w:rPr>
                <w:rFonts w:ascii="Times New Roman" w:hAnsi="Times New Roman" w:cs="Times New Roman" w:eastAsia="Times New Roman" w:hint="default"/>
                <w:sz w:val="18"/>
                <w:szCs w:val="18"/>
              </w:rPr>
            </w:pPr>
            <w:r>
              <w:rPr>
                <w:rFonts w:ascii="Times New Roman"/>
                <w:spacing w:val="-1"/>
                <w:sz w:val="18"/>
              </w:rPr>
              <w:t>59,184,072.16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114,608,953.83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17.09%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-48.36%</w:t>
            </w:r>
          </w:p>
        </w:tc>
      </w:tr>
      <w:tr>
        <w:trPr>
          <w:trHeight w:val="401"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3,096,514.17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24,421,638.79</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3.64%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-87.32%</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pacing w:val="-1"/>
                <w:sz w:val="18"/>
              </w:rPr>
              <w:t>227,196,448.61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33.89%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1,088,071,684.01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282,757,625.61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1,958,548.13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3,550,281.16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10,955,418.00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17,907,613.22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-38.82%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电能质量优化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27,538,872.16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79,108,153.83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余热余压利用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31,645,200.00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35,500,800.00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-10.86%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3,096,514.17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24,421,638.79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-87.32%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227,196,448.61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1,088,071,684.01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282,757,625.61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1,958,548.13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3,550,281.16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-44.83%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租赁设备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10,955,418.00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17,907,613.22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-38.82%</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61,142,620.29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198,073,764.59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29.54%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-69.13%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1,102,123,616.18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94.74%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472,368,796.63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1,088,071,684.01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568,586,117.75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1,088,071,684.01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568,586,117.75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1,102,123,616.18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586,210,752.36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15.21%</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是 □</w:t>
      </w:r>
      <w:r>
        <w:rPr>
          <w:spacing w:val="3"/>
        </w:rPr>
        <w:t> </w:t>
      </w:r>
      <w:r>
        <w:rPr/>
        <w:t>否</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3"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输配电及控制设备</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万千乏</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-55.95%</w:t>
            </w:r>
          </w:p>
        </w:tc>
      </w:tr>
      <w:tr>
        <w:trPr>
          <w:trHeight w:val="404"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万千乏</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8"/>
        <w:gridCol w:w="1582"/>
        <w:gridCol w:w="1604"/>
        <w:gridCol w:w="1596"/>
        <w:gridCol w:w="1594"/>
        <w:gridCol w:w="1594"/>
      </w:tblGrid>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万千乏</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-25.81%</w:t>
            </w:r>
          </w:p>
        </w:tc>
      </w:tr>
      <w:tr>
        <w:trPr>
          <w:trHeight w:val="403"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万立方米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-87.51%</w:t>
            </w:r>
          </w:p>
        </w:tc>
      </w:tr>
      <w:tr>
        <w:trPr>
          <w:trHeight w:val="401"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万立方米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-87.51%</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万立方米</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万吨</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1,088,071,684.01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282,757,625.61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284.81%</w:t>
            </w:r>
          </w:p>
        </w:tc>
      </w:tr>
      <w:tr>
        <w:trPr>
          <w:trHeight w:val="401" w:hRule="exact"/>
        </w:trPr>
        <w:tc>
          <w:tcPr>
            <w:tcW w:w="1598" w:type="dxa"/>
            <w:vMerge/>
            <w:tcBorders>
              <w:left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1,088,071,684.01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282,757,625.61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284.81%</w:t>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60" w:lineRule="auto" w:before="101"/>
        <w:ind w:right="4464"/>
        <w:jc w:val="left"/>
      </w:pPr>
      <w:r>
        <w:rPr/>
        <w:t>√ 适用 □</w:t>
      </w:r>
      <w:r>
        <w:rPr>
          <w:spacing w:val="3"/>
        </w:rPr>
        <w:t> </w:t>
      </w:r>
      <w:r>
        <w:rPr/>
        <w:t>不适用</w:t>
      </w:r>
      <w:r>
        <w:rPr/>
        <w:t> </w:t>
      </w:r>
      <w:r>
        <w:rPr>
          <w:rFonts w:ascii="宋体" w:hAnsi="宋体" w:cs="宋体" w:eastAsia="宋体" w:hint="default"/>
        </w:rPr>
        <w:t>1</w:t>
      </w:r>
      <w:r>
        <w:rPr/>
        <w:t>、输配电及控制设备减少是因为国内电气设备市场发展趋缓所致。</w:t>
      </w:r>
    </w:p>
    <w:p>
      <w:pPr>
        <w:pStyle w:val="BodyText"/>
        <w:spacing w:line="222" w:lineRule="exact"/>
        <w:ind w:right="0"/>
        <w:jc w:val="left"/>
      </w:pPr>
      <w:r>
        <w:rPr>
          <w:rFonts w:ascii="宋体" w:hAnsi="宋体" w:cs="宋体" w:eastAsia="宋体" w:hint="default"/>
        </w:rPr>
        <w:t>2</w:t>
      </w:r>
      <w:r>
        <w:rPr/>
        <w:t>、采掘服务、煤炭产销业务的减少是因为前期订单已执行完毕，后续订单仍在谈判中。</w:t>
      </w:r>
    </w:p>
    <w:p>
      <w:pPr>
        <w:pStyle w:val="BodyText"/>
        <w:spacing w:line="240" w:lineRule="auto" w:before="76"/>
        <w:ind w:right="0"/>
        <w:jc w:val="left"/>
      </w:pPr>
      <w:r>
        <w:rPr>
          <w:rFonts w:ascii="宋体" w:hAnsi="宋体" w:cs="宋体" w:eastAsia="宋体" w:hint="default"/>
        </w:rPr>
        <w:t>3</w:t>
      </w:r>
      <w:r>
        <w:rPr/>
        <w:t>、机械成套装备业务大幅增加是因为出口订单大幅增加所致。</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right="144"/>
        <w:jc w:val="left"/>
      </w:pPr>
      <w:r>
        <w:rPr>
          <w:rFonts w:ascii="Times New Roman" w:hAnsi="Times New Roman" w:cs="Times New Roman" w:eastAsia="Times New Roman" w:hint="default"/>
        </w:rPr>
        <w:t>1</w:t>
      </w:r>
      <w:r>
        <w:rPr/>
        <w:t>、公司与</w:t>
      </w:r>
      <w:r>
        <w:rPr>
          <w:rFonts w:ascii="Times New Roman" w:hAnsi="Times New Roman" w:cs="Times New Roman" w:eastAsia="Times New Roman" w:hint="default"/>
        </w:rPr>
        <w:t>PT.Artabumi Sentra Industri</w:t>
      </w:r>
      <w:r>
        <w:rPr/>
        <w:t>和</w:t>
      </w:r>
      <w:r>
        <w:rPr>
          <w:rFonts w:ascii="Times New Roman" w:hAnsi="Times New Roman" w:cs="Times New Roman" w:eastAsia="Times New Roman" w:hint="default"/>
        </w:rPr>
        <w:t>PT. Pacific Metalurgi Indo</w:t>
      </w:r>
      <w:r>
        <w:rPr>
          <w:rFonts w:ascii="Times New Roman" w:hAnsi="Times New Roman" w:cs="Times New Roman" w:eastAsia="Times New Roman" w:hint="default"/>
          <w:spacing w:val="-7"/>
        </w:rPr>
        <w:t> </w:t>
      </w:r>
      <w:r>
        <w:rPr>
          <w:rFonts w:ascii="Times New Roman" w:hAnsi="Times New Roman" w:cs="Times New Roman" w:eastAsia="Times New Roman" w:hint="default"/>
        </w:rPr>
        <w:t>Smelter</w:t>
      </w:r>
      <w:r>
        <w:rPr/>
        <w:t>签订的重大销售合同在报告期均已执行完毕。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月份，公司与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10"/>
        </w:rPr>
        <w:t> </w:t>
      </w:r>
      <w:r>
        <w:rPr>
          <w:rFonts w:ascii="Times New Roman" w:hAnsi="Times New Roman" w:cs="Times New Roman" w:eastAsia="Times New Roman" w:hint="default"/>
        </w:rPr>
        <w:t>Selaras</w:t>
      </w:r>
      <w:r>
        <w:rPr/>
        <w:t>签订了《</w:t>
      </w:r>
      <w:r>
        <w:rPr>
          <w:rFonts w:ascii="Times New Roman" w:hAnsi="Times New Roman" w:cs="Times New Roman" w:eastAsia="Times New Roman" w:hint="default"/>
        </w:rPr>
        <w:t>RKEF</w:t>
      </w:r>
      <w:r>
        <w:rPr/>
        <w:t>特种冶炼设备成套合同》，合同额为</w:t>
      </w:r>
      <w:r>
        <w:rPr>
          <w:rFonts w:ascii="Times New Roman" w:hAnsi="Times New Roman" w:cs="Times New Roman" w:eastAsia="Times New Roman" w:hint="default"/>
        </w:rPr>
        <w:t>7,985</w:t>
      </w:r>
      <w:r>
        <w:rPr/>
        <w:t>万美元。</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日，公司与</w:t>
      </w:r>
      <w:r>
        <w:rPr>
          <w:rFonts w:ascii="Times New Roman" w:hAnsi="Times New Roman" w:cs="Times New Roman" w:eastAsia="Times New Roman" w:hint="default"/>
        </w:rPr>
        <w:t>PT.Metal Smeltindo</w:t>
      </w:r>
      <w:r>
        <w:rPr>
          <w:rFonts w:ascii="Times New Roman" w:hAnsi="Times New Roman" w:cs="Times New Roman" w:eastAsia="Times New Roman" w:hint="default"/>
          <w:spacing w:val="-7"/>
        </w:rPr>
        <w:t> </w:t>
      </w:r>
      <w:r>
        <w:rPr>
          <w:rFonts w:ascii="Times New Roman" w:hAnsi="Times New Roman" w:cs="Times New Roman" w:eastAsia="Times New Roman" w:hint="default"/>
        </w:rPr>
        <w:t>Selaras</w:t>
      </w:r>
      <w:r>
        <w:rPr/>
        <w:t>签订了《</w:t>
      </w:r>
      <w:r>
        <w:rPr>
          <w:rFonts w:ascii="Times New Roman" w:hAnsi="Times New Roman" w:cs="Times New Roman" w:eastAsia="Times New Roman" w:hint="default"/>
        </w:rPr>
        <w:t>RKEF</w:t>
      </w:r>
      <w:r>
        <w:rPr/>
        <w:t>特种冶炼设备成套合同变更协议》，合同由</w:t>
      </w:r>
      <w:r>
        <w:rPr>
          <w:rFonts w:ascii="Times New Roman" w:hAnsi="Times New Roman" w:cs="Times New Roman" w:eastAsia="Times New Roman" w:hint="default"/>
        </w:rPr>
        <w:t>2</w:t>
      </w:r>
      <w:r>
        <w:rPr/>
        <w:t>条</w:t>
      </w:r>
      <w:r>
        <w:rPr>
          <w:rFonts w:ascii="Times New Roman" w:hAnsi="Times New Roman" w:cs="Times New Roman" w:eastAsia="Times New Roman" w:hint="default"/>
        </w:rPr>
        <w:t>RKEF</w:t>
      </w:r>
      <w:r>
        <w:rPr/>
        <w:t>特种镍铁 冶炼生产线变更为</w:t>
      </w:r>
      <w:r>
        <w:rPr>
          <w:rFonts w:ascii="Times New Roman" w:hAnsi="Times New Roman" w:cs="Times New Roman" w:eastAsia="Times New Roman" w:hint="default"/>
        </w:rPr>
        <w:t>4</w:t>
      </w:r>
      <w:r>
        <w:rPr/>
        <w:t>条，合同金额变更为</w:t>
      </w:r>
      <w:r>
        <w:rPr>
          <w:rFonts w:ascii="Times New Roman" w:hAnsi="Times New Roman" w:cs="Times New Roman" w:eastAsia="Times New Roman" w:hint="default"/>
        </w:rPr>
        <w:t>92,814</w:t>
      </w:r>
      <w:r>
        <w:rPr/>
        <w:t>万元人民币。该项目合同已于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月份完成第一批次交付验收，剩余批 次的货物会在</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31</w:t>
      </w:r>
      <w:r>
        <w:rPr/>
        <w:t>日前分批交付验收。</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8"/>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20,634,934.99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41,257,829.28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-49.99%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1,877,250.20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3,679,883.10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-48.99%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输配电及控制设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27,470,877.07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26,783,981.84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2,883,403.69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14,219,227.69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-79.72%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3,112,891.46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4,704,911.33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采掘服务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10,213,655.42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11,931,635.98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9,475,665.42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19,155,066.33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煤炭产销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其他成本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162,612,334.20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36.21%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504,358,104.23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79.00%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138,112,109.77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116,727.00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748,065.94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机械成套装备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64,111,286.52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10,759,903.35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1,537,847.45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2,168,355.04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-29.08%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139,904.70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107,402.94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材料及其他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586,416.74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238,533.92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145.84%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租赁设备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1,414,684.04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3,113,514.24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-54.56%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3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详见第十节财务报告之附注八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及附注九</w:t>
      </w:r>
      <w:r>
        <w:rPr>
          <w:rFonts w:ascii="Times New Roman" w:hAnsi="Times New Roman" w:cs="Times New Roman" w:eastAsia="Times New Roman" w:hint="default"/>
        </w:rPr>
        <w:t>“</w:t>
      </w:r>
      <w:r>
        <w:rPr/>
        <w:t>其他主体中的权益</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9"/>
          <w:szCs w:val="19"/>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公司从</w:t>
      </w:r>
      <w:r>
        <w:rPr>
          <w:rFonts w:ascii="Times New Roman" w:hAnsi="Times New Roman" w:cs="Times New Roman" w:eastAsia="Times New Roman" w:hint="default"/>
          <w:spacing w:val="-2"/>
        </w:rPr>
        <w:t>14</w:t>
      </w:r>
      <w:r>
        <w:rPr>
          <w:spacing w:val="-2"/>
        </w:rPr>
        <w:t>年下半年起新增机械成套装备业务，报告期内持续为企业贡献大额利润，机械成套装备主要是特种冶炼设备成</w:t>
      </w:r>
    </w:p>
    <w:p>
      <w:pPr>
        <w:pStyle w:val="BodyText"/>
        <w:spacing w:line="228" w:lineRule="exact"/>
        <w:ind w:right="0"/>
        <w:jc w:val="left"/>
      </w:pPr>
      <w:r>
        <w:rPr/>
        <w:t>套及余热余压电站设备成套等，报告期共实现营业收入</w:t>
      </w:r>
      <w:r>
        <w:rPr>
          <w:rFonts w:ascii="Times New Roman" w:hAnsi="Times New Roman" w:cs="Times New Roman" w:eastAsia="Times New Roman" w:hint="default"/>
        </w:rPr>
        <w:t>108,807.17</w:t>
      </w:r>
      <w:r>
        <w:rPr/>
        <w:t>万元，占营业收入总额的</w:t>
      </w:r>
      <w:r>
        <w:rPr>
          <w:rFonts w:ascii="Times New Roman" w:hAnsi="Times New Roman" w:cs="Times New Roman" w:eastAsia="Times New Roman" w:hint="default"/>
        </w:rPr>
        <w:t>93.54%</w:t>
      </w:r>
      <w:r>
        <w:rPr/>
        <w:t>。</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1,137,440,816.18</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97.78%</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Pacific Metalurgi Indo</w:t>
            </w:r>
            <w:r>
              <w:rPr>
                <w:rFonts w:ascii="Times New Roman"/>
                <w:spacing w:val="-11"/>
                <w:sz w:val="18"/>
              </w:rPr>
              <w:t> </w:t>
            </w:r>
            <w:r>
              <w:rPr>
                <w:rFonts w:ascii="Times New Roman"/>
                <w:sz w:val="18"/>
              </w:rPr>
              <w:t>Smelter</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560,316,000.00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48.17%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PT.Artabumi Sentra</w:t>
            </w:r>
            <w:r>
              <w:rPr>
                <w:rFonts w:ascii="Times New Roman"/>
                <w:spacing w:val="-19"/>
                <w:sz w:val="18"/>
              </w:rPr>
              <w:t> </w:t>
            </w:r>
            <w:r>
              <w:rPr>
                <w:rFonts w:ascii="Times New Roman"/>
                <w:sz w:val="18"/>
              </w:rPr>
              <w:t>Industri</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538,711,102.01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46.31%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腾达西北铁合金有限责任公司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31,645,200.00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2.72%</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江苏省电力公司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PT.Penajam Prima</w:t>
            </w:r>
            <w:r>
              <w:rPr>
                <w:rFonts w:ascii="Times New Roman"/>
                <w:spacing w:val="-24"/>
                <w:sz w:val="18"/>
              </w:rPr>
              <w:t> </w:t>
            </w:r>
            <w:r>
              <w:rPr>
                <w:rFonts w:ascii="Times New Roman"/>
                <w:sz w:val="18"/>
              </w:rPr>
              <w:t>Coal</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3,096,514.17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1,137,440,816.18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97.78%</w:t>
            </w:r>
          </w:p>
        </w:tc>
      </w:tr>
    </w:tbl>
    <w:p>
      <w:pPr>
        <w:pStyle w:val="BodyText"/>
        <w:spacing w:line="240" w:lineRule="auto" w:before="49"/>
        <w:ind w:right="0"/>
        <w:jc w:val="left"/>
      </w:pPr>
      <w:r>
        <w:rPr/>
        <w:t>公司主要供应商情况</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184,508,681.54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35.40%</w:t>
            </w:r>
          </w:p>
        </w:tc>
      </w:tr>
    </w:tbl>
    <w:p>
      <w:pPr>
        <w:pStyle w:val="BodyText"/>
        <w:spacing w:line="240" w:lineRule="auto" w:before="49"/>
        <w:ind w:right="94"/>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青岛利瑞达物资有限公司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69,484,770.20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杭州市机电设备有限公司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36,038,296.64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郑州新威耐火材料有限公司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27,110,332.65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漯河市鑫源耐火材料有限公司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26,883,829.06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5.16%</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杭州中能汽轮动力有限公司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24,991,452.99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184,508,681.54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35.40%</w:t>
            </w:r>
          </w:p>
        </w:tc>
      </w:tr>
    </w:tbl>
    <w:p>
      <w:pPr>
        <w:spacing w:line="240" w:lineRule="auto" w:before="3"/>
        <w:rPr>
          <w:rFonts w:ascii="宋体" w:hAnsi="宋体" w:cs="宋体" w:eastAsia="宋体" w:hint="default"/>
          <w:sz w:val="19"/>
          <w:szCs w:val="19"/>
        </w:rPr>
      </w:pPr>
    </w:p>
    <w:p>
      <w:pPr>
        <w:pStyle w:val="Heading5"/>
        <w:spacing w:line="240" w:lineRule="auto" w:before="36"/>
        <w:ind w:right="94"/>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28,498,641.04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9,784,410.13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本报告期计提的港杂费增加所致</w:t>
            </w:r>
          </w:p>
        </w:tc>
      </w:tr>
      <w:tr>
        <w:trPr>
          <w:trHeight w:val="163"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106,404,257.56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38,889,996.67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2" w:right="0"/>
              <w:jc w:val="left"/>
              <w:rPr>
                <w:rFonts w:ascii="Times New Roman" w:hAnsi="Times New Roman" w:cs="Times New Roman" w:eastAsia="Times New Roman" w:hint="default"/>
                <w:sz w:val="18"/>
                <w:szCs w:val="18"/>
              </w:rPr>
            </w:pPr>
            <w:r>
              <w:rPr>
                <w:rFonts w:ascii="Times New Roman"/>
                <w:sz w:val="18"/>
              </w:rPr>
              <w:t>173.60%</w:t>
            </w:r>
          </w:p>
        </w:tc>
        <w:tc>
          <w:tcPr>
            <w:tcW w:w="2919" w:type="dxa"/>
            <w:vMerge w:val="restart"/>
            <w:tcBorders>
              <w:top w:val="single" w:sz="4" w:space="0" w:color="000000"/>
              <w:left w:val="single" w:sz="4" w:space="0" w:color="000000"/>
              <w:right w:val="single" w:sz="4" w:space="0" w:color="000000"/>
            </w:tcBorders>
          </w:tcPr>
          <w:p>
            <w:pPr>
              <w:pStyle w:val="TableParagraph"/>
              <w:spacing w:line="314"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本报告期股权激励成本摊销增加以 及研发成本增加所致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60" w:right="0"/>
              <w:jc w:val="left"/>
              <w:rPr>
                <w:rFonts w:ascii="Times New Roman" w:hAnsi="Times New Roman" w:cs="Times New Roman" w:eastAsia="Times New Roman" w:hint="default"/>
                <w:sz w:val="18"/>
                <w:szCs w:val="18"/>
              </w:rPr>
            </w:pPr>
            <w:r>
              <w:rPr>
                <w:rFonts w:ascii="Times New Roman"/>
                <w:sz w:val="18"/>
              </w:rPr>
              <w:t>19,179,297.12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23,695,163.44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-19.06%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94"/>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25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报告期内公司研发支出</w:t>
      </w:r>
      <w:r>
        <w:rPr>
          <w:rFonts w:ascii="Times New Roman" w:hAnsi="Times New Roman" w:cs="Times New Roman" w:eastAsia="Times New Roman" w:hint="default"/>
        </w:rPr>
        <w:t>4,357.20</w:t>
      </w:r>
      <w:r>
        <w:rPr/>
        <w:t>万元，占报告期内营业收入的比重为</w:t>
      </w:r>
      <w:r>
        <w:rPr>
          <w:rFonts w:ascii="Times New Roman" w:hAnsi="Times New Roman" w:cs="Times New Roman" w:eastAsia="Times New Roman" w:hint="default"/>
        </w:rPr>
        <w:t>3.75%</w:t>
      </w:r>
      <w:r>
        <w:rPr/>
        <w:t>。公司为高新技术企业，一直将研发创新纳</w:t>
      </w:r>
    </w:p>
    <w:p>
      <w:pPr>
        <w:pStyle w:val="BodyText"/>
        <w:spacing w:line="215" w:lineRule="exact"/>
        <w:ind w:right="0"/>
        <w:jc w:val="left"/>
      </w:pPr>
      <w:r>
        <w:rPr/>
        <w:t>入公司的战略规划。报告期主要开展了并联电抗器成套装置开发、母线型电压互感器研发、集成式电容器成套装置的开发、</w:t>
      </w:r>
    </w:p>
    <w:p>
      <w:pPr>
        <w:pStyle w:val="BodyText"/>
        <w:spacing w:line="300" w:lineRule="auto" w:before="76"/>
        <w:ind w:right="94"/>
        <w:jc w:val="left"/>
      </w:pPr>
      <w:r>
        <w:rPr>
          <w:spacing w:val="-1"/>
        </w:rPr>
        <w:t>干式磁控电抗器</w:t>
      </w:r>
      <w:r>
        <w:rPr>
          <w:rFonts w:ascii="Times New Roman" w:hAnsi="Times New Roman" w:cs="Times New Roman" w:eastAsia="Times New Roman" w:hint="default"/>
          <w:spacing w:val="-1"/>
        </w:rPr>
        <w:t>MCR-5000/10.5</w:t>
      </w:r>
      <w:r>
        <w:rPr>
          <w:spacing w:val="-1"/>
        </w:rPr>
        <w:t>的开发、镍铁特种冶炼余热发电技术研究、矿热电炉镍铁冶炼渣综合利用技术研究、特种镍</w:t>
      </w:r>
      <w:r>
        <w:rPr>
          <w:spacing w:val="-42"/>
        </w:rPr>
        <w:t> </w:t>
      </w:r>
      <w:r>
        <w:rPr>
          <w:spacing w:val="-42"/>
        </w:rPr>
      </w:r>
      <w:r>
        <w:rPr/>
        <w:t>铁冶炼燃煤电厂技术研发等研发项目，并取得预期进展。</w:t>
      </w:r>
    </w:p>
    <w:p>
      <w:pPr>
        <w:pStyle w:val="BodyText"/>
        <w:spacing w:line="240" w:lineRule="auto" w:before="72"/>
        <w:ind w:right="94"/>
        <w:jc w:val="left"/>
      </w:pPr>
      <w:r>
        <w:rPr/>
        <w:t>近三年公司研发投入金额及占营业收入的比例</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12.30%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43,572,013.90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11,469,376.53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7,052,228.81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36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润的比重</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1,051,657,953.83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594,821,101.84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76.80%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482,944,746.60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456,415,679.09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568,713,207.23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138,405,422.75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310.90%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7,648,332.99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27,215.47%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201,440,804.30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316,526,948.91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-36.36%</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-193,792,471.31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-316,498,948.91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38.77%</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114,773,570.46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183,725,545.18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-37.53%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282,441,407.24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134,637,232.21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-167,667,836.78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49,088,312.97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-441.56%</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210,442,276.93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-130,827,198.22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260.86%</w:t>
            </w:r>
          </w:p>
        </w:tc>
      </w:tr>
    </w:tbl>
    <w:p>
      <w:pPr>
        <w:pStyle w:val="BodyText"/>
        <w:spacing w:line="240" w:lineRule="auto" w:before="49"/>
        <w:ind w:right="0"/>
        <w:jc w:val="left"/>
      </w:pPr>
      <w:r>
        <w:rPr/>
        <w:t>相关数据同比发生重大变动的主要影响因素说明</w:t>
      </w:r>
    </w:p>
    <w:p>
      <w:pPr>
        <w:pStyle w:val="BodyText"/>
        <w:spacing w:line="319"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rFonts w:ascii="Times New Roman" w:hAnsi="Times New Roman" w:cs="Times New Roman" w:eastAsia="Times New Roman" w:hint="default"/>
          <w:spacing w:val="-1"/>
        </w:rPr>
        <w:t>(1)</w:t>
      </w:r>
      <w:r>
        <w:rPr>
          <w:spacing w:val="-1"/>
        </w:rPr>
        <w:t>经营活动产生的现金流量净额</w:t>
      </w:r>
      <w:r>
        <w:rPr>
          <w:rFonts w:ascii="Times New Roman" w:hAnsi="Times New Roman" w:cs="Times New Roman" w:eastAsia="Times New Roman" w:hint="default"/>
          <w:spacing w:val="-1"/>
        </w:rPr>
        <w:t>2015</w:t>
      </w:r>
      <w:r>
        <w:rPr>
          <w:spacing w:val="-1"/>
        </w:rPr>
        <w:t>年发生额金额较</w:t>
      </w:r>
      <w:r>
        <w:rPr>
          <w:rFonts w:ascii="Times New Roman" w:hAnsi="Times New Roman" w:cs="Times New Roman" w:eastAsia="Times New Roman" w:hint="default"/>
          <w:spacing w:val="-1"/>
        </w:rPr>
        <w:t>2014</w:t>
      </w:r>
      <w:r>
        <w:rPr>
          <w:spacing w:val="-1"/>
        </w:rPr>
        <w:t>年发生额增加</w:t>
      </w:r>
      <w:r>
        <w:rPr>
          <w:rFonts w:ascii="Times New Roman" w:hAnsi="Times New Roman" w:cs="Times New Roman" w:eastAsia="Times New Roman" w:hint="default"/>
          <w:spacing w:val="-1"/>
        </w:rPr>
        <w:t>310.90%</w:t>
      </w:r>
      <w:r>
        <w:rPr>
          <w:spacing w:val="-1"/>
        </w:rPr>
        <w:t>，主要原因是本报告期销售产品回款增加所</w:t>
      </w:r>
      <w:r>
        <w:rPr>
          <w:spacing w:val="-71"/>
        </w:rPr>
        <w:t> </w:t>
      </w:r>
      <w:r>
        <w:rPr>
          <w:spacing w:val="-71"/>
        </w:rPr>
      </w:r>
      <w:r>
        <w:rPr/>
        <w:t>致；</w:t>
      </w:r>
    </w:p>
    <w:p>
      <w:pPr>
        <w:pStyle w:val="BodyText"/>
        <w:spacing w:line="307" w:lineRule="auto" w:before="17"/>
        <w:ind w:right="0"/>
        <w:jc w:val="left"/>
      </w:pPr>
      <w:r>
        <w:rPr>
          <w:rFonts w:ascii="Times New Roman" w:hAnsi="Times New Roman" w:cs="Times New Roman" w:eastAsia="Times New Roman" w:hint="default"/>
        </w:rPr>
        <w:t>(2)</w:t>
      </w:r>
      <w:r>
        <w:rPr/>
        <w:t>投资活动产生的现金流量净额</w:t>
      </w:r>
      <w:r>
        <w:rPr>
          <w:rFonts w:ascii="Times New Roman" w:hAnsi="Times New Roman" w:cs="Times New Roman" w:eastAsia="Times New Roman" w:hint="default"/>
        </w:rPr>
        <w:t>2015</w:t>
      </w:r>
      <w:r>
        <w:rPr/>
        <w:t>年发生额金额较</w:t>
      </w:r>
      <w:r>
        <w:rPr>
          <w:rFonts w:ascii="Times New Roman" w:hAnsi="Times New Roman" w:cs="Times New Roman" w:eastAsia="Times New Roman" w:hint="default"/>
        </w:rPr>
        <w:t>2014</w:t>
      </w:r>
      <w:r>
        <w:rPr/>
        <w:t>年发生额增加</w:t>
      </w:r>
      <w:r>
        <w:rPr>
          <w:rFonts w:ascii="Times New Roman" w:hAnsi="Times New Roman" w:cs="Times New Roman" w:eastAsia="Times New Roman" w:hint="default"/>
        </w:rPr>
        <w:t>38.77%</w:t>
      </w:r>
      <w:r>
        <w:rPr/>
        <w:t>，主要原因是本报告期海外工业园的资本性</w:t>
      </w:r>
      <w:r>
        <w:rPr>
          <w:w w:val="99"/>
        </w:rPr>
        <w:t> </w:t>
      </w:r>
      <w:r>
        <w:rPr/>
        <w:t>支出少于去年同期所致；</w:t>
      </w:r>
      <w:r>
        <w:rPr>
          <w:w w:val="99"/>
        </w:rPr>
        <w:t> </w:t>
      </w:r>
      <w:r>
        <w:rPr>
          <w:rFonts w:ascii="Times New Roman" w:hAnsi="Times New Roman" w:cs="Times New Roman" w:eastAsia="Times New Roman" w:hint="default"/>
          <w:spacing w:val="-1"/>
        </w:rPr>
        <w:t>(3)</w:t>
      </w:r>
      <w:r>
        <w:rPr>
          <w:spacing w:val="-1"/>
        </w:rPr>
        <w:t>筹资活动产生的现金流量净额</w:t>
      </w:r>
      <w:r>
        <w:rPr>
          <w:rFonts w:ascii="Times New Roman" w:hAnsi="Times New Roman" w:cs="Times New Roman" w:eastAsia="Times New Roman" w:hint="default"/>
          <w:spacing w:val="-1"/>
        </w:rPr>
        <w:t>2015</w:t>
      </w:r>
      <w:r>
        <w:rPr>
          <w:spacing w:val="-1"/>
        </w:rPr>
        <w:t>年发生额金额较</w:t>
      </w:r>
      <w:r>
        <w:rPr>
          <w:rFonts w:ascii="Times New Roman" w:hAnsi="Times New Roman" w:cs="Times New Roman" w:eastAsia="Times New Roman" w:hint="default"/>
          <w:spacing w:val="-1"/>
        </w:rPr>
        <w:t>2014</w:t>
      </w:r>
      <w:r>
        <w:rPr>
          <w:spacing w:val="-1"/>
        </w:rPr>
        <w:t>年发生额减少</w:t>
      </w:r>
      <w:r>
        <w:rPr>
          <w:rFonts w:ascii="Times New Roman" w:hAnsi="Times New Roman" w:cs="Times New Roman" w:eastAsia="Times New Roman" w:hint="default"/>
          <w:spacing w:val="-1"/>
        </w:rPr>
        <w:t>441.56%</w:t>
      </w:r>
      <w:r>
        <w:rPr>
          <w:spacing w:val="-1"/>
        </w:rPr>
        <w:t>，主要原因是本报告期筹资收入少于去年同</w:t>
      </w:r>
      <w:r>
        <w:rPr>
          <w:spacing w:val="-72"/>
        </w:rPr>
        <w:t> </w:t>
      </w:r>
      <w:r>
        <w:rPr>
          <w:spacing w:val="-72"/>
        </w:rPr>
      </w:r>
      <w:r>
        <w:rPr/>
        <w:t>期且偿还借款金额多于去年同期所致。</w:t>
      </w:r>
    </w:p>
    <w:p>
      <w:pPr>
        <w:pStyle w:val="BodyText"/>
        <w:spacing w:line="240" w:lineRule="auto" w:before="67"/>
        <w:ind w:right="0"/>
        <w:jc w:val="left"/>
      </w:pPr>
      <w:r>
        <w:rPr/>
        <w:t>报告期内公司经营活动产生的现金净流量与本年度净利润存在重大差异的原因说明</w:t>
      </w:r>
    </w:p>
    <w:p>
      <w:pPr>
        <w:pStyle w:val="BodyText"/>
        <w:spacing w:line="340" w:lineRule="auto" w:before="115"/>
        <w:ind w:right="38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存在差异的主要原因是本报告期材料采购款大部分是以票据形式结算所致。</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、资产及负债构成重大变动情况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379" w:hRule="exact"/>
        </w:trPr>
        <w:tc>
          <w:tcPr>
            <w:tcW w:w="1356"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356" w:type="dxa"/>
            <w:vMerge w:val="restart"/>
            <w:tcBorders>
              <w:top w:val="single" w:sz="13" w:space="0" w:color="FFFFFF"/>
              <w:left w:val="single" w:sz="4" w:space="0" w:color="000000"/>
              <w:right w:val="single" w:sz="4" w:space="0" w:color="000000"/>
            </w:tcBorders>
            <w:shd w:val="clear" w:color="auto" w:fill="D2D2D2"/>
          </w:tcPr>
          <w:p>
            <w:pPr/>
          </w:p>
        </w:tc>
        <w:tc>
          <w:tcPr>
            <w:tcW w:w="1164"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413,594,215.1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19.36%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111,831,398.71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7.78%</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11.58%</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488,415,364.2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22.86%</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258,220,586.48</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17.97%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4.89%</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59,371,697.45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64,297,633.15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222,099,657.8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10.39%</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255,425,336.39</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17.77%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-7.38%</w:t>
            </w:r>
          </w:p>
        </w:tc>
        <w:tc>
          <w:tcPr>
            <w:tcW w:w="2919" w:type="dxa"/>
            <w:vMerge w:val="restart"/>
            <w:tcBorders>
              <w:top w:val="single" w:sz="4" w:space="0" w:color="000000"/>
              <w:left w:val="single" w:sz="4" w:space="0" w:color="000000"/>
              <w:right w:val="single" w:sz="4" w:space="0" w:color="000000"/>
            </w:tcBorders>
          </w:tcPr>
          <w:p>
            <w:pPr/>
          </w:p>
        </w:tc>
      </w:tr>
      <w:tr>
        <w:trPr>
          <w:trHeight w:val="394"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161"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216,469,295.8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10.13%</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137,584,480.07</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9.57%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0.56%</w:t>
            </w:r>
          </w:p>
        </w:tc>
        <w:tc>
          <w:tcPr>
            <w:tcW w:w="2919" w:type="dxa"/>
            <w:vMerge w:val="restart"/>
            <w:tcBorders>
              <w:top w:val="single" w:sz="4" w:space="0" w:color="000000"/>
              <w:left w:val="single" w:sz="4" w:space="0" w:color="000000"/>
              <w:right w:val="single" w:sz="4" w:space="0" w:color="000000"/>
            </w:tcBorders>
          </w:tcPr>
          <w:p>
            <w:pPr/>
          </w:p>
        </w:tc>
      </w:tr>
      <w:tr>
        <w:trPr>
          <w:trHeight w:val="391" w:hRule="exact"/>
        </w:trPr>
        <w:tc>
          <w:tcPr>
            <w:tcW w:w="13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188,383,280.00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338,285,282.38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-44.31%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5"/>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61"/>
        <w:jc w:val="right"/>
      </w:pPr>
      <w:r>
        <w:rPr/>
        <w:pict>
          <v:shape style="position:absolute;margin-left:56.400002pt;margin-top:-252.748276pt;width:479.05pt;height:288.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7"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2011</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center"/>
                          <w:rPr>
                            <w:rFonts w:ascii="Times New Roman" w:hAnsi="Times New Roman" w:cs="Times New Roman" w:eastAsia="Times New Roman" w:hint="default"/>
                            <w:sz w:val="18"/>
                            <w:szCs w:val="18"/>
                          </w:rPr>
                        </w:pPr>
                        <w:r>
                          <w:rPr>
                            <w:rFonts w:ascii="Times New Roman"/>
                            <w:sz w:val="18"/>
                          </w:rPr>
                          <w:t>40,277.19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41,252.1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12,037.19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29.89%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98" w:right="0"/>
                          <w:jc w:val="center"/>
                          <w:rPr>
                            <w:rFonts w:ascii="Times New Roman" w:hAnsi="Times New Roman" w:cs="Times New Roman" w:eastAsia="Times New Roman" w:hint="default"/>
                            <w:sz w:val="18"/>
                            <w:szCs w:val="18"/>
                          </w:rPr>
                        </w:pPr>
                        <w:r>
                          <w:rPr>
                            <w:rFonts w:ascii="Times New Roman"/>
                            <w:sz w:val="18"/>
                          </w:rPr>
                          <w:t>40,277.19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41,252.1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29.89%</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900"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经中国证券监督管理委员会《关于核准青岛市恒顺电气股份有限公司首次公开发行股票的批复》（证监许可［</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500</w:t>
                        </w:r>
                        <w:r>
                          <w:rPr>
                            <w:rFonts w:ascii="Times New Roman" w:hAnsi="Times New Roman" w:cs="Times New Roman" w:eastAsia="Times New Roman" w:hint="default"/>
                            <w:spacing w:val="-30"/>
                            <w:sz w:val="18"/>
                            <w:szCs w:val="18"/>
                          </w:rPr>
                          <w:t> </w:t>
                        </w:r>
                        <w:r>
                          <w:rPr>
                            <w:rFonts w:ascii="Times New Roman" w:hAnsi="Times New Roman" w:cs="Times New Roman" w:eastAsia="Times New Roman" w:hint="default"/>
                            <w:spacing w:val="-30"/>
                            <w:sz w:val="18"/>
                            <w:szCs w:val="18"/>
                          </w:rPr>
                        </w:r>
                        <w:r>
                          <w:rPr>
                            <w:rFonts w:ascii="宋体" w:hAnsi="宋体" w:cs="宋体" w:eastAsia="宋体" w:hint="default"/>
                            <w:spacing w:val="-5"/>
                            <w:sz w:val="18"/>
                            <w:szCs w:val="18"/>
                          </w:rPr>
                          <w:t>号文）核准，青岛市恒顺电气股份有限公司（以下简称“公司”）公开发行不超过</w:t>
                        </w:r>
                        <w:r>
                          <w:rPr>
                            <w:rFonts w:ascii="宋体" w:hAnsi="宋体" w:cs="宋体" w:eastAsia="宋体" w:hint="default"/>
                            <w:spacing w:val="-30"/>
                            <w:sz w:val="18"/>
                            <w:szCs w:val="18"/>
                          </w:rPr>
                          <w:t> </w:t>
                        </w:r>
                        <w:r>
                          <w:rPr>
                            <w:rFonts w:ascii="Times New Roman" w:hAnsi="Times New Roman" w:cs="Times New Roman" w:eastAsia="Times New Roman" w:hint="default"/>
                            <w:spacing w:val="-1"/>
                            <w:sz w:val="18"/>
                            <w:szCs w:val="18"/>
                          </w:rPr>
                          <w:t>1,750</w:t>
                        </w:r>
                        <w:r>
                          <w:rPr>
                            <w:rFonts w:ascii="Times New Roman" w:hAnsi="Times New Roman" w:cs="Times New Roman" w:eastAsia="Times New Roman" w:hint="default"/>
                            <w:spacing w:val="15"/>
                            <w:sz w:val="18"/>
                            <w:szCs w:val="18"/>
                          </w:rPr>
                          <w:t> </w:t>
                        </w:r>
                        <w:r>
                          <w:rPr>
                            <w:rFonts w:ascii="宋体" w:hAnsi="宋体" w:cs="宋体" w:eastAsia="宋体" w:hint="default"/>
                            <w:spacing w:val="-2"/>
                            <w:sz w:val="18"/>
                            <w:szCs w:val="18"/>
                          </w:rPr>
                          <w:t>万股，公司采用网下向询价对象配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售与网上向社会公众投资者定价发行相结合的方式，公开发行人民币普通股（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1,750 </w:t>
                        </w:r>
                        <w:r>
                          <w:rPr>
                            <w:rFonts w:ascii="宋体" w:hAnsi="宋体" w:cs="宋体" w:eastAsia="宋体" w:hint="default"/>
                            <w:sz w:val="18"/>
                            <w:szCs w:val="18"/>
                          </w:rPr>
                          <w:t>万股，每股面值人民币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每股发行价为人民币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元，募集资金总额为人民币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43,750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万元，扣除承销佣金和保荐费用等与发行上市有关的费用人</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3,472.81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万元，实际募集资金净额为人民币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40,277.19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万元。上述募集资金实际到位时间为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日，已经</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山东汇德会计师事务所有限公司审验，并出具了（</w:t>
                        </w:r>
                        <w:r>
                          <w:rPr>
                            <w:rFonts w:ascii="Times New Roman" w:hAnsi="Times New Roman" w:cs="Times New Roman" w:eastAsia="Times New Roman" w:hint="default"/>
                            <w:sz w:val="18"/>
                            <w:szCs w:val="18"/>
                          </w:rPr>
                          <w:t>2011</w:t>
                        </w:r>
                        <w:r>
                          <w:rPr>
                            <w:rFonts w:ascii="宋体" w:hAnsi="宋体" w:cs="宋体" w:eastAsia="宋体" w:hint="default"/>
                            <w:sz w:val="18"/>
                            <w:szCs w:val="18"/>
                          </w:rPr>
                          <w:t>）汇所验字第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号验资报告。根据公司《招股说明书》披露的</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募集资金用途，公司计划使用募集资金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20,540 </w:t>
                        </w:r>
                        <w:r>
                          <w:rPr>
                            <w:rFonts w:ascii="宋体" w:hAnsi="宋体" w:cs="宋体" w:eastAsia="宋体" w:hint="default"/>
                            <w:spacing w:val="-3"/>
                            <w:sz w:val="18"/>
                            <w:szCs w:val="18"/>
                          </w:rPr>
                          <w:t>万元，本次超募资金为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19,737.19 </w:t>
                        </w:r>
                        <w:r>
                          <w:rPr>
                            <w:rFonts w:ascii="宋体" w:hAnsi="宋体" w:cs="宋体" w:eastAsia="宋体" w:hint="default"/>
                            <w:spacing w:val="-5"/>
                            <w:sz w:val="18"/>
                            <w:szCs w:val="18"/>
                          </w:rPr>
                          <w:t>万元。截至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日，本公司募</w:t>
                        </w:r>
                      </w:p>
                      <w:p>
                        <w:pPr>
                          <w:pStyle w:val="TableParagraph"/>
                          <w:spacing w:line="300" w:lineRule="auto" w:before="63"/>
                          <w:ind w:left="24" w:right="109"/>
                          <w:jc w:val="left"/>
                          <w:rPr>
                            <w:rFonts w:ascii="宋体" w:hAnsi="宋体" w:cs="宋体" w:eastAsia="宋体" w:hint="default"/>
                            <w:sz w:val="18"/>
                            <w:szCs w:val="18"/>
                          </w:rPr>
                        </w:pPr>
                        <w:r>
                          <w:rPr>
                            <w:rFonts w:ascii="宋体" w:hAnsi="宋体" w:cs="宋体" w:eastAsia="宋体" w:hint="default"/>
                            <w:sz w:val="18"/>
                            <w:szCs w:val="18"/>
                          </w:rPr>
                          <w:t>集资金累计投入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41,252.10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万元。截至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日，本公司前次募集资金已使用完毕，募集资金存储专户余额为零</w:t>
                        </w:r>
                        <w:r>
                          <w:rPr>
                            <w:rFonts w:ascii="宋体" w:hAnsi="宋体" w:cs="宋体" w:eastAsia="宋体" w:hint="default"/>
                            <w:sz w:val="18"/>
                            <w:szCs w:val="18"/>
                          </w:rPr>
                          <w:t> 所有存储专户均已注销。</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7"/>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50"/>
        <w:gridCol w:w="737"/>
        <w:gridCol w:w="724"/>
        <w:gridCol w:w="716"/>
        <w:gridCol w:w="716"/>
        <w:gridCol w:w="719"/>
        <w:gridCol w:w="718"/>
        <w:gridCol w:w="718"/>
        <w:gridCol w:w="718"/>
        <w:gridCol w:w="719"/>
        <w:gridCol w:w="718"/>
        <w:gridCol w:w="709"/>
      </w:tblGrid>
      <w:tr>
        <w:trPr>
          <w:trHeight w:val="1650"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368" w:right="9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2" w:lineRule="auto"/>
              <w:ind w:left="64" w:right="60"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3" w:right="88"/>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0"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9" w:right="85"/>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80" w:right="87"/>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4" w:right="7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1"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9" w:right="86"/>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88"/>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80" w:right="85"/>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7" w:right="79"/>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675" w:hRule="exact"/>
        </w:trPr>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77"/>
              <w:jc w:val="left"/>
              <w:rPr>
                <w:rFonts w:ascii="宋体" w:hAnsi="宋体" w:cs="宋体" w:eastAsia="宋体" w:hint="default"/>
                <w:sz w:val="18"/>
                <w:szCs w:val="18"/>
              </w:rPr>
            </w:pPr>
            <w:r>
              <w:rPr>
                <w:rFonts w:ascii="宋体" w:hAnsi="宋体" w:cs="宋体" w:eastAsia="宋体" w:hint="default"/>
                <w:sz w:val="18"/>
                <w:szCs w:val="18"/>
              </w:rPr>
              <w:t>高压无功补偿装置 产品升级及产业化</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11,360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6,940.24</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0.01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6,720.59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96.84%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9.81</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1,202.52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8.9pt;height:692.65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2"/>
                    <w:gridCol w:w="737"/>
                    <w:gridCol w:w="724"/>
                    <w:gridCol w:w="716"/>
                    <w:gridCol w:w="716"/>
                    <w:gridCol w:w="694"/>
                    <w:gridCol w:w="743"/>
                    <w:gridCol w:w="718"/>
                    <w:gridCol w:w="718"/>
                    <w:gridCol w:w="719"/>
                    <w:gridCol w:w="718"/>
                    <w:gridCol w:w="709"/>
                  </w:tblGrid>
                  <w:tr>
                    <w:trPr>
                      <w:trHeight w:val="363"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研发中心建设项目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6,680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5,573.78</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0.02</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5,064.5</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90.86%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both"/>
                          <w:rPr>
                            <w:rFonts w:ascii="宋体" w:hAnsi="宋体" w:cs="宋体" w:eastAsia="宋体" w:hint="default"/>
                            <w:sz w:val="18"/>
                            <w:szCs w:val="18"/>
                          </w:rPr>
                        </w:pPr>
                        <w:r>
                          <w:rPr>
                            <w:rFonts w:ascii="宋体" w:hAnsi="宋体" w:cs="宋体" w:eastAsia="宋体" w:hint="default"/>
                            <w:sz w:val="18"/>
                            <w:szCs w:val="18"/>
                          </w:rPr>
                          <w:t>营销网络和客户服 务基础平台建设项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1,121.82</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1,121.96</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49"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《高压无功补偿装 置产品升级及产业 </w:t>
                        </w:r>
                        <w:r>
                          <w:rPr>
                            <w:rFonts w:ascii="宋体" w:hAnsi="宋体" w:cs="宋体" w:eastAsia="宋体" w:hint="default"/>
                            <w:spacing w:val="-3"/>
                            <w:sz w:val="18"/>
                            <w:szCs w:val="18"/>
                          </w:rPr>
                          <w:t>化项目》募集资金结</w:t>
                        </w:r>
                        <w:r>
                          <w:rPr>
                            <w:rFonts w:ascii="宋体" w:hAnsi="宋体" w:cs="宋体" w:eastAsia="宋体" w:hint="default"/>
                            <w:sz w:val="18"/>
                            <w:szCs w:val="18"/>
                          </w:rPr>
                          <w:t> 余永久补充流动资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4,704.51</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4,704.51</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《研发中心建设项 </w:t>
                        </w:r>
                        <w:r>
                          <w:rPr>
                            <w:rFonts w:ascii="宋体" w:hAnsi="宋体" w:cs="宋体" w:eastAsia="宋体" w:hint="default"/>
                            <w:spacing w:val="-3"/>
                            <w:sz w:val="18"/>
                            <w:szCs w:val="18"/>
                          </w:rPr>
                          <w:t>目》募集资金结余永</w:t>
                        </w:r>
                        <w:r>
                          <w:rPr>
                            <w:rFonts w:ascii="宋体" w:hAnsi="宋体" w:cs="宋体" w:eastAsia="宋体" w:hint="default"/>
                            <w:sz w:val="18"/>
                            <w:szCs w:val="18"/>
                          </w:rPr>
                          <w:t> 久补充流动资金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1,698.17</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1,698.17</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《营销网络和客户 服务基础平台建设 </w:t>
                        </w:r>
                        <w:r>
                          <w:rPr>
                            <w:rFonts w:ascii="宋体" w:hAnsi="宋体" w:cs="宋体" w:eastAsia="宋体" w:hint="default"/>
                            <w:spacing w:val="-3"/>
                            <w:sz w:val="18"/>
                            <w:szCs w:val="18"/>
                          </w:rPr>
                          <w:t>项目》募集资金结余</w:t>
                        </w:r>
                        <w:r>
                          <w:rPr>
                            <w:rFonts w:ascii="宋体" w:hAnsi="宋体" w:cs="宋体" w:eastAsia="宋体" w:hint="default"/>
                            <w:sz w:val="18"/>
                            <w:szCs w:val="18"/>
                          </w:rPr>
                          <w:t> 永久补充流动资金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1,451.38</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w w:val="95"/>
                            <w:sz w:val="18"/>
                          </w:rPr>
                          <w:t>1,451.38</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不可分割的效益</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52,846.9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67,776.9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2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20,540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21,489.9</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0.03</w:t>
                        </w:r>
                      </w:p>
                    </w:tc>
                    <w:tc>
                      <w:tcPr>
                        <w:tcW w:w="694" w:type="dxa"/>
                        <w:vMerge w:val="restart"/>
                        <w:tcBorders>
                          <w:top w:val="single" w:sz="4" w:space="0" w:color="000000"/>
                          <w:left w:val="single" w:sz="4" w:space="0" w:color="000000"/>
                          <w:right w:val="single" w:sz="10"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20,761.1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1</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52,856.7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w:t>
                        </w:r>
                      </w:p>
                    </w:tc>
                    <w:tc>
                      <w:tcPr>
                        <w:tcW w:w="719" w:type="dxa"/>
                        <w:vMerge w:val="restart"/>
                        <w:tcBorders>
                          <w:top w:val="single" w:sz="4" w:space="0" w:color="000000"/>
                          <w:left w:val="single" w:sz="4" w:space="0" w:color="000000"/>
                          <w:right w:val="single" w:sz="10"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68,979.4</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4</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24" w:type="dxa"/>
                        <w:vMerge/>
                        <w:tcBorders>
                          <w:left w:val="single" w:sz="9" w:space="0" w:color="D2D2D2"/>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10"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37" w:right="0"/>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19"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7"/>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24" w:type="dxa"/>
                        <w:vMerge/>
                        <w:tcBorders>
                          <w:left w:val="single" w:sz="9" w:space="0" w:color="D2D2D2"/>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10"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5"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both"/>
                          <w:rPr>
                            <w:rFonts w:ascii="宋体" w:hAnsi="宋体" w:cs="宋体" w:eastAsia="宋体" w:hint="default"/>
                            <w:sz w:val="18"/>
                            <w:szCs w:val="18"/>
                          </w:rPr>
                        </w:pPr>
                        <w:r>
                          <w:rPr>
                            <w:rFonts w:ascii="宋体" w:hAnsi="宋体" w:cs="宋体" w:eastAsia="宋体" w:hint="default"/>
                            <w:sz w:val="18"/>
                            <w:szCs w:val="18"/>
                          </w:rPr>
                          <w:t>腾达西北铁合金矿 热炉余热发电合同 能源管理项目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4,200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4,200</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4,200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987.23</w:t>
                        </w:r>
                      </w:p>
                    </w:tc>
                    <w:tc>
                      <w:tcPr>
                        <w:tcW w:w="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6,102.47</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印尼苏拉威西镍铁 工业园项目一期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12,710.0</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3</w:t>
                        </w: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12,790.</w:t>
                        </w:r>
                      </w:p>
                      <w:p>
                        <w:pPr>
                          <w:pStyle w:val="TableParagraph"/>
                          <w:spacing w:line="240" w:lineRule="auto" w:before="105"/>
                          <w:ind w:left="452" w:right="0"/>
                          <w:jc w:val="left"/>
                          <w:rPr>
                            <w:rFonts w:ascii="Times New Roman" w:hAnsi="Times New Roman" w:cs="Times New Roman" w:eastAsia="Times New Roman" w:hint="default"/>
                            <w:sz w:val="18"/>
                            <w:szCs w:val="18"/>
                          </w:rPr>
                        </w:pPr>
                        <w:r>
                          <w:rPr>
                            <w:rFonts w:ascii="Times New Roman"/>
                            <w:sz w:val="18"/>
                          </w:rPr>
                          <w:t>99</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100.64%</w:t>
                        </w: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南加里曼丹印尼</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ASAM-ASAM</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发电</w:t>
                        </w:r>
                      </w:p>
                      <w:p>
                        <w:pPr>
                          <w:pStyle w:val="TableParagraph"/>
                          <w:spacing w:line="300" w:lineRule="auto" w:before="63"/>
                          <w:ind w:left="24" w:right="24"/>
                          <w:jc w:val="left"/>
                          <w:rPr>
                            <w:rFonts w:ascii="宋体" w:hAnsi="宋体" w:cs="宋体" w:eastAsia="宋体" w:hint="default"/>
                            <w:sz w:val="18"/>
                            <w:szCs w:val="18"/>
                          </w:rPr>
                        </w:pPr>
                        <w:r>
                          <w:rPr>
                            <w:rFonts w:ascii="宋体" w:hAnsi="宋体" w:cs="宋体" w:eastAsia="宋体" w:hint="default"/>
                            <w:sz w:val="18"/>
                            <w:szCs w:val="18"/>
                          </w:rPr>
                          <w:t>厂扩建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ⅹ</w:t>
                        </w:r>
                        <w:r>
                          <w:rPr>
                            <w:rFonts w:ascii="Times New Roman" w:hAnsi="Times New Roman" w:cs="Times New Roman" w:eastAsia="Times New Roman" w:hint="default"/>
                            <w:sz w:val="18"/>
                            <w:szCs w:val="18"/>
                          </w:rPr>
                          <w:t>65MW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 程项目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12,037.1</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9</w:t>
                        </w:r>
                      </w:p>
                    </w:tc>
                    <w:tc>
                      <w:tcPr>
                        <w:tcW w:w="716" w:type="dxa"/>
                        <w:tcBorders>
                          <w:top w:val="single" w:sz="4" w:space="0" w:color="000000"/>
                          <w:left w:val="single" w:sz="4" w:space="0" w:color="000000"/>
                          <w:bottom w:val="single" w:sz="4" w:space="0" w:color="000000"/>
                          <w:right w:val="single" w:sz="4" w:space="0" w:color="000000"/>
                        </w:tcBorders>
                      </w:tcPr>
                      <w:p>
                        <w:pPr/>
                      </w:p>
                    </w:tc>
                    <w:tc>
                      <w:tcPr>
                        <w:tcW w:w="716"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19"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1" w:hRule="exact"/>
                    </w:trPr>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3,500</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3,500</w:t>
                        </w: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6" w:right="0"/>
                          <w:jc w:val="left"/>
                          <w:rPr>
                            <w:rFonts w:ascii="Times New Roman" w:hAnsi="Times New Roman" w:cs="Times New Roman" w:eastAsia="Times New Roman" w:hint="default"/>
                            <w:sz w:val="18"/>
                            <w:szCs w:val="18"/>
                          </w:rPr>
                        </w:pPr>
                        <w:r>
                          <w:rPr>
                            <w:rFonts w:ascii="Times New Roman"/>
                            <w:sz w:val="18"/>
                          </w:rPr>
                          <w:t>3,500</w:t>
                        </w:r>
                      </w:p>
                    </w:tc>
                    <w:tc>
                      <w:tcPr>
                        <w:tcW w:w="743"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100.00%</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52"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24"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4" w:space="0" w:color="000000"/>
                        </w:tcBorders>
                      </w:tcPr>
                      <w:p>
                        <w:pPr/>
                      </w:p>
                    </w:tc>
                    <w:tc>
                      <w:tcPr>
                        <w:tcW w:w="743"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w:t>
                        </w:r>
                      </w:p>
                    </w:tc>
                    <w:tc>
                      <w:tcPr>
                        <w:tcW w:w="7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8"/>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24"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4" w:space="0" w:color="000000"/>
                        </w:tcBorders>
                      </w:tcPr>
                      <w:p>
                        <w:pPr/>
                      </w:p>
                    </w:tc>
                    <w:tc>
                      <w:tcPr>
                        <w:tcW w:w="743"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9"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19,737.1</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9</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20,410.0</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
                    </w:tc>
                    <w:tc>
                      <w:tcPr>
                        <w:tcW w:w="694" w:type="dxa"/>
                        <w:vMerge w:val="restart"/>
                        <w:tcBorders>
                          <w:top w:val="single" w:sz="4" w:space="0" w:color="000000"/>
                          <w:left w:val="single" w:sz="4" w:space="0" w:color="000000"/>
                          <w:right w:val="single" w:sz="10" w:space="0" w:color="D2D2D2"/>
                        </w:tcBorders>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z w:val="18"/>
                          </w:rPr>
                          <w:t>20,490.</w:t>
                        </w:r>
                      </w:p>
                      <w:p>
                        <w:pPr>
                          <w:pStyle w:val="TableParagraph"/>
                          <w:spacing w:line="240" w:lineRule="auto" w:before="105"/>
                          <w:ind w:right="40"/>
                          <w:jc w:val="right"/>
                          <w:rPr>
                            <w:rFonts w:ascii="Times New Roman" w:hAnsi="Times New Roman" w:cs="Times New Roman" w:eastAsia="Times New Roman" w:hint="default"/>
                            <w:sz w:val="18"/>
                            <w:szCs w:val="18"/>
                          </w:rPr>
                        </w:pPr>
                        <w:r>
                          <w:rPr>
                            <w:rFonts w:ascii="Times New Roman"/>
                            <w:sz w:val="18"/>
                          </w:rPr>
                          <w:t>99</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987.23</w:t>
                        </w:r>
                      </w:p>
                    </w:tc>
                    <w:tc>
                      <w:tcPr>
                        <w:tcW w:w="719" w:type="dxa"/>
                        <w:vMerge w:val="restart"/>
                        <w:tcBorders>
                          <w:top w:val="single" w:sz="4" w:space="0" w:color="000000"/>
                          <w:left w:val="single" w:sz="4" w:space="0" w:color="000000"/>
                          <w:right w:val="single" w:sz="10"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6,102.47</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652"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24"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10"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19"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24"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10"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4"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40,277.1</w:t>
                        </w:r>
                      </w:p>
                      <w:p>
                        <w:pPr>
                          <w:pStyle w:val="TableParagraph"/>
                          <w:spacing w:line="240" w:lineRule="auto" w:before="105"/>
                          <w:ind w:right="26"/>
                          <w:jc w:val="right"/>
                          <w:rPr>
                            <w:rFonts w:ascii="Times New Roman" w:hAnsi="Times New Roman" w:cs="Times New Roman" w:eastAsia="Times New Roman" w:hint="default"/>
                            <w:sz w:val="18"/>
                            <w:szCs w:val="18"/>
                          </w:rPr>
                        </w:pPr>
                        <w:r>
                          <w:rPr>
                            <w:rFonts w:ascii="Times New Roman"/>
                            <w:sz w:val="18"/>
                          </w:rPr>
                          <w:t>9</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41,899.9</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3</w:t>
                        </w:r>
                      </w:p>
                    </w:tc>
                    <w:tc>
                      <w:tcPr>
                        <w:tcW w:w="7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0.03</w:t>
                        </w:r>
                      </w:p>
                    </w:tc>
                    <w:tc>
                      <w:tcPr>
                        <w:tcW w:w="694" w:type="dxa"/>
                        <w:vMerge w:val="restart"/>
                        <w:tcBorders>
                          <w:top w:val="single" w:sz="4" w:space="0" w:color="000000"/>
                          <w:left w:val="single" w:sz="4" w:space="0" w:color="000000"/>
                          <w:right w:val="single" w:sz="10" w:space="0" w:color="D2D2D2"/>
                        </w:tcBorders>
                      </w:tcPr>
                      <w:p>
                        <w:pPr>
                          <w:pStyle w:val="TableParagraph"/>
                          <w:spacing w:line="240" w:lineRule="auto" w:before="91"/>
                          <w:ind w:right="41"/>
                          <w:jc w:val="right"/>
                          <w:rPr>
                            <w:rFonts w:ascii="Times New Roman" w:hAnsi="Times New Roman" w:cs="Times New Roman" w:eastAsia="Times New Roman" w:hint="default"/>
                            <w:sz w:val="18"/>
                            <w:szCs w:val="18"/>
                          </w:rPr>
                        </w:pPr>
                        <w:r>
                          <w:rPr>
                            <w:rFonts w:ascii="Times New Roman"/>
                            <w:sz w:val="18"/>
                          </w:rPr>
                          <w:t>41,252.</w:t>
                        </w:r>
                      </w:p>
                      <w:p>
                        <w:pPr>
                          <w:pStyle w:val="TableParagraph"/>
                          <w:spacing w:line="240" w:lineRule="auto" w:before="105"/>
                          <w:ind w:right="43"/>
                          <w:jc w:val="right"/>
                          <w:rPr>
                            <w:rFonts w:ascii="Times New Roman" w:hAnsi="Times New Roman" w:cs="Times New Roman" w:eastAsia="Times New Roman" w:hint="default"/>
                            <w:sz w:val="18"/>
                            <w:szCs w:val="18"/>
                          </w:rPr>
                        </w:pPr>
                        <w:r>
                          <w:rPr>
                            <w:rFonts w:ascii="Times New Roman"/>
                            <w:sz w:val="18"/>
                          </w:rPr>
                          <w:t>1</w:t>
                        </w:r>
                      </w:p>
                    </w:tc>
                    <w:tc>
                      <w:tcPr>
                        <w:tcW w:w="7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 w:type="dxa"/>
                        <w:vMerge w:val="restart"/>
                        <w:tcBorders>
                          <w:top w:val="single" w:sz="4" w:space="0" w:color="000000"/>
                          <w:left w:val="single" w:sz="10" w:space="0" w:color="D2D2D2"/>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53,843.9</w:t>
                        </w:r>
                      </w:p>
                      <w:p>
                        <w:pPr>
                          <w:pStyle w:val="TableParagraph"/>
                          <w:spacing w:line="240" w:lineRule="auto" w:before="105"/>
                          <w:ind w:right="25"/>
                          <w:jc w:val="right"/>
                          <w:rPr>
                            <w:rFonts w:ascii="Times New Roman" w:hAnsi="Times New Roman" w:cs="Times New Roman" w:eastAsia="Times New Roman" w:hint="default"/>
                            <w:sz w:val="18"/>
                            <w:szCs w:val="18"/>
                          </w:rPr>
                        </w:pPr>
                        <w:r>
                          <w:rPr>
                            <w:rFonts w:ascii="Times New Roman"/>
                            <w:sz w:val="18"/>
                          </w:rPr>
                          <w:t>8</w:t>
                        </w:r>
                      </w:p>
                    </w:tc>
                    <w:tc>
                      <w:tcPr>
                        <w:tcW w:w="719" w:type="dxa"/>
                        <w:vMerge w:val="restart"/>
                        <w:tcBorders>
                          <w:top w:val="single" w:sz="4" w:space="0" w:color="000000"/>
                          <w:left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75,081.9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w:t>
                        </w:r>
                      </w:p>
                    </w:tc>
                    <w:tc>
                      <w:tcPr>
                        <w:tcW w:w="7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652"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24"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716" w:type="dxa"/>
                        <w:vMerge/>
                        <w:tcBorders>
                          <w:left w:val="single" w:sz="4" w:space="0" w:color="000000"/>
                          <w:right w:val="single" w:sz="4" w:space="0" w:color="000000"/>
                        </w:tcBorders>
                      </w:tcPr>
                      <w:p>
                        <w:pPr/>
                      </w:p>
                    </w:tc>
                    <w:tc>
                      <w:tcPr>
                        <w:tcW w:w="694" w:type="dxa"/>
                        <w:vMerge/>
                        <w:tcBorders>
                          <w:left w:val="single" w:sz="4" w:space="0" w:color="000000"/>
                          <w:right w:val="single" w:sz="10" w:space="0" w:color="D2D2D2"/>
                        </w:tcBorders>
                      </w:tcPr>
                      <w:p>
                        <w:pPr/>
                      </w:p>
                    </w:tc>
                    <w:tc>
                      <w:tcPr>
                        <w:tcW w:w="74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
                          <w:jc w:val="center"/>
                          <w:rPr>
                            <w:rFonts w:ascii="Times New Roman" w:hAnsi="Times New Roman" w:cs="Times New Roman" w:eastAsia="Times New Roman" w:hint="default"/>
                            <w:sz w:val="18"/>
                            <w:szCs w:val="18"/>
                          </w:rPr>
                        </w:pPr>
                        <w:r>
                          <w:rPr>
                            <w:rFonts w:ascii="Times New Roman"/>
                            <w:sz w:val="18"/>
                          </w:rPr>
                          <w:t>--</w:t>
                        </w: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c>
                      <w:tcPr>
                        <w:tcW w:w="718" w:type="dxa"/>
                        <w:vMerge/>
                        <w:tcBorders>
                          <w:left w:val="single" w:sz="10" w:space="0" w:color="D2D2D2"/>
                          <w:right w:val="single" w:sz="4" w:space="0" w:color="000000"/>
                        </w:tcBorders>
                      </w:tcPr>
                      <w:p>
                        <w:pPr/>
                      </w:p>
                    </w:tc>
                    <w:tc>
                      <w:tcPr>
                        <w:tcW w:w="719" w:type="dxa"/>
                        <w:vMerge/>
                        <w:tcBorders>
                          <w:left w:val="single" w:sz="4" w:space="0" w:color="000000"/>
                          <w:right w:val="single" w:sz="10" w:space="0" w:color="D2D2D2"/>
                        </w:tcBorders>
                      </w:tcPr>
                      <w:p>
                        <w:pPr/>
                      </w:p>
                    </w:tc>
                    <w:tc>
                      <w:tcPr>
                        <w:tcW w:w="7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52"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24"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716" w:type="dxa"/>
                        <w:vMerge/>
                        <w:tcBorders>
                          <w:left w:val="single" w:sz="4" w:space="0" w:color="000000"/>
                          <w:bottom w:val="single" w:sz="4" w:space="0" w:color="000000"/>
                          <w:right w:val="single" w:sz="4" w:space="0" w:color="000000"/>
                        </w:tcBorders>
                      </w:tcPr>
                      <w:p>
                        <w:pPr/>
                      </w:p>
                    </w:tc>
                    <w:tc>
                      <w:tcPr>
                        <w:tcW w:w="694" w:type="dxa"/>
                        <w:vMerge/>
                        <w:tcBorders>
                          <w:left w:val="single" w:sz="4" w:space="0" w:color="000000"/>
                          <w:bottom w:val="single" w:sz="4" w:space="0" w:color="000000"/>
                          <w:right w:val="single" w:sz="10" w:space="0" w:color="D2D2D2"/>
                        </w:tcBorders>
                      </w:tcPr>
                      <w:p>
                        <w:pPr/>
                      </w:p>
                    </w:tc>
                    <w:tc>
                      <w:tcPr>
                        <w:tcW w:w="7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18" w:type="dxa"/>
                        <w:vMerge/>
                        <w:tcBorders>
                          <w:left w:val="single" w:sz="10" w:space="0" w:color="D2D2D2"/>
                          <w:bottom w:val="single" w:sz="4" w:space="0" w:color="000000"/>
                          <w:right w:val="single" w:sz="4" w:space="0" w:color="000000"/>
                        </w:tcBorders>
                      </w:tcPr>
                      <w:p>
                        <w:pPr/>
                      </w:p>
                    </w:tc>
                    <w:tc>
                      <w:tcPr>
                        <w:tcW w:w="719" w:type="dxa"/>
                        <w:vMerge/>
                        <w:tcBorders>
                          <w:left w:val="single" w:sz="4" w:space="0" w:color="000000"/>
                          <w:bottom w:val="single" w:sz="4" w:space="0" w:color="000000"/>
                          <w:right w:val="single" w:sz="10" w:space="0" w:color="D2D2D2"/>
                        </w:tcBorders>
                      </w:tcPr>
                      <w:p>
                        <w:pPr/>
                      </w:p>
                    </w:tc>
                    <w:tc>
                      <w:tcPr>
                        <w:tcW w:w="7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62" w:hRule="exact"/>
                    </w:trPr>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未达到计划进度或</w:t>
                        </w: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9"/>
                          <w:ind w:left="24" w:right="-13"/>
                          <w:jc w:val="left"/>
                          <w:rPr>
                            <w:rFonts w:ascii="宋体" w:hAnsi="宋体" w:cs="宋体" w:eastAsia="宋体" w:hint="default"/>
                            <w:sz w:val="18"/>
                            <w:szCs w:val="18"/>
                          </w:rPr>
                        </w:pPr>
                        <w:r>
                          <w:rPr>
                            <w:rFonts w:ascii="宋体" w:hAnsi="宋体" w:cs="宋体" w:eastAsia="宋体" w:hint="default"/>
                            <w:sz w:val="18"/>
                            <w:szCs w:val="18"/>
                          </w:rPr>
                          <w:t>“高压无</w:t>
                        </w:r>
                      </w:p>
                    </w:tc>
                    <w:tc>
                      <w:tcPr>
                        <w:tcW w:w="7175" w:type="dxa"/>
                        <w:gridSpan w:val="10"/>
                        <w:tcBorders>
                          <w:top w:val="single" w:sz="4" w:space="0" w:color="000000"/>
                          <w:left w:val="nil" w:sz="6" w:space="0" w:color="auto"/>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功补偿装置产品升级及产业化项目</w:t>
                        </w:r>
                        <w:r>
                          <w:rPr>
                            <w:rFonts w:ascii="宋体" w:hAnsi="宋体" w:cs="宋体" w:eastAsia="宋体" w:hint="default"/>
                            <w:spacing w:val="-92"/>
                            <w:sz w:val="18"/>
                            <w:szCs w:val="18"/>
                          </w:rPr>
                          <w:t>”、</w:t>
                        </w:r>
                        <w:r>
                          <w:rPr>
                            <w:rFonts w:ascii="宋体" w:hAnsi="宋体" w:cs="宋体" w:eastAsia="宋体" w:hint="default"/>
                            <w:sz w:val="18"/>
                            <w:szCs w:val="18"/>
                          </w:rPr>
                          <w:t>“研发中心</w:t>
                        </w:r>
                        <w:r>
                          <w:rPr>
                            <w:rFonts w:ascii="宋体" w:hAnsi="宋体" w:cs="宋体" w:eastAsia="宋体" w:hint="default"/>
                            <w:spacing w:val="2"/>
                            <w:sz w:val="18"/>
                            <w:szCs w:val="18"/>
                          </w:rPr>
                          <w:t>建</w:t>
                        </w:r>
                        <w:r>
                          <w:rPr>
                            <w:rFonts w:ascii="宋体" w:hAnsi="宋体" w:cs="宋体" w:eastAsia="宋体" w:hint="default"/>
                            <w:sz w:val="18"/>
                            <w:szCs w:val="18"/>
                          </w:rPr>
                          <w:t>设项目”皆已经完成，因公司本着节约</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before="44"/>
        <w:ind w:left="0" w:right="191"/>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8.85pt;height:683.2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1923"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2" w:right="-3"/>
                          <w:jc w:val="left"/>
                          <w:rPr>
                            <w:rFonts w:ascii="宋体" w:hAnsi="宋体" w:cs="宋体" w:eastAsia="宋体" w:hint="default"/>
                            <w:sz w:val="18"/>
                            <w:szCs w:val="18"/>
                          </w:rPr>
                        </w:pPr>
                        <w:r>
                          <w:rPr>
                            <w:rFonts w:ascii="宋体" w:hAnsi="宋体" w:cs="宋体" w:eastAsia="宋体" w:hint="default"/>
                            <w:sz w:val="18"/>
                            <w:szCs w:val="18"/>
                          </w:rPr>
                          <w:t>预计收益的情况和 原因（分具体项目）</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20"/>
                          <w:jc w:val="left"/>
                          <w:rPr>
                            <w:rFonts w:ascii="宋体" w:hAnsi="宋体" w:cs="宋体" w:eastAsia="宋体" w:hint="default"/>
                            <w:sz w:val="18"/>
                            <w:szCs w:val="18"/>
                          </w:rPr>
                        </w:pPr>
                        <w:r>
                          <w:rPr>
                            <w:rFonts w:ascii="宋体" w:hAnsi="宋体" w:cs="宋体" w:eastAsia="宋体" w:hint="default"/>
                            <w:spacing w:val="-2"/>
                            <w:sz w:val="18"/>
                            <w:szCs w:val="18"/>
                          </w:rPr>
                          <w:t>合理有效的原则使用募集资金，使募集资金使用出现结余，加之尚有部分设备采购尾款未支付，导致</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期末资金投入进度未到达</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。“营销网络和客户服务基础平台建设项目”受行业需求增速的影响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以及公司发展战略及业务模式的调整，公司管理层采取谨慎态度，力求募集资金效益最大化，放缓了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部分地区营销中心的建设，重新考虑国际化业务的营销网络的搭建及人员配置。</w:t>
                        </w:r>
                        <w:r>
                          <w:rPr>
                            <w:rFonts w:ascii="宋体" w:hAnsi="宋体" w:cs="宋体" w:eastAsia="宋体" w:hint="default"/>
                            <w:spacing w:val="2"/>
                            <w:sz w:val="18"/>
                            <w:szCs w:val="18"/>
                          </w:rPr>
                          <w:t> </w:t>
                        </w:r>
                        <w:r>
                          <w:rPr>
                            <w:rFonts w:ascii="宋体" w:hAnsi="宋体" w:cs="宋体" w:eastAsia="宋体" w:hint="default"/>
                            <w:sz w:val="18"/>
                            <w:szCs w:val="18"/>
                          </w:rPr>
                          <w:t>”印尼苏拉威西镍</w:t>
                        </w:r>
                        <w:r>
                          <w:rPr>
                            <w:rFonts w:ascii="宋体" w:hAnsi="宋体" w:cs="宋体" w:eastAsia="宋体" w:hint="default"/>
                            <w:sz w:val="18"/>
                            <w:szCs w:val="18"/>
                          </w:rPr>
                          <w:t> 铁工业园项目一期项目”的预计建设期为两年，第三年达到设计生产能力，</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年是该项目建设期 的第二年。</w:t>
                        </w:r>
                      </w:p>
                    </w:tc>
                  </w:tr>
                  <w:tr>
                    <w:trPr>
                      <w:trHeight w:val="2585"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日，公司第一届董事会第二十三次会议表决审议通过了《关于使用超募资金投资南加 里曼丹印尼</w:t>
                        </w:r>
                        <w:r>
                          <w:rPr>
                            <w:rFonts w:ascii="宋体" w:hAnsi="宋体" w:cs="宋体" w:eastAsia="宋体" w:hint="default"/>
                            <w:spacing w:val="-44"/>
                            <w:sz w:val="18"/>
                            <w:szCs w:val="18"/>
                          </w:rPr>
                          <w:t> </w:t>
                        </w:r>
                        <w:r>
                          <w:rPr>
                            <w:rFonts w:ascii="Times New Roman" w:hAnsi="Times New Roman" w:cs="Times New Roman" w:eastAsia="Times New Roman" w:hint="default"/>
                            <w:spacing w:val="-1"/>
                            <w:w w:val="99"/>
                            <w:sz w:val="18"/>
                            <w:szCs w:val="18"/>
                          </w:rPr>
                          <w:t>ASAM-ASAM</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发电厂扩建</w:t>
                        </w:r>
                        <w:r>
                          <w:rPr>
                            <w:rFonts w:ascii="宋体" w:hAnsi="宋体" w:cs="宋体" w:eastAsia="宋体" w:hint="default"/>
                            <w:spacing w:val="-44"/>
                            <w:sz w:val="18"/>
                            <w:szCs w:val="18"/>
                          </w:rPr>
                          <w:t> </w:t>
                        </w:r>
                        <w:r>
                          <w:rPr>
                            <w:rFonts w:ascii="Times New Roman" w:hAnsi="Times New Roman" w:cs="Times New Roman" w:eastAsia="Times New Roman" w:hint="default"/>
                            <w:w w:val="99"/>
                            <w:sz w:val="18"/>
                            <w:szCs w:val="18"/>
                          </w:rPr>
                          <w:t>3</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65MW </w:t>
                        </w:r>
                        <w:r>
                          <w:rPr>
                            <w:rFonts w:ascii="宋体" w:hAnsi="宋体" w:cs="宋体" w:eastAsia="宋体" w:hint="default"/>
                            <w:spacing w:val="-5"/>
                            <w:sz w:val="18"/>
                            <w:szCs w:val="18"/>
                          </w:rPr>
                          <w:t>工程项目的议案》，公司拟以全部剩余超募资金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12,037.19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万元投资印尼南加里曼丹</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ASAM-ASAM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发电厂扩建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65MW</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工程项目。因项目发起股东 </w:t>
                        </w:r>
                        <w:r>
                          <w:rPr>
                            <w:rFonts w:ascii="宋体" w:hAnsi="宋体" w:cs="宋体" w:eastAsia="宋体" w:hint="default"/>
                            <w:spacing w:val="-2"/>
                            <w:sz w:val="18"/>
                            <w:szCs w:val="18"/>
                          </w:rPr>
                          <w:t>间四方协议变更，一直未能得到印尼国家电力公司批复而迟迟不能签署项目合同，公司对该项目的投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资工期滞后，因此本着控制风险、审慎投资的原则，为更好地维护公司和投资者的利益，决定变更该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超募资金投资项目。公司投资印尼苏拉威西岛镍铁工业园项目取得重大进展，工业园选址已确定，项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7"/>
                            <w:sz w:val="18"/>
                            <w:szCs w:val="18"/>
                          </w:rPr>
                          <w:t>目已正式启动。为了合理使用募集资金，提高公司资金使用效率，公司已将上述超募资金余额</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12,710.03</w:t>
                        </w:r>
                        <w:r>
                          <w:rPr>
                            <w:rFonts w:ascii="Times New Roman" w:hAnsi="Times New Roman" w:cs="Times New Roman" w:eastAsia="Times New Roman" w:hint="default"/>
                            <w:spacing w:val="-37"/>
                            <w:sz w:val="18"/>
                            <w:szCs w:val="18"/>
                          </w:rPr>
                          <w:t> </w:t>
                        </w:r>
                        <w:r>
                          <w:rPr>
                            <w:rFonts w:ascii="Times New Roman" w:hAnsi="Times New Roman" w:cs="Times New Roman" w:eastAsia="Times New Roman" w:hint="default"/>
                            <w:spacing w:val="-37"/>
                            <w:sz w:val="18"/>
                            <w:szCs w:val="18"/>
                          </w:rPr>
                        </w:r>
                        <w:r>
                          <w:rPr>
                            <w:rFonts w:ascii="宋体" w:hAnsi="宋体" w:cs="宋体" w:eastAsia="宋体" w:hint="default"/>
                            <w:sz w:val="18"/>
                            <w:szCs w:val="18"/>
                          </w:rPr>
                          <w:t>万元全部投入印尼苏拉威西镍铁工业园项目一期的建设。</w:t>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3"/>
                            <w:sz w:val="18"/>
                            <w:szCs w:val="18"/>
                          </w:rPr>
                          <w:t>超募资金的金额、用</w:t>
                        </w:r>
                        <w:r>
                          <w:rPr>
                            <w:rFonts w:ascii="宋体" w:hAnsi="宋体" w:cs="宋体" w:eastAsia="宋体" w:hint="default"/>
                            <w:sz w:val="18"/>
                            <w:szCs w:val="18"/>
                          </w:rPr>
                          <w:t> 途及使用进展情况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330"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公司本次超募资金金额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19,737.19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年度已用超募资金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11,700.00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万元，其中偿还到期流动</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资金借款</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z w:val="18"/>
                            <w:szCs w:val="18"/>
                          </w:rPr>
                          <w:t>暂时</w:t>
                        </w:r>
                        <w:r>
                          <w:rPr>
                            <w:rFonts w:ascii="宋体" w:hAnsi="宋体" w:cs="宋体" w:eastAsia="宋体" w:hint="default"/>
                            <w:spacing w:val="-3"/>
                            <w:sz w:val="18"/>
                            <w:szCs w:val="18"/>
                          </w:rPr>
                          <w:t>补</w:t>
                        </w:r>
                        <w:r>
                          <w:rPr>
                            <w:rFonts w:ascii="宋体" w:hAnsi="宋体" w:cs="宋体" w:eastAsia="宋体" w:hint="default"/>
                            <w:sz w:val="18"/>
                            <w:szCs w:val="18"/>
                          </w:rPr>
                          <w:t>充流动资金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77"/>
                            <w:sz w:val="18"/>
                            <w:szCs w:val="18"/>
                          </w:rPr>
                          <w:t>，</w:t>
                        </w:r>
                        <w:r>
                          <w:rPr>
                            <w:rFonts w:ascii="宋体" w:hAnsi="宋体" w:cs="宋体" w:eastAsia="宋体" w:hint="default"/>
                            <w:sz w:val="18"/>
                            <w:szCs w:val="18"/>
                          </w:rPr>
                          <w:t>用</w:t>
                        </w:r>
                        <w:r>
                          <w:rPr>
                            <w:rFonts w:ascii="宋体" w:hAnsi="宋体" w:cs="宋体" w:eastAsia="宋体" w:hint="default"/>
                            <w:spacing w:val="-3"/>
                            <w:sz w:val="18"/>
                            <w:szCs w:val="18"/>
                          </w:rPr>
                          <w:t>于</w:t>
                        </w:r>
                        <w:r>
                          <w:rPr>
                            <w:rFonts w:ascii="宋体" w:hAnsi="宋体" w:cs="宋体" w:eastAsia="宋体" w:hint="default"/>
                            <w:sz w:val="18"/>
                            <w:szCs w:val="18"/>
                          </w:rPr>
                          <w:t>腾达西北节能管理项目</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04" w:lineRule="auto" w:before="63"/>
                          <w:ind w:left="24" w:right="-3"/>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日公司第一届董事会第十七次会议和公司第 </w:t>
                        </w:r>
                        <w:r>
                          <w:rPr>
                            <w:rFonts w:ascii="宋体" w:hAnsi="宋体" w:cs="宋体" w:eastAsia="宋体" w:hint="default"/>
                            <w:spacing w:val="-2"/>
                            <w:sz w:val="18"/>
                            <w:szCs w:val="18"/>
                          </w:rPr>
                          <w:t>一届监事会第九次会议分别审议通过的《关于继续使用部分超募资金暂时补充流动资金的议案》暂时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补充的流动资金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万元全部归还至公司的募集资金专用账户。</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 董事会第二十三次会议表决审议通过了《关于使用超募资金投资南加里曼丹印尼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ASAM-ASAM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发电 厂扩建</w:t>
                        </w:r>
                        <w:r>
                          <w:rPr>
                            <w:rFonts w:ascii="宋体" w:hAnsi="宋体" w:cs="宋体" w:eastAsia="宋体" w:hint="default"/>
                            <w:spacing w:val="-42"/>
                            <w:sz w:val="18"/>
                            <w:szCs w:val="18"/>
                          </w:rPr>
                          <w:t> </w:t>
                        </w:r>
                        <w:r>
                          <w:rPr>
                            <w:rFonts w:ascii="Times New Roman" w:hAnsi="Times New Roman" w:cs="Times New Roman" w:eastAsia="Times New Roman" w:hint="default"/>
                            <w:w w:val="99"/>
                            <w:sz w:val="18"/>
                            <w:szCs w:val="18"/>
                          </w:rPr>
                          <w:t>3</w:t>
                        </w:r>
                        <w:r>
                          <w:rPr>
                            <w:rFonts w:ascii="宋体" w:hAnsi="宋体" w:cs="宋体" w:eastAsia="宋体" w:hint="default"/>
                            <w:w w:val="99"/>
                            <w:sz w:val="18"/>
                            <w:szCs w:val="18"/>
                          </w:rPr>
                          <w:t>×</w:t>
                        </w:r>
                        <w:r>
                          <w:rPr>
                            <w:rFonts w:ascii="Times New Roman" w:hAnsi="Times New Roman" w:cs="Times New Roman" w:eastAsia="Times New Roman" w:hint="default"/>
                            <w:w w:val="99"/>
                            <w:sz w:val="18"/>
                            <w:szCs w:val="18"/>
                          </w:rPr>
                          <w:t>65MW</w:t>
                        </w:r>
                        <w:r>
                          <w:rPr>
                            <w:rFonts w:ascii="Times New Roman" w:hAnsi="Times New Roman" w:cs="Times New Roman" w:eastAsia="Times New Roman" w:hint="default"/>
                            <w:spacing w:val="2"/>
                            <w:w w:val="99"/>
                            <w:sz w:val="18"/>
                            <w:szCs w:val="18"/>
                          </w:rPr>
                          <w:t> </w:t>
                        </w:r>
                        <w:r>
                          <w:rPr>
                            <w:rFonts w:ascii="宋体" w:hAnsi="宋体" w:cs="宋体" w:eastAsia="宋体" w:hint="default"/>
                            <w:spacing w:val="-6"/>
                            <w:sz w:val="18"/>
                            <w:szCs w:val="18"/>
                          </w:rPr>
                          <w:t>工程项目的议案》，公司拟以全部剩余超募资金</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12,037.19</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万元投资印尼南加里曼丹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ASAM-ASAM </w:t>
                        </w:r>
                        <w:r>
                          <w:rPr>
                            <w:rFonts w:ascii="宋体" w:hAnsi="宋体" w:cs="宋体" w:eastAsia="宋体" w:hint="default"/>
                            <w:sz w:val="18"/>
                            <w:szCs w:val="18"/>
                          </w:rPr>
                          <w:t>发电厂扩建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65MW</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工程项目。因项目发起股东间四方协议变更，一直未能得到印 尼国家电力公司批复而迟迟不能签署项目合同，因此募集资金仍然闲置未动用。</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公司第一届董事会第三十一次会议和公司第一届监事会第二十次会议审议通过了《关于使用部分超募</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资金暂时补充流动资金的议案》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同意使用部分超募资金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万元暂时补充流动资金，实际已使</w:t>
                        </w:r>
                      </w:p>
                      <w:p>
                        <w:pPr>
                          <w:pStyle w:val="TableParagraph"/>
                          <w:spacing w:line="240" w:lineRule="auto" w:before="9"/>
                          <w:ind w:left="24" w:right="0"/>
                          <w:jc w:val="both"/>
                          <w:rPr>
                            <w:rFonts w:ascii="宋体" w:hAnsi="宋体" w:cs="宋体" w:eastAsia="宋体" w:hint="default"/>
                            <w:sz w:val="18"/>
                            <w:szCs w:val="18"/>
                          </w:rPr>
                        </w:pPr>
                        <w:r>
                          <w:rPr>
                            <w:rFonts w:ascii="宋体" w:hAnsi="宋体" w:cs="宋体" w:eastAsia="宋体" w:hint="default"/>
                            <w:sz w:val="18"/>
                            <w:szCs w:val="18"/>
                          </w:rPr>
                          <w:t>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万元用于暂时补充流动资金。截至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日，公司已将暂时补充流动</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万元全部归还至公司的募集资金专用账户。</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 </w:t>
                        </w:r>
                        <w:r>
                          <w:rPr>
                            <w:rFonts w:ascii="宋体" w:hAnsi="宋体" w:cs="宋体" w:eastAsia="宋体" w:hint="default"/>
                            <w:spacing w:val="-2"/>
                            <w:sz w:val="18"/>
                            <w:szCs w:val="18"/>
                          </w:rPr>
                          <w:t>第三十八次会议和公司第一届监事会第二十七次会议审议通过了《关于使用部分超募资金暂时补充流</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8"/>
                            <w:sz w:val="18"/>
                            <w:szCs w:val="18"/>
                          </w:rPr>
                          <w:t>动资金的议案》，同意使用超募资金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10,000.00</w:t>
                        </w:r>
                        <w:r>
                          <w:rPr>
                            <w:rFonts w:ascii="Times New Roman" w:hAnsi="Times New Roman" w:cs="Times New Roman" w:eastAsia="Times New Roman" w:hint="default"/>
                            <w:spacing w:val="-17"/>
                            <w:sz w:val="18"/>
                            <w:szCs w:val="18"/>
                          </w:rPr>
                          <w:t> </w:t>
                        </w:r>
                        <w:r>
                          <w:rPr>
                            <w:rFonts w:ascii="宋体" w:hAnsi="宋体" w:cs="宋体" w:eastAsia="宋体" w:hint="default"/>
                            <w:spacing w:val="-2"/>
                            <w:sz w:val="18"/>
                            <w:szCs w:val="18"/>
                          </w:rPr>
                          <w:t>万元暂时补充与公司日常生产经营相关的流动资金，实</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际已使用募集资金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万元用于暂时补充流动资金。截至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日，公司已将暂时补充</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流动资金的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万元全部归还至公司的募集资金专用账户。</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日，公司第二届董事 </w:t>
                        </w:r>
                        <w:r>
                          <w:rPr>
                            <w:rFonts w:ascii="宋体" w:hAnsi="宋体" w:cs="宋体" w:eastAsia="宋体" w:hint="default"/>
                            <w:spacing w:val="-2"/>
                            <w:sz w:val="18"/>
                            <w:szCs w:val="18"/>
                          </w:rPr>
                          <w:t>会第三次会议审议通过了《关于使用超募资金进行投资并变更部分已规划超募资金使用计划的公告的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9"/>
                            <w:sz w:val="18"/>
                            <w:szCs w:val="18"/>
                          </w:rPr>
                          <w:t>议案》。公司将全部剩余超募资金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12,710.03</w:t>
                        </w:r>
                        <w:r>
                          <w:rPr>
                            <w:rFonts w:ascii="Times New Roman" w:hAnsi="Times New Roman" w:cs="Times New Roman" w:eastAsia="Times New Roman" w:hint="default"/>
                            <w:spacing w:val="-11"/>
                            <w:sz w:val="18"/>
                            <w:szCs w:val="18"/>
                          </w:rPr>
                          <w:t> </w:t>
                        </w:r>
                        <w:r>
                          <w:rPr>
                            <w:rFonts w:ascii="宋体" w:hAnsi="宋体" w:cs="宋体" w:eastAsia="宋体" w:hint="default"/>
                            <w:spacing w:val="-2"/>
                            <w:sz w:val="18"/>
                            <w:szCs w:val="18"/>
                          </w:rPr>
                          <w:t>万元，用于变更后的项目印尼苏拉威西镍铁工业园项目一</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期。截至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日，公司已对该项目投入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12,790.99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22" w:right="177"/>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650" w:type="dxa"/>
                        <w:vMerge/>
                        <w:tcBorders>
                          <w:left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3"/>
          <w:szCs w:val="13"/>
        </w:rPr>
      </w:pPr>
    </w:p>
    <w:p>
      <w:pPr>
        <w:pStyle w:val="BodyText"/>
        <w:spacing w:line="240" w:lineRule="auto"/>
        <w:ind w:left="0" w:right="17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60"/>
        <w:jc w:val="right"/>
      </w:pPr>
      <w:r>
        <w:rPr/>
        <w:t>。</w:t>
      </w:r>
    </w:p>
    <w:p>
      <w:pPr>
        <w:spacing w:after="0" w:line="240" w:lineRule="auto"/>
        <w:jc w:val="right"/>
        <w:sectPr>
          <w:pgSz w:w="11910" w:h="16840"/>
          <w:pgMar w:header="745" w:footer="979" w:top="1060" w:bottom="1160" w:left="980" w:right="980"/>
        </w:sectPr>
      </w:pPr>
    </w:p>
    <w:p>
      <w:pPr>
        <w:spacing w:line="240" w:lineRule="auto" w:before="0"/>
        <w:rPr>
          <w:rFonts w:ascii="宋体" w:hAnsi="宋体" w:cs="宋体" w:eastAsia="宋体" w:hint="default"/>
          <w:sz w:val="20"/>
          <w:szCs w:val="20"/>
        </w:rPr>
      </w:pPr>
      <w:r>
        <w:rPr/>
        <w:pict>
          <v:shape style="position:absolute;margin-left:56.459999pt;margin-top:71.999985pt;width:478.85pt;height:680.8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0"/>
                    <w:gridCol w:w="7912"/>
                  </w:tblGrid>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2" w:right="177"/>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5"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43"/>
                          <w:jc w:val="left"/>
                          <w:rPr>
                            <w:rFonts w:ascii="宋体" w:hAnsi="宋体" w:cs="宋体" w:eastAsia="宋体" w:hint="default"/>
                            <w:sz w:val="18"/>
                            <w:szCs w:val="18"/>
                          </w:rPr>
                        </w:pPr>
                        <w:r>
                          <w:rPr>
                            <w:rFonts w:ascii="宋体" w:hAnsi="宋体" w:cs="宋体" w:eastAsia="宋体" w:hint="default"/>
                            <w:sz w:val="18"/>
                            <w:szCs w:val="18"/>
                          </w:rPr>
                          <w:t>募集资金到位前，部分项目已由公司以自筹资金先行投入，共支付</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6,709.94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万元。募集资金到位后，</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公司以募集资金置换预先投入募投项目的自筹资金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6,709.94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1"/>
                          <w:ind w:left="22" w:right="177"/>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48"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募集资金净额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40,277.19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19,737.19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年度已用超募资</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11,700.00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万元，其中偿还到期流动资金借款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万元，暂时补充流动资金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w:t>
                        </w:r>
                      </w:p>
                      <w:p>
                        <w:pPr>
                          <w:pStyle w:val="TableParagraph"/>
                          <w:spacing w:line="309"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于腾达西北节能管理项目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日，公司已将根据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 </w:t>
                        </w:r>
                        <w:r>
                          <w:rPr>
                            <w:rFonts w:ascii="宋体" w:hAnsi="宋体" w:cs="宋体" w:eastAsia="宋体" w:hint="default"/>
                            <w:spacing w:val="-2"/>
                            <w:sz w:val="18"/>
                            <w:szCs w:val="18"/>
                          </w:rPr>
                          <w:t>公司第一届董事会第十七次会议和公司第一届监事会第九次会议分别审议通过的《关于继续使用部分</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超募资金暂时补充流动资金的议案》暂时补充的流动资金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万元全部归还至公司的募集资金专</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日，公司第一届董事会第三十一次会议和公司第一届监事会第二十次会议审</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议通过了《关于使用部分超募资金暂时补充流动资金的议案》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同意使用部分超募资金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时补充流动资金</w:t>
                        </w:r>
                        <w:r>
                          <w:rPr>
                            <w:rFonts w:ascii="宋体" w:hAnsi="宋体" w:cs="宋体" w:eastAsia="宋体" w:hint="default"/>
                            <w:spacing w:val="-92"/>
                            <w:sz w:val="18"/>
                            <w:szCs w:val="18"/>
                          </w:rPr>
                          <w:t>，</w:t>
                        </w:r>
                        <w:r>
                          <w:rPr>
                            <w:rFonts w:ascii="宋体" w:hAnsi="宋体" w:cs="宋体" w:eastAsia="宋体" w:hint="default"/>
                            <w:sz w:val="18"/>
                            <w:szCs w:val="18"/>
                          </w:rPr>
                          <w:t>实际已使用</w:t>
                        </w:r>
                        <w:r>
                          <w:rPr>
                            <w:rFonts w:ascii="宋体" w:hAnsi="宋体" w:cs="宋体" w:eastAsia="宋体" w:hint="default"/>
                            <w:spacing w:val="2"/>
                            <w:sz w:val="18"/>
                            <w:szCs w:val="18"/>
                          </w:rPr>
                          <w:t>募</w:t>
                        </w:r>
                        <w:r>
                          <w:rPr>
                            <w:rFonts w:ascii="宋体" w:hAnsi="宋体" w:cs="宋体" w:eastAsia="宋体" w:hint="default"/>
                            <w:sz w:val="18"/>
                            <w:szCs w:val="18"/>
                          </w:rPr>
                          <w:t>集资金</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万元用于暂</w:t>
                        </w:r>
                        <w:r>
                          <w:rPr>
                            <w:rFonts w:ascii="宋体" w:hAnsi="宋体" w:cs="宋体" w:eastAsia="宋体" w:hint="default"/>
                            <w:spacing w:val="-3"/>
                            <w:sz w:val="18"/>
                            <w:szCs w:val="18"/>
                          </w:rPr>
                          <w:t>时</w:t>
                        </w:r>
                        <w:r>
                          <w:rPr>
                            <w:rFonts w:ascii="宋体" w:hAnsi="宋体" w:cs="宋体" w:eastAsia="宋体" w:hint="default"/>
                            <w:sz w:val="18"/>
                            <w:szCs w:val="18"/>
                          </w:rPr>
                          <w:t>补充流动资</w:t>
                        </w:r>
                        <w:r>
                          <w:rPr>
                            <w:rFonts w:ascii="宋体" w:hAnsi="宋体" w:cs="宋体" w:eastAsia="宋体" w:hint="default"/>
                            <w:spacing w:val="-1"/>
                            <w:sz w:val="18"/>
                            <w:szCs w:val="18"/>
                          </w:rPr>
                          <w:t>金</w:t>
                        </w:r>
                        <w:r>
                          <w:rPr>
                            <w:rFonts w:ascii="MS Gothic" w:hAnsi="MS Gothic" w:cs="MS Gothic" w:eastAsia="MS Gothic" w:hint="default"/>
                            <w:spacing w:val="1"/>
                            <w:sz w:val="18"/>
                            <w:szCs w:val="18"/>
                          </w:rPr>
                          <w:t>｡</w:t>
                        </w:r>
                        <w:r>
                          <w:rPr>
                            <w:rFonts w:ascii="宋体" w:hAnsi="宋体" w:cs="宋体" w:eastAsia="宋体" w:hint="default"/>
                            <w:sz w:val="18"/>
                            <w:szCs w:val="18"/>
                          </w:rPr>
                          <w:t>截至</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p>
                        <w:pPr>
                          <w:pStyle w:val="TableParagraph"/>
                          <w:spacing w:line="309" w:lineRule="auto" w:before="63"/>
                          <w:ind w:left="24" w:right="18"/>
                          <w:jc w:val="left"/>
                          <w:rPr>
                            <w:rFonts w:ascii="宋体" w:hAnsi="宋体" w:cs="宋体" w:eastAsia="宋体" w:hint="default"/>
                            <w:sz w:val="18"/>
                            <w:szCs w:val="18"/>
                          </w:rPr>
                        </w:pPr>
                        <w:r>
                          <w:rPr>
                            <w:rFonts w:ascii="宋体" w:hAnsi="宋体" w:cs="宋体" w:eastAsia="宋体" w:hint="default"/>
                            <w:sz w:val="18"/>
                            <w:szCs w:val="18"/>
                          </w:rPr>
                          <w:t>公司已将暂时补充流动资金的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万元全部归还至公司的募集资金专用账户。</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2"/>
                            <w:sz w:val="18"/>
                            <w:szCs w:val="18"/>
                          </w:rPr>
                          <w:t>日，公司第一届董事会第三十八次会议和公司第一届监事会第二十七次会议审议通过了《关于使用部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5"/>
                            <w:sz w:val="18"/>
                            <w:szCs w:val="18"/>
                          </w:rPr>
                          <w:t>分超募资金暂时补充流动资金的议案》，同意使用超募资金</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10,000</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万元暂时补充与公司日常生产经营</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相关的流动资金</w:t>
                        </w:r>
                        <w:r>
                          <w:rPr>
                            <w:rFonts w:ascii="宋体" w:hAnsi="宋体" w:cs="宋体" w:eastAsia="宋体" w:hint="default"/>
                            <w:spacing w:val="-77"/>
                            <w:sz w:val="18"/>
                            <w:szCs w:val="18"/>
                          </w:rPr>
                          <w:t>，</w:t>
                        </w:r>
                        <w:r>
                          <w:rPr>
                            <w:rFonts w:ascii="宋体" w:hAnsi="宋体" w:cs="宋体" w:eastAsia="宋体" w:hint="default"/>
                            <w:sz w:val="18"/>
                            <w:szCs w:val="18"/>
                          </w:rPr>
                          <w:t>实际已使用募集资金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万元用于暂</w:t>
                        </w:r>
                        <w:r>
                          <w:rPr>
                            <w:rFonts w:ascii="宋体" w:hAnsi="宋体" w:cs="宋体" w:eastAsia="宋体" w:hint="default"/>
                            <w:spacing w:val="-3"/>
                            <w:sz w:val="18"/>
                            <w:szCs w:val="18"/>
                          </w:rPr>
                          <w:t>时</w:t>
                        </w:r>
                        <w:r>
                          <w:rPr>
                            <w:rFonts w:ascii="宋体" w:hAnsi="宋体" w:cs="宋体" w:eastAsia="宋体" w:hint="default"/>
                            <w:sz w:val="18"/>
                            <w:szCs w:val="18"/>
                          </w:rPr>
                          <w:t>补充流动资金</w:t>
                        </w:r>
                        <w:r>
                          <w:rPr>
                            <w:rFonts w:ascii="宋体" w:hAnsi="宋体" w:cs="宋体" w:eastAsia="宋体" w:hint="default"/>
                            <w:spacing w:val="-77"/>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公司已将暂时补充流动资金的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万元全部归还至公司的募集资金专用账户。</w:t>
                        </w:r>
                      </w:p>
                    </w:tc>
                  </w:tr>
                  <w:tr>
                    <w:trPr>
                      <w:trHeight w:val="401" w:hRule="exact"/>
                    </w:trPr>
                    <w:tc>
                      <w:tcPr>
                        <w:tcW w:w="1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540" w:hRule="exact"/>
                    </w:trPr>
                    <w:tc>
                      <w:tcPr>
                        <w:tcW w:w="1650" w:type="dxa"/>
                        <w:vMerge/>
                        <w:tcBorders>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13"/>
                            <w:sz w:val="18"/>
                            <w:szCs w:val="18"/>
                          </w:rPr>
                          <w:t>、</w:t>
                        </w:r>
                        <w:r>
                          <w:rPr>
                            <w:rFonts w:ascii="宋体" w:hAnsi="宋体" w:cs="宋体" w:eastAsia="宋体" w:hint="default"/>
                            <w:sz w:val="18"/>
                            <w:szCs w:val="18"/>
                          </w:rPr>
                          <w:t>“高压无功补偿装置产品升级及产业化项目</w:t>
                        </w:r>
                        <w:r>
                          <w:rPr>
                            <w:rFonts w:ascii="宋体" w:hAnsi="宋体" w:cs="宋体" w:eastAsia="宋体" w:hint="default"/>
                            <w:spacing w:val="-22"/>
                            <w:sz w:val="18"/>
                            <w:szCs w:val="18"/>
                          </w:rPr>
                          <w:t>”</w:t>
                        </w:r>
                        <w:r>
                          <w:rPr>
                            <w:rFonts w:ascii="宋体" w:hAnsi="宋体" w:cs="宋体" w:eastAsia="宋体" w:hint="default"/>
                            <w:sz w:val="18"/>
                            <w:szCs w:val="18"/>
                          </w:rPr>
                          <w:t>募集资金结余</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22"/>
                            <w:sz w:val="18"/>
                            <w:szCs w:val="18"/>
                          </w:rPr>
                          <w:t>，</w:t>
                        </w:r>
                        <w:r>
                          <w:rPr>
                            <w:rFonts w:ascii="宋体" w:hAnsi="宋体" w:cs="宋体" w:eastAsia="宋体" w:hint="default"/>
                            <w:sz w:val="18"/>
                            <w:szCs w:val="18"/>
                          </w:rPr>
                          <w:t>公司已完</w:t>
                        </w:r>
                        <w:r>
                          <w:rPr>
                            <w:rFonts w:ascii="宋体" w:hAnsi="宋体" w:cs="宋体" w:eastAsia="宋体" w:hint="default"/>
                            <w:spacing w:val="-3"/>
                            <w:sz w:val="18"/>
                            <w:szCs w:val="18"/>
                          </w:rPr>
                          <w:t>成</w:t>
                        </w:r>
                        <w:r>
                          <w:rPr>
                            <w:rFonts w:ascii="宋体" w:hAnsi="宋体" w:cs="宋体" w:eastAsia="宋体" w:hint="default"/>
                            <w:sz w:val="18"/>
                            <w:szCs w:val="18"/>
                          </w:rPr>
                          <w:t>了募集资金</w:t>
                        </w:r>
                      </w:p>
                      <w:p>
                        <w:pPr>
                          <w:pStyle w:val="TableParagraph"/>
                          <w:spacing w:line="312" w:lineRule="auto" w:before="60"/>
                          <w:ind w:left="24" w:right="-42"/>
                          <w:jc w:val="both"/>
                          <w:rPr>
                            <w:rFonts w:ascii="宋体" w:hAnsi="宋体" w:cs="宋体" w:eastAsia="宋体" w:hint="default"/>
                            <w:sz w:val="18"/>
                            <w:szCs w:val="18"/>
                          </w:rPr>
                        </w:pPr>
                        <w:r>
                          <w:rPr>
                            <w:rFonts w:ascii="宋体" w:hAnsi="宋体" w:cs="宋体" w:eastAsia="宋体" w:hint="default"/>
                            <w:sz w:val="18"/>
                            <w:szCs w:val="18"/>
                          </w:rPr>
                          <w:t>承诺项目所需主要设备的采购，累计投入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6,760.32</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万元，结余资金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4,704.51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万元，具备了项目预定的</w:t>
                        </w:r>
                        <w:r>
                          <w:rPr>
                            <w:rFonts w:ascii="宋体" w:hAnsi="宋体" w:cs="宋体" w:eastAsia="宋体" w:hint="default"/>
                            <w:sz w:val="18"/>
                            <w:szCs w:val="18"/>
                          </w:rPr>
                          <w:t> </w:t>
                        </w:r>
                        <w:r>
                          <w:rPr>
                            <w:rFonts w:ascii="宋体" w:hAnsi="宋体" w:cs="宋体" w:eastAsia="宋体" w:hint="default"/>
                            <w:spacing w:val="-2"/>
                            <w:sz w:val="18"/>
                            <w:szCs w:val="18"/>
                          </w:rPr>
                          <w:t>高压无功补偿装置产品升级及产业化的能力。公司从项目的实际情况出发，本着节约、合理及有效的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原则使用募集资金，使募集资金使用出现节余，主要原因有：（</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）受国家电力设备投资增速放缓的影</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响，国内对高压无功补偿的需求增速回落，在公司产能不能达到充分利用的情况下，根据实际情况将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部分加工类流程采取外协形式，以低投入获取最大收益为目标调整了部分设备采购计划，如原计划中</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的龙门刨床、大剪板机、热压机等大型机械加工设备不再进行采购，因此节约了部分设备采购资金。</w:t>
                        </w:r>
                      </w:p>
                      <w:p>
                        <w:pPr>
                          <w:pStyle w:val="TableParagraph"/>
                          <w:spacing w:line="309" w:lineRule="auto" w:before="22"/>
                          <w:ind w:left="24" w:right="21"/>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）公司充分结合自身技术优势和经验，结合现有设备配置，在资源充分利用的前提下，对募集资 </w:t>
                        </w:r>
                        <w:r>
                          <w:rPr>
                            <w:rFonts w:ascii="宋体" w:hAnsi="宋体" w:cs="宋体" w:eastAsia="宋体" w:hint="default"/>
                            <w:spacing w:val="-2"/>
                            <w:sz w:val="18"/>
                            <w:szCs w:val="18"/>
                          </w:rPr>
                          <w:t>金所投项目的各个环节进行了优化，节约了部分项目资金。例如项目中计划的气相干燥罐，市场采购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价约为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万元，经公司技术人员的优化，将其拆分外购与自建，节约采购资金约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140.00 </w:t>
                        </w:r>
                        <w:r>
                          <w:rPr>
                            <w:rFonts w:ascii="宋体" w:hAnsi="宋体" w:cs="宋体" w:eastAsia="宋体" w:hint="default"/>
                            <w:sz w:val="18"/>
                            <w:szCs w:val="18"/>
                          </w:rPr>
                          <w:t>万元。</w:t>
                        </w:r>
                      </w:p>
                      <w:p>
                        <w:pPr>
                          <w:pStyle w:val="TableParagraph"/>
                          <w:spacing w:line="300" w:lineRule="auto" w:before="5"/>
                          <w:ind w:left="24" w:right="1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）国内机械制造行业的低迷使近两年机械设备价格降低，节约了部分采购资金。例如项目计划中 的双梁桥式起重机，计划时的采购价约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190.00 </w:t>
                        </w:r>
                        <w:r>
                          <w:rPr>
                            <w:rFonts w:ascii="宋体" w:hAnsi="宋体" w:cs="宋体" w:eastAsia="宋体" w:hint="default"/>
                            <w:sz w:val="18"/>
                            <w:szCs w:val="18"/>
                          </w:rPr>
                          <w:t>万元，实际采购时价格约为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120.00 </w:t>
                        </w:r>
                        <w:r>
                          <w:rPr>
                            <w:rFonts w:ascii="宋体" w:hAnsi="宋体" w:cs="宋体" w:eastAsia="宋体" w:hint="default"/>
                            <w:sz w:val="18"/>
                            <w:szCs w:val="18"/>
                          </w:rPr>
                          <w:t>万元。同时公司在 </w:t>
                        </w:r>
                        <w:r>
                          <w:rPr>
                            <w:rFonts w:ascii="宋体" w:hAnsi="宋体" w:cs="宋体" w:eastAsia="宋体" w:hint="default"/>
                            <w:spacing w:val="-4"/>
                            <w:sz w:val="18"/>
                            <w:szCs w:val="18"/>
                          </w:rPr>
                          <w:t>采购过程中通过招标方式，本着厉行节约的原则，加强项目费用控制、节约了部分项目资金。</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、“研</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发中心建设项目”</w:t>
                        </w:r>
                        <w:r>
                          <w:rPr>
                            <w:rFonts w:ascii="宋体" w:hAnsi="宋体" w:cs="宋体" w:eastAsia="宋体" w:hint="default"/>
                            <w:spacing w:val="-2"/>
                            <w:sz w:val="18"/>
                            <w:szCs w:val="18"/>
                          </w:rPr>
                          <w:t> </w:t>
                        </w:r>
                        <w:r>
                          <w:rPr>
                            <w:rFonts w:ascii="宋体" w:hAnsi="宋体" w:cs="宋体" w:eastAsia="宋体" w:hint="default"/>
                            <w:sz w:val="18"/>
                            <w:szCs w:val="18"/>
                          </w:rPr>
                          <w:t>募集资金结余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1,698.17 </w:t>
                        </w:r>
                        <w:r>
                          <w:rPr>
                            <w:rFonts w:ascii="宋体" w:hAnsi="宋体" w:cs="宋体" w:eastAsia="宋体" w:hint="default"/>
                            <w:sz w:val="18"/>
                            <w:szCs w:val="18"/>
                          </w:rPr>
                          <w:t>万元，公司已完成了募集资金承诺项目所需研发中心的主 </w:t>
                        </w:r>
                        <w:r>
                          <w:rPr>
                            <w:rFonts w:ascii="宋体" w:hAnsi="宋体" w:cs="宋体" w:eastAsia="宋体" w:hint="default"/>
                            <w:spacing w:val="-2"/>
                            <w:sz w:val="18"/>
                            <w:szCs w:val="18"/>
                          </w:rPr>
                          <w:t>要设备的采购，试验测试中心和互感器产业化的建设以及主要研发项目的研发，累计投入</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5,069.64</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w:t>
                        </w:r>
                      </w:p>
                      <w:p>
                        <w:pPr>
                          <w:pStyle w:val="TableParagraph"/>
                          <w:spacing w:line="312" w:lineRule="auto" w:before="13"/>
                          <w:ind w:left="24" w:right="20"/>
                          <w:jc w:val="left"/>
                          <w:rPr>
                            <w:rFonts w:ascii="宋体" w:hAnsi="宋体" w:cs="宋体" w:eastAsia="宋体" w:hint="default"/>
                            <w:sz w:val="18"/>
                            <w:szCs w:val="18"/>
                          </w:rPr>
                        </w:pPr>
                        <w:r>
                          <w:rPr>
                            <w:rFonts w:ascii="宋体" w:hAnsi="宋体" w:cs="宋体" w:eastAsia="宋体" w:hint="default"/>
                            <w:spacing w:val="-1"/>
                            <w:sz w:val="18"/>
                            <w:szCs w:val="18"/>
                          </w:rPr>
                          <w:t>元（其中研发设备、材料采购的尾款为</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504.14</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万元），结余资金为</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1,698.17</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万元，具备了正常使用的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条件。公司在进行募集资金投资项目建设时，充分结合现有的设备配置与自身的技术优势和经验，对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募投项目的研发和生产环节进行优化，使得研发测试和生产设备的固定资产投入较计划投入大幅减 </w:t>
                        </w:r>
                        <w:r>
                          <w:rPr>
                            <w:rFonts w:ascii="宋体" w:hAnsi="宋体" w:cs="宋体" w:eastAsia="宋体" w:hint="default"/>
                            <w:spacing w:val="-2"/>
                            <w:sz w:val="18"/>
                            <w:szCs w:val="18"/>
                          </w:rPr>
                          <w:t>少；机械制造业低迷导致部分设备采购成本降低；公司加大研发力度降低研发成本，同时根据市场的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6"/>
                            <w:sz w:val="18"/>
                            <w:szCs w:val="18"/>
                          </w:rPr>
                          <w:t>实际需求调整了部分新品的研发方向并节约了研发资金。</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、“营销网络和客户服务基础平台建设项目</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募集资金结余</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1,451.38</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万元，公司已完成了募集资金承诺项目所需营销网络和客户服务基础平台的基</w:t>
                        </w:r>
                      </w:p>
                      <w:p>
                        <w:pPr>
                          <w:pStyle w:val="TableParagraph"/>
                          <w:spacing w:line="309" w:lineRule="auto" w:before="3"/>
                          <w:ind w:left="24" w:right="21"/>
                          <w:jc w:val="left"/>
                          <w:rPr>
                            <w:rFonts w:ascii="宋体" w:hAnsi="宋体" w:cs="宋体" w:eastAsia="宋体" w:hint="default"/>
                            <w:sz w:val="18"/>
                            <w:szCs w:val="18"/>
                          </w:rPr>
                        </w:pPr>
                        <w:r>
                          <w:rPr>
                            <w:rFonts w:ascii="宋体" w:hAnsi="宋体" w:cs="宋体" w:eastAsia="宋体" w:hint="default"/>
                            <w:sz w:val="18"/>
                            <w:szCs w:val="18"/>
                          </w:rPr>
                          <w:t>本建设，累计投入</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1,121.81</w:t>
                        </w:r>
                        <w:r>
                          <w:rPr>
                            <w:rFonts w:ascii="Times New Roman" w:hAnsi="Times New Roman" w:cs="Times New Roman" w:eastAsia="Times New Roman" w:hint="default"/>
                            <w:spacing w:val="6"/>
                            <w:sz w:val="18"/>
                            <w:szCs w:val="18"/>
                          </w:rPr>
                          <w:t> </w:t>
                        </w:r>
                        <w:r>
                          <w:rPr>
                            <w:rFonts w:ascii="宋体" w:hAnsi="宋体" w:cs="宋体" w:eastAsia="宋体" w:hint="default"/>
                            <w:spacing w:val="-1"/>
                            <w:sz w:val="18"/>
                            <w:szCs w:val="18"/>
                          </w:rPr>
                          <w:t>万元（其中项目尾款为</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3.20</w:t>
                        </w:r>
                        <w:r>
                          <w:rPr>
                            <w:rFonts w:ascii="Times New Roman" w:hAnsi="Times New Roman" w:cs="Times New Roman" w:eastAsia="Times New Roman" w:hint="default"/>
                            <w:spacing w:val="6"/>
                            <w:sz w:val="18"/>
                            <w:szCs w:val="18"/>
                          </w:rPr>
                          <w:t> </w:t>
                        </w:r>
                        <w:r>
                          <w:rPr>
                            <w:rFonts w:ascii="宋体" w:hAnsi="宋体" w:cs="宋体" w:eastAsia="宋体" w:hint="default"/>
                            <w:spacing w:val="-10"/>
                            <w:sz w:val="18"/>
                            <w:szCs w:val="18"/>
                          </w:rPr>
                          <w:t>万元），具备了正常使用的条件。“营销网络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和客户服务基础平台建设项目”受行业需求增速的影响，以及公司发展战略及业务模式的调整，公司</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管理层采取谨慎态度，力求募集资金效益最大化，放缓了部分地区营销中心的建设，重新考虑国际化</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6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60"/>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before="44"/>
        <w:ind w:left="0" w:right="163"/>
        <w:jc w:val="right"/>
      </w:pPr>
      <w:r>
        <w:rPr/>
        <w:t>”</w:t>
      </w:r>
    </w:p>
    <w:p>
      <w:pPr>
        <w:spacing w:after="0" w:line="240" w:lineRule="auto"/>
        <w:jc w:val="righ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50"/>
        <w:gridCol w:w="7912"/>
      </w:tblGrid>
      <w:tr>
        <w:trPr>
          <w:trHeight w:val="363"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业务的营销网络的搭建及人员配置。</w:t>
            </w:r>
          </w:p>
        </w:tc>
      </w:tr>
      <w:tr>
        <w:trPr>
          <w:trHeight w:val="713"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7"/>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募集资金专用账户均已销户。</w:t>
            </w:r>
          </w:p>
        </w:tc>
      </w:tr>
      <w:tr>
        <w:trPr>
          <w:trHeight w:val="1651" w:hRule="exact"/>
        </w:trPr>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77"/>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：高压无功补偿装置产品升级及产业化项目：项目试投产日期为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w:t>
            </w:r>
            <w:r>
              <w:rPr>
                <w:rFonts w:ascii="Times New Roman" w:hAnsi="Times New Roman" w:cs="Times New Roman" w:eastAsia="Times New Roman" w:hint="default"/>
                <w:spacing w:val="-5"/>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年下半</w:t>
            </w:r>
          </w:p>
          <w:p>
            <w:pPr>
              <w:pStyle w:val="TableParagraph"/>
              <w:spacing w:line="307"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年正式投产，并于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年初完成项目验收。受国家电力设备投资增速放缓的影响，国内对高压无功 </w:t>
            </w:r>
            <w:r>
              <w:rPr>
                <w:rFonts w:ascii="宋体" w:hAnsi="宋体" w:cs="宋体" w:eastAsia="宋体" w:hint="default"/>
                <w:spacing w:val="-2"/>
                <w:sz w:val="18"/>
                <w:szCs w:val="18"/>
              </w:rPr>
              <w:t>补偿的需求增速持续回落，故本项目未实现预计产能利用率，未达到预计实现的效益。累计实现的效</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1,202.52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万元属于可完全分割的效益。注</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：不可分割的效益：公司部分订单效益由募投三个项目 相互关联产生，无法分割。</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t>√ 适用 □</w:t>
      </w:r>
      <w:r>
        <w:rPr>
          <w:spacing w:val="3"/>
        </w:rPr>
        <w:t> </w:t>
      </w:r>
      <w:r>
        <w:rPr/>
        <w:t>不适用</w:t>
      </w:r>
    </w:p>
    <w:p>
      <w:pPr>
        <w:pStyle w:val="BodyText"/>
        <w:spacing w:line="240" w:lineRule="auto" w:before="115"/>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before="44"/>
        <w:ind w:left="0" w:right="155"/>
        <w:jc w:val="right"/>
      </w:pPr>
      <w:r>
        <w:rPr/>
        <w:pict>
          <v:shape style="position:absolute;margin-left:56.459999pt;margin-top:-310.618286pt;width:479.35pt;height:479.9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337"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3"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276"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印尼苏拉威 西镍铁工业 园项目一期</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南加里曼丹 印尼</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sz w:val="18"/>
                          </w:rPr>
                          <w:t>ASAM-AS</w:t>
                        </w:r>
                      </w:p>
                      <w:p>
                        <w:pPr>
                          <w:pStyle w:val="TableParagraph"/>
                          <w:spacing w:line="300" w:lineRule="auto" w:before="6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AM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发电厂 扩建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ⅹ </w:t>
                        </w:r>
                        <w:r>
                          <w:rPr>
                            <w:rFonts w:ascii="Times New Roman" w:hAnsi="Times New Roman" w:cs="Times New Roman" w:eastAsia="Times New Roman" w:hint="default"/>
                            <w:sz w:val="18"/>
                            <w:szCs w:val="18"/>
                          </w:rPr>
                          <w:t>65MW</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工程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12,710.03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12,790.99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100.64%</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12,710.03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12,790.99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460"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4" w:lineRule="auto"/>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“印尼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ASAM</w:t>
                        </w:r>
                        <w:r>
                          <w:rPr>
                            <w:rFonts w:ascii="Times New Roman" w:hAnsi="Times New Roman" w:cs="Times New Roman" w:eastAsia="Times New Roman" w:hint="default"/>
                            <w:spacing w:val="38"/>
                            <w:sz w:val="18"/>
                            <w:szCs w:val="18"/>
                          </w:rPr>
                          <w:t> </w:t>
                        </w:r>
                        <w:r>
                          <w:rPr>
                            <w:rFonts w:ascii="宋体" w:hAnsi="宋体" w:cs="宋体" w:eastAsia="宋体" w:hint="default"/>
                            <w:spacing w:val="-4"/>
                            <w:sz w:val="18"/>
                            <w:szCs w:val="18"/>
                          </w:rPr>
                          <w:t>电厂项目”于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月份取得印尼国家电力公司的中标通知书，但 </w:t>
                        </w:r>
                        <w:r>
                          <w:rPr>
                            <w:rFonts w:ascii="宋体" w:hAnsi="宋体" w:cs="宋体" w:eastAsia="宋体" w:hint="default"/>
                            <w:spacing w:val="-1"/>
                            <w:sz w:val="18"/>
                            <w:szCs w:val="18"/>
                          </w:rPr>
                          <w:t>因该项目发起股东间四方协议变更一直未能得到印尼国家电力公司批复的原因，而导</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
                            <w:sz w:val="18"/>
                            <w:szCs w:val="18"/>
                          </w:rPr>
                          <w:t>致迟迟不能签署项目合同，项目的启动时间具有不确定性。公司对该项目的投资工期</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滞后，因此本着控制风险、审慎投资的原则，为更好地维护公司和投资者的利益，决</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定变更该超募资金投资项目。在公司第二届董事会第三次会议和第二届监事会第三次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会议上，一致通过将全部剩余超募资金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12,710.03 </w:t>
                        </w:r>
                        <w:r>
                          <w:rPr>
                            <w:rFonts w:ascii="宋体" w:hAnsi="宋体" w:cs="宋体" w:eastAsia="宋体" w:hint="default"/>
                            <w:sz w:val="18"/>
                            <w:szCs w:val="18"/>
                          </w:rPr>
                          <w:t>万元，用于变更后的项目印尼苏拉 </w:t>
                        </w:r>
                        <w:r>
                          <w:rPr>
                            <w:rFonts w:ascii="宋体" w:hAnsi="宋体" w:cs="宋体" w:eastAsia="宋体" w:hint="default"/>
                            <w:spacing w:val="-1"/>
                            <w:sz w:val="18"/>
                            <w:szCs w:val="18"/>
                          </w:rPr>
                          <w:t>威西镍铁工业园项目一期。公司独立董事、董事会、监事会认为此次投资有利于公司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进一步拓展业务和发展，不存在损害上市公司利益，不会对上市公司独立性构成影响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不会侵害中小股东利益，</w:t>
                        </w:r>
                        <w:r>
                          <w:rPr>
                            <w:rFonts w:ascii="宋体" w:hAnsi="宋体" w:cs="宋体" w:eastAsia="宋体" w:hint="default"/>
                            <w:spacing w:val="1"/>
                            <w:sz w:val="18"/>
                            <w:szCs w:val="18"/>
                          </w:rPr>
                          <w:t> </w:t>
                        </w:r>
                        <w:r>
                          <w:rPr>
                            <w:rFonts w:ascii="宋体" w:hAnsi="宋体" w:cs="宋体" w:eastAsia="宋体" w:hint="default"/>
                            <w:sz w:val="18"/>
                            <w:szCs w:val="18"/>
                          </w:rPr>
                          <w:t>符合中国证监会和深交所的有关规定。公司保荐机构兴业</w:t>
                        </w:r>
                        <w:r>
                          <w:rPr>
                            <w:rFonts w:ascii="宋体" w:hAnsi="宋体" w:cs="宋体" w:eastAsia="宋体" w:hint="default"/>
                            <w:sz w:val="18"/>
                            <w:szCs w:val="18"/>
                          </w:rPr>
                          <w:t> </w:t>
                        </w:r>
                        <w:r>
                          <w:rPr>
                            <w:rFonts w:ascii="宋体" w:hAnsi="宋体" w:cs="宋体" w:eastAsia="宋体" w:hint="default"/>
                            <w:spacing w:val="-1"/>
                            <w:sz w:val="18"/>
                            <w:szCs w:val="18"/>
                          </w:rPr>
                          <w:t>证券股份有限公司认为，公司此次超募资金的使用安排是合法的、可行的，属于公司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1"/>
                            <w:sz w:val="18"/>
                            <w:szCs w:val="18"/>
                          </w:rPr>
                          <w:t>的正常经营行为，符合公司及全体股东的利益，兴业证券对公司此次募集资金使用计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划无异议。具体披露情况详见公司 </w:t>
                        </w:r>
                        <w:r>
                          <w:rPr>
                            <w:rFonts w:ascii="Times New Roman" w:hAnsi="Times New Roman" w:cs="Times New Roman" w:eastAsia="Times New Roman" w:hint="default"/>
                            <w:sz w:val="18"/>
                            <w:szCs w:val="18"/>
                          </w:rPr>
                          <w:t>2014-008</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号公告《青岛市恒顺电气股份有限公司关</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于使用超募资金进行投资并变更部分已规划超募资金使用计划的公告</w:t>
                        </w:r>
                        <w:r>
                          <w:rPr>
                            <w:rFonts w:ascii="宋体" w:hAnsi="宋体" w:cs="宋体" w:eastAsia="宋体" w:hint="default"/>
                            <w:spacing w:val="-92"/>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日，公司已对该项</w:t>
                        </w:r>
                        <w:r>
                          <w:rPr>
                            <w:rFonts w:ascii="宋体" w:hAnsi="宋体" w:cs="宋体" w:eastAsia="宋体" w:hint="default"/>
                            <w:spacing w:val="-3"/>
                            <w:sz w:val="18"/>
                            <w:szCs w:val="18"/>
                          </w:rPr>
                          <w:t>目</w:t>
                        </w:r>
                        <w:r>
                          <w:rPr>
                            <w:rFonts w:ascii="宋体" w:hAnsi="宋体" w:cs="宋体" w:eastAsia="宋体" w:hint="default"/>
                            <w:sz w:val="18"/>
                            <w:szCs w:val="18"/>
                          </w:rPr>
                          <w:t>投入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万元（包含利</w:t>
                        </w:r>
                        <w:r>
                          <w:rPr>
                            <w:rFonts w:ascii="宋体" w:hAnsi="宋体" w:cs="宋体" w:eastAsia="宋体" w:hint="default"/>
                            <w:spacing w:val="-3"/>
                            <w:sz w:val="18"/>
                            <w:szCs w:val="18"/>
                          </w:rPr>
                          <w:t>息</w:t>
                        </w:r>
                        <w:r>
                          <w:rPr>
                            <w:rFonts w:ascii="宋体" w:hAnsi="宋体" w:cs="宋体" w:eastAsia="宋体" w:hint="default"/>
                            <w:sz w:val="18"/>
                            <w:szCs w:val="18"/>
                          </w:rPr>
                          <w:t>收入</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71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after="0" w:line="240" w:lineRule="auto"/>
        <w:jc w:val="right"/>
        <w:sectPr>
          <w:pgSz w:w="11910" w:h="16840"/>
          <w:pgMar w:header="745" w:footer="979" w:top="1060" w:bottom="1160" w:left="980" w:right="980"/>
        </w:sectPr>
      </w:pPr>
    </w:p>
    <w:p>
      <w:pPr>
        <w:spacing w:line="240" w:lineRule="auto" w:before="2"/>
        <w:rPr>
          <w:rFonts w:ascii="宋体" w:hAnsi="宋体" w:cs="宋体" w:eastAsia="宋体" w:hint="default"/>
          <w:sz w:val="28"/>
          <w:szCs w:val="28"/>
        </w:rPr>
      </w:pPr>
    </w:p>
    <w:p>
      <w:pPr>
        <w:spacing w:line="38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15pt;height:19.1pt;mso-position-horizontal-relative:char;mso-position-vertical-relative:line" coordorigin="0,0" coordsize="9583,382">
            <v:group style="position:absolute;left:23;top:14;width:2;height:354" coordorigin="23,14" coordsize="2,354">
              <v:shape style="position:absolute;left:23;top:14;width:2;height:354" coordorigin="23,14" coordsize="0,354" path="m23,14l23,368e" filled="false" stroked="true" strokeweight="1.08pt" strokecolor="#d2d2d2">
                <v:path arrowok="t"/>
              </v:shape>
            </v:group>
            <v:group style="position:absolute;left:2862;top:14;width:2;height:354" coordorigin="2862,14" coordsize="2,354">
              <v:shape style="position:absolute;left:2862;top:14;width:2;height:354" coordorigin="2862,14" coordsize="0,354" path="m2862,14l2862,368e" filled="false" stroked="true" strokeweight="1.2pt" strokecolor="#d2d2d2">
                <v:path arrowok="t"/>
              </v:shape>
            </v:group>
            <v:group style="position:absolute;left:34;top:14;width:2817;height:354" coordorigin="34,14" coordsize="2817,354">
              <v:shape style="position:absolute;left:34;top:14;width:2817;height:354" coordorigin="34,14" coordsize="2817,354" path="m34,368l2850,368,2850,14,34,14,34,368xe" filled="true" fillcolor="#d2d2d2" stroked="false">
                <v:path arrowok="t"/>
                <v:fill type="solid"/>
              </v:shape>
            </v:group>
            <v:group style="position:absolute;left:10;top:10;width:2865;height:2" coordorigin="10,10" coordsize="2865,2">
              <v:shape style="position:absolute;left:10;top:10;width:2865;height:2" coordorigin="10,10" coordsize="2865,0" path="m10,10l2874,10e" filled="false" stroked="true" strokeweight=".48pt" strokecolor="#000000">
                <v:path arrowok="t"/>
              </v:shape>
            </v:group>
            <v:group style="position:absolute;left:2883;top:10;width:6690;height:2" coordorigin="2883,10" coordsize="6690,2">
              <v:shape style="position:absolute;left:2883;top:10;width:6690;height:2" coordorigin="2883,10" coordsize="6690,0" path="m2883,10l9573,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2865;height:2" coordorigin="10,372" coordsize="2865,2">
              <v:shape style="position:absolute;left:10;top:372;width:2865;height:2" coordorigin="10,372" coordsize="2865,0" path="m10,372l2874,372e" filled="false" stroked="true" strokeweight=".48pt" strokecolor="#000000">
                <v:path arrowok="t"/>
              </v:shape>
            </v:group>
            <v:group style="position:absolute;left:2879;top:5;width:2;height:373" coordorigin="2879,5" coordsize="2,373">
              <v:shape style="position:absolute;left:2879;top:5;width:2;height:373" coordorigin="2879,5" coordsize="0,373" path="m2879,5l2879,377e" filled="false" stroked="true" strokeweight=".48001pt" strokecolor="#000000">
                <v:path arrowok="t"/>
              </v:shape>
            </v:group>
            <v:group style="position:absolute;left:2883;top:372;width:6690;height:2" coordorigin="2883,372" coordsize="6690,2">
              <v:shape style="position:absolute;left:2883;top:372;width:6690;height:2" coordorigin="2883,372" coordsize="6690,0" path="m2883,372l9573,372e" filled="false" stroked="true" strokeweight=".48pt" strokecolor="#000000">
                <v:path arrowok="t"/>
              </v:shape>
            </v:group>
            <v:group style="position:absolute;left:9578;top:5;width:2;height:373" coordorigin="9578,5" coordsize="2,373">
              <v:shape style="position:absolute;left:9578;top:5;width:2;height:373" coordorigin="9578,5" coordsize="0,373" path="m9578,5l9578,377e" filled="false" stroked="true" strokeweight=".47998pt" strokecolor="#000000">
                <v:path arrowok="t"/>
              </v:shape>
              <v:shape style="position:absolute;left:6;top:10;width:2873;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的情况说明</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sz w:val="17"/>
          <w:szCs w:val="17"/>
        </w:rPr>
      </w:pPr>
    </w:p>
    <w:p>
      <w:pPr>
        <w:pStyle w:val="Heading3"/>
        <w:spacing w:line="240" w:lineRule="auto" w:before="26"/>
        <w:ind w:right="94"/>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4"/>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474"/>
        <w:jc w:val="left"/>
      </w:pPr>
      <w:r>
        <w:rPr/>
        <w:t>□ 适用 √</w:t>
      </w:r>
      <w:r>
        <w:rPr>
          <w:spacing w:val="3"/>
        </w:rPr>
        <w:t> </w:t>
      </w:r>
      <w:r>
        <w:rPr/>
        <w:t>不适用</w:t>
      </w:r>
      <w:r>
        <w:rPr/>
        <w:t> 公司报告期未出售重大资产。</w:t>
      </w:r>
    </w:p>
    <w:p>
      <w:pPr>
        <w:spacing w:line="240" w:lineRule="auto" w:before="2"/>
        <w:rPr>
          <w:rFonts w:ascii="宋体" w:hAnsi="宋体" w:cs="宋体" w:eastAsia="宋体" w:hint="default"/>
          <w:sz w:val="20"/>
          <w:szCs w:val="20"/>
        </w:rPr>
      </w:pPr>
    </w:p>
    <w:p>
      <w:pPr>
        <w:pStyle w:val="Heading5"/>
        <w:spacing w:line="240" w:lineRule="auto"/>
        <w:ind w:right="94"/>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94"/>
        <w:jc w:val="left"/>
        <w:rPr>
          <w:b w:val="0"/>
          <w:bCs w:val="0"/>
        </w:rPr>
      </w:pPr>
      <w:r>
        <w:rPr/>
        <w:t>七、主要控股参股公司分析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5674"/>
        <w:jc w:val="left"/>
      </w:pPr>
      <w:r>
        <w:rPr/>
        <w:t>□ 适用 √</w:t>
      </w:r>
      <w:r>
        <w:rPr>
          <w:spacing w:val="3"/>
        </w:rPr>
        <w:t> </w:t>
      </w:r>
      <w:r>
        <w:rPr/>
        <w:t>不适用</w:t>
      </w:r>
      <w:r>
        <w:rPr/>
        <w:t> 公司报告期内无应当披露的重要控股参股公司信息。</w:t>
      </w:r>
    </w:p>
    <w:p>
      <w:pPr>
        <w:spacing w:line="240" w:lineRule="auto" w:before="7"/>
        <w:rPr>
          <w:rFonts w:ascii="宋体" w:hAnsi="宋体" w:cs="宋体" w:eastAsia="宋体" w:hint="default"/>
          <w:sz w:val="18"/>
          <w:szCs w:val="18"/>
        </w:rPr>
      </w:pPr>
    </w:p>
    <w:p>
      <w:pPr>
        <w:pStyle w:val="Heading3"/>
        <w:spacing w:line="240" w:lineRule="auto"/>
        <w:ind w:right="94"/>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3"/>
        <w:spacing w:line="240" w:lineRule="auto"/>
        <w:ind w:right="94"/>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94"/>
        <w:jc w:val="left"/>
      </w:pPr>
      <w:r>
        <w:rPr/>
        <w:t>（一）行业格局和趋势</w:t>
      </w:r>
    </w:p>
    <w:p>
      <w:pPr>
        <w:pStyle w:val="BodyText"/>
        <w:spacing w:line="309" w:lineRule="auto" w:before="76"/>
        <w:ind w:right="94" w:firstLine="360"/>
        <w:jc w:val="left"/>
      </w:pPr>
      <w:r>
        <w:rPr>
          <w:rFonts w:ascii="Times New Roman" w:hAnsi="Times New Roman" w:cs="Times New Roman" w:eastAsia="Times New Roman" w:hint="default"/>
        </w:rPr>
        <w:t>1</w:t>
      </w:r>
      <w:r>
        <w:rPr/>
        <w:t>、近年来，国内经济运行进入</w:t>
      </w:r>
      <w:r>
        <w:rPr>
          <w:rFonts w:ascii="Times New Roman" w:hAnsi="Times New Roman" w:cs="Times New Roman" w:eastAsia="Times New Roman" w:hint="default"/>
        </w:rPr>
        <w:t>“</w:t>
      </w:r>
      <w:r>
        <w:rPr/>
        <w:t>新常态</w:t>
      </w:r>
      <w:r>
        <w:rPr>
          <w:rFonts w:ascii="Times New Roman" w:hAnsi="Times New Roman" w:cs="Times New Roman" w:eastAsia="Times New Roman" w:hint="default"/>
        </w:rPr>
        <w:t>”</w:t>
      </w:r>
      <w:r>
        <w:rPr/>
        <w:t>，经济增速下降。为谋求更好地发展，公司通过探索海外市场，有效地整合内 </w:t>
      </w:r>
      <w:r>
        <w:rPr>
          <w:spacing w:val="-4"/>
        </w:rPr>
        <w:t>外部优质资源，积极探索行业转型，从单一输配电制造企业向多元业务化领域发展。公司目前投资的海外国家如印尼、南非、</w:t>
      </w:r>
      <w:r>
        <w:rPr>
          <w:spacing w:val="-44"/>
        </w:rPr>
        <w:t> </w:t>
      </w:r>
      <w:r>
        <w:rPr>
          <w:spacing w:val="-44"/>
        </w:rPr>
      </w:r>
      <w:r>
        <w:rPr>
          <w:spacing w:val="-2"/>
        </w:rPr>
        <w:t>津巴布韦等，电力基础设施建设水平较为落后，但资源丰富。随着世界工业化发展的进程，上述国家推进国内工业化水平建</w:t>
      </w:r>
      <w:r>
        <w:rPr>
          <w:spacing w:val="-65"/>
        </w:rPr>
        <w:t> </w:t>
      </w:r>
      <w:r>
        <w:rPr>
          <w:spacing w:val="-65"/>
        </w:rPr>
      </w:r>
      <w:r>
        <w:rPr/>
        <w:t>设的需求十分迫切。公司在印尼先后收购了印尼中加煤矿公司、印尼苏岛镍矿公司、印尼中苏镍矿公司，</w:t>
      </w:r>
      <w:r>
        <w:rPr>
          <w:rFonts w:ascii="Times New Roman" w:hAnsi="Times New Roman" w:cs="Times New Roman" w:eastAsia="Times New Roman" w:hint="default"/>
        </w:rPr>
        <w:t>Ca.Alam</w:t>
      </w:r>
      <w:r>
        <w:rPr>
          <w:rFonts w:ascii="Times New Roman" w:hAnsi="Times New Roman" w:cs="Times New Roman" w:eastAsia="Times New Roman" w:hint="default"/>
          <w:spacing w:val="-11"/>
        </w:rPr>
        <w:t> </w:t>
      </w:r>
      <w:r>
        <w:rPr>
          <w:rFonts w:ascii="Times New Roman" w:hAnsi="Times New Roman" w:cs="Times New Roman" w:eastAsia="Times New Roman" w:hint="default"/>
        </w:rPr>
        <w:t>Jaya</w:t>
      </w:r>
      <w:r>
        <w:rPr/>
        <w:t>锰矿</w:t>
      </w:r>
      <w:r>
        <w:rPr>
          <w:spacing w:val="2"/>
        </w:rPr>
        <w:t> </w:t>
      </w:r>
      <w:r>
        <w:rPr/>
        <w:t>公司正在收购当中；在南非，公司计划收购非洲煤业的下属子公司宝巴项目</w:t>
      </w:r>
      <w:r>
        <w:rPr>
          <w:rFonts w:ascii="Times New Roman" w:hAnsi="Times New Roman" w:cs="Times New Roman" w:eastAsia="Times New Roman" w:hint="default"/>
        </w:rPr>
        <w:t>34%</w:t>
      </w:r>
      <w:r>
        <w:rPr/>
        <w:t>的股权，以获得</w:t>
      </w:r>
      <w:r>
        <w:rPr>
          <w:rFonts w:ascii="Times New Roman" w:hAnsi="Times New Roman" w:cs="Times New Roman" w:eastAsia="Times New Roman" w:hint="default"/>
        </w:rPr>
        <w:t>Makhado</w:t>
      </w:r>
      <w:r>
        <w:rPr/>
        <w:t>煤炭项目相应的开 </w:t>
      </w:r>
      <w:r>
        <w:rPr>
          <w:spacing w:val="-2"/>
        </w:rPr>
        <w:t>发采矿权。公司通过并购当地的资源，以电力建设为核心，在当地投资建立工业园，从事工业园区基础设施建设，打造五通</w:t>
      </w:r>
      <w:r>
        <w:rPr>
          <w:spacing w:val="-67"/>
        </w:rPr>
        <w:t> </w:t>
      </w:r>
      <w:r>
        <w:rPr>
          <w:spacing w:val="-67"/>
        </w:rPr>
      </w:r>
      <w:r>
        <w:rPr>
          <w:spacing w:val="-2"/>
        </w:rPr>
        <w:t>一平的工业园平台，招商相关企业入园，并提供工商、税务、物流、生活等后勤保障；对矿产资源进行深加工，提高产品附</w:t>
      </w:r>
      <w:r>
        <w:rPr>
          <w:spacing w:val="-72"/>
        </w:rPr>
        <w:t> </w:t>
      </w:r>
      <w:r>
        <w:rPr>
          <w:spacing w:val="-72"/>
        </w:rPr>
      </w:r>
      <w:r>
        <w:rPr/>
        <w:t>加值，形成了工业园上下游互惠互赢的工业生态，打造综合服务一体化的商业运营模式。</w:t>
      </w:r>
    </w:p>
    <w:p>
      <w:pPr>
        <w:pStyle w:val="BodyText"/>
        <w:spacing w:line="304" w:lineRule="auto" w:before="24"/>
        <w:ind w:right="100" w:firstLine="360"/>
        <w:jc w:val="left"/>
      </w:pPr>
      <w:r>
        <w:rPr>
          <w:rFonts w:ascii="Times New Roman" w:hAnsi="Times New Roman" w:cs="Times New Roman" w:eastAsia="Times New Roman" w:hint="default"/>
        </w:rPr>
        <w:t>2</w:t>
      </w:r>
      <w:r>
        <w:rPr/>
        <w:t>、投资所在国印尼与我国政治关系友好，积极往来，我国也积极推进</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的发展战略。公司于</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27</w:t>
      </w:r>
      <w:r>
        <w:rPr>
          <w:spacing w:val="-2"/>
        </w:rPr>
        <w:t>日，印尼总统佐科访华期间，在人民大会堂举行的</w:t>
      </w:r>
      <w:r>
        <w:rPr>
          <w:rFonts w:ascii="Times New Roman" w:hAnsi="Times New Roman" w:cs="Times New Roman" w:eastAsia="Times New Roman" w:hint="default"/>
          <w:spacing w:val="-2"/>
        </w:rPr>
        <w:t>“</w:t>
      </w:r>
      <w:r>
        <w:rPr>
          <w:spacing w:val="-2"/>
        </w:rPr>
        <w:t>中国</w:t>
      </w:r>
      <w:r>
        <w:rPr>
          <w:rFonts w:ascii="Times New Roman" w:hAnsi="Times New Roman" w:cs="Times New Roman" w:eastAsia="Times New Roman" w:hint="default"/>
          <w:spacing w:val="-2"/>
        </w:rPr>
        <w:t>——</w:t>
      </w:r>
      <w:r>
        <w:rPr>
          <w:spacing w:val="-2"/>
        </w:rPr>
        <w:t>印尼经济合作论坛</w:t>
      </w:r>
      <w:r>
        <w:rPr>
          <w:rFonts w:ascii="Times New Roman" w:hAnsi="Times New Roman" w:cs="Times New Roman" w:eastAsia="Times New Roman" w:hint="default"/>
          <w:spacing w:val="-2"/>
        </w:rPr>
        <w:t>"</w:t>
      </w:r>
      <w:r>
        <w:rPr>
          <w:spacing w:val="-2"/>
        </w:rPr>
        <w:t>上与印尼苏拉威西省、青岛市政府、</w:t>
      </w:r>
      <w:r>
        <w:rPr>
          <w:spacing w:val="-35"/>
        </w:rPr>
        <w:t> </w:t>
      </w:r>
      <w:r>
        <w:rPr>
          <w:spacing w:val="-35"/>
        </w:rPr>
      </w:r>
      <w:r>
        <w:rPr/>
        <w:t>印尼</w:t>
      </w:r>
      <w:r>
        <w:rPr>
          <w:rFonts w:ascii="Times New Roman" w:hAnsi="Times New Roman" w:cs="Times New Roman" w:eastAsia="Times New Roman" w:hint="default"/>
        </w:rPr>
        <w:t>PT. Batue Tjepper</w:t>
      </w:r>
      <w:r>
        <w:rPr>
          <w:rFonts w:ascii="Times New Roman" w:hAnsi="Times New Roman" w:cs="Times New Roman" w:eastAsia="Times New Roman" w:hint="default"/>
          <w:spacing w:val="43"/>
        </w:rPr>
        <w:t> </w:t>
      </w:r>
      <w:r>
        <w:rPr>
          <w:rFonts w:ascii="Times New Roman" w:hAnsi="Times New Roman" w:cs="Times New Roman" w:eastAsia="Times New Roman" w:hint="default"/>
        </w:rPr>
        <w:t>Resouces</w:t>
      </w:r>
      <w:r>
        <w:rPr/>
        <w:t>公司签订了支持公司在印尼发展的四方协议，成为印尼</w:t>
      </w:r>
      <w:r>
        <w:rPr>
          <w:rFonts w:ascii="Times New Roman" w:hAnsi="Times New Roman" w:cs="Times New Roman" w:eastAsia="Times New Roman" w:hint="default"/>
        </w:rPr>
        <w:t>“</w:t>
      </w:r>
      <w:r>
        <w:rPr/>
        <w:t>国家级工业园</w:t>
      </w:r>
      <w:r>
        <w:rPr>
          <w:rFonts w:ascii="Times New Roman" w:hAnsi="Times New Roman" w:cs="Times New Roman" w:eastAsia="Times New Roman" w:hint="default"/>
        </w:rPr>
        <w:t>”</w:t>
      </w:r>
      <w:r>
        <w:rPr/>
        <w:t>。印尼欢迎和支持中 国企业在印尼建立印尼－中国综合产业园区，并参与印尼基础设施建设项目，特别是印尼</w:t>
      </w:r>
      <w:r>
        <w:rPr>
          <w:rFonts w:ascii="Times New Roman" w:hAnsi="Times New Roman" w:cs="Times New Roman" w:eastAsia="Times New Roman" w:hint="default"/>
        </w:rPr>
        <w:t>2011-2025</w:t>
      </w:r>
      <w:r>
        <w:rPr/>
        <w:t>年经济发展总体规划包</w:t>
      </w:r>
      <w:r>
        <w:rPr>
          <w:spacing w:val="-56"/>
        </w:rPr>
        <w:t> </w:t>
      </w:r>
      <w:r>
        <w:rPr>
          <w:spacing w:val="-56"/>
        </w:rPr>
      </w:r>
      <w:r>
        <w:rPr>
          <w:spacing w:val="-4"/>
        </w:rPr>
        <w:t>含的项目，如港口、桥梁、高速公路、铁路和机场等。印尼方希望中国企业在爪哇和巴厘以外的地区投资建设综合产业园区，</w:t>
      </w:r>
      <w:r>
        <w:rPr>
          <w:spacing w:val="-46"/>
        </w:rPr>
        <w:t> </w:t>
      </w:r>
      <w:r>
        <w:rPr>
          <w:spacing w:val="-46"/>
        </w:rPr>
      </w:r>
      <w:r>
        <w:rPr/>
        <w:t>为双边贸易和投资合作注入新的活力。</w:t>
      </w:r>
    </w:p>
    <w:p>
      <w:pPr>
        <w:pStyle w:val="BodyText"/>
        <w:spacing w:line="307" w:lineRule="auto" w:before="28"/>
        <w:ind w:right="190"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年在约翰内斯堡召开的</w:t>
      </w:r>
      <w:r>
        <w:rPr>
          <w:rFonts w:ascii="Times New Roman" w:hAnsi="Times New Roman" w:cs="Times New Roman" w:eastAsia="Times New Roman" w:hint="default"/>
        </w:rPr>
        <w:t>“</w:t>
      </w:r>
      <w:r>
        <w:rPr/>
        <w:t>中非合作论坛</w:t>
      </w:r>
      <w:r>
        <w:rPr>
          <w:rFonts w:ascii="Times New Roman" w:hAnsi="Times New Roman" w:cs="Times New Roman" w:eastAsia="Times New Roman" w:hint="default"/>
        </w:rPr>
        <w:t>”</w:t>
      </w:r>
      <w:r>
        <w:rPr/>
        <w:t>，加强了中非团结，开启了中非合作共赢共同发展的新时代。</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 </w:t>
      </w:r>
      <w:r>
        <w:rPr>
          <w:spacing w:val="-2"/>
        </w:rPr>
        <w:t>月</w:t>
      </w:r>
      <w:r>
        <w:rPr>
          <w:rFonts w:ascii="Times New Roman" w:hAnsi="Times New Roman" w:cs="Times New Roman" w:eastAsia="Times New Roman" w:hint="default"/>
          <w:spacing w:val="-2"/>
        </w:rPr>
        <w:t>9</w:t>
      </w:r>
      <w:r>
        <w:rPr>
          <w:spacing w:val="-2"/>
        </w:rPr>
        <w:t>日，津巴布韦共和国副总统埃默森</w:t>
      </w:r>
      <w:r>
        <w:rPr>
          <w:rFonts w:ascii="Times New Roman" w:hAnsi="Times New Roman" w:cs="Times New Roman" w:eastAsia="Times New Roman" w:hint="default"/>
          <w:spacing w:val="-2"/>
        </w:rPr>
        <w:t>•</w:t>
      </w:r>
      <w:r>
        <w:rPr>
          <w:spacing w:val="-2"/>
        </w:rPr>
        <w:t>姆南加古瓦来我国考察期间，与中国中铁二院工程集团有限责任公司、青岛城市建设</w:t>
      </w:r>
      <w:r>
        <w:rPr>
          <w:spacing w:val="-40"/>
        </w:rPr>
        <w:t> </w:t>
      </w:r>
      <w:r>
        <w:rPr>
          <w:spacing w:val="-40"/>
        </w:rPr>
      </w:r>
      <w:r>
        <w:rPr>
          <w:spacing w:val="-2"/>
        </w:rPr>
        <w:t>投资集团、津巴布韦共和国工商部、中国国家开发银行股份有限公司和青岛市人民政府，共同签订了《津巴布韦经济特区与</w:t>
      </w:r>
      <w:r>
        <w:rPr>
          <w:spacing w:val="-64"/>
        </w:rPr>
        <w:t> </w:t>
      </w:r>
      <w:r>
        <w:rPr>
          <w:spacing w:val="-64"/>
        </w:rPr>
      </w:r>
      <w:r>
        <w:rPr/>
        <w:t>工业园项目谅解备忘录》，为公司在津巴布韦开展投资项目奠定了基础。</w:t>
      </w:r>
    </w:p>
    <w:p>
      <w:pPr>
        <w:pStyle w:val="BodyText"/>
        <w:spacing w:line="240" w:lineRule="auto" w:before="26"/>
        <w:ind w:left="513" w:right="94"/>
        <w:jc w:val="left"/>
      </w:pPr>
      <w:r>
        <w:rPr/>
        <w:t>在国家</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政策的号召之下，公司将加大海外市场的开发力度，积极展开与</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沿线国家的合</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作，最大限度的发挥自身优势，提升公司海外经营能力和效益。</w:t>
      </w:r>
    </w:p>
    <w:p>
      <w:pPr>
        <w:pStyle w:val="BodyText"/>
        <w:spacing w:line="316" w:lineRule="auto" w:before="76"/>
        <w:ind w:left="513" w:right="94"/>
        <w:jc w:val="left"/>
      </w:pPr>
      <w:r>
        <w:rPr/>
        <w:t>（二）公司发展方向 </w:t>
      </w:r>
      <w:r>
        <w:rPr>
          <w:spacing w:val="-2"/>
        </w:rPr>
        <w:t>公司</w:t>
      </w:r>
      <w:r>
        <w:rPr>
          <w:rFonts w:ascii="Times New Roman" w:hAnsi="Times New Roman" w:cs="Times New Roman" w:eastAsia="Times New Roman" w:hint="default"/>
          <w:spacing w:val="-2"/>
        </w:rPr>
        <w:t>2015</w:t>
      </w:r>
      <w:r>
        <w:rPr>
          <w:spacing w:val="-2"/>
        </w:rPr>
        <w:t>年转变为致力于绿色节能电网整体解决方案设计与建设，电力基础设施建设及能源投资开发运营商，特种有色</w:t>
      </w:r>
    </w:p>
    <w:p>
      <w:pPr>
        <w:pStyle w:val="BodyText"/>
        <w:spacing w:line="316" w:lineRule="auto"/>
        <w:ind w:right="94"/>
        <w:jc w:val="left"/>
      </w:pPr>
      <w:r>
        <w:rPr>
          <w:spacing w:val="-2"/>
        </w:rPr>
        <w:t>金属矿产运营及产业链整合，工业园区投资开发与运营，特许经营权投资开发与运营以及金融投资控股的综合性跨国民营企</w:t>
      </w:r>
      <w:r>
        <w:rPr>
          <w:spacing w:val="-63"/>
        </w:rPr>
        <w:t> </w:t>
      </w:r>
      <w:r>
        <w:rPr>
          <w:spacing w:val="-63"/>
        </w:rPr>
      </w:r>
      <w:r>
        <w:rPr>
          <w:spacing w:val="-4"/>
        </w:rPr>
        <w:t>业集团。公司结合国内、外的发展环境，坚定地走国际化恒顺之路。以印尼工业园项目为起点，逐步探索向南非、津巴布韦、</w:t>
      </w:r>
      <w:r>
        <w:rPr>
          <w:spacing w:val="-44"/>
        </w:rPr>
        <w:t> </w:t>
      </w:r>
      <w:r>
        <w:rPr>
          <w:spacing w:val="-44"/>
        </w:rPr>
      </w:r>
      <w:r>
        <w:rPr>
          <w:spacing w:val="-2"/>
        </w:rPr>
        <w:t>孟加拉国等资源丰富的国家进行电力基础设施建设及能源投资开发，特种有色金属矿产运营及产业链整合，工业园区投资开</w:t>
      </w:r>
      <w:r>
        <w:rPr>
          <w:spacing w:val="-64"/>
        </w:rPr>
        <w:t> </w:t>
      </w:r>
      <w:r>
        <w:rPr>
          <w:spacing w:val="-64"/>
        </w:rPr>
      </w:r>
      <w:r>
        <w:rPr/>
        <w:t>发与运营，深化国际化发展战略，全面开展海外工业园模式。</w:t>
      </w:r>
    </w:p>
    <w:p>
      <w:pPr>
        <w:pStyle w:val="BodyText"/>
        <w:spacing w:line="240" w:lineRule="auto" w:before="19"/>
        <w:ind w:left="513" w:right="94"/>
        <w:jc w:val="left"/>
      </w:pPr>
      <w:r>
        <w:rPr/>
        <w:t>（三）经营计划</w:t>
      </w:r>
    </w:p>
    <w:p>
      <w:pPr>
        <w:pStyle w:val="BodyText"/>
        <w:spacing w:line="300" w:lineRule="auto" w:before="76"/>
        <w:ind w:right="196" w:firstLine="360"/>
        <w:jc w:val="both"/>
      </w:pPr>
      <w:r>
        <w:rPr>
          <w:rFonts w:ascii="Times New Roman" w:hAnsi="Times New Roman" w:cs="Times New Roman" w:eastAsia="Times New Roman" w:hint="default"/>
          <w:spacing w:val="-3"/>
        </w:rPr>
        <w:t>2016</w:t>
      </w:r>
      <w:r>
        <w:rPr>
          <w:spacing w:val="-3"/>
        </w:rPr>
        <w:t>年，公司将坚持感恩的企业文化方向不动摇，加强人文教育，提高心性，全面践行公司</w:t>
      </w:r>
      <w:r>
        <w:rPr>
          <w:rFonts w:ascii="Times New Roman" w:hAnsi="Times New Roman" w:cs="Times New Roman" w:eastAsia="Times New Roman" w:hint="default"/>
          <w:spacing w:val="-3"/>
        </w:rPr>
        <w:t>“</w:t>
      </w:r>
      <w:r>
        <w:rPr>
          <w:spacing w:val="-3"/>
        </w:rPr>
        <w:t>六大业务模块</w:t>
      </w:r>
      <w:r>
        <w:rPr>
          <w:rFonts w:ascii="Times New Roman" w:hAnsi="Times New Roman" w:cs="Times New Roman" w:eastAsia="Times New Roman" w:hint="default"/>
          <w:spacing w:val="-3"/>
        </w:rPr>
        <w:t>”</w:t>
      </w:r>
      <w:r>
        <w:rPr>
          <w:spacing w:val="-3"/>
        </w:rPr>
        <w:t>，在国家</w:t>
      </w:r>
      <w:r>
        <w:rPr>
          <w:rFonts w:ascii="Times New Roman" w:hAnsi="Times New Roman" w:cs="Times New Roman" w:eastAsia="Times New Roman" w:hint="default"/>
          <w:spacing w:val="-3"/>
        </w:rPr>
        <w:t>“</w:t>
      </w:r>
      <w:r>
        <w:rPr>
          <w:spacing w:val="-3"/>
        </w:rPr>
        <w:t>一</w:t>
      </w:r>
      <w:r>
        <w:rPr/>
        <w:t> 带一路</w:t>
      </w:r>
      <w:r>
        <w:rPr>
          <w:rFonts w:ascii="Times New Roman" w:hAnsi="Times New Roman" w:cs="Times New Roman" w:eastAsia="Times New Roman" w:hint="default"/>
        </w:rPr>
        <w:t>”</w:t>
      </w:r>
      <w:r>
        <w:rPr/>
        <w:t>战略的指引下，积极探索海外工业园发展模式。实现销售最大化、费用最小化。</w:t>
      </w:r>
    </w:p>
    <w:p>
      <w:pPr>
        <w:pStyle w:val="BodyText"/>
        <w:spacing w:line="300" w:lineRule="auto" w:before="13"/>
        <w:ind w:right="193" w:firstLine="360"/>
        <w:jc w:val="both"/>
      </w:pPr>
      <w:r>
        <w:rPr>
          <w:rFonts w:ascii="Times New Roman" w:hAnsi="Times New Roman" w:cs="Times New Roman" w:eastAsia="Times New Roman" w:hint="default"/>
        </w:rPr>
        <w:t>1</w:t>
      </w:r>
      <w:r>
        <w:rPr/>
        <w:t>、市场方面：继续加强品牌建设，打造品牌竞争力，树立恒顺众昇品牌国际认知度和提高品牌活力；积极推进印尼苏 </w:t>
      </w:r>
      <w:r>
        <w:rPr>
          <w:spacing w:val="-2"/>
        </w:rPr>
        <w:t>拉威西镍铁冶炼工业园项目的建设，总结园区建设及运营的成功经验，加强与</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沿线国家的在矿产、能源及电力基</w:t>
      </w:r>
      <w:r>
        <w:rPr>
          <w:spacing w:val="-45"/>
        </w:rPr>
        <w:t> </w:t>
      </w:r>
      <w:r>
        <w:rPr>
          <w:spacing w:val="-45"/>
        </w:rPr>
      </w:r>
      <w:r>
        <w:rPr/>
        <w:t>础设施方面的合作，在投资国复制印尼工业园模式。</w:t>
      </w:r>
    </w:p>
    <w:p>
      <w:pPr>
        <w:pStyle w:val="BodyText"/>
        <w:spacing w:line="309" w:lineRule="auto" w:before="31"/>
        <w:ind w:right="191" w:firstLine="360"/>
        <w:jc w:val="both"/>
      </w:pPr>
      <w:r>
        <w:rPr>
          <w:rFonts w:ascii="Times New Roman" w:hAnsi="Times New Roman" w:cs="Times New Roman" w:eastAsia="Times New Roman" w:hint="default"/>
        </w:rPr>
        <w:t>2</w:t>
      </w:r>
      <w:r>
        <w:rPr/>
        <w:t>、技术研发方面：继续致力于技术和产品的研发创新，提升自主创新能力，持续加大科技研发投入的力度，培养和引 </w:t>
      </w:r>
      <w:r>
        <w:rPr>
          <w:spacing w:val="-2"/>
        </w:rPr>
        <w:t>进研发人才，加强研发合作；加强知识产权的保护和运用，将日常科研工作交付的技术创新首先申请发明专利、实用新型专</w:t>
      </w:r>
      <w:r>
        <w:rPr>
          <w:spacing w:val="-64"/>
        </w:rPr>
        <w:t> </w:t>
      </w:r>
      <w:r>
        <w:rPr>
          <w:spacing w:val="-64"/>
        </w:rPr>
      </w:r>
      <w:r>
        <w:rPr/>
        <w:t>利，为未来发展提供知识产权保护。对现有设备及技术不断进行优化升级，降低企业运营成本。</w:t>
      </w:r>
    </w:p>
    <w:p>
      <w:pPr>
        <w:pStyle w:val="BodyText"/>
        <w:spacing w:line="300" w:lineRule="auto" w:before="24"/>
        <w:ind w:right="193" w:firstLine="360"/>
        <w:jc w:val="both"/>
      </w:pPr>
      <w:r>
        <w:rPr>
          <w:rFonts w:ascii="Times New Roman" w:hAnsi="Times New Roman" w:cs="Times New Roman" w:eastAsia="Times New Roman" w:hint="default"/>
        </w:rPr>
        <w:t>3</w:t>
      </w:r>
      <w:r>
        <w:rPr/>
        <w:t>、生产方面：积极践行及推进平台化轻资产现代制造业模式，加强公司对外部协作加工企业的监造和管控，提高产品 的质量，节约人力成本，优化企业的经营结构。</w:t>
      </w:r>
    </w:p>
    <w:p>
      <w:pPr>
        <w:pStyle w:val="BodyText"/>
        <w:spacing w:line="309" w:lineRule="auto" w:before="31"/>
        <w:ind w:right="193" w:firstLine="360"/>
        <w:jc w:val="both"/>
      </w:pPr>
      <w:r>
        <w:rPr>
          <w:rFonts w:ascii="Times New Roman" w:hAnsi="Times New Roman" w:cs="Times New Roman" w:eastAsia="Times New Roman" w:hint="default"/>
        </w:rPr>
        <w:t>4</w:t>
      </w:r>
      <w:r>
        <w:rPr/>
        <w:t>、内部管理方面：公司将建立健全内控管理制度，提升内控管理水平，不断优化企业的组织结构，确保企业规范运作 </w:t>
      </w:r>
      <w:r>
        <w:rPr>
          <w:spacing w:val="-2"/>
        </w:rPr>
        <w:t>和稳健发展。根据战略转型和发展配备人才，加大人才引进力度，支持新事业发展，借助专家工作站，加强专业技术人才交</w:t>
      </w:r>
      <w:r>
        <w:rPr>
          <w:spacing w:val="-67"/>
        </w:rPr>
        <w:t> </w:t>
      </w:r>
      <w:r>
        <w:rPr>
          <w:spacing w:val="-67"/>
        </w:rPr>
      </w:r>
      <w:r>
        <w:rPr/>
        <w:t>流与合作。完善绩效考核体系，突出对核心技术人员的激励；优化完善培训机制，为新人成长提供平台。</w:t>
      </w:r>
    </w:p>
    <w:p>
      <w:pPr>
        <w:spacing w:line="240" w:lineRule="auto" w:before="4"/>
        <w:rPr>
          <w:rFonts w:ascii="宋体" w:hAnsi="宋体" w:cs="宋体" w:eastAsia="宋体" w:hint="default"/>
          <w:sz w:val="21"/>
          <w:szCs w:val="21"/>
        </w:rPr>
      </w:pPr>
    </w:p>
    <w:p>
      <w:pPr>
        <w:pStyle w:val="Heading3"/>
        <w:spacing w:line="240" w:lineRule="auto"/>
        <w:ind w:right="94"/>
        <w:jc w:val="left"/>
        <w:rPr>
          <w:b w:val="0"/>
          <w:bCs w:val="0"/>
        </w:rPr>
      </w:pP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w:t>
            </w:r>
            <w:r>
              <w:rPr>
                <w:rFonts w:ascii="宋体" w:hAnsi="宋体" w:cs="宋体" w:eastAsia="宋体" w:hint="default"/>
                <w:spacing w:val="-92"/>
                <w:sz w:val="18"/>
                <w:szCs w:val="18"/>
              </w:rPr>
              <w:t>：</w:t>
            </w:r>
            <w:r>
              <w:rPr>
                <w:rFonts w:ascii="宋体" w:hAnsi="宋体" w:cs="宋体" w:eastAsia="宋体" w:hint="default"/>
                <w:sz w:val="18"/>
                <w:szCs w:val="18"/>
              </w:rPr>
              <w:t>（恒顺众昇：</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日投资者关系活动记录表）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深交所互动易</w:t>
            </w:r>
            <w:r>
              <w:rPr>
                <w:rFonts w:ascii="宋体" w:hAnsi="宋体" w:cs="宋体" w:eastAsia="宋体" w:hint="default"/>
                <w:spacing w:val="-92"/>
                <w:sz w:val="18"/>
                <w:szCs w:val="18"/>
              </w:rPr>
              <w:t>：</w:t>
            </w:r>
            <w:r>
              <w:rPr>
                <w:rFonts w:ascii="宋体" w:hAnsi="宋体" w:cs="宋体" w:eastAsia="宋体" w:hint="default"/>
                <w:sz w:val="18"/>
                <w:szCs w:val="18"/>
              </w:rPr>
              <w:t>（恒顺众昇：</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94"/>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报告期内普通股利润分配政策，特别是现金分红政策的制定、执行或调整情况</w:t>
      </w:r>
    </w:p>
    <w:p>
      <w:pPr>
        <w:pStyle w:val="BodyText"/>
        <w:spacing w:line="319" w:lineRule="auto" w:before="117"/>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为进一步落实中国证监会《上市公司监管指引第</w:t>
      </w:r>
      <w:r>
        <w:rPr>
          <w:rFonts w:ascii="Times New Roman" w:hAnsi="Times New Roman" w:cs="Times New Roman" w:eastAsia="Times New Roman" w:hint="default"/>
          <w:spacing w:val="-2"/>
        </w:rPr>
        <w:t>3</w:t>
      </w:r>
      <w:r>
        <w:rPr>
          <w:spacing w:val="-2"/>
        </w:rPr>
        <w:t>号</w:t>
      </w:r>
      <w:r>
        <w:rPr>
          <w:rFonts w:ascii="Times New Roman" w:hAnsi="Times New Roman" w:cs="Times New Roman" w:eastAsia="Times New Roman" w:hint="default"/>
          <w:spacing w:val="-2"/>
        </w:rPr>
        <w:t>——</w:t>
      </w:r>
      <w:r>
        <w:rPr>
          <w:spacing w:val="-2"/>
        </w:rPr>
        <w:t>上市公司现金分红》的要求，</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月，由公司</w:t>
      </w:r>
      <w:r>
        <w:rPr>
          <w:rFonts w:ascii="Times New Roman" w:hAnsi="Times New Roman" w:cs="Times New Roman" w:eastAsia="Times New Roman" w:hint="default"/>
          <w:spacing w:val="-2"/>
        </w:rPr>
        <w:t>2015</w:t>
      </w:r>
      <w:r>
        <w:rPr>
          <w:spacing w:val="-2"/>
        </w:rPr>
        <w:t>年第一次临时</w:t>
      </w:r>
      <w:r>
        <w:rPr>
          <w:spacing w:val="-56"/>
        </w:rPr>
        <w:t> </w:t>
      </w:r>
      <w:r>
        <w:rPr>
          <w:spacing w:val="-56"/>
        </w:rPr>
      </w:r>
      <w:r>
        <w:rPr/>
        <w:t>股东大会审议通过的《公司章程》（修订），修订后的利润分配政策为：</w:t>
      </w:r>
    </w:p>
    <w:p>
      <w:pPr>
        <w:pStyle w:val="BodyText"/>
        <w:spacing w:line="316" w:lineRule="auto" w:before="17"/>
        <w:ind w:right="191"/>
        <w:jc w:val="both"/>
      </w:pPr>
      <w:r>
        <w:rPr/>
        <w:t>第一百五十五条</w:t>
      </w:r>
      <w:r>
        <w:rPr>
          <w:spacing w:val="-18"/>
        </w:rPr>
        <w:t> </w:t>
      </w:r>
      <w:r>
        <w:rPr/>
        <w:t>公司实施积极的利润分配政策，重视对投资者的合理投资回报，确保利润分配的连续性和稳定性，利润分</w:t>
      </w:r>
      <w:r>
        <w:rPr/>
        <w:t> </w:t>
      </w:r>
      <w:r>
        <w:rPr>
          <w:spacing w:val="-2"/>
        </w:rPr>
        <w:t>配不得超过累计可分配利润的范围，不得损害公司持续经营能力。公司董事会、监事会和股东大会对利润分配政策的决策和</w:t>
      </w:r>
      <w:r>
        <w:rPr>
          <w:spacing w:val="-64"/>
        </w:rPr>
        <w:t> </w:t>
      </w:r>
      <w:r>
        <w:rPr>
          <w:spacing w:val="-64"/>
        </w:rPr>
      </w:r>
      <w:r>
        <w:rPr/>
        <w:t>论证过程中应当充分考虑独立董事和公众投资者的意见。</w:t>
      </w:r>
    </w:p>
    <w:p>
      <w:pPr>
        <w:pStyle w:val="BodyText"/>
        <w:spacing w:line="240" w:lineRule="auto" w:before="19"/>
        <w:ind w:right="94"/>
        <w:jc w:val="left"/>
      </w:pPr>
      <w:r>
        <w:rPr/>
        <w:t>公司利润分配具体政策如下：</w:t>
      </w:r>
    </w:p>
    <w:p>
      <w:pPr>
        <w:pStyle w:val="BodyText"/>
        <w:spacing w:line="316" w:lineRule="auto" w:before="76"/>
        <w:ind w:right="94"/>
        <w:jc w:val="left"/>
      </w:pPr>
      <w:r>
        <w:rPr/>
        <w:t>（一）</w:t>
      </w:r>
      <w:r>
        <w:rPr>
          <w:spacing w:val="-18"/>
        </w:rPr>
        <w:t> </w:t>
      </w:r>
      <w:r>
        <w:rPr/>
        <w:t>利润分配的形式：</w:t>
      </w:r>
      <w:r>
        <w:rPr/>
        <w:t> </w:t>
      </w:r>
      <w:r>
        <w:rPr>
          <w:spacing w:val="-2"/>
        </w:rPr>
        <w:t>公司采取现金、股票或二者相结合的方式分配股利，优先选用现金分红的利润分配方式；一般进行年度分红，公司董事会也</w:t>
      </w:r>
      <w:r>
        <w:rPr>
          <w:spacing w:val="-65"/>
        </w:rPr>
        <w:t> </w:t>
      </w:r>
      <w:r>
        <w:rPr>
          <w:spacing w:val="-65"/>
        </w:rPr>
      </w:r>
      <w:r>
        <w:rPr/>
        <w:t>可以根据公司的盈利状况及资金状况提议进行中期现金分红；</w:t>
      </w:r>
    </w:p>
    <w:p>
      <w:pPr>
        <w:pStyle w:val="BodyText"/>
        <w:spacing w:line="316" w:lineRule="auto" w:before="19"/>
        <w:ind w:right="94"/>
        <w:jc w:val="left"/>
      </w:pPr>
      <w:r>
        <w:rPr/>
        <w:t>（二）现金分红的具体条件和比例： </w:t>
      </w:r>
      <w:r>
        <w:rPr>
          <w:spacing w:val="-2"/>
        </w:rPr>
        <w:t>公司董事会应当综合考虑所处行业特点、发展阶段、自身经营模式、盈利水平以及是否有重大资金支出安排等因素，区分下</w:t>
      </w:r>
      <w:r>
        <w:rPr>
          <w:spacing w:val="-64"/>
        </w:rPr>
        <w:t> </w:t>
      </w:r>
      <w:r>
        <w:rPr>
          <w:spacing w:val="-64"/>
        </w:rPr>
      </w:r>
      <w:r>
        <w:rPr/>
        <w:t>列情形，并按照本章程规定的程序，提出差异化的现金分红政策：</w:t>
      </w:r>
    </w:p>
    <w:p>
      <w:pPr>
        <w:pStyle w:val="BodyText"/>
        <w:spacing w:line="240" w:lineRule="auto" w:before="19"/>
        <w:ind w:right="94"/>
        <w:jc w:val="left"/>
      </w:pPr>
      <w:r>
        <w:rPr/>
        <w:t>（</w:t>
      </w: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）公司发展阶段属成熟期且无重大资金支出安排的，进行利润分配时，现金分红在本次利润分配中所占比例最低应达到</w:t>
      </w:r>
    </w:p>
    <w:p>
      <w:pPr>
        <w:pStyle w:val="BodyText"/>
        <w:spacing w:line="240" w:lineRule="auto" w:before="63"/>
        <w:ind w:right="94"/>
        <w:jc w:val="left"/>
      </w:pPr>
      <w:r>
        <w:rPr>
          <w:rFonts w:ascii="Times New Roman" w:hAnsi="Times New Roman" w:cs="Times New Roman" w:eastAsia="Times New Roman" w:hint="default"/>
        </w:rPr>
        <w:t>80%</w:t>
      </w:r>
      <w:r>
        <w:rPr/>
        <w:t>；</w:t>
      </w:r>
    </w:p>
    <w:p>
      <w:pPr>
        <w:pStyle w:val="BodyText"/>
        <w:spacing w:line="240" w:lineRule="auto" w:before="63"/>
        <w:ind w:right="94"/>
        <w:jc w:val="left"/>
      </w:pPr>
      <w:r>
        <w:rPr/>
        <w:t>（</w:t>
      </w: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）公司发展阶段属成熟期且有重大资金支出安排的，进行利润分配时，现金分红在本次利润分配中所占比例最低应达到</w:t>
      </w:r>
    </w:p>
    <w:p>
      <w:pPr>
        <w:pStyle w:val="BodyText"/>
        <w:spacing w:line="240" w:lineRule="auto" w:before="63"/>
        <w:ind w:right="94"/>
        <w:jc w:val="left"/>
      </w:pPr>
      <w:r>
        <w:rPr>
          <w:rFonts w:ascii="Times New Roman" w:hAnsi="Times New Roman" w:cs="Times New Roman" w:eastAsia="Times New Roman" w:hint="default"/>
        </w:rPr>
        <w:t>40%</w:t>
      </w:r>
      <w:r>
        <w:rPr/>
        <w:t>；</w:t>
      </w:r>
    </w:p>
    <w:p>
      <w:pPr>
        <w:pStyle w:val="BodyText"/>
        <w:spacing w:line="240" w:lineRule="auto" w:before="63"/>
        <w:ind w:right="94"/>
        <w:jc w:val="left"/>
      </w:pPr>
      <w:r>
        <w:rPr/>
        <w:t>（</w:t>
      </w: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）公司发展阶段属成长期且有重大资金支出安排的，进行利润分配时，现金分红在本次利润分配中所占比例最低应达到</w:t>
      </w:r>
    </w:p>
    <w:p>
      <w:pPr>
        <w:pStyle w:val="BodyText"/>
        <w:spacing w:line="240" w:lineRule="auto" w:before="63"/>
        <w:ind w:right="94"/>
        <w:jc w:val="left"/>
      </w:pPr>
      <w:r>
        <w:rPr>
          <w:rFonts w:ascii="Times New Roman" w:hAnsi="Times New Roman" w:cs="Times New Roman" w:eastAsia="Times New Roman" w:hint="default"/>
        </w:rPr>
        <w:t>20%</w:t>
      </w:r>
      <w:r>
        <w:rPr/>
        <w:t>；</w:t>
      </w:r>
    </w:p>
    <w:p>
      <w:pPr>
        <w:pStyle w:val="BodyText"/>
        <w:spacing w:line="314" w:lineRule="auto" w:before="63"/>
        <w:ind w:right="94"/>
        <w:jc w:val="left"/>
      </w:pPr>
      <w:r>
        <w:rPr/>
        <w:t>公司发展阶段不易区分但有重大资金支出安排的，可以按照前项规定处理。 </w:t>
      </w:r>
      <w:r>
        <w:rPr>
          <w:spacing w:val="-2"/>
        </w:rPr>
        <w:t>公司该年度实现的可分配利润为正，经营活动产生的现金流量净额为正，且无重大投资计划或现金支出事项发生，应当采取</w:t>
      </w:r>
      <w:r>
        <w:rPr>
          <w:spacing w:val="-61"/>
        </w:rPr>
        <w:t> </w:t>
      </w:r>
      <w:r>
        <w:rPr>
          <w:spacing w:val="-61"/>
        </w:rPr>
      </w:r>
      <w:r>
        <w:rPr/>
        <w:t>现金方式分配股利，以现金方式分配的利润不少于当年实现的可分配利润的</w:t>
      </w:r>
      <w:r>
        <w:rPr>
          <w:rFonts w:ascii="Times New Roman" w:hAnsi="Times New Roman" w:cs="Times New Roman" w:eastAsia="Times New Roman" w:hint="default"/>
        </w:rPr>
        <w:t>15%</w:t>
      </w:r>
      <w:r>
        <w:rPr/>
        <w:t>。 </w:t>
      </w:r>
      <w:r>
        <w:rPr>
          <w:spacing w:val="-2"/>
        </w:rPr>
        <w:t>重大投资计划或现金支出事项是指：公司未来十二个月内拟对外投资、收购资产或进行固定资产投资等交易涉及的累计支出</w:t>
      </w:r>
      <w:r>
        <w:rPr>
          <w:spacing w:val="-64"/>
        </w:rPr>
        <w:t> </w:t>
      </w:r>
      <w:r>
        <w:rPr>
          <w:spacing w:val="-64"/>
        </w:rPr>
      </w:r>
      <w:r>
        <w:rPr/>
        <w:t>达到或者超过最近一期经审计净资产</w:t>
      </w:r>
      <w:r>
        <w:rPr>
          <w:rFonts w:ascii="Times New Roman" w:hAnsi="Times New Roman" w:cs="Times New Roman" w:eastAsia="Times New Roman" w:hint="default"/>
        </w:rPr>
        <w:t>30%</w:t>
      </w:r>
      <w:r>
        <w:rPr/>
        <w:t>以上的事项。</w:t>
      </w:r>
    </w:p>
    <w:p>
      <w:pPr>
        <w:pStyle w:val="BodyText"/>
        <w:spacing w:line="316" w:lineRule="auto" w:before="1"/>
        <w:ind w:right="94"/>
        <w:jc w:val="left"/>
      </w:pPr>
      <w:r>
        <w:rPr>
          <w:spacing w:val="-2"/>
        </w:rPr>
        <w:t>（三）股票股利分配的条件：公司经营情况良好，并且董事会认为公司股票价格与公司股本规模不匹配、发放股票股利有利</w:t>
      </w:r>
      <w:r>
        <w:rPr>
          <w:spacing w:val="-64"/>
        </w:rPr>
        <w:t> </w:t>
      </w:r>
      <w:r>
        <w:rPr>
          <w:spacing w:val="-64"/>
        </w:rPr>
      </w:r>
      <w:r>
        <w:rPr/>
        <w:t>于公司全体股东整体利益时，可以在满足上述现金分红的条件下，提出股票股利分配预案，并经股东大会审议通过后实施。</w:t>
      </w:r>
    </w:p>
    <w:p>
      <w:pPr>
        <w:pStyle w:val="BodyText"/>
        <w:spacing w:line="316" w:lineRule="auto" w:before="19"/>
        <w:ind w:right="94"/>
        <w:jc w:val="left"/>
      </w:pPr>
      <w:r>
        <w:rPr>
          <w:spacing w:val="-2"/>
        </w:rPr>
        <w:t>（四）公司利润分配方案可由管理层拟定后提交股东会审计；也可由独立董事征集中小股东意见，提出分红提案，并直接提</w:t>
      </w:r>
      <w:r>
        <w:rPr>
          <w:spacing w:val="-63"/>
        </w:rPr>
        <w:t> </w:t>
      </w:r>
      <w:r>
        <w:rPr>
          <w:spacing w:val="-63"/>
        </w:rPr>
      </w:r>
      <w:r>
        <w:rPr/>
        <w:t>交董事会审议。 </w:t>
      </w:r>
      <w:r>
        <w:rPr>
          <w:spacing w:val="-2"/>
        </w:rPr>
        <w:t>利润分配方案的决策程序和机制公司每年的利润分配方案由公司董事会结合公司章程的规定、盈利情况、资金供给和需求情</w:t>
      </w:r>
      <w:r>
        <w:rPr>
          <w:spacing w:val="-64"/>
        </w:rPr>
        <w:t> </w:t>
      </w:r>
      <w:r>
        <w:rPr>
          <w:spacing w:val="-64"/>
        </w:rPr>
      </w:r>
      <w:r>
        <w:rPr>
          <w:spacing w:val="-2"/>
        </w:rPr>
        <w:t>况提出拟定方案，独立董事应对利润分配预案发表明确的独立意见，利润分配方案需经董事会过半数以上表决通过，方可提</w:t>
      </w:r>
      <w:r>
        <w:rPr>
          <w:spacing w:val="-63"/>
        </w:rPr>
        <w:t> </w:t>
      </w:r>
      <w:r>
        <w:rPr>
          <w:spacing w:val="-63"/>
        </w:rPr>
      </w:r>
      <w:r>
        <w:rPr/>
        <w:t>交股东大会审议。公司董事会须在股东大会批准后二个月内完成股利（股份）的派发事项。</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4"/>
        <w:jc w:val="left"/>
      </w:pPr>
      <w:r>
        <w:rPr/>
        <w:t>公司报告期利润分配预案及资本公积金转增股本预案与公司章程和分红管理办法等的相关规定一致</w:t>
      </w:r>
    </w:p>
    <w:p>
      <w:pPr>
        <w:pStyle w:val="BodyText"/>
        <w:spacing w:line="348" w:lineRule="auto" w:before="115"/>
        <w:ind w:right="3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本年度利润分配及资本公积金转增股本预案</w:t>
      </w:r>
    </w:p>
    <w:p>
      <w:pPr>
        <w:spacing w:line="240" w:lineRule="auto" w:before="2"/>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766,525,000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356,277,775.87</w:t>
            </w:r>
          </w:p>
        </w:tc>
      </w:tr>
      <w:tr>
        <w:trPr>
          <w:trHeight w:val="402"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年度，公司计划不派发现金红利，不送红股，不以公积金转增股本。</w:t>
            </w:r>
          </w:p>
        </w:tc>
      </w:tr>
    </w:tbl>
    <w:p>
      <w:pPr>
        <w:pStyle w:val="BodyText"/>
        <w:spacing w:line="319" w:lineRule="auto" w:before="49"/>
        <w:ind w:right="94"/>
        <w:jc w:val="left"/>
        <w:rPr>
          <w:rFonts w:ascii="Times New Roman" w:hAnsi="Times New Roman" w:cs="Times New Roman" w:eastAsia="Times New Roman" w:hint="default"/>
        </w:rPr>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61"/>
        </w:rPr>
        <w:t> </w:t>
      </w:r>
      <w:r>
        <w:rPr>
          <w:spacing w:val="-61"/>
        </w:rPr>
      </w:r>
      <w:r>
        <w:rPr>
          <w:spacing w:val="-5"/>
        </w:rPr>
        <w:t>公司于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7</w:t>
      </w:r>
      <w:r>
        <w:rPr>
          <w:spacing w:val="-5"/>
        </w:rPr>
        <w:t>日召开</w:t>
      </w:r>
      <w:r>
        <w:rPr>
          <w:rFonts w:ascii="Times New Roman" w:hAnsi="Times New Roman" w:cs="Times New Roman" w:eastAsia="Times New Roman" w:hint="default"/>
          <w:spacing w:val="-5"/>
        </w:rPr>
        <w:t>2015</w:t>
      </w:r>
      <w:r>
        <w:rPr>
          <w:spacing w:val="-5"/>
        </w:rPr>
        <w:t>年第四次临时股东大会审议通过了《关于公司</w:t>
      </w:r>
      <w:r>
        <w:rPr>
          <w:rFonts w:ascii="Times New Roman" w:hAnsi="Times New Roman" w:cs="Times New Roman" w:eastAsia="Times New Roman" w:hint="default"/>
          <w:spacing w:val="-5"/>
        </w:rPr>
        <w:t>2015</w:t>
      </w:r>
      <w:r>
        <w:rPr>
          <w:spacing w:val="-5"/>
        </w:rPr>
        <w:t>年半年度利润分配预案的议案》，以截至</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30,661</w:t>
      </w:r>
      <w:r>
        <w:rPr/>
        <w:t>万股为基数，向全体股东每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0.6</w:t>
      </w:r>
      <w:r>
        <w:rPr/>
        <w:t>元人民币（含税），同时以公司总股本</w:t>
      </w:r>
      <w:r>
        <w:rPr>
          <w:rFonts w:ascii="Times New Roman" w:hAnsi="Times New Roman" w:cs="Times New Roman" w:eastAsia="Times New Roman" w:hint="default"/>
        </w:rPr>
        <w:t>30,661</w:t>
      </w:r>
    </w:p>
    <w:p>
      <w:pPr>
        <w:pStyle w:val="BodyText"/>
        <w:spacing w:line="319" w:lineRule="auto"/>
        <w:ind w:right="102"/>
        <w:jc w:val="both"/>
      </w:pPr>
      <w:r>
        <w:rPr>
          <w:spacing w:val="-2"/>
        </w:rPr>
        <w:t>万股为基数，向全体股东每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5</w:t>
      </w:r>
      <w:r>
        <w:rPr>
          <w:spacing w:val="-2"/>
        </w:rPr>
        <w:t>股（含税）；并以资本公积金每</w:t>
      </w:r>
      <w:r>
        <w:rPr>
          <w:rFonts w:ascii="Times New Roman" w:hAnsi="Times New Roman" w:cs="Times New Roman" w:eastAsia="Times New Roman" w:hint="default"/>
          <w:spacing w:val="-2"/>
        </w:rPr>
        <w:t>10</w:t>
      </w:r>
      <w:r>
        <w:rPr>
          <w:spacing w:val="-2"/>
        </w:rPr>
        <w:t>股向全体股东转增</w:t>
      </w:r>
      <w:r>
        <w:rPr>
          <w:rFonts w:ascii="Times New Roman" w:hAnsi="Times New Roman" w:cs="Times New Roman" w:eastAsia="Times New Roman" w:hint="default"/>
          <w:spacing w:val="-2"/>
        </w:rPr>
        <w:t>10</w:t>
      </w:r>
      <w:r>
        <w:rPr>
          <w:spacing w:val="-2"/>
        </w:rPr>
        <w:t>股，共计送增</w:t>
      </w:r>
      <w:r>
        <w:rPr>
          <w:rFonts w:ascii="Times New Roman" w:hAnsi="Times New Roman" w:cs="Times New Roman" w:eastAsia="Times New Roman" w:hint="default"/>
          <w:spacing w:val="-2"/>
        </w:rPr>
        <w:t>45,991.50</w:t>
      </w:r>
      <w:r>
        <w:rPr>
          <w:spacing w:val="-2"/>
        </w:rPr>
        <w:t>万股。</w:t>
      </w:r>
      <w:r>
        <w:rPr>
          <w:spacing w:val="-56"/>
        </w:rPr>
        <w:t> </w:t>
      </w:r>
      <w:r>
        <w:rPr>
          <w:spacing w:val="-56"/>
        </w:rPr>
      </w:r>
      <w:r>
        <w:rPr/>
        <w:t>权益分派的股权登记日为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日，权益分派完成后，公司总股本增至</w:t>
      </w:r>
      <w:r>
        <w:rPr>
          <w:rFonts w:ascii="Times New Roman" w:hAnsi="Times New Roman" w:cs="Times New Roman" w:eastAsia="Times New Roman" w:hint="default"/>
        </w:rPr>
        <w:t>76,652.50</w:t>
      </w:r>
      <w:r>
        <w:rPr/>
        <w:t>万股。 公司近三年（包括本报告期）普通股现金分红情况表</w:t>
      </w:r>
    </w:p>
    <w:p>
      <w:pPr>
        <w:pStyle w:val="BodyText"/>
        <w:spacing w:line="240" w:lineRule="auto" w:before="58"/>
        <w:ind w:left="0" w:right="19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9"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18,396,600.00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338,648,755.97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109,530,694.55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37,932,509.82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4"/>
        <w:jc w:val="left"/>
      </w:pPr>
      <w:r>
        <w:rPr/>
        <w:t>公司报告期内盈利且母公司可供普通股股东分配利润为正但未提出普通股现金红利分配预案</w:t>
      </w:r>
    </w:p>
    <w:p>
      <w:pPr>
        <w:pStyle w:val="BodyText"/>
        <w:spacing w:line="240" w:lineRule="auto" w:before="115"/>
        <w:ind w:right="94"/>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7" w:right="44"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7"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987"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8"/>
              <w:jc w:val="both"/>
              <w:rPr>
                <w:rFonts w:ascii="宋体" w:hAnsi="宋体" w:cs="宋体" w:eastAsia="宋体" w:hint="default"/>
                <w:sz w:val="18"/>
                <w:szCs w:val="18"/>
              </w:rPr>
            </w:pPr>
            <w:r>
              <w:rPr>
                <w:rFonts w:ascii="宋体" w:hAnsi="宋体" w:cs="宋体" w:eastAsia="宋体" w:hint="default"/>
                <w:sz w:val="18"/>
                <w:szCs w:val="18"/>
              </w:rPr>
              <w:t>根据《公司章程》中的规定：公司该年度实现的可分配利润 为正，经营活动产生的现金流量净额为正，且无重大投资计 划或现金支出事项发生，应当采取现金方式分配股利，以现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公司未分配利润将用于公司日常生产经营所需。</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40"/>
        </w:sectPr>
      </w:pPr>
    </w:p>
    <w:p>
      <w:pPr>
        <w:spacing w:line="240" w:lineRule="auto" w:before="2"/>
        <w:rPr>
          <w:rFonts w:ascii="宋体" w:hAnsi="宋体" w:cs="宋体" w:eastAsia="宋体" w:hint="default"/>
          <w:sz w:val="28"/>
          <w:szCs w:val="28"/>
        </w:rPr>
      </w:pPr>
    </w:p>
    <w:p>
      <w:pPr>
        <w:spacing w:line="1942" w:lineRule="exact"/>
        <w:ind w:left="148" w:right="0" w:firstLine="0"/>
        <w:rPr>
          <w:rFonts w:ascii="宋体" w:hAnsi="宋体" w:cs="宋体" w:eastAsia="宋体" w:hint="default"/>
          <w:sz w:val="20"/>
          <w:szCs w:val="20"/>
        </w:rPr>
      </w:pPr>
      <w:r>
        <w:rPr>
          <w:rFonts w:ascii="宋体" w:hAnsi="宋体" w:cs="宋体" w:eastAsia="宋体" w:hint="default"/>
          <w:position w:val="-38"/>
          <w:sz w:val="20"/>
          <w:szCs w:val="20"/>
        </w:rPr>
        <w:pict>
          <v:group style="width:479.05pt;height:97.1pt;mso-position-horizontal-relative:char;mso-position-vertical-relative:line" coordorigin="0,0" coordsize="9581,1942">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1933" coordorigin="5,5" coordsize="2,1933">
              <v:shape style="position:absolute;left:5;top:5;width:2;height:1933" coordorigin="5,5" coordsize="0,1933" path="m5,5l5,1937e" filled="false" stroked="true" strokeweight=".48pt" strokecolor="#000000">
                <v:path arrowok="t"/>
              </v:shape>
            </v:group>
            <v:group style="position:absolute;left:10;top:1932;width:4775;height:2" coordorigin="10,1932" coordsize="4775,2">
              <v:shape style="position:absolute;left:10;top:1932;width:4775;height:2" coordorigin="10,1932" coordsize="4775,0" path="m10,1932l4784,1932e" filled="false" stroked="true" strokeweight=".48001pt" strokecolor="#000000">
                <v:path arrowok="t"/>
              </v:shape>
            </v:group>
            <v:group style="position:absolute;left:4789;top:5;width:2;height:1933" coordorigin="4789,5" coordsize="2,1933">
              <v:shape style="position:absolute;left:4789;top:5;width:2;height:1933" coordorigin="4789,5" coordsize="0,1933" path="m4789,5l4789,1937e" filled="false" stroked="true" strokeweight=".48001pt" strokecolor="#000000">
                <v:path arrowok="t"/>
              </v:shape>
            </v:group>
            <v:group style="position:absolute;left:4794;top:1932;width:4777;height:2" coordorigin="4794,1932" coordsize="4777,2">
              <v:shape style="position:absolute;left:4794;top:1932;width:4777;height:2" coordorigin="4794,1932" coordsize="4777,0" path="m4794,1932l9571,1932e" filled="false" stroked="true" strokeweight=".48001pt" strokecolor="#000000">
                <v:path arrowok="t"/>
              </v:shape>
            </v:group>
            <v:group style="position:absolute;left:9576;top:5;width:2;height:1933" coordorigin="9576,5" coordsize="2,1933">
              <v:shape style="position:absolute;left:9576;top:5;width:2;height:1933" coordorigin="9576,5" coordsize="0,1933" path="m9576,5l9576,1937e" filled="false" stroked="true" strokeweight=".47998pt" strokecolor="#000000">
                <v:path arrowok="t"/>
              </v:shape>
              <v:shape style="position:absolute;left:5;top:10;width:4785;height:1923" type="#_x0000_t202" filled="false" stroked="false">
                <v:textbox inset="0,0,0,0">
                  <w:txbxContent>
                    <w:p>
                      <w:pPr>
                        <w:spacing w:line="307" w:lineRule="auto" w:before="13"/>
                        <w:ind w:left="28" w:right="22" w:firstLine="0"/>
                        <w:jc w:val="both"/>
                        <w:rPr>
                          <w:rFonts w:ascii="宋体" w:hAnsi="宋体" w:cs="宋体" w:eastAsia="宋体" w:hint="default"/>
                          <w:sz w:val="18"/>
                          <w:szCs w:val="18"/>
                        </w:rPr>
                      </w:pPr>
                      <w:r>
                        <w:rPr>
                          <w:rFonts w:ascii="宋体" w:hAnsi="宋体" w:cs="宋体" w:eastAsia="宋体" w:hint="default"/>
                          <w:sz w:val="18"/>
                          <w:szCs w:val="18"/>
                        </w:rPr>
                        <w:t>金方式分配的利润不少于当年实现的可分配利润的</w:t>
                      </w:r>
                      <w:r>
                        <w:rPr>
                          <w:rFonts w:ascii="宋体" w:hAnsi="宋体" w:cs="宋体" w:eastAsia="宋体" w:hint="default"/>
                          <w:spacing w:val="2"/>
                          <w:sz w:val="18"/>
                          <w:szCs w:val="18"/>
                        </w:rPr>
                        <w:t> </w:t>
                      </w:r>
                      <w:r>
                        <w:rPr>
                          <w:rFonts w:ascii="Times New Roman" w:hAnsi="Times New Roman" w:cs="Times New Roman" w:eastAsia="Times New Roman" w:hint="default"/>
                          <w:spacing w:val="-5"/>
                          <w:sz w:val="18"/>
                          <w:szCs w:val="18"/>
                        </w:rPr>
                        <w:t>15%</w:t>
                      </w:r>
                      <w:r>
                        <w:rPr>
                          <w:rFonts w:ascii="宋体" w:hAnsi="宋体" w:cs="宋体" w:eastAsia="宋体" w:hint="default"/>
                          <w:spacing w:val="-5"/>
                          <w:sz w:val="18"/>
                          <w:szCs w:val="18"/>
                        </w:rPr>
                        <w:t>。重</w:t>
                      </w:r>
                      <w:r>
                        <w:rPr>
                          <w:rFonts w:ascii="宋体" w:hAnsi="宋体" w:cs="宋体" w:eastAsia="宋体" w:hint="default"/>
                          <w:spacing w:val="-12"/>
                          <w:sz w:val="18"/>
                          <w:szCs w:val="18"/>
                        </w:rPr>
                        <w:t> </w:t>
                      </w:r>
                      <w:r>
                        <w:rPr>
                          <w:rFonts w:ascii="宋体" w:hAnsi="宋体" w:cs="宋体" w:eastAsia="宋体" w:hint="default"/>
                          <w:sz w:val="18"/>
                          <w:szCs w:val="18"/>
                        </w:rPr>
                        <w:t>大投资计划或现金支出事项是指：公司未来十二个月内拟对</w:t>
                      </w:r>
                      <w:r>
                        <w:rPr>
                          <w:rFonts w:ascii="宋体" w:hAnsi="宋体" w:cs="宋体" w:eastAsia="宋体" w:hint="default"/>
                          <w:sz w:val="18"/>
                          <w:szCs w:val="18"/>
                        </w:rPr>
                        <w:t> 外投资、收购资产或进行固定资产投资等交易涉及的累计支 出达到或者超过最近一期经审计净资产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以上的事项。因 </w:t>
                      </w:r>
                      <w:r>
                        <w:rPr>
                          <w:rFonts w:ascii="宋体" w:hAnsi="宋体" w:cs="宋体" w:eastAsia="宋体" w:hint="default"/>
                          <w:spacing w:val="-3"/>
                          <w:sz w:val="18"/>
                          <w:szCs w:val="18"/>
                        </w:rPr>
                        <w:t>此，为保持公司持续健康发展，公司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年度不分配现金红 利，不送股且不进行资本公积金转增股本。</w:t>
                      </w:r>
                    </w:p>
                  </w:txbxContent>
                </v:textbox>
                <w10:wrap type="none"/>
              </v:shape>
            </v:group>
          </v:group>
        </w:pict>
      </w:r>
      <w:r>
        <w:rPr>
          <w:rFonts w:ascii="宋体" w:hAnsi="宋体" w:cs="宋体" w:eastAsia="宋体" w:hint="default"/>
          <w:position w:val="-38"/>
          <w:sz w:val="20"/>
          <w:szCs w:val="20"/>
        </w:rPr>
      </w:r>
    </w:p>
    <w:p>
      <w:pPr>
        <w:spacing w:line="240" w:lineRule="auto" w:before="9"/>
        <w:rPr>
          <w:rFonts w:ascii="宋体" w:hAnsi="宋体" w:cs="宋体" w:eastAsia="宋体" w:hint="default"/>
          <w:sz w:val="17"/>
          <w:szCs w:val="17"/>
        </w:rPr>
      </w:pPr>
    </w:p>
    <w:p>
      <w:pPr>
        <w:pStyle w:val="Heading3"/>
        <w:spacing w:line="240" w:lineRule="auto" w:before="26"/>
        <w:ind w:right="0"/>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5"/>
        <w:spacing w:line="256" w:lineRule="auto"/>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65"/>
        </w:rPr>
        <w:t> </w:t>
      </w:r>
      <w:r>
        <w:rPr>
          <w:spacing w:val="-65"/>
        </w:rPr>
      </w:r>
      <w:r>
        <w:rPr/>
        <w:t>截至报告期末尚未履行完毕的承诺事项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354"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316" w:lineRule="auto"/>
              <w:ind w:left="16" w:right="7"/>
              <w:jc w:val="both"/>
              <w:rPr>
                <w:rFonts w:ascii="宋体" w:hAnsi="宋体" w:cs="宋体" w:eastAsia="宋体" w:hint="default"/>
                <w:sz w:val="18"/>
                <w:szCs w:val="18"/>
              </w:rPr>
            </w:pPr>
            <w:r>
              <w:rPr>
                <w:rFonts w:ascii="宋体" w:hAnsi="宋体" w:cs="宋体" w:eastAsia="宋体" w:hint="default"/>
                <w:spacing w:val="-3"/>
                <w:sz w:val="18"/>
                <w:szCs w:val="18"/>
              </w:rPr>
              <w:t>贾全臣、贾玉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兰、贾晓钰、 戴一鸣</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58"/>
              <w:ind w:left="26" w:right="191"/>
              <w:jc w:val="left"/>
              <w:rPr>
                <w:rFonts w:ascii="宋体" w:hAnsi="宋体" w:cs="宋体" w:eastAsia="宋体" w:hint="default"/>
                <w:sz w:val="18"/>
                <w:szCs w:val="18"/>
              </w:rPr>
            </w:pPr>
            <w:r>
              <w:rPr>
                <w:rFonts w:ascii="宋体" w:hAnsi="宋体" w:cs="宋体" w:eastAsia="宋体" w:hint="default"/>
                <w:sz w:val="18"/>
                <w:szCs w:val="18"/>
              </w:rPr>
              <w:t>一致行动承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甲方：贾全 臣，乙方：贾 玉兰，丙方： 贾晓钰，丁 方：戴一鸣。 第一条</w:t>
            </w:r>
            <w:r>
              <w:rPr>
                <w:rFonts w:ascii="宋体" w:hAnsi="宋体" w:cs="宋体" w:eastAsia="宋体" w:hint="default"/>
                <w:spacing w:val="2"/>
                <w:sz w:val="18"/>
                <w:szCs w:val="18"/>
              </w:rPr>
              <w:t> </w:t>
            </w:r>
            <w:r>
              <w:rPr>
                <w:rFonts w:ascii="宋体" w:hAnsi="宋体" w:cs="宋体" w:eastAsia="宋体" w:hint="default"/>
                <w:sz w:val="18"/>
                <w:szCs w:val="18"/>
              </w:rPr>
              <w:t>甲</w:t>
            </w:r>
            <w:r>
              <w:rPr>
                <w:rFonts w:ascii="宋体" w:hAnsi="宋体" w:cs="宋体" w:eastAsia="宋体" w:hint="default"/>
                <w:sz w:val="18"/>
                <w:szCs w:val="18"/>
              </w:rPr>
              <w:t> 方、乙方、丙 方、丁方确 认，在其作为 公司股东期 间以及作为 新余清源股 东间接持有 公司股份期 间，在行使股 东权利（包括 但不限于股 东提案权、股 东表决权等 权利）时，均 保持一致意 见，系一致行 动人。第二条 各方同意今 后作为公司 股东期间，在 行使《公司 法》和《青岛 市恒顺众昇 集团股份有</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10" w:space="0" w:color="D2D2D2"/>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355"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10" w:space="0" w:color="D2D2D2"/>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11" w:right="0"/>
              <w:jc w:val="center"/>
              <w:rPr>
                <w:rFonts w:ascii="宋体" w:hAnsi="宋体" w:cs="宋体" w:eastAsia="宋体" w:hint="default"/>
                <w:sz w:val="18"/>
                <w:szCs w:val="18"/>
              </w:rPr>
            </w:pPr>
            <w:r>
              <w:rPr>
                <w:rFonts w:ascii="宋体" w:hAnsi="宋体" w:cs="宋体" w:eastAsia="宋体" w:hint="default"/>
                <w:sz w:val="18"/>
                <w:szCs w:val="18"/>
              </w:rPr>
              <w:t>限公司章程》</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赋予公司股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东的权利（包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括但不限于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股东提案权、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股东表决权）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时，均采取一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致行动，作出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相同的意思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表示，各方同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意通过下列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方式形成相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同意思表示：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．乙方、丙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方、丁方均同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意在股东大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会行使股东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提案权、表决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权时，以甲方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意见作为一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致行动的意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见，该意见对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全体一致行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动人均具有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约束力，各方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需按该意见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行使股东权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利，发表意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见；</w:t>
            </w:r>
            <w:r>
              <w:rPr>
                <w:rFonts w:ascii="Times New Roman" w:hAnsi="Times New Roman" w:cs="Times New Roman" w:eastAsia="Times New Roman" w:hint="default"/>
                <w:sz w:val="18"/>
                <w:szCs w:val="18"/>
              </w:rPr>
              <w:t>2</w:t>
            </w:r>
            <w:r>
              <w:rPr>
                <w:rFonts w:ascii="宋体" w:hAnsi="宋体" w:cs="宋体" w:eastAsia="宋体" w:hint="default"/>
                <w:sz w:val="18"/>
                <w:szCs w:val="18"/>
              </w:rPr>
              <w:t>．在面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临公司其他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股东或第三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方收购，影响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公司控制权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时，协议各方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应采取一致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行动，以维护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公司的稳定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和持续发展；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．未经本协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议他方一致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同意，任何一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方不得采取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任何单方行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动，包括但不</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5"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66"/>
              <w:jc w:val="center"/>
              <w:rPr>
                <w:rFonts w:ascii="宋体" w:hAnsi="宋体" w:cs="宋体" w:eastAsia="宋体" w:hint="default"/>
                <w:sz w:val="18"/>
                <w:szCs w:val="18"/>
              </w:rPr>
            </w:pPr>
            <w:r>
              <w:rPr>
                <w:rFonts w:ascii="宋体" w:hAnsi="宋体" w:cs="宋体" w:eastAsia="宋体" w:hint="default"/>
                <w:sz w:val="18"/>
                <w:szCs w:val="18"/>
              </w:rPr>
              <w:t>限于出售股</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份、质押股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份、提议或表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决支持任一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足以影响公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司控制权变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更的提议或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决定等。本协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议一方或多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方经他方同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意增加或减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少所持公司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股份不影响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各方继续按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照本协议的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约定与其他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方保持一致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行动。第三条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本协议经各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方签字后生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效，对各方均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具有法律约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束力。且于本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协议生效之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2"/>
              <w:jc w:val="center"/>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之内，本协议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不可撤销。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贾全臣先生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及其一致行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动人贾玉兰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女士、贾晓钰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先生、戴一鸣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先生特此承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诺：自《一致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行动协议书》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签署之日起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12"/>
                <w:sz w:val="18"/>
                <w:szCs w:val="18"/>
              </w:rPr>
              <w:t>个月内，贾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全臣先生及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其一致行动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人贾玉兰女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士、贾晓钰先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生、戴一鸣先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生合计增持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恒顺众昇股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61.51001pt;margin-top:334.369995pt;width:61.95pt;height:101.45pt;mso-position-horizontal-relative:page;mso-position-vertical-relative:page;z-index:-8931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0"/>
                    <w:ind w:left="0" w:right="0"/>
                    <w:jc w:val="left"/>
                  </w:pPr>
                  <w:r>
                    <w:rPr/>
                    <w:t>）</w:t>
                  </w:r>
                </w:p>
              </w:txbxContent>
            </v:textbox>
            <w10:wrap type="none"/>
          </v:shape>
        </w:pict>
      </w:r>
      <w:r>
        <w:rPr/>
        <w:pict>
          <v:shape style="position:absolute;margin-left:361.630005pt;margin-top:436.269989pt;width:61.8pt;height:101.4pt;mso-position-horizontal-relative:page;mso-position-vertical-relative:page;z-index:-8931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4"/>
                    <w:ind w:left="0" w:right="0"/>
                    <w:jc w:val="left"/>
                  </w:pPr>
                  <w:r>
                    <w:rPr/>
                    <w:t>，</w:t>
                  </w:r>
                </w:p>
              </w:txbxContent>
            </v:textbox>
            <w10:wrap type="none"/>
          </v:shape>
        </w:pict>
      </w:r>
      <w:r>
        <w:rPr/>
        <w:pict>
          <v:group style="position:absolute;margin-left:367.630005pt;margin-top:334.369995pt;width:55.8pt;height:203.3pt;mso-position-horizontal-relative:page;mso-position-vertical-relative:page;z-index:-893104" coordorigin="7353,6687" coordsize="1116,4066">
            <v:group style="position:absolute;left:7353;top:6687;width:1116;height:2029" coordorigin="7353,6687" coordsize="1116,2029">
              <v:shape style="position:absolute;left:7353;top:6687;width:1116;height:2029" coordorigin="7353,6687" coordsize="1116,2029" path="m7353,8716l8469,8716,8469,6687,7353,6687,7353,8716xe" filled="true" fillcolor="#ffffff" stroked="false">
                <v:path arrowok="t"/>
                <v:fill type="solid"/>
              </v:shape>
            </v:group>
            <v:group style="position:absolute;left:7353;top:8725;width:1116;height:2028" coordorigin="7353,8725" coordsize="1116,2028">
              <v:shape style="position:absolute;left:7353;top:8725;width:1116;height:2028" coordorigin="7353,8725" coordsize="1116,2028" path="m7353,10753l8469,10753,8469,8725,7353,8725,7353,10753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299"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份不超过 </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，且不会减</w:t>
            </w:r>
            <w:r>
              <w:rPr>
                <w:rFonts w:ascii="宋体" w:hAnsi="宋体" w:cs="宋体" w:eastAsia="宋体" w:hint="default"/>
                <w:sz w:val="18"/>
                <w:szCs w:val="18"/>
              </w:rPr>
              <w:t> 持恒顺众昇 股票。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772"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7"/>
              <w:jc w:val="left"/>
              <w:rPr>
                <w:rFonts w:ascii="宋体" w:hAnsi="宋体" w:cs="宋体" w:eastAsia="宋体" w:hint="default"/>
                <w:sz w:val="18"/>
                <w:szCs w:val="18"/>
              </w:rPr>
            </w:pPr>
            <w:r>
              <w:rPr>
                <w:rFonts w:ascii="宋体" w:hAnsi="宋体" w:cs="宋体" w:eastAsia="宋体" w:hint="default"/>
                <w:spacing w:val="-3"/>
                <w:sz w:val="18"/>
                <w:szCs w:val="18"/>
              </w:rPr>
              <w:t>陈肖强、贾晓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钰、刘涛、莫</w:t>
            </w:r>
            <w:r>
              <w:rPr>
                <w:rFonts w:ascii="宋体" w:hAnsi="宋体" w:cs="宋体" w:eastAsia="宋体" w:hint="default"/>
                <w:sz w:val="18"/>
                <w:szCs w:val="18"/>
              </w:rPr>
              <w:t> 柏欣、</w:t>
            </w:r>
            <w:r>
              <w:rPr>
                <w:rFonts w:ascii="宋体" w:hAnsi="宋体" w:cs="宋体" w:eastAsia="宋体" w:hint="default"/>
                <w:spacing w:val="1"/>
                <w:sz w:val="18"/>
                <w:szCs w:val="18"/>
              </w:rPr>
              <w:t> </w:t>
            </w:r>
            <w:r>
              <w:rPr>
                <w:rFonts w:ascii="宋体" w:hAnsi="宋体" w:cs="宋体" w:eastAsia="宋体" w:hint="default"/>
                <w:sz w:val="18"/>
                <w:szCs w:val="18"/>
              </w:rPr>
              <w:t>付大</w:t>
            </w:r>
            <w:r>
              <w:rPr>
                <w:rFonts w:ascii="宋体" w:hAnsi="宋体" w:cs="宋体" w:eastAsia="宋体" w:hint="default"/>
                <w:sz w:val="18"/>
                <w:szCs w:val="18"/>
              </w:rPr>
              <w:t> 志、张培荣、 张振波、</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w:t>
            </w:r>
          </w:p>
          <w:p>
            <w:pPr>
              <w:pStyle w:val="TableParagraph"/>
              <w:spacing w:line="316" w:lineRule="auto" w:before="63"/>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计划在未来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个月内，将通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过深圳证券 交易系统允 </w:t>
            </w:r>
            <w:r>
              <w:rPr>
                <w:rFonts w:ascii="宋体" w:hAnsi="宋体" w:cs="宋体" w:eastAsia="宋体" w:hint="default"/>
                <w:spacing w:val="-2"/>
                <w:sz w:val="18"/>
                <w:szCs w:val="18"/>
              </w:rPr>
              <w:t>许的方式（包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括但不限于 集中竞价和 </w:t>
            </w:r>
            <w:r>
              <w:rPr>
                <w:rFonts w:ascii="宋体" w:hAnsi="宋体" w:cs="宋体" w:eastAsia="宋体" w:hint="default"/>
                <w:spacing w:val="-2"/>
                <w:sz w:val="18"/>
                <w:szCs w:val="18"/>
              </w:rPr>
              <w:t>大宗交易）累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计增持公司 股份</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88.5-870</w:t>
            </w:r>
          </w:p>
          <w:p>
            <w:pPr>
              <w:pStyle w:val="TableParagraph"/>
              <w:spacing w:line="309" w:lineRule="auto"/>
              <w:ind w:left="23" w:right="110"/>
              <w:jc w:val="left"/>
              <w:rPr>
                <w:rFonts w:ascii="宋体" w:hAnsi="宋体" w:cs="宋体" w:eastAsia="宋体" w:hint="default"/>
                <w:sz w:val="18"/>
                <w:szCs w:val="18"/>
              </w:rPr>
            </w:pPr>
            <w:r>
              <w:rPr>
                <w:rFonts w:ascii="宋体" w:hAnsi="宋体" w:cs="宋体" w:eastAsia="宋体" w:hint="default"/>
                <w:sz w:val="18"/>
                <w:szCs w:val="18"/>
              </w:rPr>
              <w:t>万股人民币 </w:t>
            </w:r>
            <w:r>
              <w:rPr>
                <w:rFonts w:ascii="宋体" w:hAnsi="宋体" w:cs="宋体" w:eastAsia="宋体" w:hint="default"/>
                <w:spacing w:val="-19"/>
                <w:w w:val="99"/>
                <w:sz w:val="18"/>
                <w:szCs w:val="18"/>
              </w:rPr>
              <w:t>普通股（</w:t>
            </w:r>
            <w:r>
              <w:rPr>
                <w:rFonts w:ascii="Times New Roman" w:hAnsi="Times New Roman" w:cs="Times New Roman" w:eastAsia="Times New Roman" w:hint="default"/>
                <w:spacing w:val="-19"/>
                <w:w w:val="99"/>
                <w:sz w:val="18"/>
                <w:szCs w:val="18"/>
              </w:rPr>
              <w:t>A</w:t>
            </w:r>
            <w:r>
              <w:rPr>
                <w:rFonts w:ascii="Times New Roman" w:hAnsi="Times New Roman" w:cs="Times New Roman" w:eastAsia="Times New Roman" w:hint="default"/>
                <w:spacing w:val="-5"/>
                <w:w w:val="99"/>
                <w:sz w:val="18"/>
                <w:szCs w:val="18"/>
              </w:rPr>
              <w:t> </w:t>
            </w:r>
            <w:r>
              <w:rPr>
                <w:rFonts w:ascii="宋体" w:hAnsi="宋体" w:cs="宋体" w:eastAsia="宋体" w:hint="default"/>
                <w:spacing w:val="2"/>
                <w:sz w:val="18"/>
                <w:szCs w:val="18"/>
              </w:rPr>
              <w:t>股 </w:t>
            </w:r>
            <w:r>
              <w:rPr>
                <w:rFonts w:ascii="宋体" w:hAnsi="宋体" w:cs="宋体" w:eastAsia="宋体" w:hint="default"/>
                <w:sz w:val="18"/>
                <w:szCs w:val="18"/>
              </w:rPr>
              <w:t>流通股份。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769"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贾玉兰、严冬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梅、姚刚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日开始</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计划在未来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个月内，通过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深圳证券交 易所交易系 统允许的方 </w:t>
            </w:r>
            <w:r>
              <w:rPr>
                <w:rFonts w:ascii="宋体" w:hAnsi="宋体" w:cs="宋体" w:eastAsia="宋体" w:hint="default"/>
                <w:spacing w:val="-2"/>
                <w:sz w:val="18"/>
                <w:szCs w:val="18"/>
              </w:rPr>
              <w:t>式（包括但不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限于集中竞 价和大宗交 </w:t>
            </w:r>
            <w:r>
              <w:rPr>
                <w:rFonts w:ascii="宋体" w:hAnsi="宋体" w:cs="宋体" w:eastAsia="宋体" w:hint="default"/>
                <w:spacing w:val="-2"/>
                <w:sz w:val="18"/>
                <w:szCs w:val="18"/>
              </w:rPr>
              <w:t>易）增持本公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司不低于总 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不 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的股 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61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增持承诺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日起，计</w:t>
            </w:r>
          </w:p>
          <w:p>
            <w:pPr>
              <w:pStyle w:val="TableParagraph"/>
              <w:spacing w:line="309"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划在未来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月内（如遇敏 感期及窗口</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履行完毕</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410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期，则时间按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规定日期顺 </w:t>
            </w:r>
            <w:r>
              <w:rPr>
                <w:rFonts w:ascii="宋体" w:hAnsi="宋体" w:cs="宋体" w:eastAsia="宋体" w:hint="default"/>
                <w:spacing w:val="-16"/>
                <w:sz w:val="18"/>
                <w:szCs w:val="18"/>
              </w:rPr>
              <w:t>延），根据中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国证监会和 深圳证券交 易所的有关 规定以及市 场情况增持 不低于公司 总股本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不超过公司 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 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94"/>
        <w:jc w:val="left"/>
        <w:rPr>
          <w:b w:val="0"/>
          <w:bCs w:val="0"/>
        </w:rPr>
      </w:pPr>
      <w:r>
        <w:rPr/>
        <w:pict>
          <v:group style="position:absolute;margin-left:367.630005pt;margin-top:-237.986313pt;width:55.8pt;height:204.9pt;mso-position-horizontal-relative:page;mso-position-vertical-relative:paragraph;z-index:-893080" coordorigin="7353,-4760" coordsize="1116,4098">
            <v:shape style="position:absolute;left:7353;top:-4760;width:1116;height:4098" coordorigin="7353,-4760" coordsize="1116,4098" path="m7353,-662l8469,-662,8469,-4760,7353,-4760,7353,-662xe" filled="true" fillcolor="#ffffff" stroked="false">
              <v:path arrowok="t"/>
              <v:fill type="solid"/>
            </v:shape>
            <w10:wrap type="none"/>
          </v:group>
        </w:pict>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3"/>
        <w:spacing w:line="240" w:lineRule="auto"/>
        <w:ind w:right="94"/>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4054"/>
        <w:jc w:val="left"/>
      </w:pPr>
      <w:r>
        <w:rPr/>
        <w:t>□ 适用 √</w:t>
      </w:r>
      <w:r>
        <w:rPr>
          <w:spacing w:val="3"/>
        </w:rPr>
        <w:t> </w:t>
      </w:r>
      <w:r>
        <w:rPr/>
        <w:t>不适用</w:t>
      </w:r>
      <w:r>
        <w:rPr/>
        <w:t> 公司报告期不存在控股股东及其关联方对上市公司的非经营性占用资金。</w:t>
      </w:r>
    </w:p>
    <w:p>
      <w:pPr>
        <w:spacing w:line="240" w:lineRule="auto" w:before="2"/>
        <w:rPr>
          <w:rFonts w:ascii="宋体" w:hAnsi="宋体" w:cs="宋体" w:eastAsia="宋体" w:hint="default"/>
          <w:sz w:val="18"/>
          <w:szCs w:val="18"/>
        </w:rPr>
      </w:pPr>
    </w:p>
    <w:p>
      <w:pPr>
        <w:pStyle w:val="Heading3"/>
        <w:spacing w:line="240" w:lineRule="auto"/>
        <w:ind w:right="94"/>
        <w:jc w:val="left"/>
        <w:rPr>
          <w:b w:val="0"/>
          <w:bCs w:val="0"/>
        </w:rPr>
      </w:pPr>
      <w:r>
        <w:rPr/>
        <w:t>四、董事会对最近一期“非标准审计报告”相关情况的说明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176"/>
        <w:jc w:val="left"/>
        <w:rPr>
          <w:b w:val="0"/>
          <w:bCs w:val="0"/>
        </w:rPr>
      </w:pP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pStyle w:val="BodyText"/>
        <w:spacing w:line="304" w:lineRule="auto" w:before="117"/>
        <w:ind w:right="94"/>
        <w:jc w:val="left"/>
      </w:pPr>
      <w:r>
        <w:rPr>
          <w:rFonts w:ascii="Times New Roman" w:hAnsi="Times New Roman" w:cs="Times New Roman" w:eastAsia="Times New Roman" w:hint="default"/>
        </w:rPr>
        <w:t>1</w:t>
      </w:r>
      <w:r>
        <w:rPr/>
        <w:t>、董事会关于对会计师事务所出具的带强调事项段的无保留审计意见涉及事项的专项说明： 山东和信会计师事务所（特殊普通合伙）对公司</w:t>
      </w:r>
      <w:r>
        <w:rPr>
          <w:rFonts w:ascii="Times New Roman" w:hAnsi="Times New Roman" w:cs="Times New Roman" w:eastAsia="Times New Roman" w:hint="default"/>
        </w:rPr>
        <w:t>2015</w:t>
      </w:r>
      <w:r>
        <w:rPr>
          <w:rFonts w:ascii="Times New Roman" w:hAnsi="Times New Roman" w:cs="Times New Roman" w:eastAsia="Times New Roman" w:hint="default"/>
          <w:spacing w:val="27"/>
        </w:rPr>
        <w:t> </w:t>
      </w:r>
      <w:r>
        <w:rPr/>
        <w:t>年度财务报表出具了带强调事项段的无保留意见审计报告。 强调事项内容如下： </w:t>
      </w:r>
      <w:r>
        <w:rPr>
          <w:rFonts w:ascii="Times New Roman" w:hAnsi="Times New Roman" w:cs="Times New Roman" w:eastAsia="Times New Roman" w:hint="default"/>
        </w:rPr>
        <w:t>“</w:t>
      </w:r>
      <w:r>
        <w:rPr/>
        <w:t>我们提醒财务报表使用者关注如下事项：恒顺公司于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日收到中国证券监督管理委员会调查通知书（编号：深专 调查通字</w:t>
      </w:r>
      <w:r>
        <w:rPr>
          <w:rFonts w:ascii="Times New Roman" w:hAnsi="Times New Roman" w:cs="Times New Roman" w:eastAsia="Times New Roman" w:hint="default"/>
        </w:rPr>
        <w:t>2015689</w:t>
      </w:r>
      <w:r>
        <w:rPr/>
        <w:t>号），根据《中华人民共和国证券法》的有关规定，中国证券监督管理委员会决定对恒顺公司立案调查。 截至审计报告日，证监会尚未出具最终结论。本段内容不影响发表的审计意见。</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5"/>
        </w:rPr>
        <w:t>针对上述事项，董事会作出如下说明：公司于</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3</w:t>
      </w:r>
      <w:r>
        <w:rPr>
          <w:spacing w:val="-5"/>
        </w:rPr>
        <w:t>日接到证监会的立案调查通知书（编号：深专调查通字</w:t>
      </w:r>
      <w:r>
        <w:rPr>
          <w:rFonts w:ascii="Times New Roman" w:hAnsi="Times New Roman" w:cs="Times New Roman" w:eastAsia="Times New Roman" w:hint="default"/>
          <w:spacing w:val="-5"/>
        </w:rPr>
        <w:t>2015689</w:t>
      </w:r>
      <w:r>
        <w:rPr>
          <w:spacing w:val="-5"/>
        </w:rPr>
        <w:t>号），</w:t>
      </w:r>
      <w:r>
        <w:rPr>
          <w:spacing w:val="-49"/>
        </w:rPr>
        <w:t> </w:t>
      </w:r>
      <w:r>
        <w:rPr>
          <w:spacing w:val="-49"/>
        </w:rPr>
      </w:r>
      <w:r>
        <w:rPr/>
        <w:t>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25</w:t>
      </w:r>
      <w:r>
        <w:rPr/>
        <w:t>日，公司尚未收到证监会的立案调查结果，公司将会及时披露相关进展并积极与监管部门沟通。目前，公 司内外部生产经营环境一切正常。董事会提醒广大投资者谨慎投资，注意投资风险。 </w:t>
      </w:r>
      <w:r>
        <w:rPr>
          <w:rFonts w:ascii="Times New Roman" w:hAnsi="Times New Roman" w:cs="Times New Roman" w:eastAsia="Times New Roman" w:hint="default"/>
        </w:rPr>
        <w:t>2</w:t>
      </w:r>
      <w:r>
        <w:rPr/>
        <w:t>、监事会对董事会关于对会计师事务所出具的带强调事项段的无保留审计意见涉及事项的专项说明的意见：</w:t>
      </w:r>
      <w:r>
        <w:rPr>
          <w:spacing w:val="-87"/>
        </w:rPr>
        <w:t> </w:t>
      </w:r>
      <w:r>
        <w:rPr>
          <w:spacing w:val="-87"/>
        </w:rPr>
      </w:r>
      <w:r>
        <w:rPr/>
        <w:t>公司监事会认为，该说明符合公司的实际情况，同意公司董事会的意见。</w:t>
      </w:r>
    </w:p>
    <w:p>
      <w:pPr>
        <w:spacing w:after="0" w:line="304"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9" w:lineRule="auto" w:before="44"/>
        <w:ind w:right="94"/>
        <w:jc w:val="left"/>
      </w:pPr>
      <w:r>
        <w:rPr>
          <w:rFonts w:ascii="Times New Roman" w:hAnsi="Times New Roman" w:cs="Times New Roman" w:eastAsia="Times New Roman" w:hint="default"/>
        </w:rPr>
        <w:t>3</w:t>
      </w:r>
      <w:r>
        <w:rPr/>
        <w:t>、独立董事对会计师事务所出具的带强调事项段的无保留审计意见的独立意见 </w:t>
      </w:r>
      <w:r>
        <w:rPr>
          <w:spacing w:val="-2"/>
        </w:rPr>
        <w:t>独立董事对公司</w:t>
      </w:r>
      <w:r>
        <w:rPr>
          <w:rFonts w:ascii="Times New Roman" w:hAnsi="Times New Roman" w:cs="Times New Roman" w:eastAsia="Times New Roman" w:hint="default"/>
          <w:spacing w:val="-2"/>
        </w:rPr>
        <w:t>2015</w:t>
      </w:r>
      <w:r>
        <w:rPr>
          <w:spacing w:val="-2"/>
        </w:rPr>
        <w:t>年度的财务报告及山东和信会计师事务所（特殊普通合伙）出具的带强调事项段的无保留意见审计报告</w:t>
      </w:r>
      <w:r>
        <w:rPr>
          <w:spacing w:val="-62"/>
        </w:rPr>
        <w:t> </w:t>
      </w:r>
      <w:r>
        <w:rPr>
          <w:spacing w:val="-62"/>
        </w:rPr>
      </w:r>
      <w:r>
        <w:rPr>
          <w:spacing w:val="-2"/>
        </w:rPr>
        <w:t>进行了认真审阅，并对财务报告和审计报告的有关内容与注册会计师、公司管理层等进行了专门交谈沟通，独立董事认可审</w:t>
      </w:r>
      <w:r>
        <w:rPr>
          <w:spacing w:val="-63"/>
        </w:rPr>
        <w:t> </w:t>
      </w:r>
      <w:r>
        <w:rPr>
          <w:spacing w:val="-63"/>
        </w:rPr>
      </w:r>
      <w:r>
        <w:rPr/>
        <w:t>计报告的强调事项内容，也同意公司董事会对该事项的相关说明及处理意见。希望董事会和管理层积极配合证监会的调查， 使公司持续、稳定、健康发展。</w:t>
      </w:r>
    </w:p>
    <w:p>
      <w:pPr>
        <w:spacing w:line="240" w:lineRule="auto" w:before="3"/>
        <w:rPr>
          <w:rFonts w:ascii="宋体" w:hAnsi="宋体" w:cs="宋体" w:eastAsia="宋体" w:hint="default"/>
          <w:sz w:val="21"/>
          <w:szCs w:val="21"/>
        </w:rPr>
      </w:pPr>
    </w:p>
    <w:p>
      <w:pPr>
        <w:pStyle w:val="Heading3"/>
        <w:spacing w:line="240" w:lineRule="auto"/>
        <w:ind w:right="94"/>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3"/>
        <w:spacing w:line="240" w:lineRule="auto"/>
        <w:ind w:right="94"/>
        <w:jc w:val="left"/>
        <w:rPr>
          <w:b w:val="0"/>
          <w:bCs w:val="0"/>
        </w:rPr>
      </w:pP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pStyle w:val="BodyText"/>
        <w:spacing w:line="300" w:lineRule="auto" w:before="117"/>
        <w:ind w:right="94"/>
        <w:jc w:val="left"/>
      </w:pPr>
      <w:r>
        <w:rPr>
          <w:spacing w:val="-2"/>
        </w:rPr>
        <w:t>本报告期，公司新纳入合并范围的公司有</w:t>
      </w:r>
      <w:r>
        <w:rPr>
          <w:rFonts w:ascii="Times New Roman" w:hAnsi="Times New Roman" w:cs="Times New Roman" w:eastAsia="Times New Roman" w:hint="default"/>
          <w:spacing w:val="-2"/>
        </w:rPr>
        <w:t>10</w:t>
      </w:r>
      <w:r>
        <w:rPr>
          <w:spacing w:val="-2"/>
        </w:rPr>
        <w:t>家，其中通过投资设立方式取得的公司共</w:t>
      </w:r>
      <w:r>
        <w:rPr>
          <w:rFonts w:ascii="Times New Roman" w:hAnsi="Times New Roman" w:cs="Times New Roman" w:eastAsia="Times New Roman" w:hint="default"/>
          <w:spacing w:val="-2"/>
        </w:rPr>
        <w:t>8</w:t>
      </w:r>
      <w:r>
        <w:rPr>
          <w:spacing w:val="-2"/>
        </w:rPr>
        <w:t>家，通过并购方式取得的公司</w:t>
      </w:r>
      <w:r>
        <w:rPr>
          <w:rFonts w:ascii="Times New Roman" w:hAnsi="Times New Roman" w:cs="Times New Roman" w:eastAsia="Times New Roman" w:hint="default"/>
          <w:spacing w:val="-2"/>
        </w:rPr>
        <w:t>2</w:t>
      </w:r>
      <w:r>
        <w:rPr>
          <w:spacing w:val="-2"/>
        </w:rPr>
        <w:t>家。详</w:t>
      </w:r>
      <w:r>
        <w:rPr>
          <w:spacing w:val="-59"/>
        </w:rPr>
        <w:t> </w:t>
      </w:r>
      <w:r>
        <w:rPr>
          <w:spacing w:val="-59"/>
        </w:rPr>
      </w:r>
      <w:r>
        <w:rPr/>
        <w:t>见第十节财务报告中的附注八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及附注九</w:t>
      </w:r>
      <w:r>
        <w:rPr>
          <w:rFonts w:ascii="Times New Roman" w:hAnsi="Times New Roman" w:cs="Times New Roman" w:eastAsia="Times New Roman" w:hint="default"/>
        </w:rPr>
        <w:t>“</w:t>
      </w:r>
      <w:r>
        <w:rPr/>
        <w:t>其他主体中的权益</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0"/>
          <w:szCs w:val="20"/>
        </w:rPr>
      </w:pPr>
    </w:p>
    <w:p>
      <w:pPr>
        <w:pStyle w:val="Heading3"/>
        <w:spacing w:line="240" w:lineRule="auto"/>
        <w:ind w:right="94"/>
        <w:jc w:val="left"/>
        <w:rPr>
          <w:b w:val="0"/>
          <w:bCs w:val="0"/>
        </w:rPr>
      </w:pPr>
      <w:r>
        <w:rPr/>
        <w:t>八、聘任、解聘会计师事务所情况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万元人民币</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左伟，李长欢</w:t>
            </w:r>
          </w:p>
        </w:tc>
      </w:tr>
    </w:tbl>
    <w:p>
      <w:pPr>
        <w:pStyle w:val="BodyText"/>
        <w:spacing w:line="240" w:lineRule="auto" w:before="49"/>
        <w:ind w:right="94"/>
        <w:jc w:val="left"/>
      </w:pPr>
      <w:r>
        <w:rPr/>
        <w:t>是否改聘会计师事务所</w:t>
      </w:r>
    </w:p>
    <w:p>
      <w:pPr>
        <w:pStyle w:val="BodyText"/>
        <w:spacing w:line="340" w:lineRule="auto" w:before="115"/>
        <w:ind w:right="5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38" w:lineRule="auto" w:before="41"/>
        <w:ind w:right="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本年度因重大资产重组事项，聘请华创证券为财务顾问，期间共预付财务顾问费</w:t>
      </w:r>
      <w:r>
        <w:rPr>
          <w:rFonts w:ascii="Times New Roman" w:hAnsi="Times New Roman" w:cs="Times New Roman" w:eastAsia="Times New Roman" w:hint="default"/>
          <w:spacing w:val="-4"/>
        </w:rPr>
        <w:t>50</w:t>
      </w:r>
      <w:r>
        <w:rPr>
          <w:spacing w:val="-4"/>
        </w:rPr>
        <w:t>万元。目前，重大资产重组事项尚未完成。</w:t>
      </w:r>
    </w:p>
    <w:p>
      <w:pPr>
        <w:spacing w:line="240" w:lineRule="auto" w:before="13"/>
        <w:rPr>
          <w:rFonts w:ascii="宋体" w:hAnsi="宋体" w:cs="宋体" w:eastAsia="宋体" w:hint="default"/>
          <w:sz w:val="17"/>
          <w:szCs w:val="17"/>
        </w:rPr>
      </w:pPr>
    </w:p>
    <w:p>
      <w:pPr>
        <w:pStyle w:val="Heading3"/>
        <w:spacing w:line="240" w:lineRule="auto"/>
        <w:ind w:right="94"/>
        <w:jc w:val="left"/>
        <w:rPr>
          <w:b w:val="0"/>
          <w:bCs w:val="0"/>
        </w:rPr>
      </w:pP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3"/>
        <w:spacing w:line="240" w:lineRule="auto"/>
        <w:ind w:right="94"/>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 适用 √</w:t>
      </w:r>
      <w:r>
        <w:rPr>
          <w:spacing w:val="3"/>
        </w:rPr>
        <w:t> </w:t>
      </w:r>
      <w:r>
        <w:rPr/>
        <w:t>不适用</w:t>
      </w:r>
      <w:r>
        <w:rPr/>
        <w:t> 公司报告期未发生破产重整相关事项。</w:t>
      </w:r>
    </w:p>
    <w:p>
      <w:pPr>
        <w:spacing w:line="240" w:lineRule="auto" w:before="7"/>
        <w:rPr>
          <w:rFonts w:ascii="宋体" w:hAnsi="宋体" w:cs="宋体" w:eastAsia="宋体" w:hint="default"/>
          <w:sz w:val="18"/>
          <w:szCs w:val="18"/>
        </w:rPr>
      </w:pPr>
    </w:p>
    <w:p>
      <w:pPr>
        <w:pStyle w:val="Heading3"/>
        <w:spacing w:line="240" w:lineRule="auto"/>
        <w:ind w:right="94"/>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 适用 √</w:t>
      </w:r>
      <w:r>
        <w:rPr>
          <w:spacing w:val="3"/>
        </w:rPr>
        <w:t> </w:t>
      </w:r>
      <w:r>
        <w:rPr/>
        <w:t>不适用</w:t>
      </w:r>
      <w:r>
        <w:rPr/>
        <w:t> 本报告期公司无重大诉讼、仲裁事项。</w:t>
      </w:r>
    </w:p>
    <w:p>
      <w:pPr>
        <w:spacing w:after="0" w:line="357"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94"/>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934"/>
        <w:jc w:val="left"/>
      </w:pPr>
      <w:r>
        <w:rPr/>
        <w:t>□ 适用 √</w:t>
      </w:r>
      <w:r>
        <w:rPr>
          <w:spacing w:val="3"/>
        </w:rPr>
        <w:t> </w:t>
      </w:r>
      <w:r>
        <w:rPr/>
        <w:t>不适用</w:t>
      </w:r>
      <w:r>
        <w:rPr/>
        <w:t> 公司报告期不存在处罚及整改情况。</w:t>
      </w:r>
    </w:p>
    <w:p>
      <w:pPr>
        <w:spacing w:line="240" w:lineRule="auto" w:before="7"/>
        <w:rPr>
          <w:rFonts w:ascii="宋体" w:hAnsi="宋体" w:cs="宋体" w:eastAsia="宋体" w:hint="default"/>
          <w:sz w:val="18"/>
          <w:szCs w:val="18"/>
        </w:rPr>
      </w:pPr>
    </w:p>
    <w:p>
      <w:pPr>
        <w:pStyle w:val="Heading3"/>
        <w:spacing w:line="240" w:lineRule="auto"/>
        <w:ind w:right="94"/>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3"/>
        <w:spacing w:line="240" w:lineRule="auto"/>
        <w:ind w:right="94"/>
        <w:jc w:val="left"/>
        <w:rPr>
          <w:b w:val="0"/>
          <w:bCs w:val="0"/>
        </w:rPr>
      </w:pPr>
      <w:r>
        <w:rPr/>
        <w:t>十四、公司股权激励计划、员工持股计划或其他员工激励措施的实施情况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014"/>
        <w:jc w:val="left"/>
      </w:pPr>
      <w:r>
        <w:rPr/>
        <w:t>√ 适用 □</w:t>
      </w:r>
      <w:r>
        <w:rPr>
          <w:spacing w:val="3"/>
        </w:rPr>
        <w:t> </w:t>
      </w:r>
      <w:r>
        <w:rPr/>
        <w:t>不适用</w:t>
      </w:r>
      <w:r>
        <w:rPr/>
        <w:t> 一、股票期权激励计划</w:t>
      </w:r>
    </w:p>
    <w:p>
      <w:pPr>
        <w:pStyle w:val="BodyText"/>
        <w:spacing w:line="236" w:lineRule="exact"/>
        <w:ind w:right="94"/>
        <w:jc w:val="left"/>
      </w:pPr>
      <w:r>
        <w:rPr>
          <w:rFonts w:ascii="Times New Roman" w:hAnsi="Times New Roman" w:cs="Times New Roman" w:eastAsia="Times New Roman" w:hint="default"/>
        </w:rPr>
        <w:t>1</w:t>
      </w:r>
      <w:r>
        <w:rPr/>
        <w:t>、</w:t>
      </w:r>
      <w:r>
        <w:rPr>
          <w:spacing w:val="52"/>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w:t>
      </w:r>
      <w:r>
        <w:rPr/>
        <w:t>日，二届董事会第二十二次会议及二届监事会第二十次会议审议通过了《关于公司股权激励计划授予期权</w:t>
      </w:r>
    </w:p>
    <w:p>
      <w:pPr>
        <w:pStyle w:val="BodyText"/>
        <w:spacing w:line="300" w:lineRule="auto" w:before="63"/>
        <w:ind w:right="190"/>
        <w:jc w:val="both"/>
      </w:pPr>
      <w:r>
        <w:rPr>
          <w:spacing w:val="-2"/>
        </w:rPr>
        <w:t>第三个行权期符合行权条件的议案》，监事会经过对激励对象名单的行权资格进行认真核查，认为公司</w:t>
      </w:r>
      <w:r>
        <w:rPr>
          <w:rFonts w:ascii="Times New Roman" w:hAnsi="Times New Roman" w:cs="Times New Roman" w:eastAsia="Times New Roman" w:hint="default"/>
          <w:spacing w:val="-2"/>
        </w:rPr>
        <w:t>22</w:t>
      </w:r>
      <w:r>
        <w:rPr>
          <w:spacing w:val="-2"/>
        </w:rPr>
        <w:t>位激励对象的行权</w:t>
      </w:r>
      <w:r>
        <w:rPr>
          <w:spacing w:val="-63"/>
        </w:rPr>
        <w:t> </w:t>
      </w:r>
      <w:r>
        <w:rPr>
          <w:spacing w:val="-63"/>
        </w:rPr>
      </w:r>
      <w:r>
        <w:rPr>
          <w:spacing w:val="-5"/>
        </w:rPr>
        <w:t>资格合法、有效，满足公司股权激励计划授予期权第三个行权期的行权条件，同意公司向</w:t>
      </w:r>
      <w:r>
        <w:rPr>
          <w:rFonts w:ascii="Times New Roman" w:hAnsi="Times New Roman" w:cs="Times New Roman" w:eastAsia="Times New Roman" w:hint="default"/>
          <w:spacing w:val="-5"/>
        </w:rPr>
        <w:t>22</w:t>
      </w:r>
      <w:r>
        <w:rPr>
          <w:spacing w:val="-5"/>
        </w:rPr>
        <w:t>位激励对象在第三个行权期（</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5</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日）以定向发行公司股票的方式进行行权，可行权数量为</w:t>
      </w:r>
      <w:r>
        <w:rPr>
          <w:rFonts w:ascii="Times New Roman" w:hAnsi="Times New Roman" w:cs="Times New Roman" w:eastAsia="Times New Roman" w:hint="default"/>
        </w:rPr>
        <w:t>464</w:t>
      </w:r>
      <w:r>
        <w:rPr/>
        <w:t>万份。股权激励计划授予期权第三个行 权期采用自主行权模式。</w:t>
      </w:r>
    </w:p>
    <w:p>
      <w:pPr>
        <w:pStyle w:val="BodyText"/>
        <w:spacing w:line="240" w:lineRule="auto" w:before="31"/>
        <w:ind w:right="94"/>
        <w:jc w:val="left"/>
      </w:pPr>
      <w:r>
        <w:rPr/>
        <w:t>二、股权激励计划限制性股票</w:t>
      </w:r>
    </w:p>
    <w:p>
      <w:pPr>
        <w:pStyle w:val="BodyText"/>
        <w:spacing w:line="307" w:lineRule="auto" w:before="76"/>
        <w:ind w:right="189"/>
        <w:jc w:val="left"/>
      </w:pP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2015</w:t>
      </w:r>
      <w:r>
        <w:rPr>
          <w:rFonts w:ascii="Times New Roman" w:hAnsi="Times New Roman" w:cs="Times New Roman" w:eastAsia="Times New Roman" w:hint="default"/>
          <w:spacing w:val="1"/>
        </w:rPr>
        <w:t> </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22</w:t>
      </w:r>
      <w:r>
        <w:rPr>
          <w:spacing w:val="-4"/>
        </w:rPr>
        <w:t>日，公司第二届董事会第二十五次会议审议通过了《关于调整限制性股票激励计划相关事项的议案》与《关</w:t>
      </w:r>
      <w:r>
        <w:rPr>
          <w:spacing w:val="-88"/>
        </w:rPr>
        <w:t> </w:t>
      </w:r>
      <w:r>
        <w:rPr>
          <w:spacing w:val="-88"/>
        </w:rPr>
      </w:r>
      <w:r>
        <w:rPr>
          <w:spacing w:val="-5"/>
        </w:rPr>
        <w:t>于公司限制性股票激励计划首次授予的限制性股票第一期可解锁的议案》，公司第二届监事会第二十三次会议审议通过了《关</w:t>
      </w:r>
      <w:r>
        <w:rPr>
          <w:spacing w:val="-78"/>
        </w:rPr>
        <w:t> </w:t>
      </w:r>
      <w:r>
        <w:rPr>
          <w:spacing w:val="-78"/>
        </w:rPr>
      </w:r>
      <w:r>
        <w:rPr>
          <w:spacing w:val="-2"/>
        </w:rPr>
        <w:t>于调整限制性股票激励计划相关事项的议案》与《关于公司限制性股票激励计划首次授予的限制性股票第一期可解锁激励对</w:t>
      </w:r>
      <w:r>
        <w:rPr>
          <w:spacing w:val="-64"/>
        </w:rPr>
        <w:t> </w:t>
      </w:r>
      <w:r>
        <w:rPr>
          <w:spacing w:val="-64"/>
        </w:rPr>
      </w:r>
      <w:r>
        <w:rPr>
          <w:spacing w:val="-2"/>
        </w:rPr>
        <w:t>象名单的议案》。由于公司</w:t>
      </w:r>
      <w:r>
        <w:rPr>
          <w:rFonts w:ascii="Times New Roman" w:hAnsi="Times New Roman" w:cs="Times New Roman" w:eastAsia="Times New Roman" w:hint="default"/>
          <w:spacing w:val="-2"/>
        </w:rPr>
        <w:t>2015</w:t>
      </w:r>
      <w:r>
        <w:rPr>
          <w:spacing w:val="-2"/>
        </w:rPr>
        <w:t>年半年度权益分派方案已实施完成，公司根据《激励计划》及相关规定，对首次授予的限制</w:t>
      </w:r>
      <w:r>
        <w:rPr>
          <w:spacing w:val="-65"/>
        </w:rPr>
        <w:t> </w:t>
      </w:r>
      <w:r>
        <w:rPr>
          <w:spacing w:val="-65"/>
        </w:rPr>
      </w:r>
      <w:r>
        <w:rPr>
          <w:spacing w:val="-1"/>
        </w:rPr>
        <w:t>性股票数量和回购价格进行调整，调整后的首次限制性股票授予数量为</w:t>
      </w:r>
      <w:r>
        <w:rPr>
          <w:rFonts w:ascii="Times New Roman" w:hAnsi="Times New Roman" w:cs="Times New Roman" w:eastAsia="Times New Roman" w:hint="default"/>
          <w:spacing w:val="-1"/>
        </w:rPr>
        <w:t>42,625,000</w:t>
      </w:r>
      <w:r>
        <w:rPr>
          <w:spacing w:val="-1"/>
        </w:rPr>
        <w:t>股，回购价格为</w:t>
      </w:r>
      <w:r>
        <w:rPr>
          <w:rFonts w:ascii="Times New Roman" w:hAnsi="Times New Roman" w:cs="Times New Roman" w:eastAsia="Times New Roman" w:hint="default"/>
          <w:spacing w:val="-1"/>
        </w:rPr>
        <w:t>1.656</w:t>
      </w:r>
      <w:r>
        <w:rPr>
          <w:spacing w:val="-1"/>
        </w:rPr>
        <w:t>元；并同意符合解锁</w:t>
      </w:r>
      <w:r>
        <w:rPr>
          <w:spacing w:val="-73"/>
        </w:rPr>
        <w:t> </w:t>
      </w:r>
      <w:r>
        <w:rPr>
          <w:spacing w:val="-73"/>
        </w:rPr>
      </w:r>
      <w:r>
        <w:rPr/>
        <w:t>条件的</w:t>
      </w:r>
      <w:r>
        <w:rPr>
          <w:rFonts w:ascii="Times New Roman" w:hAnsi="Times New Roman" w:cs="Times New Roman" w:eastAsia="Times New Roman" w:hint="default"/>
        </w:rPr>
        <w:t>26</w:t>
      </w:r>
      <w:r>
        <w:rPr/>
        <w:t>名激励对象办理解锁事宜。本次申请解锁并上市流通的限制性股票数量为</w:t>
      </w:r>
      <w:r>
        <w:rPr>
          <w:rFonts w:ascii="Times New Roman" w:hAnsi="Times New Roman" w:cs="Times New Roman" w:eastAsia="Times New Roman" w:hint="default"/>
        </w:rPr>
        <w:t>12,787,500</w:t>
      </w:r>
      <w:r>
        <w:rPr/>
        <w:t>股。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日，限制性股票激励计划第一期解锁的股票上市流通。</w:t>
      </w:r>
    </w:p>
    <w:p>
      <w:pPr>
        <w:pStyle w:val="BodyText"/>
        <w:spacing w:line="304" w:lineRule="auto" w:before="7"/>
        <w:ind w:right="94"/>
        <w:jc w:val="left"/>
      </w:pPr>
      <w:r>
        <w:rPr/>
        <w:t>三、员工持股计划 </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16</w:t>
      </w:r>
      <w:r>
        <w:rPr>
          <w:spacing w:val="-2"/>
        </w:rPr>
        <w:t>日公司召开</w:t>
      </w:r>
      <w:r>
        <w:rPr>
          <w:rFonts w:ascii="Times New Roman" w:hAnsi="Times New Roman" w:cs="Times New Roman" w:eastAsia="Times New Roman" w:hint="default"/>
          <w:spacing w:val="-2"/>
        </w:rPr>
        <w:t>2014</w:t>
      </w:r>
      <w:r>
        <w:rPr>
          <w:spacing w:val="-2"/>
        </w:rPr>
        <w:t>年度股东大会，审议通过了《青岛市恒顺电气股份有限公司员工持股计划（草案）》等相关</w:t>
      </w:r>
      <w:r>
        <w:rPr>
          <w:spacing w:val="-60"/>
        </w:rPr>
        <w:t> </w:t>
      </w:r>
      <w:r>
        <w:rPr>
          <w:spacing w:val="-60"/>
        </w:rPr>
      </w:r>
      <w:r>
        <w:rPr/>
        <w:t>议案，同意公司实施员工持股计划，并委托宝盈基金管理有限公司设立</w:t>
      </w:r>
      <w:r>
        <w:rPr>
          <w:rFonts w:ascii="Times New Roman" w:hAnsi="Times New Roman" w:cs="Times New Roman" w:eastAsia="Times New Roman" w:hint="default"/>
        </w:rPr>
        <w:t>“</w:t>
      </w:r>
      <w:r>
        <w:rPr/>
        <w:t>宝盈恒顺共赢</w:t>
      </w:r>
      <w:r>
        <w:rPr>
          <w:rFonts w:ascii="Times New Roman" w:hAnsi="Times New Roman" w:cs="Times New Roman" w:eastAsia="Times New Roman" w:hint="default"/>
        </w:rPr>
        <w:t>1</w:t>
      </w:r>
      <w:r>
        <w:rPr/>
        <w:t>号特定多客户资产管理计划</w:t>
      </w:r>
      <w:r>
        <w:rPr>
          <w:rFonts w:ascii="Times New Roman" w:hAnsi="Times New Roman" w:cs="Times New Roman" w:eastAsia="Times New Roman" w:hint="default"/>
        </w:rPr>
        <w:t>”</w:t>
      </w:r>
      <w:r>
        <w:rPr/>
        <w:t>进行管 理，通过大宗交易或二级市场购买等法律法规许可的方式买入恒顺众昇股票。 </w:t>
      </w:r>
      <w:r>
        <w:rPr>
          <w:rFonts w:ascii="Times New Roman" w:hAnsi="Times New Roman" w:cs="Times New Roman" w:eastAsia="Times New Roman" w:hint="default"/>
          <w:spacing w:val="-4"/>
        </w:rPr>
        <w:t>2</w:t>
      </w:r>
      <w:r>
        <w:rPr>
          <w:spacing w:val="-4"/>
        </w:rPr>
        <w:t>、</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30</w:t>
      </w:r>
      <w:r>
        <w:rPr>
          <w:spacing w:val="-4"/>
        </w:rPr>
        <w:t>日，公司第二届董事会第二十次会议审议通过了《关于员工持股计划变更资产计划名称及托管机构的议案》，</w:t>
      </w:r>
      <w:r>
        <w:rPr>
          <w:spacing w:val="-34"/>
        </w:rPr>
        <w:t> </w:t>
      </w:r>
      <w:r>
        <w:rPr>
          <w:spacing w:val="-34"/>
        </w:rPr>
      </w:r>
      <w:r>
        <w:rPr/>
        <w:t>员工持股计划资产计划名称相应的由</w:t>
      </w:r>
      <w:r>
        <w:rPr>
          <w:rFonts w:ascii="Times New Roman" w:hAnsi="Times New Roman" w:cs="Times New Roman" w:eastAsia="Times New Roman" w:hint="default"/>
        </w:rPr>
        <w:t>“</w:t>
      </w:r>
      <w:r>
        <w:rPr/>
        <w:t>宝盈恒顺共赢</w:t>
      </w:r>
      <w:r>
        <w:rPr>
          <w:rFonts w:ascii="Times New Roman" w:hAnsi="Times New Roman" w:cs="Times New Roman" w:eastAsia="Times New Roman" w:hint="default"/>
        </w:rPr>
        <w:t>1</w:t>
      </w:r>
      <w:r>
        <w:rPr/>
        <w:t>号特定多客户资产管理计划</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宝盈恒顺共赢</w:t>
      </w:r>
      <w:r>
        <w:rPr>
          <w:rFonts w:ascii="Times New Roman" w:hAnsi="Times New Roman" w:cs="Times New Roman" w:eastAsia="Times New Roman" w:hint="default"/>
        </w:rPr>
        <w:t>3</w:t>
      </w:r>
      <w:r>
        <w:rPr/>
        <w:t>号特定多客户资产</w:t>
      </w:r>
      <w:r>
        <w:rPr>
          <w:spacing w:val="-88"/>
        </w:rPr>
        <w:t> </w:t>
      </w:r>
      <w:r>
        <w:rPr/>
        <w:t>管理计划</w:t>
      </w:r>
      <w:r>
        <w:rPr>
          <w:rFonts w:ascii="Times New Roman" w:hAnsi="Times New Roman" w:cs="Times New Roman" w:eastAsia="Times New Roman" w:hint="default"/>
        </w:rPr>
        <w:t>”</w:t>
      </w:r>
      <w:r>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w:t>
      </w:r>
      <w:r>
        <w:rPr/>
        <w:t>宝盈恒顺共赢</w:t>
      </w:r>
      <w:r>
        <w:rPr>
          <w:rFonts w:ascii="Times New Roman" w:hAnsi="Times New Roman" w:cs="Times New Roman" w:eastAsia="Times New Roman" w:hint="default"/>
        </w:rPr>
        <w:t>3</w:t>
      </w:r>
      <w:r>
        <w:rPr/>
        <w:t>号特定多客户资产管理计划</w:t>
      </w:r>
      <w:r>
        <w:rPr>
          <w:rFonts w:ascii="Times New Roman" w:hAnsi="Times New Roman" w:cs="Times New Roman" w:eastAsia="Times New Roman" w:hint="default"/>
        </w:rPr>
        <w:t>”</w:t>
      </w:r>
      <w:r>
        <w:rPr/>
        <w:t>通过二级市场购买方式共计买入恒顺众昇股票</w:t>
      </w:r>
      <w:r>
        <w:rPr>
          <w:rFonts w:ascii="Times New Roman" w:hAnsi="Times New Roman" w:cs="Times New Roman" w:eastAsia="Times New Roman" w:hint="default"/>
        </w:rPr>
        <w:t>865,067</w:t>
      </w:r>
      <w:r>
        <w:rPr/>
        <w:t>股， 占公司总股本</w:t>
      </w:r>
      <w:r>
        <w:rPr>
          <w:rFonts w:ascii="Times New Roman" w:hAnsi="Times New Roman" w:cs="Times New Roman" w:eastAsia="Times New Roman" w:hint="default"/>
        </w:rPr>
        <w:t>0.286%</w:t>
      </w:r>
      <w:r>
        <w:rPr/>
        <w:t>，购买均价为</w:t>
      </w:r>
      <w:r>
        <w:rPr>
          <w:rFonts w:ascii="Times New Roman" w:hAnsi="Times New Roman" w:cs="Times New Roman" w:eastAsia="Times New Roman" w:hint="default"/>
        </w:rPr>
        <w:t>68.66</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w:t>
      </w:r>
      <w:r>
        <w:rPr/>
        <w:t>宝盈恒顺共赢</w:t>
      </w:r>
      <w:r>
        <w:rPr>
          <w:rFonts w:ascii="Times New Roman" w:hAnsi="Times New Roman" w:cs="Times New Roman" w:eastAsia="Times New Roman" w:hint="default"/>
        </w:rPr>
        <w:t>3</w:t>
      </w:r>
      <w:r>
        <w:rPr/>
        <w:t>号特定多客户资产管理计划</w:t>
      </w:r>
      <w:r>
        <w:rPr>
          <w:rFonts w:ascii="Times New Roman" w:hAnsi="Times New Roman" w:cs="Times New Roman" w:eastAsia="Times New Roman" w:hint="default"/>
        </w:rPr>
        <w:t>”</w:t>
      </w:r>
      <w:r>
        <w:rPr/>
        <w:t>通过二级市场购 买方式共计买入恒顺众昇股票</w:t>
      </w:r>
      <w:r>
        <w:rPr>
          <w:rFonts w:ascii="Times New Roman" w:hAnsi="Times New Roman" w:cs="Times New Roman" w:eastAsia="Times New Roman" w:hint="default"/>
        </w:rPr>
        <w:t>10,700</w:t>
      </w:r>
      <w:r>
        <w:rPr/>
        <w:t>股，占公司总股本</w:t>
      </w:r>
      <w:r>
        <w:rPr>
          <w:rFonts w:ascii="Times New Roman" w:hAnsi="Times New Roman" w:cs="Times New Roman" w:eastAsia="Times New Roman" w:hint="default"/>
        </w:rPr>
        <w:t>0.0035%</w:t>
      </w:r>
      <w:r>
        <w:rPr/>
        <w:t>，购买均价为</w:t>
      </w:r>
      <w:r>
        <w:rPr>
          <w:rFonts w:ascii="Times New Roman" w:hAnsi="Times New Roman" w:cs="Times New Roman" w:eastAsia="Times New Roman" w:hint="default"/>
        </w:rPr>
        <w:t>71.68</w:t>
      </w:r>
      <w:r>
        <w:rPr/>
        <w:t>元。 </w:t>
      </w:r>
      <w:r>
        <w:rPr>
          <w:rFonts w:ascii="Times New Roman" w:hAnsi="Times New Roman" w:cs="Times New Roman" w:eastAsia="Times New Roman" w:hint="default"/>
          <w:spacing w:val="-2"/>
        </w:rPr>
        <w:t>4</w:t>
      </w:r>
      <w:r>
        <w:rPr>
          <w:spacing w:val="-2"/>
        </w:rPr>
        <w:t>、截至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日，公司员工持股计划已完成股票购买。员工持股计划所购买的股票锁定期为</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6"/>
        </w:rPr>
        <w:t> </w:t>
      </w:r>
      <w:r>
        <w:rPr/>
        <w:t>月</w:t>
      </w:r>
      <w:r>
        <w:rPr>
          <w:rFonts w:ascii="Times New Roman" w:hAnsi="Times New Roman" w:cs="Times New Roman" w:eastAsia="Times New Roman" w:hint="default"/>
        </w:rPr>
        <w:t>14</w:t>
      </w:r>
      <w:r>
        <w:rPr/>
        <w:t>日。</w:t>
      </w:r>
    </w:p>
    <w:p>
      <w:pPr>
        <w:spacing w:after="0" w:line="304"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5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6"/>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4"/>
        <w:ind w:right="85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应付关联方债务</w:t>
      </w:r>
    </w:p>
    <w:p>
      <w:pPr>
        <w:spacing w:line="240" w:lineRule="auto" w:before="6"/>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57"/>
        <w:gridCol w:w="1037"/>
        <w:gridCol w:w="1047"/>
        <w:gridCol w:w="1044"/>
        <w:gridCol w:w="1044"/>
        <w:gridCol w:w="1044"/>
        <w:gridCol w:w="1044"/>
        <w:gridCol w:w="1045"/>
        <w:gridCol w:w="1106"/>
      </w:tblGrid>
      <w:tr>
        <w:trPr>
          <w:trHeight w:val="714" w:hRule="exact"/>
        </w:trPr>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4"/>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7" w:right="65"/>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67" w:right="65"/>
              <w:jc w:val="left"/>
              <w:rPr>
                <w:rFonts w:ascii="宋体" w:hAnsi="宋体" w:cs="宋体" w:eastAsia="宋体" w:hint="default"/>
                <w:sz w:val="18"/>
                <w:szCs w:val="18"/>
              </w:rPr>
            </w:pPr>
            <w:r>
              <w:rPr>
                <w:rFonts w:ascii="宋体" w:hAnsi="宋体" w:cs="宋体" w:eastAsia="宋体" w:hint="default"/>
                <w:sz w:val="18"/>
                <w:szCs w:val="18"/>
              </w:rPr>
              <w:t>本期归还金 额（万元）</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4"/>
              <w:ind w:left="15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69" w:right="19" w:hanging="346"/>
              <w:jc w:val="left"/>
              <w:rPr>
                <w:rFonts w:ascii="宋体" w:hAnsi="宋体" w:cs="宋体" w:eastAsia="宋体" w:hint="default"/>
                <w:sz w:val="18"/>
                <w:szCs w:val="18"/>
              </w:rPr>
            </w:pPr>
            <w:r>
              <w:rPr>
                <w:rFonts w:ascii="宋体" w:hAnsi="宋体" w:cs="宋体" w:eastAsia="宋体" w:hint="default"/>
                <w:spacing w:val="-5"/>
                <w:sz w:val="18"/>
                <w:szCs w:val="18"/>
              </w:rPr>
              <w:t>期末余额（万</w:t>
            </w:r>
            <w:r>
              <w:rPr>
                <w:rFonts w:ascii="宋体" w:hAnsi="宋体" w:cs="宋体" w:eastAsia="宋体" w:hint="default"/>
                <w:sz w:val="18"/>
                <w:szCs w:val="18"/>
              </w:rPr>
              <w:t> 元）</w:t>
            </w:r>
          </w:p>
        </w:tc>
      </w:tr>
      <w:tr>
        <w:trPr>
          <w:trHeight w:val="1027" w:hRule="exact"/>
        </w:trPr>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41"/>
              <w:jc w:val="left"/>
              <w:rPr>
                <w:rFonts w:ascii="宋体" w:hAnsi="宋体" w:cs="宋体" w:eastAsia="宋体" w:hint="default"/>
                <w:sz w:val="18"/>
                <w:szCs w:val="18"/>
              </w:rPr>
            </w:pPr>
            <w:r>
              <w:rPr>
                <w:rFonts w:ascii="宋体" w:hAnsi="宋体" w:cs="宋体" w:eastAsia="宋体" w:hint="default"/>
                <w:sz w:val="18"/>
                <w:szCs w:val="18"/>
              </w:rPr>
              <w:t>青岛熹源环保 科技有限公司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上股东控制 的公司</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3,000</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9" w:right="0"/>
              <w:jc w:val="left"/>
              <w:rPr>
                <w:rFonts w:ascii="Times New Roman" w:hAnsi="Times New Roman" w:cs="Times New Roman" w:eastAsia="Times New Roman" w:hint="default"/>
                <w:sz w:val="18"/>
                <w:szCs w:val="18"/>
              </w:rPr>
            </w:pPr>
            <w:r>
              <w:rPr>
                <w:rFonts w:ascii="Times New Roman"/>
                <w:sz w:val="18"/>
              </w:rPr>
              <w:t>3,000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after="0" w:line="3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7"/>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68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8"/>
        <w:rPr>
          <w:rFonts w:ascii="宋体" w:hAnsi="宋体" w:cs="宋体" w:eastAsia="宋体" w:hint="default"/>
          <w:sz w:val="21"/>
          <w:szCs w:val="21"/>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r>
        <w:rPr/>
        <w:t>十七、其他重大事项的说明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1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公司报告期不存在需要说明的其他重大事项。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r>
        <w:rPr/>
        <w:t>十八、公司子公司重大事项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十九、社会责任情况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二十、公司债券相关情况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113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4"/>
        <w:gridCol w:w="823"/>
        <w:gridCol w:w="823"/>
        <w:gridCol w:w="821"/>
        <w:gridCol w:w="823"/>
        <w:gridCol w:w="821"/>
        <w:gridCol w:w="824"/>
        <w:gridCol w:w="794"/>
        <w:gridCol w:w="792"/>
      </w:tblGrid>
      <w:tr>
        <w:trPr>
          <w:trHeight w:val="40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9"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116,803,8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38.68%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35,805,36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-58,085,4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49,330,69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166,134,4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21.67%</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116,803,8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38.68%</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35,805,36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-58,085,4</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49,330,69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166,134,4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21.67%</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31.26%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-94,400,0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7.42%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35,805,36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71,610,73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36,314,58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143,730,6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166,134,4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21.67%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185,166,1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61.32%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117,499,6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62,725,41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415,224,3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600,390,5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78.33%</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185,166,1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61.32%</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117,499,6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234,999,2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62,725,41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415,224,3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600,390,5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78.33%</w:t>
            </w:r>
          </w:p>
        </w:tc>
      </w:tr>
      <w:tr>
        <w:trPr>
          <w:trHeight w:val="391"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301,970,0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153,305,0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306,610,0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4,640,000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464,555,0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766,525,0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9" w:space="0" w:color="D2D2D2"/>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9" w:space="0" w:color="D2D2D2"/>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4" w:lineRule="auto" w:before="104"/>
        <w:ind w:right="0"/>
        <w:jc w:val="left"/>
      </w:pPr>
      <w:r>
        <w:rPr>
          <w:rFonts w:ascii="Times New Roman" w:hAnsi="Times New Roman" w:cs="Times New Roman" w:eastAsia="Times New Roman" w:hint="default"/>
        </w:rPr>
        <w:t>1</w:t>
      </w:r>
      <w:r>
        <w:rPr/>
        <w:t>、股份协议转让 新余清源环保投资管理有限公司持有恒顺众昇</w:t>
      </w:r>
      <w:r>
        <w:rPr>
          <w:rFonts w:ascii="Times New Roman" w:hAnsi="Times New Roman" w:cs="Times New Roman" w:eastAsia="Times New Roman" w:hint="default"/>
        </w:rPr>
        <w:t>9,440</w:t>
      </w:r>
      <w:r>
        <w:rPr/>
        <w:t>万股份，其通过协议转让的方式分别转让给贾全臣</w:t>
      </w:r>
      <w:r>
        <w:rPr>
          <w:rFonts w:ascii="Times New Roman" w:hAnsi="Times New Roman" w:cs="Times New Roman" w:eastAsia="Times New Roman" w:hint="default"/>
        </w:rPr>
        <w:t>3440</w:t>
      </w:r>
      <w:r>
        <w:rPr/>
        <w:t>万股，占公司总 股本的</w:t>
      </w:r>
      <w:r>
        <w:rPr>
          <w:rFonts w:ascii="Times New Roman" w:hAnsi="Times New Roman" w:cs="Times New Roman" w:eastAsia="Times New Roman" w:hint="default"/>
        </w:rPr>
        <w:t>11.39%</w:t>
      </w:r>
      <w:r>
        <w:rPr/>
        <w:t>；转让给贾晓钰</w:t>
      </w:r>
      <w:r>
        <w:rPr>
          <w:rFonts w:ascii="Times New Roman" w:hAnsi="Times New Roman" w:cs="Times New Roman" w:eastAsia="Times New Roman" w:hint="default"/>
        </w:rPr>
        <w:t>3,000</w:t>
      </w:r>
      <w:r>
        <w:rPr/>
        <w:t>万股，占公司总股本的</w:t>
      </w:r>
      <w:r>
        <w:rPr>
          <w:rFonts w:ascii="Times New Roman" w:hAnsi="Times New Roman" w:cs="Times New Roman" w:eastAsia="Times New Roman" w:hint="default"/>
        </w:rPr>
        <w:t>9.93%</w:t>
      </w:r>
      <w:r>
        <w:rPr/>
        <w:t>；转让给戴一鸣</w:t>
      </w:r>
      <w:r>
        <w:rPr>
          <w:rFonts w:ascii="Times New Roman" w:hAnsi="Times New Roman" w:cs="Times New Roman" w:eastAsia="Times New Roman" w:hint="default"/>
        </w:rPr>
        <w:t>3,000</w:t>
      </w:r>
      <w:r>
        <w:rPr/>
        <w:t>万股，占公司总股本的</w:t>
      </w:r>
      <w:r>
        <w:rPr>
          <w:rFonts w:ascii="Times New Roman" w:hAnsi="Times New Roman" w:cs="Times New Roman" w:eastAsia="Times New Roman" w:hint="default"/>
        </w:rPr>
        <w:t>9.93%</w:t>
      </w:r>
      <w:r>
        <w:rPr/>
        <w:t>。 </w:t>
      </w:r>
      <w:r>
        <w:rPr>
          <w:rFonts w:ascii="Times New Roman" w:hAnsi="Times New Roman" w:cs="Times New Roman" w:eastAsia="Times New Roman" w:hint="default"/>
        </w:rPr>
        <w:t>2</w:t>
      </w:r>
      <w:r>
        <w:rPr/>
        <w:t>、股权激励计划授予期权第三期行权 </w:t>
      </w:r>
      <w:r>
        <w:rPr>
          <w:spacing w:val="-2"/>
        </w:rPr>
        <w:t>青岛市恒顺众昇集团股份有限公司股权激励计划股票授予期权第三个行权期，经第二届董事会第二十二次会议审议通过，符</w:t>
      </w:r>
      <w:r>
        <w:rPr>
          <w:spacing w:val="-64"/>
        </w:rPr>
        <w:t> </w:t>
      </w:r>
      <w:r>
        <w:rPr>
          <w:spacing w:val="-64"/>
        </w:rPr>
      </w:r>
      <w:r>
        <w:rPr/>
        <w:t>合行权条件，可行权数量为</w:t>
      </w:r>
      <w:r>
        <w:rPr>
          <w:rFonts w:ascii="Times New Roman" w:hAnsi="Times New Roman" w:cs="Times New Roman" w:eastAsia="Times New Roman" w:hint="default"/>
        </w:rPr>
        <w:t>464</w:t>
      </w:r>
      <w:r>
        <w:rPr/>
        <w:t>万份，行权起始日期为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日，公司总股本增加</w:t>
      </w:r>
      <w:r>
        <w:rPr>
          <w:rFonts w:ascii="Times New Roman" w:hAnsi="Times New Roman" w:cs="Times New Roman" w:eastAsia="Times New Roman" w:hint="default"/>
        </w:rPr>
        <w:t>464</w:t>
      </w:r>
      <w:r>
        <w:rPr/>
        <w:t>万股。</w:t>
      </w:r>
    </w:p>
    <w:p>
      <w:pPr>
        <w:pStyle w:val="BodyText"/>
        <w:spacing w:line="300" w:lineRule="auto" w:before="9"/>
        <w:ind w:right="144"/>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年半年度利润分配 公司</w:t>
      </w:r>
      <w:r>
        <w:rPr>
          <w:rFonts w:ascii="Times New Roman" w:hAnsi="Times New Roman" w:cs="Times New Roman" w:eastAsia="Times New Roman" w:hint="default"/>
        </w:rPr>
        <w:t>2015</w:t>
      </w:r>
      <w:r>
        <w:rPr/>
        <w:t>年半年度实施的利润分配方案为：以截至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30,661</w:t>
      </w:r>
      <w:r>
        <w:rPr/>
        <w:t>万股为基数，向全体股东每</w:t>
      </w:r>
      <w:r>
        <w:rPr>
          <w:rFonts w:ascii="Times New Roman" w:hAnsi="Times New Roman" w:cs="Times New Roman" w:eastAsia="Times New Roman" w:hint="default"/>
        </w:rPr>
        <w:t>10</w:t>
      </w:r>
      <w:r>
        <w:rPr/>
        <w:t>股派发现 金股利</w:t>
      </w:r>
      <w:r>
        <w:rPr>
          <w:rFonts w:ascii="Times New Roman" w:hAnsi="Times New Roman" w:cs="Times New Roman" w:eastAsia="Times New Roman" w:hint="default"/>
        </w:rPr>
        <w:t>0.6</w:t>
      </w:r>
      <w:r>
        <w:rPr/>
        <w:t>元人民币（含税），同时以公司总股本</w:t>
      </w:r>
      <w:r>
        <w:rPr>
          <w:rFonts w:ascii="Times New Roman" w:hAnsi="Times New Roman" w:cs="Times New Roman" w:eastAsia="Times New Roman" w:hint="default"/>
        </w:rPr>
        <w:t>30,661</w:t>
      </w:r>
      <w:r>
        <w:rPr/>
        <w:t>万股为基数，向全体股东每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股（含税）；并以资本公积 金每</w:t>
      </w:r>
      <w:r>
        <w:rPr>
          <w:rFonts w:ascii="Times New Roman" w:hAnsi="Times New Roman" w:cs="Times New Roman" w:eastAsia="Times New Roman" w:hint="default"/>
        </w:rPr>
        <w:t>10</w:t>
      </w:r>
      <w:r>
        <w:rPr/>
        <w:t>股向全体股东转增</w:t>
      </w:r>
      <w:r>
        <w:rPr>
          <w:rFonts w:ascii="Times New Roman" w:hAnsi="Times New Roman" w:cs="Times New Roman" w:eastAsia="Times New Roman" w:hint="default"/>
        </w:rPr>
        <w:t>10</w:t>
      </w:r>
      <w:r>
        <w:rPr/>
        <w:t>股，共计送增</w:t>
      </w:r>
      <w:r>
        <w:rPr>
          <w:rFonts w:ascii="Times New Roman" w:hAnsi="Times New Roman" w:cs="Times New Roman" w:eastAsia="Times New Roman" w:hint="default"/>
        </w:rPr>
        <w:t>45,991.50</w:t>
      </w:r>
      <w:r>
        <w:rPr/>
        <w:t>万股。权益分派的股权登记日为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24</w:t>
      </w:r>
      <w:r>
        <w:rPr/>
        <w:t>日，权益分派完成后，公司总股本增至</w:t>
      </w:r>
      <w:r>
        <w:rPr>
          <w:rFonts w:ascii="Times New Roman" w:hAnsi="Times New Roman" w:cs="Times New Roman" w:eastAsia="Times New Roman" w:hint="default"/>
        </w:rPr>
        <w:t>76,652.50</w:t>
      </w:r>
      <w:r>
        <w:rPr/>
        <w:t>万股。</w:t>
      </w:r>
    </w:p>
    <w:p>
      <w:pPr>
        <w:pStyle w:val="BodyText"/>
        <w:spacing w:line="240" w:lineRule="auto" w:before="54"/>
        <w:ind w:right="0"/>
        <w:jc w:val="left"/>
      </w:pPr>
      <w:r>
        <w:rPr/>
        <w:t>股份变动的批准情况</w:t>
      </w:r>
    </w:p>
    <w:p>
      <w:pPr>
        <w:pStyle w:val="BodyText"/>
        <w:spacing w:line="240" w:lineRule="auto" w:before="115"/>
        <w:ind w:right="0"/>
        <w:jc w:val="left"/>
      </w:pPr>
      <w:r>
        <w:rPr/>
        <w:t>√ 适用 □</w:t>
      </w:r>
      <w:r>
        <w:rPr>
          <w:spacing w:val="3"/>
        </w:rPr>
        <w:t> </w:t>
      </w:r>
      <w:r>
        <w:rPr/>
        <w:t>不适用</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1</w:t>
      </w:r>
      <w:r>
        <w:rPr/>
        <w:t>、股份协议转让</w:t>
      </w:r>
    </w:p>
    <w:p>
      <w:pPr>
        <w:pStyle w:val="BodyText"/>
        <w:spacing w:line="300" w:lineRule="auto" w:before="63"/>
        <w:ind w:right="159"/>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日，贾全臣及其一致行动人收到中国证监会下发的《关于核准豁免贾全臣及一致行动人要约收购青岛市恒顺众 昇集团股份有限公司股份义务的批复》（证监许可（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1409</w:t>
      </w:r>
      <w:r>
        <w:rPr/>
        <w:t>号）。公司于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日在巨潮资讯网披露了《收购报 告书》。</w:t>
      </w:r>
    </w:p>
    <w:p>
      <w:pPr>
        <w:pStyle w:val="BodyText"/>
        <w:spacing w:line="240" w:lineRule="auto" w:before="31"/>
        <w:ind w:right="0"/>
        <w:jc w:val="both"/>
      </w:pPr>
      <w:r>
        <w:rPr>
          <w:rFonts w:ascii="Times New Roman" w:hAnsi="Times New Roman" w:cs="Times New Roman" w:eastAsia="Times New Roman" w:hint="default"/>
        </w:rPr>
        <w:t>2</w:t>
      </w:r>
      <w:r>
        <w:rPr/>
        <w:t>、股权激励计划授予期权第三期行权</w:t>
      </w:r>
    </w:p>
    <w:p>
      <w:pPr>
        <w:pStyle w:val="BodyText"/>
        <w:spacing w:line="307" w:lineRule="auto" w:before="63"/>
        <w:ind w:right="150"/>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日，公司第二届董事会第二十二次会议审议通过了《关于公司股权激励计划授予期权第三个行权期符合行</w:t>
      </w:r>
      <w:r>
        <w:rPr>
          <w:spacing w:val="-63"/>
        </w:rPr>
        <w:t> </w:t>
      </w:r>
      <w:r>
        <w:rPr>
          <w:spacing w:val="-63"/>
        </w:rPr>
      </w:r>
      <w:r>
        <w:rPr>
          <w:spacing w:val="-2"/>
        </w:rPr>
        <w:t>权条件的议案》，根据公司《股权激励计划（正式稿）》和《股权激励计划考核管理办法》的考核结果，董事会认为：股权</w:t>
      </w:r>
      <w:r>
        <w:rPr>
          <w:spacing w:val="-69"/>
        </w:rPr>
        <w:t> </w:t>
      </w:r>
      <w:r>
        <w:rPr>
          <w:spacing w:val="-69"/>
        </w:rPr>
      </w:r>
      <w:r>
        <w:rPr>
          <w:spacing w:val="-2"/>
        </w:rPr>
        <w:t>激励计划授予期权第三个行权期行权条件已成熟，同意向</w:t>
      </w:r>
      <w:r>
        <w:rPr>
          <w:rFonts w:ascii="Times New Roman" w:hAnsi="Times New Roman" w:cs="Times New Roman" w:eastAsia="Times New Roman" w:hint="default"/>
          <w:spacing w:val="-2"/>
        </w:rPr>
        <w:t>22</w:t>
      </w:r>
      <w:r>
        <w:rPr>
          <w:spacing w:val="-2"/>
        </w:rPr>
        <w:t>位激励对象在第三个行权期（</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5</w:t>
      </w:r>
      <w:r>
        <w:rPr>
          <w:spacing w:val="-2"/>
        </w:rPr>
        <w:t>日至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4</w:t>
      </w:r>
      <w:r>
        <w:rPr>
          <w:spacing w:val="-2"/>
        </w:rPr>
        <w:t>日）行</w:t>
      </w:r>
      <w:r>
        <w:rPr>
          <w:spacing w:val="-57"/>
        </w:rPr>
        <w:t> </w:t>
      </w:r>
      <w:r>
        <w:rPr>
          <w:spacing w:val="-57"/>
        </w:rPr>
      </w:r>
      <w:r>
        <w:rPr/>
        <w:t>权，可行权数量为</w:t>
      </w:r>
      <w:r>
        <w:rPr>
          <w:rFonts w:ascii="Times New Roman" w:hAnsi="Times New Roman" w:cs="Times New Roman" w:eastAsia="Times New Roman" w:hint="default"/>
        </w:rPr>
        <w:t>464</w:t>
      </w:r>
      <w:r>
        <w:rPr/>
        <w:t>万份。</w:t>
      </w:r>
    </w:p>
    <w:p>
      <w:pPr>
        <w:pStyle w:val="BodyText"/>
        <w:spacing w:line="300" w:lineRule="auto" w:before="7"/>
        <w:ind w:right="151"/>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31</w:t>
      </w:r>
      <w:r>
        <w:rPr>
          <w:spacing w:val="-2"/>
        </w:rPr>
        <w:t>日，第二届监事会第二十次会议审议通过了《关于公司股权激励计划授予期权第三个行权期符合行权条件</w:t>
      </w:r>
      <w:r>
        <w:rPr>
          <w:spacing w:val="-62"/>
        </w:rPr>
        <w:t> </w:t>
      </w:r>
      <w:r>
        <w:rPr>
          <w:spacing w:val="-62"/>
        </w:rPr>
      </w:r>
      <w:r>
        <w:rPr>
          <w:spacing w:val="-2"/>
        </w:rPr>
        <w:t>的议案》，经过对激励对象名单的行权资格进行认真核查，监事会认为公司</w:t>
      </w:r>
      <w:r>
        <w:rPr>
          <w:rFonts w:ascii="Times New Roman" w:hAnsi="Times New Roman" w:cs="Times New Roman" w:eastAsia="Times New Roman" w:hint="default"/>
          <w:spacing w:val="-2"/>
        </w:rPr>
        <w:t>22</w:t>
      </w:r>
      <w:r>
        <w:rPr>
          <w:spacing w:val="-2"/>
        </w:rPr>
        <w:t>位激励对象的行权资格合法、有效，满足股权</w:t>
      </w:r>
      <w:r>
        <w:rPr>
          <w:spacing w:val="-65"/>
        </w:rPr>
        <w:t> </w:t>
      </w:r>
      <w:r>
        <w:rPr>
          <w:spacing w:val="-65"/>
        </w:rPr>
      </w:r>
      <w:r>
        <w:rPr>
          <w:spacing w:val="-2"/>
        </w:rPr>
        <w:t>激励计划授予期权第三个行权期的行权条件，同意向</w:t>
      </w:r>
      <w:r>
        <w:rPr>
          <w:rFonts w:ascii="Times New Roman" w:hAnsi="Times New Roman" w:cs="Times New Roman" w:eastAsia="Times New Roman" w:hint="default"/>
          <w:spacing w:val="-2"/>
        </w:rPr>
        <w:t>22</w:t>
      </w:r>
      <w:r>
        <w:rPr>
          <w:spacing w:val="-2"/>
        </w:rPr>
        <w:t>名激励对象在第三个行权期以定向发行公司股票的方式进行行权，可</w:t>
      </w:r>
      <w:r>
        <w:rPr>
          <w:spacing w:val="-62"/>
        </w:rPr>
        <w:t> </w:t>
      </w:r>
      <w:r>
        <w:rPr>
          <w:spacing w:val="-62"/>
        </w:rPr>
      </w:r>
      <w:r>
        <w:rPr/>
        <w:t>行权数量为</w:t>
      </w:r>
      <w:r>
        <w:rPr>
          <w:rFonts w:ascii="Times New Roman" w:hAnsi="Times New Roman" w:cs="Times New Roman" w:eastAsia="Times New Roman" w:hint="default"/>
        </w:rPr>
        <w:t>464</w:t>
      </w:r>
      <w:r>
        <w:rPr/>
        <w:t>万份。</w:t>
      </w:r>
    </w:p>
    <w:p>
      <w:pPr>
        <w:pStyle w:val="BodyText"/>
        <w:spacing w:line="240" w:lineRule="auto" w:before="13"/>
        <w:ind w:right="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2015</w:t>
      </w:r>
      <w:r>
        <w:rPr/>
        <w:t>年半年度利润分配</w:t>
      </w:r>
    </w:p>
    <w:p>
      <w:pPr>
        <w:pStyle w:val="BodyText"/>
        <w:spacing w:line="300" w:lineRule="auto" w:before="63"/>
        <w:ind w:right="151"/>
        <w:jc w:val="both"/>
      </w:pPr>
      <w:r>
        <w:rPr/>
        <w:t>（</w:t>
      </w:r>
      <w:r>
        <w:rPr>
          <w:rFonts w:ascii="Times New Roman" w:hAnsi="Times New Roman" w:cs="Times New Roman" w:eastAsia="Times New Roman" w:hint="default"/>
        </w:rPr>
        <w:t>1</w:t>
      </w:r>
      <w:r>
        <w:rPr/>
        <w:t>）公司第二届董事会第二十三次会议及二届监事会第二十一次会议审议通过的</w:t>
      </w:r>
      <w:r>
        <w:rPr>
          <w:rFonts w:ascii="Times New Roman" w:hAnsi="Times New Roman" w:cs="Times New Roman" w:eastAsia="Times New Roman" w:hint="default"/>
        </w:rPr>
        <w:t>2015</w:t>
      </w:r>
      <w:r>
        <w:rPr/>
        <w:t>年半年度利润分配方案为：以公司总 股本 </w:t>
      </w:r>
      <w:r>
        <w:rPr>
          <w:rFonts w:ascii="Times New Roman" w:hAnsi="Times New Roman" w:cs="Times New Roman" w:eastAsia="Times New Roman" w:hint="default"/>
        </w:rPr>
        <w:t>306,610,000 </w:t>
      </w:r>
      <w:r>
        <w:rPr/>
        <w:t>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0.5 </w:t>
      </w:r>
      <w:r>
        <w:rPr>
          <w:spacing w:val="-4"/>
        </w:rPr>
        <w:t>元（含税），送红股 </w:t>
      </w:r>
      <w:r>
        <w:rPr>
          <w:rFonts w:ascii="Times New Roman" w:hAnsi="Times New Roman" w:cs="Times New Roman" w:eastAsia="Times New Roman" w:hint="default"/>
        </w:rPr>
        <w:t>5</w:t>
      </w:r>
      <w:r>
        <w:rPr>
          <w:rFonts w:ascii="Times New Roman" w:hAnsi="Times New Roman" w:cs="Times New Roman" w:eastAsia="Times New Roman" w:hint="default"/>
          <w:spacing w:val="36"/>
        </w:rPr>
        <w:t> </w:t>
      </w:r>
      <w:r>
        <w:rPr>
          <w:spacing w:val="-3"/>
        </w:rPr>
        <w:t>股（含税），以资本公积向全体股</w:t>
      </w:r>
    </w:p>
    <w:p>
      <w:pPr>
        <w:pStyle w:val="BodyText"/>
        <w:spacing w:line="240" w:lineRule="auto" w:before="13"/>
        <w:ind w:right="0"/>
        <w:jc w:val="both"/>
      </w:pPr>
      <w:r>
        <w:rPr/>
        <w:t>东每 </w:t>
      </w:r>
      <w:r>
        <w:rPr>
          <w:rFonts w:ascii="Times New Roman" w:hAnsi="Times New Roman" w:cs="Times New Roman" w:eastAsia="Times New Roman" w:hint="default"/>
        </w:rPr>
        <w:t>10 </w:t>
      </w:r>
      <w:r>
        <w:rPr/>
        <w:t>股转增 </w:t>
      </w:r>
      <w:r>
        <w:rPr>
          <w:rFonts w:ascii="Times New Roman" w:hAnsi="Times New Roman" w:cs="Times New Roman" w:eastAsia="Times New Roman" w:hint="default"/>
        </w:rPr>
        <w:t>10</w:t>
      </w:r>
      <w:r>
        <w:rPr>
          <w:rFonts w:ascii="Times New Roman" w:hAnsi="Times New Roman" w:cs="Times New Roman" w:eastAsia="Times New Roman" w:hint="default"/>
          <w:spacing w:val="18"/>
        </w:rPr>
        <w:t> </w:t>
      </w:r>
      <w:r>
        <w:rPr/>
        <w:t>股。</w:t>
      </w:r>
    </w:p>
    <w:p>
      <w:pPr>
        <w:pStyle w:val="BodyText"/>
        <w:spacing w:line="240" w:lineRule="auto" w:before="63"/>
        <w:ind w:right="0"/>
        <w:jc w:val="both"/>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2</w:t>
      </w:r>
      <w:r>
        <w:rPr>
          <w:spacing w:val="-2"/>
        </w:rPr>
        <w:t>）上述利润分配方案经公司二届董事会第二十四次会议及二届监事会第二十二次会议调整为：以公司总股本</w:t>
      </w:r>
      <w:r>
        <w:rPr>
          <w:spacing w:val="22"/>
        </w:rPr>
        <w:t> </w:t>
      </w:r>
      <w:r>
        <w:rPr>
          <w:rFonts w:ascii="Times New Roman" w:hAnsi="Times New Roman" w:cs="Times New Roman" w:eastAsia="Times New Roman" w:hint="default"/>
          <w:spacing w:val="-1"/>
        </w:rPr>
        <w:t>306,610,000</w:t>
      </w:r>
    </w:p>
    <w:p>
      <w:pPr>
        <w:pStyle w:val="BodyText"/>
        <w:spacing w:line="240" w:lineRule="auto" w:before="63"/>
        <w:ind w:right="0"/>
        <w:jc w:val="both"/>
        <w:rPr>
          <w:rFonts w:ascii="Times New Roman" w:hAnsi="Times New Roman" w:cs="Times New Roman" w:eastAsia="Times New Roman" w:hint="default"/>
        </w:rPr>
      </w:pPr>
      <w:r>
        <w:rPr/>
        <w:t>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spacing w:val="-3"/>
        </w:rPr>
        <w:t>0.6</w:t>
      </w:r>
      <w:r>
        <w:rPr>
          <w:spacing w:val="-3"/>
        </w:rPr>
        <w:t>元（含税），送红股 </w:t>
      </w:r>
      <w:r>
        <w:rPr>
          <w:rFonts w:ascii="Times New Roman" w:hAnsi="Times New Roman" w:cs="Times New Roman" w:eastAsia="Times New Roman" w:hint="default"/>
        </w:rPr>
        <w:t>5 </w:t>
      </w:r>
      <w:r>
        <w:rPr>
          <w:spacing w:val="-3"/>
        </w:rPr>
        <w:t>股（含税），以资本公积向全体股东每 </w:t>
      </w:r>
      <w:r>
        <w:rPr>
          <w:rFonts w:ascii="Times New Roman" w:hAnsi="Times New Roman" w:cs="Times New Roman" w:eastAsia="Times New Roman" w:hint="default"/>
        </w:rPr>
        <w:t>10 </w:t>
      </w:r>
      <w:r>
        <w:rPr/>
        <w:t>股转增</w:t>
      </w:r>
      <w:r>
        <w:rPr>
          <w:spacing w:val="4"/>
        </w:rPr>
        <w:t> </w:t>
      </w:r>
      <w:r>
        <w:rPr>
          <w:rFonts w:ascii="Times New Roman" w:hAnsi="Times New Roman" w:cs="Times New Roman" w:eastAsia="Times New Roman" w:hint="default"/>
        </w:rPr>
        <w:t>10</w:t>
      </w:r>
    </w:p>
    <w:p>
      <w:pPr>
        <w:pStyle w:val="BodyText"/>
        <w:spacing w:line="240" w:lineRule="auto" w:before="63"/>
        <w:ind w:right="0"/>
        <w:jc w:val="both"/>
      </w:pPr>
      <w:r>
        <w:rPr/>
        <w:t>股。</w:t>
      </w:r>
    </w:p>
    <w:p>
      <w:pPr>
        <w:pStyle w:val="BodyText"/>
        <w:spacing w:line="309" w:lineRule="auto" w:before="76"/>
        <w:ind w:right="151"/>
        <w:jc w:val="both"/>
      </w:pPr>
      <w:r>
        <w:rPr/>
        <w:t>（</w:t>
      </w:r>
      <w:r>
        <w:rPr>
          <w:rFonts w:ascii="Times New Roman" w:hAnsi="Times New Roman" w:cs="Times New Roman" w:eastAsia="Times New Roman" w:hint="default"/>
        </w:rPr>
        <w:t>3</w:t>
      </w:r>
      <w:r>
        <w:rPr/>
        <w:t>）上述利润分配方案经公司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7</w:t>
      </w:r>
      <w:r>
        <w:rPr/>
        <w:t>日召开的</w:t>
      </w:r>
      <w:r>
        <w:rPr>
          <w:rFonts w:ascii="Times New Roman" w:hAnsi="Times New Roman" w:cs="Times New Roman" w:eastAsia="Times New Roman" w:hint="default"/>
        </w:rPr>
        <w:t>2015</w:t>
      </w:r>
      <w:r>
        <w:rPr/>
        <w:t>年第四次临时股东大会审议通过。公司</w:t>
      </w:r>
      <w:r>
        <w:rPr>
          <w:rFonts w:ascii="Times New Roman" w:hAnsi="Times New Roman" w:cs="Times New Roman" w:eastAsia="Times New Roman" w:hint="default"/>
        </w:rPr>
        <w:t>2015</w:t>
      </w:r>
      <w:r>
        <w:rPr/>
        <w:t>年半年度利润分配方案 </w:t>
      </w:r>
      <w:r>
        <w:rPr>
          <w:spacing w:val="-2"/>
        </w:rPr>
        <w:t>符合《公司章程》的规定，充分保护了中小投资者的合法权益，公司独立董事对此发表了独立意见。本次权益分派股权登记</w:t>
      </w:r>
      <w:r>
        <w:rPr>
          <w:spacing w:val="-64"/>
        </w:rPr>
        <w:t> </w:t>
      </w:r>
      <w:r>
        <w:rPr>
          <w:spacing w:val="-64"/>
        </w:rPr>
      </w:r>
      <w:r>
        <w:rPr/>
        <w:t>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日，除权除息日、现金红利发放日均为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w:t>
      </w:r>
    </w:p>
    <w:p>
      <w:pPr>
        <w:pStyle w:val="BodyText"/>
        <w:spacing w:line="240" w:lineRule="auto" w:before="46"/>
        <w:ind w:right="0"/>
        <w:jc w:val="both"/>
      </w:pPr>
      <w:r>
        <w:rPr/>
        <w:t>股份变动的过户情况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jc w:val="left"/>
      </w:pPr>
      <w:r>
        <w:rPr>
          <w:rFonts w:ascii="Times New Roman" w:hAnsi="Times New Roman" w:cs="Times New Roman" w:eastAsia="Times New Roman" w:hint="default"/>
        </w:rPr>
        <w:t>1</w:t>
      </w:r>
      <w:r>
        <w:rPr/>
        <w:t>、股份协议转让 新余清源环保投资管理有限公司持有恒顺众昇</w:t>
      </w:r>
      <w:r>
        <w:rPr>
          <w:rFonts w:ascii="Times New Roman" w:hAnsi="Times New Roman" w:cs="Times New Roman" w:eastAsia="Times New Roman" w:hint="default"/>
        </w:rPr>
        <w:t>9,440</w:t>
      </w:r>
      <w:r>
        <w:rPr/>
        <w:t>万股份，其通过协议转让的方式分别转让给贾全臣</w:t>
      </w:r>
      <w:r>
        <w:rPr>
          <w:rFonts w:ascii="Times New Roman" w:hAnsi="Times New Roman" w:cs="Times New Roman" w:eastAsia="Times New Roman" w:hint="default"/>
        </w:rPr>
        <w:t>3440</w:t>
      </w:r>
      <w:r>
        <w:rPr/>
        <w:t>万股，占公司总 </w:t>
      </w:r>
      <w:r>
        <w:rPr>
          <w:spacing w:val="-1"/>
        </w:rPr>
        <w:t>股本的</w:t>
      </w:r>
      <w:r>
        <w:rPr>
          <w:rFonts w:ascii="Times New Roman" w:hAnsi="Times New Roman" w:cs="Times New Roman" w:eastAsia="Times New Roman" w:hint="default"/>
          <w:spacing w:val="-1"/>
        </w:rPr>
        <w:t>11.39%</w:t>
      </w:r>
      <w:r>
        <w:rPr>
          <w:spacing w:val="-1"/>
        </w:rPr>
        <w:t>；转让给贾晓钰</w:t>
      </w:r>
      <w:r>
        <w:rPr>
          <w:rFonts w:ascii="Times New Roman" w:hAnsi="Times New Roman" w:cs="Times New Roman" w:eastAsia="Times New Roman" w:hint="default"/>
          <w:spacing w:val="-1"/>
        </w:rPr>
        <w:t>3,000</w:t>
      </w:r>
      <w:r>
        <w:rPr>
          <w:spacing w:val="-1"/>
        </w:rPr>
        <w:t>万股，占公司总股本的</w:t>
      </w:r>
      <w:r>
        <w:rPr>
          <w:rFonts w:ascii="Times New Roman" w:hAnsi="Times New Roman" w:cs="Times New Roman" w:eastAsia="Times New Roman" w:hint="default"/>
          <w:spacing w:val="-1"/>
        </w:rPr>
        <w:t>9.93%</w:t>
      </w:r>
      <w:r>
        <w:rPr>
          <w:spacing w:val="-1"/>
        </w:rPr>
        <w:t>；转让给戴一鸣</w:t>
      </w:r>
      <w:r>
        <w:rPr>
          <w:rFonts w:ascii="Times New Roman" w:hAnsi="Times New Roman" w:cs="Times New Roman" w:eastAsia="Times New Roman" w:hint="default"/>
          <w:spacing w:val="-1"/>
        </w:rPr>
        <w:t>3,000</w:t>
      </w:r>
      <w:r>
        <w:rPr>
          <w:spacing w:val="-1"/>
        </w:rPr>
        <w:t>万股，占公司总股本的</w:t>
      </w:r>
      <w:r>
        <w:rPr>
          <w:rFonts w:ascii="Times New Roman" w:hAnsi="Times New Roman" w:cs="Times New Roman" w:eastAsia="Times New Roman" w:hint="default"/>
          <w:spacing w:val="-1"/>
        </w:rPr>
        <w:t>9.93%</w:t>
      </w:r>
      <w:r>
        <w:rPr>
          <w:spacing w:val="-1"/>
        </w:rPr>
        <w:t>。股份转</w:t>
      </w:r>
      <w:r>
        <w:rPr>
          <w:spacing w:val="-68"/>
        </w:rPr>
        <w:t> </w:t>
      </w:r>
      <w:r>
        <w:rPr>
          <w:spacing w:val="-68"/>
        </w:rPr>
      </w:r>
      <w:r>
        <w:rPr/>
        <w:t>让过户登记手续于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w:t>
      </w:r>
      <w:r>
        <w:rPr/>
        <w:t>日全部完成，至此，新余清源环保投资管理有限公司在本报告期不再是本公司的母公司。</w:t>
      </w:r>
    </w:p>
    <w:p>
      <w:pPr>
        <w:pStyle w:val="BodyText"/>
        <w:spacing w:line="240" w:lineRule="auto" w:before="53"/>
        <w:ind w:right="0"/>
        <w:jc w:val="both"/>
      </w:pPr>
      <w:r>
        <w:rPr/>
        <w:t>股份变动对最近一年和最近一期基本每股收益和稀释每股收益、归属于公司普通股股东的每股净资产等财务指标的影响</w:t>
      </w:r>
    </w:p>
    <w:p>
      <w:pPr>
        <w:pStyle w:val="BodyText"/>
        <w:spacing w:line="240" w:lineRule="auto" w:before="115"/>
        <w:ind w:right="0"/>
        <w:jc w:val="both"/>
      </w:pPr>
      <w:r>
        <w:rPr/>
        <w:t>√ 适用 □</w:t>
      </w:r>
      <w:r>
        <w:rPr>
          <w:spacing w:val="3"/>
        </w:rPr>
        <w:t> </w:t>
      </w:r>
      <w:r>
        <w:rPr/>
        <w:t>不适用</w:t>
      </w:r>
    </w:p>
    <w:p>
      <w:pPr>
        <w:spacing w:line="240" w:lineRule="auto" w:before="3"/>
        <w:rPr>
          <w:rFonts w:ascii="宋体" w:hAnsi="宋体" w:cs="宋体" w:eastAsia="宋体" w:hint="default"/>
          <w:sz w:val="15"/>
          <w:szCs w:val="15"/>
        </w:rPr>
      </w:pPr>
    </w:p>
    <w:p>
      <w:pPr>
        <w:pStyle w:val="BodyText"/>
        <w:spacing w:line="240" w:lineRule="auto"/>
        <w:ind w:right="0"/>
        <w:jc w:val="both"/>
      </w:pPr>
      <w:r>
        <w:rPr/>
        <w:t>（</w:t>
      </w:r>
      <w:r>
        <w:rPr>
          <w:rFonts w:ascii="Times New Roman" w:hAnsi="Times New Roman" w:cs="Times New Roman" w:eastAsia="Times New Roman" w:hint="default"/>
        </w:rPr>
        <w:t>1</w:t>
      </w:r>
      <w:r>
        <w:rPr/>
        <w:t>）根据《青岛市恒顺电气股份有限公司股权激励计划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t>》规定和</w:t>
      </w:r>
      <w:r>
        <w:rPr>
          <w:rFonts w:ascii="Times New Roman" w:hAnsi="Times New Roman" w:cs="Times New Roman" w:eastAsia="Times New Roman" w:hint="default"/>
        </w:rPr>
        <w:t>2015</w:t>
      </w:r>
      <w:r>
        <w:rPr/>
        <w:t>年第二届董事会第二十二次会议规定，同意</w:t>
      </w:r>
    </w:p>
    <w:p>
      <w:pPr>
        <w:pStyle w:val="BodyText"/>
        <w:spacing w:line="240" w:lineRule="auto" w:before="60"/>
        <w:ind w:right="0"/>
        <w:jc w:val="both"/>
      </w:pPr>
      <w:r>
        <w:rPr>
          <w:rFonts w:ascii="Times New Roman" w:hAnsi="Times New Roman" w:cs="Times New Roman" w:eastAsia="Times New Roman" w:hint="default"/>
        </w:rPr>
        <w:t>22</w:t>
      </w:r>
      <w:r>
        <w:rPr/>
        <w:t>位激励对象在第三个行权期行权，股本总额增加</w:t>
      </w:r>
      <w:r>
        <w:rPr>
          <w:rFonts w:ascii="Times New Roman" w:hAnsi="Times New Roman" w:cs="Times New Roman" w:eastAsia="Times New Roman" w:hint="default"/>
        </w:rPr>
        <w:t>464</w:t>
      </w:r>
      <w:r>
        <w:rPr/>
        <w:t>万元。</w:t>
      </w:r>
    </w:p>
    <w:p>
      <w:pPr>
        <w:spacing w:line="240" w:lineRule="auto" w:before="13"/>
        <w:rPr>
          <w:rFonts w:ascii="宋体" w:hAnsi="宋体" w:cs="宋体" w:eastAsia="宋体" w:hint="default"/>
          <w:sz w:val="13"/>
          <w:szCs w:val="13"/>
        </w:rPr>
      </w:pPr>
    </w:p>
    <w:p>
      <w:pPr>
        <w:pStyle w:val="BodyText"/>
        <w:spacing w:line="300" w:lineRule="auto"/>
        <w:ind w:right="151"/>
        <w:jc w:val="both"/>
      </w:pPr>
      <w:r>
        <w:rPr/>
        <w:t>（</w:t>
      </w: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2015</w:t>
      </w:r>
      <w:r>
        <w:rPr/>
        <w:t>年第四次临时股东大会审议通过《关于调整</w:t>
      </w:r>
      <w:r>
        <w:rPr>
          <w:rFonts w:ascii="Times New Roman" w:hAnsi="Times New Roman" w:cs="Times New Roman" w:eastAsia="Times New Roman" w:hint="default"/>
        </w:rPr>
        <w:t>2015</w:t>
      </w:r>
      <w:r>
        <w:rPr/>
        <w:t>年半年度利润分配预案的议案》，公司以</w:t>
      </w:r>
      <w:r>
        <w:rPr>
          <w:rFonts w:ascii="Times New Roman" w:hAnsi="Times New Roman" w:cs="Times New Roman" w:eastAsia="Times New Roman" w:hint="default"/>
        </w:rPr>
        <w:t>30,661</w:t>
      </w:r>
      <w:r>
        <w:rPr/>
        <w:t>万股为</w:t>
      </w:r>
      <w:r>
        <w:rPr>
          <w:spacing w:val="-46"/>
        </w:rPr>
        <w:t> </w:t>
      </w:r>
      <w:r>
        <w:rPr/>
        <w:t>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股，股本总额增加</w:t>
      </w:r>
      <w:r>
        <w:rPr>
          <w:rFonts w:ascii="Times New Roman" w:hAnsi="Times New Roman" w:cs="Times New Roman" w:eastAsia="Times New Roman" w:hint="default"/>
        </w:rPr>
        <w:t>15,330.50</w:t>
      </w:r>
      <w:r>
        <w:rPr/>
        <w:t>万元，以资本公积向全体股东每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股，股本总额增加</w:t>
      </w:r>
      <w:r>
        <w:rPr>
          <w:spacing w:val="-87"/>
        </w:rPr>
        <w:t> </w:t>
      </w:r>
      <w:r>
        <w:rPr>
          <w:rFonts w:ascii="Times New Roman" w:hAnsi="Times New Roman" w:cs="Times New Roman" w:eastAsia="Times New Roman" w:hint="default"/>
        </w:rPr>
        <w:t>30,661</w:t>
      </w:r>
      <w:r>
        <w:rPr/>
        <w:t>万元。</w:t>
      </w:r>
    </w:p>
    <w:p>
      <w:pPr>
        <w:pStyle w:val="BodyText"/>
        <w:spacing w:line="300" w:lineRule="auto" w:before="53"/>
        <w:ind w:right="146"/>
        <w:jc w:val="both"/>
      </w:pPr>
      <w:r>
        <w:rPr/>
        <w:t>综上所述，根据《公开发行证券的公司信息披露编报规则第</w:t>
      </w:r>
      <w:r>
        <w:rPr>
          <w:rFonts w:ascii="Times New Roman" w:hAnsi="Times New Roman" w:cs="Times New Roman" w:eastAsia="Times New Roman" w:hint="default"/>
        </w:rPr>
        <w:t>9</w:t>
      </w:r>
      <w:r>
        <w:rPr/>
        <w:t>号》，资本公积转增股份需对上年基本每股收益和稀释每股收</w:t>
      </w:r>
      <w:r>
        <w:rPr>
          <w:spacing w:val="-83"/>
        </w:rPr>
        <w:t> </w:t>
      </w:r>
      <w:r>
        <w:rPr>
          <w:spacing w:val="-83"/>
        </w:rPr>
      </w:r>
      <w:r>
        <w:rPr>
          <w:spacing w:val="-2"/>
        </w:rPr>
        <w:t>益进行重新计算，经重新计算后，上年的基本每股收益由</w:t>
      </w:r>
      <w:r>
        <w:rPr>
          <w:rFonts w:ascii="Times New Roman" w:hAnsi="Times New Roman" w:cs="Times New Roman" w:eastAsia="Times New Roman" w:hint="default"/>
          <w:spacing w:val="-2"/>
        </w:rPr>
        <w:t>0.38</w:t>
      </w:r>
      <w:r>
        <w:rPr>
          <w:spacing w:val="-2"/>
        </w:rPr>
        <w:t>元变成</w:t>
      </w:r>
      <w:r>
        <w:rPr>
          <w:rFonts w:ascii="Times New Roman" w:hAnsi="Times New Roman" w:cs="Times New Roman" w:eastAsia="Times New Roman" w:hint="default"/>
          <w:spacing w:val="-2"/>
        </w:rPr>
        <w:t>0.15</w:t>
      </w:r>
      <w:r>
        <w:rPr>
          <w:spacing w:val="-2"/>
        </w:rPr>
        <w:t>元，稀释每股收益由</w:t>
      </w:r>
      <w:r>
        <w:rPr>
          <w:rFonts w:ascii="Times New Roman" w:hAnsi="Times New Roman" w:cs="Times New Roman" w:eastAsia="Times New Roman" w:hint="default"/>
          <w:spacing w:val="-2"/>
        </w:rPr>
        <w:t>0.38</w:t>
      </w:r>
      <w:r>
        <w:rPr>
          <w:spacing w:val="-2"/>
        </w:rPr>
        <w:t>元变为</w:t>
      </w:r>
      <w:r>
        <w:rPr>
          <w:rFonts w:ascii="Times New Roman" w:hAnsi="Times New Roman" w:cs="Times New Roman" w:eastAsia="Times New Roman" w:hint="default"/>
          <w:spacing w:val="-2"/>
        </w:rPr>
        <w:t>0.15</w:t>
      </w:r>
      <w:r>
        <w:rPr>
          <w:spacing w:val="-2"/>
        </w:rPr>
        <w:t>元。由于总股本</w:t>
      </w:r>
      <w:r>
        <w:rPr>
          <w:spacing w:val="-47"/>
        </w:rPr>
        <w:t> </w:t>
      </w:r>
      <w:r>
        <w:rPr>
          <w:spacing w:val="-47"/>
        </w:rPr>
      </w:r>
      <w:r>
        <w:rPr/>
        <w:t>的增加，也导致每股净资产相应减少。</w:t>
      </w:r>
    </w:p>
    <w:p>
      <w:pPr>
        <w:pStyle w:val="BodyText"/>
        <w:spacing w:line="240" w:lineRule="auto" w:before="72"/>
        <w:ind w:right="0"/>
        <w:jc w:val="both"/>
      </w:pPr>
      <w:r>
        <w:rPr/>
        <w:t>公司认为必要或证券监管机构要求披露的其他内容</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713"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0" w:right="3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4,287,376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70,931,064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75,218,440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56,408,400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56,514,000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71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4,563,645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7,113,645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高管离任后股份</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个月内锁定</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617,906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617,906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8"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1,099,450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99,450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2,123,625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高管锁定股及股 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1027"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1,190,500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1,651,250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2,651,250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53"/>
              <w:jc w:val="left"/>
              <w:rPr>
                <w:rFonts w:ascii="宋体" w:hAnsi="宋体" w:cs="宋体" w:eastAsia="宋体" w:hint="default"/>
                <w:sz w:val="18"/>
                <w:szCs w:val="18"/>
              </w:rPr>
            </w:pPr>
            <w:r>
              <w:rPr>
                <w:rFonts w:ascii="宋体" w:hAnsi="宋体" w:cs="宋体" w:eastAsia="宋体" w:hint="default"/>
                <w:sz w:val="18"/>
                <w:szCs w:val="18"/>
              </w:rPr>
              <w:t>高管锁定股及股 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0"/>
              <w:jc w:val="left"/>
              <w:rPr>
                <w:rFonts w:ascii="宋体" w:hAnsi="宋体" w:cs="宋体" w:eastAsia="宋体" w:hint="default"/>
                <w:sz w:val="18"/>
                <w:szCs w:val="18"/>
              </w:rPr>
            </w:pPr>
            <w:r>
              <w:rPr>
                <w:rFonts w:ascii="宋体" w:hAnsi="宋体" w:cs="宋体" w:eastAsia="宋体" w:hint="default"/>
                <w:sz w:val="18"/>
                <w:szCs w:val="18"/>
              </w:rPr>
              <w:t>每年初按照上年 末持股总数的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解除锁定</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彭静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周正莲</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401"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吕颖</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第二次解锁：自</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1923"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王波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范晓英</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赵婷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黄文静</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王晓霞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第二次解锁：自</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1923"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李举孝</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王淑红</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徐明杰</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李军军</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张广阔</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史海洋</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第二次解锁：自</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1923"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王晶</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丁建永</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贺应华</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6"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孙进科</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40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刘菁</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第二次解锁：自</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79"/>
        <w:gridCol w:w="1349"/>
        <w:gridCol w:w="1349"/>
        <w:gridCol w:w="1349"/>
        <w:gridCol w:w="1349"/>
        <w:gridCol w:w="1349"/>
        <w:gridCol w:w="1346"/>
      </w:tblGrid>
      <w:tr>
        <w:trPr>
          <w:trHeight w:val="1923" w:hRule="exact"/>
        </w:trPr>
        <w:tc>
          <w:tcPr>
            <w:tcW w:w="147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3" w:right="48"/>
              <w:jc w:val="left"/>
              <w:rPr>
                <w:rFonts w:ascii="宋体" w:hAnsi="宋体" w:cs="宋体" w:eastAsia="宋体" w:hint="default"/>
                <w:sz w:val="18"/>
                <w:szCs w:val="18"/>
              </w:rPr>
            </w:pPr>
            <w:r>
              <w:rPr>
                <w:rFonts w:ascii="宋体" w:hAnsi="宋体" w:cs="宋体" w:eastAsia="宋体" w:hint="default"/>
                <w:sz w:val="18"/>
                <w:szCs w:val="18"/>
              </w:rPr>
              <w:t>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3"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王坤</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9"/>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2275" w:hRule="exact"/>
        </w:trPr>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孟繁增</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9"/>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第二次解锁：自 授权日起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月后的首个交易 日起至授权日起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个月内的最 后一个交易日当 日止</w:t>
            </w:r>
          </w:p>
        </w:tc>
      </w:tr>
      <w:tr>
        <w:trPr>
          <w:trHeight w:val="401" w:hRule="exact"/>
        </w:trPr>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21,837,926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4,144,950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148,441,515</w:t>
            </w:r>
          </w:p>
        </w:tc>
        <w:tc>
          <w:tcPr>
            <w:tcW w:w="134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166,134,491</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right="14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w:t>
      </w:r>
      <w:r>
        <w:rPr>
          <w:rFonts w:ascii="Times New Roman" w:hAnsi="Times New Roman" w:cs="Times New Roman" w:eastAsia="Times New Roman" w:hint="default"/>
        </w:rPr>
        <w:t>2015</w:t>
      </w:r>
      <w:r>
        <w:rPr/>
        <w:t>年半年度实施的利润分配方案为：以截至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日公司总股本</w:t>
      </w:r>
      <w:r>
        <w:rPr>
          <w:rFonts w:ascii="Times New Roman" w:hAnsi="Times New Roman" w:cs="Times New Roman" w:eastAsia="Times New Roman" w:hint="default"/>
        </w:rPr>
        <w:t>30,661</w:t>
      </w:r>
      <w:r>
        <w:rPr/>
        <w:t>万股为基数，向全体股东每</w:t>
      </w:r>
      <w:r>
        <w:rPr>
          <w:rFonts w:ascii="Times New Roman" w:hAnsi="Times New Roman" w:cs="Times New Roman" w:eastAsia="Times New Roman" w:hint="default"/>
        </w:rPr>
        <w:t>10</w:t>
      </w:r>
      <w:r>
        <w:rPr/>
        <w:t>股派发现 金股利</w:t>
      </w:r>
      <w:r>
        <w:rPr>
          <w:rFonts w:ascii="Times New Roman" w:hAnsi="Times New Roman" w:cs="Times New Roman" w:eastAsia="Times New Roman" w:hint="default"/>
        </w:rPr>
        <w:t>0.6</w:t>
      </w:r>
      <w:r>
        <w:rPr/>
        <w:t>元人民币（含税），同时以公司总股本</w:t>
      </w:r>
      <w:r>
        <w:rPr>
          <w:rFonts w:ascii="Times New Roman" w:hAnsi="Times New Roman" w:cs="Times New Roman" w:eastAsia="Times New Roman" w:hint="default"/>
        </w:rPr>
        <w:t>30,661</w:t>
      </w:r>
      <w:r>
        <w:rPr/>
        <w:t>万股为基数，向全体股东每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股（含税）；并以资本公积</w:t>
      </w:r>
    </w:p>
    <w:p>
      <w:pPr>
        <w:pStyle w:val="BodyText"/>
        <w:spacing w:line="300" w:lineRule="auto"/>
        <w:ind w:right="234"/>
        <w:jc w:val="left"/>
      </w:pPr>
      <w:r>
        <w:rPr/>
        <w:t>金每</w:t>
      </w:r>
      <w:r>
        <w:rPr>
          <w:rFonts w:ascii="Times New Roman" w:hAnsi="Times New Roman" w:cs="Times New Roman" w:eastAsia="Times New Roman" w:hint="default"/>
        </w:rPr>
        <w:t>10</w:t>
      </w:r>
      <w:r>
        <w:rPr/>
        <w:t>股向全体股东转增</w:t>
      </w:r>
      <w:r>
        <w:rPr>
          <w:rFonts w:ascii="Times New Roman" w:hAnsi="Times New Roman" w:cs="Times New Roman" w:eastAsia="Times New Roman" w:hint="default"/>
        </w:rPr>
        <w:t>10</w:t>
      </w:r>
      <w:r>
        <w:rPr/>
        <w:t>股，共计送增</w:t>
      </w:r>
      <w:r>
        <w:rPr>
          <w:rFonts w:ascii="Times New Roman" w:hAnsi="Times New Roman" w:cs="Times New Roman" w:eastAsia="Times New Roman" w:hint="default"/>
        </w:rPr>
        <w:t>45,991.50</w:t>
      </w:r>
      <w:r>
        <w:rPr/>
        <w:t>万股。权益分派的股权登记日为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日，除权除息日为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24</w:t>
      </w:r>
      <w:r>
        <w:rPr/>
        <w:t>日，权益分派完成后，公司总股本增至</w:t>
      </w:r>
      <w:r>
        <w:rPr>
          <w:rFonts w:ascii="Times New Roman" w:hAnsi="Times New Roman" w:cs="Times New Roman" w:eastAsia="Times New Roman" w:hint="default"/>
        </w:rPr>
        <w:t>76,652.50</w:t>
      </w:r>
      <w:r>
        <w:rPr/>
        <w:t>万股。公司股东结构未有因实施权益分派发生变化。</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pict>
          <v:shape style="position:absolute;margin-left:449.22699pt;margin-top:70.671692pt;width:85.75pt;height:31.2pt;mso-position-horizontal-relative:page;mso-position-vertical-relative:paragraph;z-index:-893056" type="#_x0000_t202" filled="false" stroked="false">
            <v:textbox inset="0,0,0,0">
              <w:txbxContent>
                <w:p>
                  <w:pPr>
                    <w:pStyle w:val="BodyText"/>
                    <w:spacing w:line="205" w:lineRule="exact"/>
                    <w:ind w:left="0" w:right="0"/>
                    <w:jc w:val="left"/>
                  </w:pPr>
                  <w:r>
                    <w:rPr/>
                    <w:t>（如有）</w:t>
                  </w:r>
                </w:p>
              </w:txbxContent>
            </v:textbox>
            <w10:wrap type="none"/>
          </v:shape>
        </w:pict>
      </w:r>
      <w:r>
        <w:rPr/>
        <w:pict>
          <v:group style="position:absolute;margin-left:482.5pt;margin-top:70.671692pt;width:52.45pt;height:31.2pt;mso-position-horizontal-relative:page;mso-position-vertical-relative:paragraph;z-index:-893032" coordorigin="9650,1413" coordsize="1049,624">
            <v:shape style="position:absolute;left:9650;top:1413;width:1049;height:624" coordorigin="9650,1413" coordsize="1049,624" path="m9650,2037l10699,2037,10699,1413,9650,1413,9650,2037xe" filled="true" fillcolor="#ffffff" stroked="false">
              <v:path arrowok="t"/>
              <v:fill type="solid"/>
            </v:shape>
            <w10:wrap type="none"/>
          </v:group>
        </w:pict>
      </w: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74"/>
        <w:gridCol w:w="737"/>
        <w:gridCol w:w="744"/>
        <w:gridCol w:w="830"/>
        <w:gridCol w:w="346"/>
        <w:gridCol w:w="444"/>
        <w:gridCol w:w="823"/>
        <w:gridCol w:w="802"/>
        <w:gridCol w:w="322"/>
        <w:gridCol w:w="1028"/>
        <w:gridCol w:w="280"/>
        <w:gridCol w:w="512"/>
        <w:gridCol w:w="557"/>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9" w:type="dxa"/>
            <w:gridSpan w:val="2"/>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49,073</w:t>
            </w:r>
          </w:p>
        </w:tc>
        <w:tc>
          <w:tcPr>
            <w:tcW w:w="1481" w:type="dxa"/>
            <w:gridSpan w:val="2"/>
            <w:vMerge w:val="restart"/>
            <w:tcBorders>
              <w:top w:val="single" w:sz="4" w:space="0" w:color="000000"/>
              <w:left w:val="single" w:sz="4" w:space="0" w:color="000000"/>
              <w:right w:val="single" w:sz="4" w:space="0" w:color="000000"/>
            </w:tcBorders>
            <w:shd w:val="clear" w:color="auto" w:fill="D2D2D2"/>
          </w:tcPr>
          <w:p>
            <w:pPr/>
          </w:p>
        </w:tc>
        <w:tc>
          <w:tcPr>
            <w:tcW w:w="1176" w:type="dxa"/>
            <w:gridSpan w:val="2"/>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41,119</w:t>
            </w:r>
          </w:p>
        </w:tc>
        <w:tc>
          <w:tcPr>
            <w:tcW w:w="126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 w:right="23"/>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2" w:type="dxa"/>
            <w:vMerge w:val="restart"/>
            <w:tcBorders>
              <w:top w:val="single" w:sz="4" w:space="0" w:color="000000"/>
              <w:left w:val="single" w:sz="12" w:space="0" w:color="D2D2D2"/>
              <w:right w:val="nil" w:sz="6" w:space="0" w:color="auto"/>
            </w:tcBorders>
          </w:tcPr>
          <w:p>
            <w:pPr/>
          </w:p>
        </w:tc>
        <w:tc>
          <w:tcPr>
            <w:tcW w:w="557"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9"/>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9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tcBorders>
              <w:left w:val="single" w:sz="4" w:space="0" w:color="000000"/>
              <w:bottom w:val="nil" w:sz="6" w:space="0" w:color="auto"/>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9" w:type="dxa"/>
            <w:gridSpan w:val="2"/>
            <w:vMerge/>
            <w:tcBorders>
              <w:left w:val="single" w:sz="9" w:space="0" w:color="D2D2D2"/>
              <w:right w:val="single" w:sz="10" w:space="0" w:color="D2D2D2"/>
            </w:tcBorders>
          </w:tcPr>
          <w:p>
            <w:pPr/>
          </w:p>
        </w:tc>
        <w:tc>
          <w:tcPr>
            <w:tcW w:w="1481" w:type="dxa"/>
            <w:gridSpan w:val="2"/>
            <w:vMerge w:val="restart"/>
            <w:tcBorders>
              <w:top w:val="nil" w:sz="6" w:space="0" w:color="auto"/>
              <w:left w:val="single" w:sz="4" w:space="0" w:color="000000"/>
              <w:right w:val="single" w:sz="4" w:space="0" w:color="000000"/>
            </w:tcBorders>
            <w:shd w:val="clear" w:color="auto" w:fill="D2D2D2"/>
          </w:tcPr>
          <w:p>
            <w:pPr/>
          </w:p>
        </w:tc>
        <w:tc>
          <w:tcPr>
            <w:tcW w:w="1176" w:type="dxa"/>
            <w:gridSpan w:val="2"/>
            <w:vMerge/>
            <w:tcBorders>
              <w:left w:val="single" w:sz="10" w:space="0" w:color="D2D2D2"/>
              <w:right w:val="single" w:sz="10" w:space="0" w:color="D2D2D2"/>
            </w:tcBorders>
          </w:tcPr>
          <w:p>
            <w:pPr/>
          </w:p>
        </w:tc>
        <w:tc>
          <w:tcPr>
            <w:tcW w:w="1267" w:type="dxa"/>
            <w:gridSpan w:val="2"/>
            <w:vMerge/>
            <w:tcBorders>
              <w:left w:val="single" w:sz="4" w:space="0" w:color="000000"/>
              <w:bottom w:val="nil" w:sz="6" w:space="0" w:color="auto"/>
              <w:right w:val="single" w:sz="4" w:space="0" w:color="000000"/>
            </w:tcBorders>
            <w:shd w:val="clear" w:color="auto" w:fill="D2D2D2"/>
          </w:tcPr>
          <w:p>
            <w:pPr/>
          </w:p>
        </w:tc>
        <w:tc>
          <w:tcPr>
            <w:tcW w:w="1124" w:type="dxa"/>
            <w:gridSpan w:val="2"/>
            <w:vMerge/>
            <w:tcBorders>
              <w:left w:val="single" w:sz="10" w:space="0" w:color="D2D2D2"/>
              <w:right w:val="single" w:sz="13" w:space="0" w:color="D2D2D2"/>
            </w:tcBorders>
          </w:tcPr>
          <w:p>
            <w:pPr/>
          </w:p>
        </w:tc>
        <w:tc>
          <w:tcPr>
            <w:tcW w:w="1307" w:type="dxa"/>
            <w:gridSpan w:val="2"/>
            <w:vMerge/>
            <w:tcBorders>
              <w:left w:val="single" w:sz="4" w:space="0" w:color="000000"/>
              <w:right w:val="single" w:sz="4" w:space="0" w:color="000000"/>
            </w:tcBorders>
            <w:shd w:val="clear" w:color="auto" w:fill="D2D2D2"/>
          </w:tcPr>
          <w:p>
            <w:pPr/>
          </w:p>
        </w:tc>
        <w:tc>
          <w:tcPr>
            <w:tcW w:w="512" w:type="dxa"/>
            <w:vMerge/>
            <w:tcBorders>
              <w:left w:val="single" w:sz="12" w:space="0" w:color="D2D2D2"/>
              <w:right w:val="nil" w:sz="6" w:space="0" w:color="auto"/>
            </w:tcBorders>
          </w:tcPr>
          <w:p>
            <w:pPr/>
          </w:p>
        </w:tc>
        <w:tc>
          <w:tcPr>
            <w:tcW w:w="557"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9" w:type="dxa"/>
            <w:gridSpan w:val="2"/>
            <w:vMerge/>
            <w:tcBorders>
              <w:left w:val="single" w:sz="9" w:space="0" w:color="D2D2D2"/>
              <w:bottom w:val="single" w:sz="4" w:space="0" w:color="000000"/>
              <w:right w:val="single" w:sz="10" w:space="0" w:color="D2D2D2"/>
            </w:tcBorders>
          </w:tcPr>
          <w:p>
            <w:pPr/>
          </w:p>
        </w:tc>
        <w:tc>
          <w:tcPr>
            <w:tcW w:w="1481" w:type="dxa"/>
            <w:gridSpan w:val="2"/>
            <w:vMerge/>
            <w:tcBorders>
              <w:left w:val="single" w:sz="4" w:space="0" w:color="000000"/>
              <w:bottom w:val="single" w:sz="4" w:space="0" w:color="000000"/>
              <w:right w:val="single" w:sz="4" w:space="0" w:color="000000"/>
            </w:tcBorders>
            <w:shd w:val="clear" w:color="auto" w:fill="D2D2D2"/>
          </w:tcPr>
          <w:p>
            <w:pPr/>
          </w:p>
        </w:tc>
        <w:tc>
          <w:tcPr>
            <w:tcW w:w="1176" w:type="dxa"/>
            <w:gridSpan w:val="2"/>
            <w:vMerge/>
            <w:tcBorders>
              <w:left w:val="single" w:sz="10" w:space="0" w:color="D2D2D2"/>
              <w:bottom w:val="single" w:sz="4" w:space="0" w:color="000000"/>
              <w:right w:val="single" w:sz="10" w:space="0" w:color="D2D2D2"/>
            </w:tcBorders>
          </w:tcPr>
          <w:p>
            <w:pPr/>
          </w:p>
        </w:tc>
        <w:tc>
          <w:tcPr>
            <w:tcW w:w="126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gridSpan w:val="2"/>
            <w:vMerge/>
            <w:tcBorders>
              <w:left w:val="single" w:sz="10" w:space="0" w:color="D2D2D2"/>
              <w:bottom w:val="single" w:sz="4" w:space="0" w:color="000000"/>
              <w:right w:val="single" w:sz="13" w:space="0" w:color="D2D2D2"/>
            </w:tcBorders>
          </w:tcPr>
          <w:p>
            <w:pPr/>
          </w:p>
        </w:tc>
        <w:tc>
          <w:tcPr>
            <w:tcW w:w="1307" w:type="dxa"/>
            <w:gridSpan w:val="2"/>
            <w:vMerge/>
            <w:tcBorders>
              <w:left w:val="single" w:sz="4" w:space="0" w:color="000000"/>
              <w:bottom w:val="single" w:sz="4" w:space="0" w:color="000000"/>
              <w:right w:val="single" w:sz="4" w:space="0" w:color="000000"/>
            </w:tcBorders>
            <w:shd w:val="clear" w:color="auto" w:fill="D2D2D2"/>
          </w:tcPr>
          <w:p>
            <w:pPr/>
          </w:p>
        </w:tc>
        <w:tc>
          <w:tcPr>
            <w:tcW w:w="512" w:type="dxa"/>
            <w:vMerge/>
            <w:tcBorders>
              <w:left w:val="single" w:sz="12" w:space="0" w:color="D2D2D2"/>
              <w:bottom w:val="single" w:sz="4" w:space="0" w:color="000000"/>
              <w:right w:val="nil" w:sz="6" w:space="0" w:color="auto"/>
            </w:tcBorders>
          </w:tcPr>
          <w:p>
            <w:pPr/>
          </w:p>
        </w:tc>
        <w:tc>
          <w:tcPr>
            <w:tcW w:w="557" w:type="dxa"/>
            <w:tcBorders>
              <w:top w:val="nil" w:sz="6" w:space="0" w:color="auto"/>
              <w:left w:val="nil" w:sz="6" w:space="0" w:color="auto"/>
              <w:bottom w:val="single" w:sz="4" w:space="0" w:color="000000"/>
              <w:right w:val="single" w:sz="4" w:space="0" w:color="000000"/>
            </w:tcBorders>
          </w:tcPr>
          <w:p>
            <w:pPr/>
          </w:p>
        </w:tc>
      </w:tr>
      <w:tr>
        <w:trPr>
          <w:trHeight w:val="394"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 w:right="6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7"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2"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8"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823"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14.57%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111,650,6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104,840,4</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12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75,218,44</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36,432,18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4"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111,499,999</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9.83%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75,352,00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75,211,20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sz w:val="18"/>
              </w:rPr>
              <w:t>56,514,00</w:t>
            </w:r>
          </w:p>
          <w:p>
            <w:pPr>
              <w:pStyle w:val="TableParagraph"/>
              <w:spacing w:line="240" w:lineRule="auto" w:before="105"/>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74,975,000</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9.78%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68,700,000</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青岛城投金融控 股集团有限公司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8.63%</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66,156,00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66,156,00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66,156,00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全国社保基金一 一四组合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1.60%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12,236,77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9,933,570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12,236,77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1.57%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7,200,111</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国信证券股份有 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1.36%</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10,409,56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10,409,56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8,166,570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3,744,369</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8,166,570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7,997,360</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4,798,416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7"/>
              <w:jc w:val="right"/>
              <w:rPr>
                <w:rFonts w:ascii="Times New Roman" w:hAnsi="Times New Roman" w:cs="Times New Roman" w:eastAsia="Times New Roman" w:hint="default"/>
                <w:sz w:val="18"/>
                <w:szCs w:val="18"/>
              </w:rPr>
            </w:pPr>
            <w:r>
              <w:rPr>
                <w:rFonts w:ascii="Times New Roman"/>
                <w:spacing w:val="-1"/>
                <w:w w:val="95"/>
                <w:sz w:val="18"/>
              </w:rPr>
              <w:t>7,113,645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883,715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0.75%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center"/>
              <w:rPr>
                <w:rFonts w:ascii="Times New Roman" w:hAnsi="Times New Roman" w:cs="Times New Roman" w:eastAsia="Times New Roman" w:hint="default"/>
                <w:sz w:val="18"/>
                <w:szCs w:val="18"/>
              </w:rPr>
            </w:pPr>
            <w:r>
              <w:rPr>
                <w:rFonts w:ascii="Times New Roman"/>
                <w:sz w:val="18"/>
              </w:rPr>
              <w:t>5,749,875</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5,749,875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8"/>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5,749,875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8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881"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11"/>
            <w:vMerge w:val="restart"/>
            <w:tcBorders>
              <w:top w:val="single" w:sz="4" w:space="0" w:color="000000"/>
              <w:left w:val="single" w:sz="9" w:space="0" w:color="D2D2D2"/>
              <w:right w:val="single" w:sz="4" w:space="0" w:color="000000"/>
            </w:tcBorders>
          </w:tcPr>
          <w:p>
            <w:pPr>
              <w:pStyle w:val="TableParagraph"/>
              <w:spacing w:line="312" w:lineRule="auto" w:before="49"/>
              <w:ind w:left="17" w:right="20"/>
              <w:jc w:val="both"/>
              <w:rPr>
                <w:rFonts w:ascii="宋体" w:hAnsi="宋体" w:cs="宋体" w:eastAsia="宋体" w:hint="default"/>
                <w:sz w:val="18"/>
                <w:szCs w:val="18"/>
              </w:rPr>
            </w:pPr>
            <w:r>
              <w:rPr>
                <w:rFonts w:ascii="宋体" w:hAnsi="宋体" w:cs="宋体" w:eastAsia="宋体" w:hint="default"/>
                <w:spacing w:val="-1"/>
                <w:sz w:val="18"/>
                <w:szCs w:val="18"/>
              </w:rPr>
              <w:t>上述股东中，贾全臣与贾玉兰是兄妹关系，贾全臣与贾晓钰为父子关系，贾玉兰与戴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一鸣是母子关系，贾全臣、贾晓钰、戴一鸣、贾玉兰四人为一致行动人，公司未知其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名股东之间是否存在关联关系，也未知是否属于《上市公司收购管理办法》 规定的一致行动人。</w:t>
            </w:r>
          </w:p>
        </w:tc>
      </w:tr>
      <w:tr>
        <w:trPr>
          <w:trHeight w:val="703" w:hRule="exact"/>
        </w:trPr>
        <w:tc>
          <w:tcPr>
            <w:tcW w:w="2881"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11"/>
            <w:vMerge/>
            <w:tcBorders>
              <w:left w:val="single" w:sz="9" w:space="0" w:color="D2D2D2"/>
              <w:right w:val="single" w:sz="4" w:space="0" w:color="000000"/>
            </w:tcBorders>
          </w:tcPr>
          <w:p>
            <w:pPr/>
          </w:p>
        </w:tc>
      </w:tr>
      <w:tr>
        <w:trPr>
          <w:trHeight w:val="317" w:hRule="exact"/>
        </w:trPr>
        <w:tc>
          <w:tcPr>
            <w:tcW w:w="2881"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11"/>
            <w:vMerge/>
            <w:tcBorders>
              <w:left w:val="single" w:sz="9" w:space="0" w:color="D2D2D2"/>
              <w:bottom w:val="single" w:sz="4" w:space="0" w:color="000000"/>
              <w:right w:val="single" w:sz="4" w:space="0" w:color="000000"/>
            </w:tcBorders>
          </w:tcPr>
          <w:p>
            <w:pPr/>
          </w:p>
        </w:tc>
      </w:tr>
      <w:tr>
        <w:trPr>
          <w:trHeight w:val="404"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44"/>
        <w:ind w:left="0" w:right="158"/>
        <w:jc w:val="right"/>
      </w:pPr>
      <w:r>
        <w:rPr/>
        <w:pict>
          <v:shape style="position:absolute;margin-left:56.400002pt;margin-top:-449.238281pt;width:479.15pt;height:484.7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989"/>
                    <w:gridCol w:w="1349"/>
                    <w:gridCol w:w="1349"/>
                  </w:tblGrid>
                  <w:tr>
                    <w:trPr>
                      <w:trHeight w:val="402" w:hRule="exact"/>
                    </w:trPr>
                    <w:tc>
                      <w:tcPr>
                        <w:tcW w:w="28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66,156,007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66,156,007</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36,432,183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36,432,183</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18,838,000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全国社保基金一一四组合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12,236,770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12,236,770</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12,000,185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12,000,185</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10,409,563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10,409,563</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成善杰</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8,166,570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8,166,570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5,749,875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5,749,875</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5,208,200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5,208,200</w:t>
                        </w:r>
                      </w:p>
                    </w:tc>
                  </w:tr>
                  <w:tr>
                    <w:trPr>
                      <w:trHeight w:val="164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名无限售股东中，贾全臣与贾玉兰是兄妹关系，贾全臣与贾晓钰为父子关系， 贾玉兰与戴一鸣是母子关系，贾全臣、贾晓钰、戴一鸣、贾玉兰四人为一致行动人， 公司未知其他前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 </w:t>
                        </w:r>
                        <w:r>
                          <w:rPr>
                            <w:rFonts w:ascii="宋体" w:hAnsi="宋体" w:cs="宋体" w:eastAsia="宋体" w:hint="default"/>
                            <w:spacing w:val="-1"/>
                            <w:sz w:val="18"/>
                            <w:szCs w:val="18"/>
                          </w:rPr>
                          <w:t>之间是否存在关联关系，也未知是否属于《上市公司收购管理办法》规定的一致行动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人。</w:t>
                        </w:r>
                      </w:p>
                    </w:tc>
                  </w:tr>
                  <w:tr>
                    <w:trPr>
                      <w:trHeight w:val="3212"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4"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公司股东贾全臣除通过普通证券账户持有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111,637,188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还通过招商证券股份有限</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公司客户信用交易担保证券账户持有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13,435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111,650,623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股东应明除通过普通证券账户持有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还通过国泰君安证券股份有限公司客户信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80"/>
                            <w:sz w:val="18"/>
                            <w:szCs w:val="18"/>
                          </w:rPr>
                          <w:t>，</w:t>
                        </w:r>
                        <w:r>
                          <w:rPr>
                            <w:rFonts w:ascii="宋体" w:hAnsi="宋体" w:cs="宋体" w:eastAsia="宋体" w:hint="default"/>
                            <w:sz w:val="18"/>
                            <w:szCs w:val="18"/>
                          </w:rPr>
                          <w:t>实际合计</w:t>
                        </w:r>
                        <w:r>
                          <w:rPr>
                            <w:rFonts w:ascii="宋体" w:hAnsi="宋体" w:cs="宋体" w:eastAsia="宋体" w:hint="default"/>
                            <w:spacing w:val="-3"/>
                            <w:sz w:val="18"/>
                            <w:szCs w:val="18"/>
                          </w:rPr>
                          <w:t>持</w:t>
                        </w:r>
                        <w:r>
                          <w:rPr>
                            <w:rFonts w:ascii="宋体" w:hAnsi="宋体" w:cs="宋体" w:eastAsia="宋体" w:hint="default"/>
                            <w:sz w:val="18"/>
                            <w:szCs w:val="18"/>
                          </w:rPr>
                          <w:t>有</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公司股东成善杰</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除通过普通证券账户持有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还通过招商证券股份有限公司客户信用交易担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宋体" w:hAnsi="宋体" w:cs="宋体" w:eastAsia="宋体" w:hint="default"/>
                            <w:spacing w:val="-82"/>
                            <w:sz w:val="18"/>
                            <w:szCs w:val="18"/>
                          </w:rPr>
                          <w:t>，</w:t>
                        </w:r>
                        <w:r>
                          <w:rPr>
                            <w:rFonts w:ascii="宋体" w:hAnsi="宋体" w:cs="宋体" w:eastAsia="宋体" w:hint="default"/>
                            <w:sz w:val="18"/>
                            <w:szCs w:val="18"/>
                          </w:rPr>
                          <w:t>实际合计持有</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司股东贾玉兰除通过普通</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750,000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还通过招商证券股份有限公司客户信用交易担保证券账户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4,999,875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5,749,875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股。公司股东姚刚除通过普通证券账户持</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股外</w:t>
                        </w:r>
                        <w:r>
                          <w:rPr>
                            <w:rFonts w:ascii="Times New Roman" w:hAnsi="Times New Roman" w:cs="Times New Roman" w:eastAsia="Times New Roman" w:hint="default"/>
                            <w:sz w:val="18"/>
                            <w:szCs w:val="18"/>
                          </w:rPr>
                          <w:t>,</w:t>
                        </w:r>
                        <w:r>
                          <w:rPr>
                            <w:rFonts w:ascii="宋体" w:hAnsi="宋体" w:cs="宋体" w:eastAsia="宋体" w:hint="default"/>
                            <w:sz w:val="18"/>
                            <w:szCs w:val="18"/>
                          </w:rPr>
                          <w:t>还通过招商证券股份有限公司客户信用交易担保证券账户持有</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5,208,200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5,208,200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5"/>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417"/>
        <w:gridCol w:w="6150"/>
      </w:tblGrid>
      <w:tr>
        <w:trPr>
          <w:trHeight w:val="334" w:hRule="exact"/>
        </w:trPr>
        <w:tc>
          <w:tcPr>
            <w:tcW w:w="3417" w:type="dxa"/>
            <w:tcBorders>
              <w:top w:val="nil" w:sz="6" w:space="0" w:color="auto"/>
              <w:left w:val="nil" w:sz="6" w:space="0" w:color="auto"/>
              <w:bottom w:val="single" w:sz="4" w:space="0" w:color="000000"/>
              <w:right w:val="nil" w:sz="6" w:space="0" w:color="auto"/>
            </w:tcBorders>
          </w:tcPr>
          <w:p>
            <w:pPr/>
          </w:p>
        </w:tc>
        <w:tc>
          <w:tcPr>
            <w:tcW w:w="6150" w:type="dxa"/>
            <w:tcBorders>
              <w:top w:val="nil" w:sz="6" w:space="0" w:color="auto"/>
              <w:left w:val="nil" w:sz="6" w:space="0" w:color="auto"/>
              <w:bottom w:val="single" w:sz="4" w:space="0" w:color="000000"/>
              <w:right w:val="nil" w:sz="6" w:space="0" w:color="auto"/>
            </w:tcBorders>
          </w:tcPr>
          <w:p>
            <w:pPr/>
          </w:p>
        </w:tc>
      </w:tr>
      <w:tr>
        <w:trPr>
          <w:trHeight w:val="71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pict>
          <v:group style="position:absolute;margin-left:55.200001pt;margin-top:-52.698269pt;width:484.9pt;height:.1pt;mso-position-horizontal-relative:page;mso-position-vertical-relative:paragraph;z-index:-892984" coordorigin="1104,-1054" coordsize="9698,2">
            <v:shape style="position:absolute;left:1104;top:-1054;width:9698;height:2" coordorigin="1104,-1054" coordsize="9698,0" path="m1104,-1054l10802,-1054e" filled="false" stroked="true" strokeweight=".72pt" strokecolor="#000000">
              <v:path arrowok="t"/>
            </v:shape>
            <w10:wrap type="none"/>
          </v:group>
        </w:pict>
      </w: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3"/>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327"/>
        <w:gridCol w:w="2122"/>
        <w:gridCol w:w="4121"/>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21"/>
          <w:szCs w:val="21"/>
        </w:rPr>
      </w:pPr>
    </w:p>
    <w:p>
      <w:pPr>
        <w:spacing w:line="2625" w:lineRule="exact"/>
        <w:ind w:left="2440" w:right="0" w:firstLine="0"/>
        <w:rPr>
          <w:rFonts w:ascii="宋体" w:hAnsi="宋体" w:cs="宋体" w:eastAsia="宋体" w:hint="default"/>
          <w:sz w:val="20"/>
          <w:szCs w:val="20"/>
        </w:rPr>
      </w:pPr>
      <w:r>
        <w:rPr>
          <w:rFonts w:ascii="宋体" w:hAnsi="宋体" w:cs="宋体" w:eastAsia="宋体" w:hint="default"/>
          <w:position w:val="-52"/>
          <w:sz w:val="20"/>
          <w:szCs w:val="20"/>
        </w:rPr>
        <w:drawing>
          <wp:inline distT="0" distB="0" distL="0" distR="0">
            <wp:extent cx="3214415" cy="16668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2" cstate="print"/>
                    <a:stretch>
                      <a:fillRect/>
                    </a:stretch>
                  </pic:blipFill>
                  <pic:spPr>
                    <a:xfrm>
                      <a:off x="0" y="0"/>
                      <a:ext cx="3214415" cy="1666875"/>
                    </a:xfrm>
                    <a:prstGeom prst="rect">
                      <a:avLst/>
                    </a:prstGeom>
                  </pic:spPr>
                </pic:pic>
              </a:graphicData>
            </a:graphic>
          </wp:inline>
        </w:drawing>
      </w:r>
      <w:r>
        <w:rPr>
          <w:rFonts w:ascii="宋体" w:hAnsi="宋体" w:cs="宋体" w:eastAsia="宋体" w:hint="default"/>
          <w:position w:val="-52"/>
          <w:sz w:val="20"/>
          <w:szCs w:val="20"/>
        </w:rPr>
      </w:r>
    </w:p>
    <w:p>
      <w:pPr>
        <w:spacing w:line="240" w:lineRule="auto" w:before="6"/>
        <w:rPr>
          <w:rFonts w:ascii="宋体" w:hAnsi="宋体" w:cs="宋体" w:eastAsia="宋体" w:hint="default"/>
          <w:sz w:val="19"/>
          <w:szCs w:val="19"/>
        </w:rPr>
      </w:pPr>
    </w:p>
    <w:p>
      <w:pPr>
        <w:pStyle w:val="Heading4"/>
        <w:spacing w:line="240" w:lineRule="auto"/>
        <w:ind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79" w:top="106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3"/>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44" w:firstLine="9"/>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6,810,211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33,550,03</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71,290,37</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111,650,6</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23</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2,299,950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3,449,925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5,749,875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2,083,280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3,124,920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5,208,200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45,211,20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75,352,00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严冬梅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1,749,600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2,624,400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4,374,000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823,875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823,875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徐茂顺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强力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傅思齐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27,500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董事会秘 书、副总 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1,132,600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1,698,900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2,831,500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1,414,000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2,121,000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3,535,000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总裁、监 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3,198,944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4,798,416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7,997,360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张培荣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895,000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1,161,500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507,500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1,141,700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2,254,000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1,371,800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1,249,500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2,857,700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2,980,000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15,462,05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70,506,74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2,532,200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139,854,8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223,291,4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33</w:t>
            </w: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二、公司董事、监事、高级管理人员变动情况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独立董事改任董事及总裁</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董事改任监事会主席</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叶迎春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年龄达到任职的最高任龄</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陈旭光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曲少波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张培荣</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个人原因辞去监事职务，但仍在公司担任其他工作</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个人原因辞去高管职务，但仍在公司担任其他工作</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个人原因辞去高管职务，但仍在公司担任其他工作</w:t>
            </w:r>
          </w:p>
        </w:tc>
      </w:tr>
    </w:tbl>
    <w:p>
      <w:pPr>
        <w:spacing w:line="240" w:lineRule="auto" w:before="1"/>
        <w:rPr>
          <w:rFonts w:ascii="宋体" w:hAnsi="宋体" w:cs="宋体" w:eastAsia="宋体" w:hint="default"/>
          <w:b/>
          <w:bCs/>
          <w:sz w:val="18"/>
          <w:szCs w:val="18"/>
        </w:rPr>
      </w:pPr>
    </w:p>
    <w:p>
      <w:pPr>
        <w:pStyle w:val="Heading3"/>
        <w:spacing w:line="240" w:lineRule="auto" w:before="26"/>
        <w:ind w:right="94"/>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94"/>
        <w:jc w:val="left"/>
      </w:pPr>
      <w:r>
        <w:rPr/>
        <w:t>公司现任董事、监事、高级管理人员专业背景、主要工作经历以及目前在公司的主要职责 公司现任董事、监事、高级管理人员最近</w:t>
      </w:r>
      <w:r>
        <w:rPr>
          <w:rFonts w:ascii="Times New Roman" w:hAnsi="Times New Roman" w:cs="Times New Roman" w:eastAsia="Times New Roman" w:hint="default"/>
        </w:rPr>
        <w:t>5</w:t>
      </w:r>
      <w:r>
        <w:rPr/>
        <w:t>年的主要工作经历</w:t>
      </w:r>
    </w:p>
    <w:p>
      <w:pPr>
        <w:pStyle w:val="BodyText"/>
        <w:spacing w:line="307" w:lineRule="auto" w:before="6"/>
        <w:ind w:right="188"/>
        <w:jc w:val="left"/>
      </w:pPr>
      <w:r>
        <w:rPr>
          <w:rFonts w:ascii="Times New Roman" w:hAnsi="Times New Roman" w:cs="Times New Roman" w:eastAsia="Times New Roman" w:hint="default"/>
        </w:rPr>
        <w:t>1</w:t>
      </w:r>
      <w:r>
        <w:rPr/>
        <w:t>、贾全臣，男，</w:t>
      </w:r>
      <w:r>
        <w:rPr>
          <w:rFonts w:ascii="Times New Roman" w:hAnsi="Times New Roman" w:cs="Times New Roman" w:eastAsia="Times New Roman" w:hint="default"/>
        </w:rPr>
        <w:t>1956</w:t>
      </w:r>
      <w:r>
        <w:rPr/>
        <w:t>年出生，中国国籍，无境外永久居留权，本科毕业于西安交通大学电气绝缘技术专业，南开大学工商</w:t>
      </w:r>
      <w:r>
        <w:rPr>
          <w:spacing w:val="-85"/>
        </w:rPr>
        <w:t> </w:t>
      </w:r>
      <w:r>
        <w:rPr>
          <w:spacing w:val="-85"/>
        </w:rPr>
      </w:r>
      <w:r>
        <w:rPr/>
        <w:t>管理学硕士（</w:t>
      </w:r>
      <w:r>
        <w:rPr>
          <w:rFonts w:ascii="Times New Roman" w:hAnsi="Times New Roman" w:cs="Times New Roman" w:eastAsia="Times New Roman" w:hint="default"/>
        </w:rPr>
        <w:t>EMBA</w:t>
      </w:r>
      <w:r>
        <w:rPr/>
        <w:t>），硕士学位。</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-2007</w:t>
      </w:r>
      <w:r>
        <w:rPr/>
        <w:t>年任青岛恒顺电器有限公司总经理，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月任青岛市恒顺众昇</w:t>
      </w:r>
      <w:r>
        <w:rPr>
          <w:spacing w:val="-18"/>
        </w:rPr>
        <w:t> </w:t>
      </w:r>
      <w:r>
        <w:rPr>
          <w:spacing w:val="-18"/>
        </w:rPr>
      </w:r>
      <w:r>
        <w:rPr/>
        <w:t>集团股份有限公司董事长、总经理。现任本公司董事长，兼任新余清源环保投资管理有限公司执行董事。 </w:t>
      </w:r>
      <w:r>
        <w:rPr>
          <w:rFonts w:ascii="Times New Roman" w:hAnsi="Times New Roman" w:cs="Times New Roman" w:eastAsia="Times New Roman" w:hint="default"/>
          <w:spacing w:val="-1"/>
        </w:rPr>
        <w:t>2</w:t>
      </w:r>
      <w:r>
        <w:rPr>
          <w:spacing w:val="-1"/>
        </w:rPr>
        <w:t>、贾玉兰，女，</w:t>
      </w:r>
      <w:r>
        <w:rPr>
          <w:rFonts w:ascii="Times New Roman" w:hAnsi="Times New Roman" w:cs="Times New Roman" w:eastAsia="Times New Roman" w:hint="default"/>
          <w:spacing w:val="-1"/>
        </w:rPr>
        <w:t>1963</w:t>
      </w:r>
      <w:r>
        <w:rPr>
          <w:spacing w:val="-1"/>
        </w:rPr>
        <w:t>年出生，中国国籍，享有新西兰永久居留权，毕业于天津医科大学，本科学历。</w:t>
      </w:r>
      <w:r>
        <w:rPr>
          <w:rFonts w:ascii="Times New Roman" w:hAnsi="Times New Roman" w:cs="Times New Roman" w:eastAsia="Times New Roman" w:hint="default"/>
          <w:spacing w:val="-1"/>
        </w:rPr>
        <w:t>1985</w:t>
      </w:r>
      <w:r>
        <w:rPr>
          <w:spacing w:val="-1"/>
        </w:rPr>
        <w:t>年</w:t>
      </w:r>
      <w:r>
        <w:rPr>
          <w:rFonts w:ascii="Times New Roman" w:hAnsi="Times New Roman" w:cs="Times New Roman" w:eastAsia="Times New Roman" w:hint="default"/>
          <w:spacing w:val="-1"/>
        </w:rPr>
        <w:t>-2005</w:t>
      </w:r>
      <w:r>
        <w:rPr>
          <w:spacing w:val="-1"/>
        </w:rPr>
        <w:t>年任天津</w:t>
      </w:r>
      <w:r>
        <w:rPr/>
        <w:t> </w:t>
      </w:r>
      <w:r>
        <w:rPr>
          <w:spacing w:val="-2"/>
        </w:rPr>
        <w:t>传染病医院临床医师，</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-2007</w:t>
      </w:r>
      <w:r>
        <w:rPr>
          <w:spacing w:val="-2"/>
        </w:rPr>
        <w:t>年在新西兰学习，</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月任青岛恒顺电器有限公司董事，</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rFonts w:ascii="Times New Roman" w:hAnsi="Times New Roman" w:cs="Times New Roman" w:eastAsia="Times New Roman" w:hint="default"/>
          <w:spacing w:val="1"/>
        </w:rPr>
        <w:t> </w:t>
      </w:r>
      <w:r>
        <w:rPr/>
        <w:t>月任青岛市恒顺众昇集团股份有限公司监事会主席。现任公司副董事长。 </w:t>
      </w:r>
      <w:r>
        <w:rPr>
          <w:rFonts w:ascii="Times New Roman" w:hAnsi="Times New Roman" w:cs="Times New Roman" w:eastAsia="Times New Roman" w:hint="default"/>
        </w:rPr>
        <w:t>3</w:t>
      </w:r>
      <w:r>
        <w:rPr/>
        <w:t>、姚刚，男，</w:t>
      </w:r>
      <w:r>
        <w:rPr>
          <w:rFonts w:ascii="Times New Roman" w:hAnsi="Times New Roman" w:cs="Times New Roman" w:eastAsia="Times New Roman" w:hint="default"/>
        </w:rPr>
        <w:t>1973</w:t>
      </w:r>
      <w:r>
        <w:rPr/>
        <w:t>年出生，中国国籍，无境外永久居留权，本科毕业于湖南商学院，中南大学硕士，财政部科学研究所会</w:t>
      </w:r>
      <w:r>
        <w:rPr>
          <w:spacing w:val="-85"/>
        </w:rPr>
        <w:t> </w:t>
      </w:r>
      <w:r>
        <w:rPr>
          <w:spacing w:val="-85"/>
        </w:rPr>
      </w:r>
      <w:r>
        <w:rPr>
          <w:spacing w:val="-2"/>
        </w:rPr>
        <w:t>计学博士研究生，中国注册会计师，中国内部控制标准委员会咨询专家，财政部会计领军（后备）人才，英格兰及威尔士特</w:t>
      </w:r>
      <w:r>
        <w:rPr>
          <w:spacing w:val="-70"/>
        </w:rPr>
        <w:t> </w:t>
      </w:r>
      <w:r>
        <w:rPr>
          <w:spacing w:val="-70"/>
        </w:rPr>
      </w:r>
      <w:r>
        <w:rPr/>
        <w:t>许会计师（</w:t>
      </w:r>
      <w:r>
        <w:rPr>
          <w:rFonts w:ascii="Times New Roman" w:hAnsi="Times New Roman" w:cs="Times New Roman" w:eastAsia="Times New Roman" w:hint="default"/>
        </w:rPr>
        <w:t>ACA</w:t>
      </w:r>
      <w:r>
        <w:rPr/>
        <w:t>）学员，英国独立董事协会（</w:t>
      </w:r>
      <w:r>
        <w:rPr>
          <w:rFonts w:ascii="Times New Roman" w:hAnsi="Times New Roman" w:cs="Times New Roman" w:eastAsia="Times New Roman" w:hint="default"/>
        </w:rPr>
        <w:t>NEDA</w:t>
      </w:r>
      <w:r>
        <w:rPr/>
        <w:t>）会员、</w:t>
      </w:r>
      <w:r>
        <w:rPr>
          <w:rFonts w:ascii="Times New Roman" w:hAnsi="Times New Roman" w:cs="Times New Roman" w:eastAsia="Times New Roman" w:hint="default"/>
        </w:rPr>
        <w:t>Baker</w:t>
      </w:r>
      <w:r>
        <w:rPr>
          <w:rFonts w:ascii="Times New Roman" w:hAnsi="Times New Roman" w:cs="Times New Roman" w:eastAsia="Times New Roman" w:hint="default"/>
          <w:spacing w:val="-24"/>
        </w:rPr>
        <w:t> </w:t>
      </w:r>
      <w:r>
        <w:rPr>
          <w:rFonts w:ascii="Times New Roman" w:hAnsi="Times New Roman" w:cs="Times New Roman" w:eastAsia="Times New Roman" w:hint="default"/>
        </w:rPr>
        <w:t>Tilly</w:t>
      </w:r>
      <w:r>
        <w:rPr>
          <w:rFonts w:ascii="Times New Roman" w:hAnsi="Times New Roman" w:cs="Times New Roman" w:eastAsia="Times New Roman" w:hint="default"/>
          <w:spacing w:val="-27"/>
        </w:rPr>
        <w:t> </w:t>
      </w:r>
      <w:r>
        <w:rPr>
          <w:rFonts w:ascii="Times New Roman" w:hAnsi="Times New Roman" w:cs="Times New Roman" w:eastAsia="Times New Roman" w:hint="default"/>
        </w:rPr>
        <w:t>International</w:t>
      </w:r>
      <w:r>
        <w:rPr/>
        <w:t>亚太区公司融资委员会联席主席。</w:t>
      </w:r>
      <w:r>
        <w:rPr>
          <w:rFonts w:ascii="Times New Roman" w:hAnsi="Times New Roman" w:cs="Times New Roman" w:eastAsia="Times New Roman" w:hint="default"/>
        </w:rPr>
        <w:t>2003</w:t>
      </w:r>
      <w:r>
        <w:rPr>
          <w:rFonts w:ascii="Times New Roman" w:hAnsi="Times New Roman" w:cs="Times New Roman" w:eastAsia="Times New Roman" w:hint="default"/>
          <w:spacing w:val="1"/>
        </w:rPr>
        <w:t> </w:t>
      </w:r>
      <w:r>
        <w:rPr>
          <w:spacing w:val="-2"/>
        </w:rPr>
        <w:t>年至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日历任天职国际会计师事务所有限公司审计员、项目经理、部门主任、主管集团国际业务和咨询业务首席</w:t>
      </w:r>
      <w:r>
        <w:rPr>
          <w:spacing w:val="-63"/>
        </w:rPr>
        <w:t> </w:t>
      </w:r>
      <w:r>
        <w:rPr>
          <w:spacing w:val="-63"/>
        </w:rPr>
      </w:r>
      <w:r>
        <w:rPr/>
        <w:t>合伙人、总所管理咨询部主任。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月任立信国际会计师事务所有限公司合伙人，</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 任汉王科技股份有限公司总裁、本公司独立董事。现任公司总裁、董事。 </w:t>
      </w:r>
      <w:r>
        <w:rPr>
          <w:rFonts w:ascii="Times New Roman" w:hAnsi="Times New Roman" w:cs="Times New Roman" w:eastAsia="Times New Roman" w:hint="default"/>
        </w:rPr>
        <w:t>4</w:t>
      </w:r>
      <w:r>
        <w:rPr/>
        <w:t>、赵风雷，男，</w:t>
      </w:r>
      <w:r>
        <w:rPr>
          <w:rFonts w:ascii="Times New Roman" w:hAnsi="Times New Roman" w:cs="Times New Roman" w:eastAsia="Times New Roman" w:hint="default"/>
        </w:rPr>
        <w:t>1970</w:t>
      </w:r>
      <w:r>
        <w:rPr/>
        <w:t>年出生，中国国籍，无境外永久居留权。本科毕业于浙江大学工业管理工程专业，中国海洋大学工商</w:t>
      </w:r>
      <w:r>
        <w:rPr>
          <w:spacing w:val="-85"/>
        </w:rPr>
        <w:t> </w:t>
      </w:r>
      <w:r>
        <w:rPr>
          <w:spacing w:val="-85"/>
        </w:rPr>
      </w:r>
      <w:r>
        <w:rPr>
          <w:spacing w:val="-2"/>
        </w:rPr>
        <w:t>管理硕士。历任青岛双星鞋业股份有限公司筹委会秘书、证券部经理；现任青岛城投金融控股集团有限公司副总经理，青岛</w:t>
      </w:r>
      <w:r>
        <w:rPr>
          <w:spacing w:val="-65"/>
        </w:rPr>
        <w:t> </w:t>
      </w:r>
      <w:r>
        <w:rPr>
          <w:spacing w:val="-65"/>
        </w:rPr>
      </w:r>
      <w:r>
        <w:rPr/>
        <w:t>城投金控股权投资管理有限公司总经理。现任本公司董事。 </w:t>
      </w:r>
      <w:r>
        <w:rPr>
          <w:rFonts w:ascii="Times New Roman" w:hAnsi="Times New Roman" w:cs="Times New Roman" w:eastAsia="Times New Roman" w:hint="default"/>
        </w:rPr>
        <w:t>5</w:t>
      </w:r>
      <w:r>
        <w:rPr/>
        <w:t>、贾晓钰，男，</w:t>
      </w:r>
      <w:r>
        <w:rPr>
          <w:rFonts w:ascii="Times New Roman" w:hAnsi="Times New Roman" w:cs="Times New Roman" w:eastAsia="Times New Roman" w:hint="default"/>
        </w:rPr>
        <w:t>1984</w:t>
      </w:r>
      <w:r>
        <w:rPr/>
        <w:t>年出生，澳大利亚昆士兰大学学士学位，</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月起任青岛恒顺节能有限公司总经理、恒顺新加坡</w:t>
      </w:r>
      <w:r>
        <w:rPr>
          <w:spacing w:val="-87"/>
        </w:rPr>
        <w:t> </w:t>
      </w:r>
      <w:r>
        <w:rPr>
          <w:spacing w:val="-87"/>
        </w:rPr>
      </w:r>
      <w:r>
        <w:rPr/>
        <w:t>国际控股有限责任公司总经理。现任本公司董事、副总裁。 </w:t>
      </w:r>
      <w:r>
        <w:rPr>
          <w:rFonts w:ascii="Times New Roman" w:hAnsi="Times New Roman" w:cs="Times New Roman" w:eastAsia="Times New Roman" w:hint="default"/>
        </w:rPr>
        <w:t>6</w:t>
      </w:r>
      <w:r>
        <w:rPr/>
        <w:t>、严冬梅女士，中国国籍，无境外永久居留权，</w:t>
      </w:r>
      <w:r>
        <w:rPr>
          <w:rFonts w:ascii="Times New Roman" w:hAnsi="Times New Roman" w:cs="Times New Roman" w:eastAsia="Times New Roman" w:hint="default"/>
        </w:rPr>
        <w:t>1982</w:t>
      </w:r>
      <w:r>
        <w:rPr/>
        <w:t>年出生，北京交通大学学士学位，曾任包商银行股份有限公司金融事</w:t>
      </w:r>
      <w:r>
        <w:rPr>
          <w:spacing w:val="-84"/>
        </w:rPr>
        <w:t> </w:t>
      </w:r>
      <w:r>
        <w:rPr>
          <w:spacing w:val="-84"/>
        </w:rPr>
      </w:r>
      <w:r>
        <w:rPr/>
        <w:t>业部北京分部客户经理，包商银行股份有限公司综合金融业务部综合管理中心负责人。现任公司副总裁。 </w:t>
      </w:r>
      <w:r>
        <w:rPr>
          <w:rFonts w:ascii="Times New Roman" w:hAnsi="Times New Roman" w:cs="Times New Roman" w:eastAsia="Times New Roman" w:hint="default"/>
        </w:rPr>
        <w:t>7</w:t>
      </w:r>
      <w:r>
        <w:rPr/>
        <w:t>、徐茂顺先生，中国国籍，无境外永久居留权，</w:t>
      </w:r>
      <w:r>
        <w:rPr>
          <w:rFonts w:ascii="Times New Roman" w:hAnsi="Times New Roman" w:cs="Times New Roman" w:eastAsia="Times New Roman" w:hint="default"/>
        </w:rPr>
        <w:t>1954</w:t>
      </w:r>
      <w:r>
        <w:rPr/>
        <w:t>年出生，吉林大学硕士学位。曾任山东省电力公司青岛供电公司副总</w:t>
      </w:r>
      <w:r>
        <w:rPr>
          <w:spacing w:val="-84"/>
        </w:rPr>
        <w:t> </w:t>
      </w:r>
      <w:r>
        <w:rPr>
          <w:spacing w:val="-84"/>
        </w:rPr>
      </w:r>
      <w:r>
        <w:rPr/>
        <w:t>经理、调研员。现任公司独立董事。</w:t>
      </w:r>
    </w:p>
    <w:p>
      <w:pPr>
        <w:pStyle w:val="BodyText"/>
        <w:spacing w:line="309" w:lineRule="auto" w:before="26"/>
        <w:ind w:right="94"/>
        <w:jc w:val="left"/>
      </w:pPr>
      <w:r>
        <w:rPr>
          <w:rFonts w:ascii="Times New Roman" w:hAnsi="Times New Roman" w:cs="Times New Roman" w:eastAsia="Times New Roman" w:hint="default"/>
        </w:rPr>
        <w:t>8</w:t>
      </w:r>
      <w:r>
        <w:rPr/>
        <w:t>、孙建强先生，</w:t>
      </w:r>
      <w:r>
        <w:rPr>
          <w:spacing w:val="-52"/>
        </w:rPr>
        <w:t> </w:t>
      </w:r>
      <w:r>
        <w:rPr>
          <w:rFonts w:ascii="Times New Roman" w:hAnsi="Times New Roman" w:cs="Times New Roman" w:eastAsia="Times New Roman" w:hint="default"/>
        </w:rPr>
        <w:t>1964</w:t>
      </w:r>
      <w:r>
        <w:rPr/>
        <w:t>年出生，中国国籍，无永久境外居留权。毕业于西安交通大学，博士研究生学历，教授，国家科技部 </w:t>
      </w:r>
      <w:r>
        <w:rPr>
          <w:spacing w:val="-2"/>
        </w:rPr>
        <w:t>创新基金评审专家和火炬计划评审专家，青岛市崂山区人大常委会财经咨询委员会委员。现任中国海洋大学管理学院会计学</w:t>
      </w:r>
      <w:r>
        <w:rPr>
          <w:spacing w:val="-64"/>
        </w:rPr>
        <w:t> </w:t>
      </w:r>
      <w:r>
        <w:rPr>
          <w:spacing w:val="-64"/>
        </w:rPr>
      </w:r>
      <w:r>
        <w:rPr/>
        <w:t>系教授，中国海洋大学会计硕士（</w:t>
      </w:r>
      <w:r>
        <w:rPr>
          <w:rFonts w:ascii="Times New Roman" w:hAnsi="Times New Roman" w:cs="Times New Roman" w:eastAsia="Times New Roman" w:hint="default"/>
        </w:rPr>
        <w:t>MPAcc</w:t>
      </w:r>
      <w:r>
        <w:rPr/>
        <w:t>）教育中心副主任，中国混合所有制与资本管理研究院副院长，赛轮金宇集团股</w:t>
      </w:r>
      <w:r>
        <w:rPr>
          <w:spacing w:val="-14"/>
        </w:rPr>
        <w:t> </w:t>
      </w:r>
      <w:r>
        <w:rPr>
          <w:spacing w:val="-14"/>
        </w:rPr>
      </w:r>
      <w:r>
        <w:rPr/>
        <w:t>份有限公司、青岛冠中生态股份有限公司、山东海湾吊装工程股份有限公司独立董事、青岛特锐德股份有限公司独立董事。</w:t>
      </w:r>
      <w:r>
        <w:rPr/>
        <w:t> 现任本公司独立董事。 </w:t>
      </w:r>
      <w:r>
        <w:rPr>
          <w:rFonts w:ascii="Times New Roman" w:hAnsi="Times New Roman" w:cs="Times New Roman" w:eastAsia="Times New Roman" w:hint="default"/>
        </w:rPr>
        <w:t>9</w:t>
      </w:r>
      <w:r>
        <w:rPr/>
        <w:t>、王天文，男，</w:t>
      </w:r>
      <w:r>
        <w:rPr>
          <w:rFonts w:ascii="Times New Roman" w:hAnsi="Times New Roman" w:cs="Times New Roman" w:eastAsia="Times New Roman" w:hint="default"/>
        </w:rPr>
        <w:t>1968</w:t>
      </w:r>
      <w:r>
        <w:rPr/>
        <w:t>年出生，中国国籍，无境外永久居留权，毕业于哈尔滨理工大学，本科学历。</w:t>
      </w:r>
      <w:r>
        <w:rPr>
          <w:rFonts w:ascii="Times New Roman" w:hAnsi="Times New Roman" w:cs="Times New Roman" w:eastAsia="Times New Roman" w:hint="default"/>
        </w:rPr>
        <w:t>1995</w:t>
      </w:r>
      <w:r>
        <w:rPr/>
        <w:t>年至今，任青岛维</w:t>
      </w:r>
      <w:r>
        <w:rPr>
          <w:spacing w:val="-85"/>
        </w:rPr>
        <w:t> </w:t>
      </w:r>
      <w:r>
        <w:rPr/>
        <w:t>康科技有限公司总经理。现任本公司独立董事。 </w:t>
      </w:r>
      <w:r>
        <w:rPr>
          <w:rFonts w:ascii="Times New Roman" w:hAnsi="Times New Roman" w:cs="Times New Roman" w:eastAsia="Times New Roman" w:hint="default"/>
          <w:spacing w:val="-4"/>
        </w:rPr>
        <w:t>10</w:t>
      </w:r>
      <w:r>
        <w:rPr>
          <w:spacing w:val="-4"/>
        </w:rPr>
        <w:t>、强力，男，</w:t>
      </w:r>
      <w:r>
        <w:rPr>
          <w:rFonts w:ascii="Times New Roman" w:hAnsi="Times New Roman" w:cs="Times New Roman" w:eastAsia="Times New Roman" w:hint="default"/>
          <w:spacing w:val="-4"/>
        </w:rPr>
        <w:t>1961</w:t>
      </w:r>
      <w:r>
        <w:rPr>
          <w:spacing w:val="-4"/>
        </w:rPr>
        <w:t>年出生，中国国籍，无境外永久居留权，毕业于西北政法学院（现西北政法大学），获经济学学士学位。</w:t>
      </w:r>
      <w:r>
        <w:rPr>
          <w:spacing w:val="-41"/>
        </w:rPr>
        <w:t> </w:t>
      </w:r>
      <w:r>
        <w:rPr>
          <w:spacing w:val="-41"/>
        </w:rPr>
      </w:r>
      <w:r>
        <w:rPr>
          <w:spacing w:val="-2"/>
        </w:rPr>
        <w:t>现为西北政法大学教授、博士生导师，任经济法学院院长，中国银行法学研究会副会长，中国证券法学研究会常务理事，陕</w:t>
      </w:r>
      <w:r>
        <w:rPr>
          <w:spacing w:val="-67"/>
        </w:rPr>
        <w:t> </w:t>
      </w:r>
      <w:r>
        <w:rPr>
          <w:spacing w:val="-67"/>
        </w:rPr>
      </w:r>
      <w:r>
        <w:rPr>
          <w:spacing w:val="-1"/>
        </w:rPr>
        <w:t>西省委省政府决策咨询委员会委员，历任天地源（</w:t>
      </w:r>
      <w:r>
        <w:rPr>
          <w:rFonts w:ascii="Times New Roman" w:hAnsi="Times New Roman" w:cs="Times New Roman" w:eastAsia="Times New Roman" w:hint="default"/>
          <w:spacing w:val="-1"/>
        </w:rPr>
        <w:t>600665</w:t>
      </w:r>
      <w:r>
        <w:rPr>
          <w:spacing w:val="-1"/>
        </w:rPr>
        <w:t>），西安民生（</w:t>
      </w:r>
      <w:r>
        <w:rPr>
          <w:rFonts w:ascii="Times New Roman" w:hAnsi="Times New Roman" w:cs="Times New Roman" w:eastAsia="Times New Roman" w:hint="default"/>
          <w:spacing w:val="-1"/>
        </w:rPr>
        <w:t>000564</w:t>
      </w:r>
      <w:r>
        <w:rPr>
          <w:spacing w:val="-1"/>
        </w:rPr>
        <w:t>），金钼股份</w:t>
      </w:r>
      <w:r>
        <w:rPr>
          <w:rFonts w:ascii="Times New Roman" w:hAnsi="Times New Roman" w:cs="Times New Roman" w:eastAsia="Times New Roman" w:hint="default"/>
          <w:spacing w:val="-1"/>
        </w:rPr>
        <w:t>(601958)</w:t>
      </w:r>
      <w:r>
        <w:rPr>
          <w:spacing w:val="-1"/>
        </w:rPr>
        <w:t>，西安饮食</w:t>
      </w:r>
      <w:r>
        <w:rPr>
          <w:rFonts w:ascii="Times New Roman" w:hAnsi="Times New Roman" w:cs="Times New Roman" w:eastAsia="Times New Roman" w:hint="default"/>
          <w:spacing w:val="-1"/>
        </w:rPr>
        <w:t>(000721)</w:t>
      </w:r>
      <w:r>
        <w:rPr>
          <w:spacing w:val="-1"/>
        </w:rPr>
        <w:t>，</w:t>
      </w:r>
      <w:r>
        <w:rPr>
          <w:spacing w:val="-86"/>
        </w:rPr>
        <w:t> </w:t>
      </w:r>
      <w:r>
        <w:rPr/>
        <w:t>西飞国际</w:t>
      </w:r>
      <w:r>
        <w:rPr>
          <w:rFonts w:ascii="Times New Roman" w:hAnsi="Times New Roman" w:cs="Times New Roman" w:eastAsia="Times New Roman" w:hint="default"/>
        </w:rPr>
        <w:t>(000768)</w:t>
      </w:r>
      <w:r>
        <w:rPr/>
        <w:t>等上市公司的独立董事。现任公司独立董事。</w:t>
      </w:r>
    </w:p>
    <w:p>
      <w:pPr>
        <w:pStyle w:val="BodyText"/>
        <w:spacing w:line="300" w:lineRule="auto" w:before="5"/>
        <w:ind w:right="188"/>
        <w:jc w:val="both"/>
        <w:rPr>
          <w:rFonts w:ascii="Times New Roman" w:hAnsi="Times New Roman" w:cs="Times New Roman" w:eastAsia="Times New Roman" w:hint="default"/>
        </w:rPr>
      </w:pPr>
      <w:r>
        <w:rPr>
          <w:rFonts w:ascii="Times New Roman" w:hAnsi="Times New Roman" w:cs="Times New Roman" w:eastAsia="Times New Roman" w:hint="default"/>
        </w:rPr>
        <w:t>11</w:t>
      </w:r>
      <w:r>
        <w:rPr/>
        <w:t>、肖红英女士，</w:t>
      </w:r>
      <w:r>
        <w:rPr>
          <w:rFonts w:ascii="Times New Roman" w:hAnsi="Times New Roman" w:cs="Times New Roman" w:eastAsia="Times New Roman" w:hint="default"/>
        </w:rPr>
        <w:t>1953 </w:t>
      </w:r>
      <w:r>
        <w:rPr/>
        <w:t>年出生，中国国籍，无境外永久居留权。毕业于对外经济贸易大学工商管理专业，硕士学位，中共</w:t>
      </w:r>
      <w:r>
        <w:rPr>
          <w:spacing w:val="-86"/>
        </w:rPr>
        <w:t> </w:t>
      </w:r>
      <w:r>
        <w:rPr>
          <w:spacing w:val="-86"/>
        </w:rPr>
      </w:r>
      <w:r>
        <w:rPr/>
        <w:t>党员。曾于</w:t>
      </w:r>
      <w:r>
        <w:rPr>
          <w:rFonts w:ascii="Times New Roman" w:hAnsi="Times New Roman" w:cs="Times New Roman" w:eastAsia="Times New Roman" w:hint="default"/>
        </w:rPr>
        <w:t>1982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6</w:t>
      </w:r>
      <w:r>
        <w:rPr/>
        <w:t>月任商务部财会司职员，</w:t>
      </w:r>
      <w:r>
        <w:rPr>
          <w:rFonts w:ascii="Times New Roman" w:hAnsi="Times New Roman" w:cs="Times New Roman" w:eastAsia="Times New Roman" w:hint="default"/>
        </w:rPr>
        <w:t>1986 </w:t>
      </w:r>
      <w:r>
        <w:rPr/>
        <w:t>年 </w:t>
      </w:r>
      <w:r>
        <w:rPr>
          <w:rFonts w:ascii="Times New Roman" w:hAnsi="Times New Roman" w:cs="Times New Roman" w:eastAsia="Times New Roman" w:hint="default"/>
        </w:rPr>
        <w:t>7 </w:t>
      </w:r>
      <w:r>
        <w:rPr/>
        <w:t>月至 </w:t>
      </w:r>
      <w:r>
        <w:rPr>
          <w:rFonts w:ascii="Times New Roman" w:hAnsi="Times New Roman" w:cs="Times New Roman" w:eastAsia="Times New Roman" w:hint="default"/>
        </w:rPr>
        <w:t>1988 </w:t>
      </w:r>
      <w:r>
        <w:rPr/>
        <w:t>年 </w:t>
      </w:r>
      <w:r>
        <w:rPr>
          <w:rFonts w:ascii="Times New Roman" w:hAnsi="Times New Roman" w:cs="Times New Roman" w:eastAsia="Times New Roman" w:hint="default"/>
        </w:rPr>
        <w:t>10 </w:t>
      </w:r>
      <w:r>
        <w:rPr/>
        <w:t>月任商务部审计局副处长，</w:t>
      </w:r>
      <w:r>
        <w:rPr>
          <w:spacing w:val="36"/>
        </w:rPr>
        <w:t> </w:t>
      </w:r>
      <w:r>
        <w:rPr>
          <w:rFonts w:ascii="Times New Roman" w:hAnsi="Times New Roman" w:cs="Times New Roman" w:eastAsia="Times New Roman" w:hint="default"/>
        </w:rPr>
        <w:t>1988</w:t>
      </w:r>
      <w:r>
        <w:rPr/>
        <w:t>年 </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1992</w:t>
      </w:r>
      <w:r>
        <w:rPr>
          <w:spacing w:val="-2"/>
        </w:rPr>
        <w:t>年</w:t>
      </w:r>
      <w:r>
        <w:rPr>
          <w:rFonts w:ascii="Times New Roman" w:hAnsi="Times New Roman" w:cs="Times New Roman" w:eastAsia="Times New Roman" w:hint="default"/>
          <w:spacing w:val="-2"/>
        </w:rPr>
        <w:t>7</w:t>
      </w:r>
      <w:r>
        <w:rPr>
          <w:spacing w:val="-2"/>
        </w:rPr>
        <w:t>月任中国中丝集团财务处副处长，</w:t>
      </w:r>
      <w:r>
        <w:rPr>
          <w:rFonts w:ascii="Times New Roman" w:hAnsi="Times New Roman" w:cs="Times New Roman" w:eastAsia="Times New Roman" w:hint="default"/>
          <w:spacing w:val="-2"/>
        </w:rPr>
        <w:t>1992</w:t>
      </w:r>
      <w:r>
        <w:rPr>
          <w:rFonts w:ascii="Times New Roman" w:hAnsi="Times New Roman" w:cs="Times New Roman" w:eastAsia="Times New Roman" w:hint="default"/>
        </w:rPr>
        <w:t> </w:t>
      </w:r>
      <w:r>
        <w:rPr>
          <w:rFonts w:ascii="Times New Roman" w:hAnsi="Times New Roman" w:cs="Times New Roman" w:eastAsia="Times New Roman" w:hint="default"/>
          <w:spacing w:val="41"/>
        </w:rPr>
        <w:t> </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6</w:t>
      </w:r>
      <w:r>
        <w:rPr>
          <w:spacing w:val="-2"/>
        </w:rPr>
        <w:t>月任中国中丝集团财务处处长，</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3</w:t>
      </w:r>
    </w:p>
    <w:p>
      <w:pPr>
        <w:spacing w:after="0" w:line="300" w:lineRule="auto"/>
        <w:jc w:val="both"/>
        <w:rPr>
          <w:rFonts w:ascii="Times New Roman" w:hAnsi="Times New Roman" w:cs="Times New Roman" w:eastAsia="Times New Roman" w:hint="default"/>
        </w:rPr>
        <w:sectPr>
          <w:pgSz w:w="11910" w:h="16840"/>
          <w:pgMar w:header="745" w:footer="979" w:top="1060" w:bottom="1160" w:left="980" w:right="94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94"/>
        <w:jc w:val="left"/>
      </w:pPr>
      <w:r>
        <w:rPr/>
        <w:t>月任中国中丝集团总会计师，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月退休。现任公司独立董事。</w:t>
      </w:r>
    </w:p>
    <w:p>
      <w:pPr>
        <w:pStyle w:val="BodyText"/>
        <w:spacing w:line="240" w:lineRule="auto" w:before="63"/>
        <w:ind w:right="0"/>
        <w:jc w:val="left"/>
      </w:pPr>
      <w:r>
        <w:rPr>
          <w:rFonts w:ascii="Times New Roman" w:hAnsi="Times New Roman" w:cs="Times New Roman" w:eastAsia="Times New Roman" w:hint="default"/>
        </w:rPr>
        <w:t>12</w:t>
      </w:r>
      <w:r>
        <w:rPr/>
        <w:t>、赵焕森，男，</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12</w:t>
      </w:r>
      <w:r>
        <w:rPr/>
        <w:t>月出生，中国国籍，无境外永久居留权，中国注册会计师协会资深会员，高级咨询师、会计师。</w:t>
      </w:r>
    </w:p>
    <w:p>
      <w:pPr>
        <w:pStyle w:val="BodyText"/>
        <w:spacing w:line="307" w:lineRule="auto" w:before="63"/>
        <w:ind w:right="94"/>
        <w:jc w:val="left"/>
      </w:pPr>
      <w:r>
        <w:rPr>
          <w:rFonts w:ascii="Times New Roman" w:hAnsi="Times New Roman" w:cs="Times New Roman" w:eastAsia="Times New Roman" w:hint="default"/>
        </w:rPr>
        <w:t>1995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月历任山东大信会计师事务所有限公司部门主任、副所长、主任会计师，</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月任大 信会计师事务所（特殊普通合伙）合伙人、青岛分所常务副总经理，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月任青岛城市建设投资（集团）</w:t>
      </w:r>
      <w:r>
        <w:rPr>
          <w:spacing w:val="-87"/>
        </w:rPr>
        <w:t> </w:t>
      </w:r>
      <w:r>
        <w:rPr>
          <w:spacing w:val="-87"/>
        </w:rPr>
      </w:r>
      <w:r>
        <w:rPr>
          <w:spacing w:val="-2"/>
        </w:rPr>
        <w:t>有限责任公司审计部副部长。现任青岛城投金融控股集团有限公司副总经理、青岛红岛文化艺术中心发展有限公司、青岛城</w:t>
      </w:r>
      <w:r>
        <w:rPr>
          <w:spacing w:val="-63"/>
        </w:rPr>
        <w:t> </w:t>
      </w:r>
      <w:r>
        <w:rPr>
          <w:spacing w:val="-63"/>
        </w:rPr>
      </w:r>
      <w:r>
        <w:rPr>
          <w:spacing w:val="-2"/>
        </w:rPr>
        <w:t>乡社区建设融资担保有限公司、青岛城乡建设融资租赁有限公司、青岛城投资产管理有限公司、青岛城投金控股权投资管理</w:t>
      </w:r>
      <w:r>
        <w:rPr>
          <w:spacing w:val="-63"/>
        </w:rPr>
        <w:t> </w:t>
      </w:r>
      <w:r>
        <w:rPr>
          <w:spacing w:val="-63"/>
        </w:rPr>
      </w:r>
      <w:r>
        <w:rPr/>
        <w:t>有限公司、青岛汇泉财富金融信息服务有限公司监事。现任本公司监事会主席。 </w:t>
      </w:r>
      <w:r>
        <w:rPr>
          <w:rFonts w:ascii="Times New Roman" w:hAnsi="Times New Roman" w:cs="Times New Roman" w:eastAsia="Times New Roman" w:hint="default"/>
        </w:rPr>
        <w:t>13</w:t>
      </w:r>
      <w:r>
        <w:rPr/>
        <w:t>、袁瑞峰女士，中国国籍，无境外永久居留权，</w:t>
      </w:r>
      <w:r>
        <w:rPr>
          <w:rFonts w:ascii="Times New Roman" w:hAnsi="Times New Roman" w:cs="Times New Roman" w:eastAsia="Times New Roman" w:hint="default"/>
        </w:rPr>
        <w:t>1978</w:t>
      </w:r>
      <w:r>
        <w:rPr/>
        <w:t>年出生，</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月毕业于青岛建筑工程学院财务会计专业，会计初</w:t>
      </w:r>
      <w:r>
        <w:rPr>
          <w:spacing w:val="-87"/>
        </w:rPr>
        <w:t> </w:t>
      </w:r>
      <w:r>
        <w:rPr>
          <w:spacing w:val="-87"/>
        </w:rPr>
      </w:r>
      <w:r>
        <w:rPr/>
        <w:t>级职称。</w:t>
      </w:r>
      <w:r>
        <w:rPr>
          <w:rFonts w:ascii="Times New Roman" w:hAnsi="Times New Roman" w:cs="Times New Roman" w:eastAsia="Times New Roman" w:hint="default"/>
        </w:rPr>
        <w:t>2000</w:t>
      </w:r>
      <w:r>
        <w:rPr/>
        <w:t>年起入职青岛市恒顺众昇集团股份有限公司，曾担任公司财务部副经理、销售部副经理、生产部总调度职务， 现任本公司物资部经理、公司监事。 </w:t>
      </w:r>
      <w:r>
        <w:rPr>
          <w:rFonts w:ascii="Times New Roman" w:hAnsi="Times New Roman" w:cs="Times New Roman" w:eastAsia="Times New Roman" w:hint="default"/>
        </w:rPr>
        <w:t>14</w:t>
      </w:r>
      <w:r>
        <w:rPr/>
        <w:t>、傅思齐，男，中国籍，无境外永久居留权，</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7</w:t>
      </w:r>
      <w:r>
        <w:rPr/>
        <w:t>月出生，研究生学历。</w:t>
      </w:r>
      <w:r>
        <w:rPr>
          <w:rFonts w:ascii="Times New Roman" w:hAnsi="Times New Roman" w:cs="Times New Roman" w:eastAsia="Times New Roman" w:hint="default"/>
        </w:rPr>
        <w:t>2001</w:t>
      </w:r>
      <w:r>
        <w:rPr/>
        <w:t>年获得北京大学法学学士学位，</w:t>
      </w:r>
      <w:r>
        <w:rPr>
          <w:rFonts w:ascii="Times New Roman" w:hAnsi="Times New Roman" w:cs="Times New Roman" w:eastAsia="Times New Roman" w:hint="default"/>
        </w:rPr>
        <w:t>2004</w:t>
      </w:r>
      <w:r>
        <w:rPr/>
        <w:t>年</w:t>
      </w:r>
      <w:r>
        <w:rPr>
          <w:spacing w:val="-87"/>
        </w:rPr>
        <w:t> </w:t>
      </w:r>
      <w:r>
        <w:rPr/>
        <w:t>获得美国天普大学法学硕士学位，</w:t>
      </w:r>
      <w:r>
        <w:rPr>
          <w:rFonts w:ascii="Times New Roman" w:hAnsi="Times New Roman" w:cs="Times New Roman" w:eastAsia="Times New Roman" w:hint="default"/>
        </w:rPr>
        <w:t>2002</w:t>
      </w:r>
      <w:r>
        <w:rPr/>
        <w:t>年取得中国律师资格并于同年开始就职于北京市竞天公诚律师事务所，任专职律师。 </w:t>
      </w:r>
      <w:r>
        <w:rPr>
          <w:rFonts w:ascii="Times New Roman" w:hAnsi="Times New Roman" w:cs="Times New Roman" w:eastAsia="Times New Roman" w:hint="default"/>
        </w:rPr>
        <w:t>2007</w:t>
      </w:r>
      <w:r>
        <w:rPr/>
        <w:t>年至今为北京市竞天公诚律师事务所合伙人、律师。现任公司监事。</w:t>
      </w:r>
    </w:p>
    <w:p>
      <w:pPr>
        <w:pStyle w:val="BodyText"/>
        <w:spacing w:line="307" w:lineRule="auto" w:before="7"/>
        <w:ind w:right="184"/>
        <w:jc w:val="left"/>
      </w:pPr>
      <w:r>
        <w:rPr>
          <w:rFonts w:ascii="Times New Roman" w:hAnsi="Times New Roman" w:cs="Times New Roman" w:eastAsia="Times New Roman" w:hint="default"/>
        </w:rPr>
        <w:t>15</w:t>
      </w:r>
      <w:r>
        <w:rPr/>
        <w:t>、莫柏欣，女，</w:t>
      </w:r>
      <w:r>
        <w:rPr>
          <w:rFonts w:ascii="Times New Roman" w:hAnsi="Times New Roman" w:cs="Times New Roman" w:eastAsia="Times New Roman" w:hint="default"/>
        </w:rPr>
        <w:t>1982</w:t>
      </w:r>
      <w:r>
        <w:rPr/>
        <w:t>年出生，哈尔滨理工大学自动化专业学士学位，</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月任青岛市恒顺众昇集团股份 有限公司证券事务代表职务，现任公司副总裁、董事会秘书。 </w:t>
      </w:r>
      <w:r>
        <w:rPr>
          <w:rFonts w:ascii="Times New Roman" w:hAnsi="Times New Roman" w:cs="Times New Roman" w:eastAsia="Times New Roman" w:hint="default"/>
          <w:spacing w:val="-2"/>
        </w:rPr>
        <w:t>16</w:t>
      </w:r>
      <w:r>
        <w:rPr>
          <w:spacing w:val="-2"/>
        </w:rPr>
        <w:t>、刘涛，男，</w:t>
      </w:r>
      <w:r>
        <w:rPr>
          <w:rFonts w:ascii="Times New Roman" w:hAnsi="Times New Roman" w:cs="Times New Roman" w:eastAsia="Times New Roman" w:hint="default"/>
          <w:spacing w:val="-2"/>
        </w:rPr>
        <w:t>1979</w:t>
      </w:r>
      <w:r>
        <w:rPr>
          <w:spacing w:val="-2"/>
        </w:rPr>
        <w:t>年出生，本科毕业于燕山大学，会计学学士学位。</w:t>
      </w:r>
      <w:r>
        <w:rPr>
          <w:rFonts w:ascii="Times New Roman" w:hAnsi="Times New Roman" w:cs="Times New Roman" w:eastAsia="Times New Roman" w:hint="default"/>
          <w:spacing w:val="-2"/>
        </w:rPr>
        <w:t>2003</w:t>
      </w:r>
      <w:r>
        <w:rPr>
          <w:spacing w:val="-2"/>
        </w:rPr>
        <w:t>年至今历任青岛市恒顺众昇集团股份有限公司会</w:t>
      </w:r>
      <w:r>
        <w:rPr>
          <w:spacing w:val="-62"/>
        </w:rPr>
        <w:t> </w:t>
      </w:r>
      <w:r>
        <w:rPr>
          <w:spacing w:val="-62"/>
        </w:rPr>
      </w:r>
      <w:r>
        <w:rPr/>
        <w:t>计、财务主管，现任本公司财务总监。</w:t>
      </w:r>
    </w:p>
    <w:p>
      <w:pPr>
        <w:pStyle w:val="BodyText"/>
        <w:spacing w:line="240" w:lineRule="auto" w:before="67"/>
        <w:ind w:right="94"/>
        <w:jc w:val="left"/>
      </w:pPr>
      <w:r>
        <w:rPr/>
        <w:t>在股东单位任职情况</w:t>
      </w:r>
    </w:p>
    <w:p>
      <w:pPr>
        <w:pStyle w:val="BodyText"/>
        <w:spacing w:line="240" w:lineRule="auto" w:before="115"/>
        <w:ind w:right="94"/>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7"/>
        <w:gridCol w:w="3231"/>
        <w:gridCol w:w="1078"/>
        <w:gridCol w:w="1212"/>
        <w:gridCol w:w="1347"/>
        <w:gridCol w:w="1486"/>
      </w:tblGrid>
      <w:tr>
        <w:trPr>
          <w:trHeight w:val="713"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4" w:right="82"/>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赵风雷</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赵焕森</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1"/>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
              <w:jc w:val="left"/>
              <w:rPr>
                <w:rFonts w:ascii="宋体" w:hAnsi="宋体" w:cs="宋体" w:eastAsia="宋体" w:hint="default"/>
                <w:sz w:val="18"/>
                <w:szCs w:val="18"/>
              </w:rPr>
            </w:pPr>
            <w:r>
              <w:rPr>
                <w:rFonts w:ascii="宋体" w:hAnsi="宋体" w:cs="宋体" w:eastAsia="宋体" w:hint="default"/>
                <w:sz w:val="18"/>
                <w:szCs w:val="18"/>
              </w:rPr>
              <w:t>赵风雷先生任城投金控的副总经理，赵焕森先生任城投金控的监事，城投金控截至本报告披露日为公司第 二大股东。</w:t>
            </w:r>
          </w:p>
        </w:tc>
      </w:tr>
    </w:tbl>
    <w:p>
      <w:pPr>
        <w:pStyle w:val="BodyText"/>
        <w:spacing w:line="240" w:lineRule="auto" w:before="49"/>
        <w:ind w:right="94"/>
        <w:jc w:val="left"/>
      </w:pPr>
      <w:r>
        <w:rPr/>
        <w:t>在其他单位任职情况</w:t>
      </w:r>
    </w:p>
    <w:p>
      <w:pPr>
        <w:pStyle w:val="BodyText"/>
        <w:spacing w:line="240" w:lineRule="auto" w:before="115"/>
        <w:ind w:right="94"/>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汉王科技股份有限公司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青岛维康科技有限公司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傅思齐</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北京市竞天公诚律师事务所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4"/>
        <w:jc w:val="left"/>
      </w:pPr>
      <w:r>
        <w:rPr/>
        <w:t>公司现任及报告期内离任董事、监事和高级管理人员近三年证券监管机构处罚的情况</w:t>
      </w:r>
    </w:p>
    <w:p>
      <w:pPr>
        <w:pStyle w:val="BodyText"/>
        <w:spacing w:line="240" w:lineRule="auto" w:before="115"/>
        <w:ind w:right="94"/>
        <w:jc w:val="left"/>
      </w:pPr>
      <w:r>
        <w:rPr/>
        <w:t>□ 适用 √</w:t>
      </w:r>
      <w:r>
        <w:rPr>
          <w:spacing w:val="3"/>
        </w:rPr>
        <w:t> </w:t>
      </w:r>
      <w:r>
        <w:rPr/>
        <w:t>不适用</w:t>
      </w:r>
    </w:p>
    <w:p>
      <w:pPr>
        <w:spacing w:after="0" w:line="240" w:lineRule="auto"/>
        <w:jc w:val="left"/>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董事、监事、高级管理人员报酬的决策程序、确定依据、实际支付情况</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261"/>
        <w:gridCol w:w="5310"/>
      </w:tblGrid>
      <w:tr>
        <w:trPr>
          <w:trHeight w:val="1057"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1"/>
              <w:ind w:left="4" w:right="68"/>
              <w:jc w:val="both"/>
              <w:rPr>
                <w:rFonts w:ascii="宋体" w:hAnsi="宋体" w:cs="宋体" w:eastAsia="宋体" w:hint="default"/>
                <w:sz w:val="18"/>
                <w:szCs w:val="18"/>
              </w:rPr>
            </w:pPr>
            <w:r>
              <w:rPr>
                <w:rFonts w:ascii="宋体" w:hAnsi="宋体" w:cs="宋体" w:eastAsia="宋体" w:hint="default"/>
                <w:sz w:val="18"/>
                <w:szCs w:val="18"/>
              </w:rPr>
              <w:t>公司董事、独立董事报酬由股东大会决定，高级管理人员报酬由董 事会决定；公司董监高津贴标准已由股东大会批准。在公司履职的 董事、监事和高级管理人员根据薪酬标准按具体职务领取薪酬。</w:t>
            </w:r>
          </w:p>
        </w:tc>
      </w:tr>
      <w:tr>
        <w:trPr>
          <w:trHeight w:val="1050"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5"/>
              <w:ind w:left="4"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5"/>
              <w:ind w:left="4" w:right="68"/>
              <w:jc w:val="both"/>
              <w:rPr>
                <w:rFonts w:ascii="宋体" w:hAnsi="宋体" w:cs="宋体" w:eastAsia="宋体" w:hint="default"/>
                <w:sz w:val="18"/>
                <w:szCs w:val="18"/>
              </w:rPr>
            </w:pPr>
            <w:r>
              <w:rPr>
                <w:rFonts w:ascii="宋体" w:hAnsi="宋体" w:cs="宋体" w:eastAsia="宋体" w:hint="default"/>
                <w:sz w:val="18"/>
                <w:szCs w:val="18"/>
              </w:rPr>
              <w:t>董事、监事和高级管理人员的报酬按照公司董事会《薪酬与考核委 员会工作细则》的规定，结合其经营绩效、工作能力、岗位职级等 考核确定并发放。</w:t>
            </w:r>
          </w:p>
        </w:tc>
      </w:tr>
      <w:tr>
        <w:trPr>
          <w:trHeight w:val="735" w:hRule="exact"/>
        </w:trPr>
        <w:tc>
          <w:tcPr>
            <w:tcW w:w="4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1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3"/>
              <w:ind w:left="4" w:right="-1"/>
              <w:jc w:val="left"/>
              <w:rPr>
                <w:rFonts w:ascii="宋体" w:hAnsi="宋体" w:cs="宋体" w:eastAsia="宋体" w:hint="default"/>
                <w:sz w:val="18"/>
                <w:szCs w:val="18"/>
              </w:rPr>
            </w:pPr>
            <w:r>
              <w:rPr>
                <w:rFonts w:ascii="宋体" w:hAnsi="宋体" w:cs="宋体" w:eastAsia="宋体" w:hint="default"/>
                <w:spacing w:val="-4"/>
                <w:sz w:val="18"/>
                <w:szCs w:val="18"/>
              </w:rPr>
              <w:t>独立董事、职工监事及公司高级管理人员的薪酬已按规定发放，</w:t>
            </w:r>
            <w:r>
              <w:rPr>
                <w:rFonts w:ascii="Times New Roman" w:hAnsi="Times New Roman" w:cs="Times New Roman" w:eastAsia="Times New Roman" w:hint="default"/>
                <w:spacing w:val="-4"/>
                <w:sz w:val="18"/>
                <w:szCs w:val="18"/>
              </w:rPr>
              <w:t>2015</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年度薪酬总额</w:t>
            </w:r>
            <w:r>
              <w:rPr>
                <w:rFonts w:ascii="宋体" w:hAnsi="宋体" w:cs="宋体" w:eastAsia="宋体" w:hint="default"/>
                <w:spacing w:val="-22"/>
                <w:sz w:val="18"/>
                <w:szCs w:val="18"/>
              </w:rPr>
              <w:t> </w:t>
            </w:r>
            <w:r>
              <w:rPr>
                <w:rFonts w:ascii="Times New Roman" w:hAnsi="Times New Roman" w:cs="Times New Roman" w:eastAsia="Times New Roman" w:hint="default"/>
                <w:sz w:val="18"/>
                <w:szCs w:val="18"/>
              </w:rPr>
              <w:t>277.62</w:t>
            </w:r>
            <w:r>
              <w:rPr>
                <w:rFonts w:ascii="宋体" w:hAnsi="宋体" w:cs="宋体" w:eastAsia="宋体" w:hint="default"/>
                <w:sz w:val="18"/>
                <w:szCs w:val="18"/>
              </w:rPr>
              <w:t>万元，详见下表。</w:t>
            </w:r>
          </w:p>
        </w:tc>
      </w:tr>
    </w:tbl>
    <w:p>
      <w:pPr>
        <w:spacing w:line="240" w:lineRule="auto" w:before="2"/>
        <w:rPr>
          <w:rFonts w:ascii="宋体" w:hAnsi="宋体" w:cs="宋体" w:eastAsia="宋体" w:hint="default"/>
          <w:sz w:val="24"/>
          <w:szCs w:val="24"/>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贾全臣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31.82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严冬梅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赵风雷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孙建强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徐茂顺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强力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赵焕森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傅思齐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袁瑞峰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董事会秘书、副 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陈肖强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总裁、监事会主 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张培荣</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张振波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付大志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277.62</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公司董事、监事、高级管理人员报告期内被授予的股权激励情况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980"/>
          <w:cols w:num="2" w:equalWidth="0">
            <w:col w:w="5193" w:space="372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2"/>
        <w:gridCol w:w="868"/>
        <w:gridCol w:w="872"/>
        <w:gridCol w:w="869"/>
        <w:gridCol w:w="869"/>
        <w:gridCol w:w="871"/>
        <w:gridCol w:w="869"/>
        <w:gridCol w:w="872"/>
        <w:gridCol w:w="869"/>
        <w:gridCol w:w="871"/>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8"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7" w:right="67"/>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 w:right="71"/>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2" w:lineRule="exact"/>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莫柏欣</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董事会秘 </w:t>
            </w:r>
            <w:r>
              <w:rPr>
                <w:rFonts w:ascii="宋体" w:hAnsi="宋体" w:cs="宋体" w:eastAsia="宋体" w:hint="default"/>
                <w:spacing w:val="-18"/>
                <w:sz w:val="18"/>
                <w:szCs w:val="18"/>
              </w:rPr>
              <w:t>书，副总裁</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1,750,000</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刘涛</w:t>
            </w:r>
          </w:p>
        </w:tc>
        <w:tc>
          <w:tcPr>
            <w:tcW w:w="872"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4.785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24.3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1,750,000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2"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8"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3,500,000</w:t>
            </w:r>
          </w:p>
        </w:tc>
      </w:tr>
      <w:tr>
        <w:trPr>
          <w:trHeight w:val="1337" w:hRule="exact"/>
        </w:trPr>
        <w:tc>
          <w:tcPr>
            <w:tcW w:w="1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备注（如有）</w:t>
            </w:r>
          </w:p>
        </w:tc>
        <w:tc>
          <w:tcPr>
            <w:tcW w:w="7829" w:type="dxa"/>
            <w:gridSpan w:val="9"/>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5" w:right="21"/>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年半年度实施了利润分配方案，莫柏欣女士期初持有限制性股票的数量为利润分配方案实 施之前的数量，本期已解锁股份数量及期末持有限制性股票的数量为利润分配方案实施完成之后的 数量。刘涛先生报告期内行权的股数及期初持有限制性股票的数量为利润分配方案实施前的数量， 本期已解锁股份数量及期末持有限制性股票的数量为利润分配方案实施完成之后的数量。</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3"/>
      </w:tblGrid>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804</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3"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w:t>
            </w:r>
          </w:p>
        </w:tc>
      </w:tr>
      <w:tr>
        <w:trPr>
          <w:trHeight w:val="401"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w:t>
            </w:r>
          </w:p>
        </w:tc>
      </w:tr>
      <w:tr>
        <w:trPr>
          <w:trHeight w:val="403"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6" w:hRule="exact"/>
        </w:trPr>
        <w:tc>
          <w:tcPr>
            <w:tcW w:w="4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2"/>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770</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both"/>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0"/>
        <w:jc w:val="both"/>
      </w:pPr>
      <w:r>
        <w:rPr>
          <w:spacing w:val="-2"/>
        </w:rPr>
        <w:t>公司员工薪酬政策力求体现工资管理的激励性、竞争性和公平性，把个人业绩和团队业绩有效结合起来，共同分享企业发展</w:t>
      </w:r>
      <w:r>
        <w:rPr>
          <w:spacing w:val="-63"/>
        </w:rPr>
        <w:t> </w:t>
      </w:r>
      <w:r>
        <w:rPr>
          <w:spacing w:val="-63"/>
        </w:rPr>
      </w:r>
      <w:r>
        <w:rPr>
          <w:spacing w:val="-2"/>
        </w:rPr>
        <w:t>所带来的机制，促进员工价值观念的凝合，形成留住人才和吸引人才的机制，最终推进公司发展战略的实现。公司薪酬政策</w:t>
      </w:r>
      <w:r>
        <w:rPr>
          <w:spacing w:val="-65"/>
        </w:rPr>
        <w:t> </w:t>
      </w:r>
      <w:r>
        <w:rPr>
          <w:spacing w:val="-65"/>
        </w:rPr>
      </w:r>
      <w:r>
        <w:rPr/>
        <w:t>分为月薪制和计件工资制，并通过绩效考核将员工工作目标与企业战略目标以及个人绩效相结合，激发员工的积极性。</w:t>
      </w:r>
    </w:p>
    <w:p>
      <w:pPr>
        <w:spacing w:line="240" w:lineRule="auto" w:before="11"/>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53"/>
        <w:jc w:val="both"/>
      </w:pPr>
      <w:r>
        <w:rPr>
          <w:spacing w:val="-2"/>
        </w:rPr>
        <w:t>员工培训的主要内容包括安全生产培训、专业技能培训、职业素养培训。公司人力资源部门每年制定年度培训计划并组织实</w:t>
      </w:r>
      <w:r>
        <w:rPr>
          <w:spacing w:val="-66"/>
        </w:rPr>
        <w:t> </w:t>
      </w:r>
      <w:r>
        <w:rPr>
          <w:spacing w:val="-66"/>
        </w:rPr>
      </w:r>
      <w:r>
        <w:rPr>
          <w:spacing w:val="-2"/>
        </w:rPr>
        <w:t>施。公司安排技术、管理、营销、生产骨干参加相关培训，学费由公司支付。同时公司鼓励员工自己培训报名参加与本职工</w:t>
      </w:r>
      <w:r>
        <w:rPr>
          <w:spacing w:val="-68"/>
        </w:rPr>
        <w:t> </w:t>
      </w:r>
      <w:r>
        <w:rPr>
          <w:spacing w:val="-68"/>
        </w:rPr>
      </w:r>
      <w:r>
        <w:rPr/>
        <w:t>作相关专业学历教育。</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465"/>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9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pPr>
      <w:r>
        <w:rPr>
          <w:spacing w:val="-6"/>
        </w:rPr>
        <w:t>报告期内，公司根据《公司法》、《证券法》、《上市公司治理准则》、《深圳证券交易所创业板股票上市规则》、《深</w:t>
      </w:r>
      <w:r>
        <w:rPr/>
        <w:t> </w:t>
      </w:r>
      <w:r>
        <w:rPr>
          <w:spacing w:val="-2"/>
        </w:rPr>
        <w:t>圳证券交易所创业板上市公司规范运作指引》等法律法规的要求，结合本公司的具体情况健全和完善了《公司章程》和各内</w:t>
      </w:r>
      <w:r>
        <w:rPr>
          <w:spacing w:val="-64"/>
        </w:rPr>
        <w:t> </w:t>
      </w:r>
      <w:r>
        <w:rPr>
          <w:spacing w:val="-64"/>
        </w:rPr>
      </w:r>
      <w:r>
        <w:rPr>
          <w:spacing w:val="-2"/>
        </w:rPr>
        <w:t>部控制制度，发挥了董事会各专门委员会的职能和作用，完善了董事会的职能和专业化程度，保障了董事会决策的科学性和</w:t>
      </w:r>
      <w:r>
        <w:rPr>
          <w:spacing w:val="-63"/>
        </w:rPr>
        <w:t> </w:t>
      </w:r>
      <w:r>
        <w:rPr>
          <w:spacing w:val="-63"/>
        </w:rPr>
      </w:r>
      <w:r>
        <w:rPr>
          <w:spacing w:val="-2"/>
        </w:rPr>
        <w:t>程序性，不断完善本公司法人治理结构和内控制度，进一步规范公司运作，提高公司治理水平。截至报告期末，本公司治理</w:t>
      </w:r>
      <w:r>
        <w:rPr>
          <w:spacing w:val="-66"/>
        </w:rPr>
        <w:t> </w:t>
      </w:r>
      <w:r>
        <w:rPr>
          <w:spacing w:val="-66"/>
        </w:rPr>
      </w:r>
      <w:r>
        <w:rPr/>
        <w:t>实际情况基本符合中国证监会发布的有关上市公司治理的规范性文件的要求。</w:t>
      </w:r>
    </w:p>
    <w:p>
      <w:pPr>
        <w:pStyle w:val="BodyText"/>
        <w:spacing w:line="316" w:lineRule="auto" w:before="19"/>
        <w:ind w:right="104" w:firstLine="360"/>
        <w:jc w:val="both"/>
      </w:pPr>
      <w:r>
        <w:rPr>
          <w:spacing w:val="-2"/>
        </w:rPr>
        <w:t>（一）关于股东与股东大会本公司严格按照《公司法》、《上市公司股东大会规范意见》、《公司章程》和《股东大会</w:t>
      </w:r>
      <w:r>
        <w:rPr/>
        <w:t> </w:t>
      </w:r>
      <w:r>
        <w:rPr>
          <w:spacing w:val="-2"/>
        </w:rPr>
        <w:t>议事规则》等法律、法规及制度的要求，规范股东大会召集、召开、表决程序，确保所有股东享有平等地位，平等权利，并</w:t>
      </w:r>
      <w:r>
        <w:rPr>
          <w:spacing w:val="-65"/>
        </w:rPr>
        <w:t> </w:t>
      </w:r>
      <w:r>
        <w:rPr>
          <w:spacing w:val="-65"/>
        </w:rPr>
      </w:r>
      <w:r>
        <w:rPr>
          <w:spacing w:val="-4"/>
        </w:rPr>
        <w:t>承担相应的义务，让中小投资者充分行使自己的权利；通过聘请律师出席见证保证了会议的召集、召开和表决程序的合法性。</w:t>
      </w:r>
    </w:p>
    <w:p>
      <w:pPr>
        <w:pStyle w:val="BodyText"/>
        <w:spacing w:line="316" w:lineRule="auto" w:before="19"/>
        <w:ind w:right="190" w:firstLine="360"/>
        <w:jc w:val="both"/>
      </w:pPr>
      <w:r>
        <w:rPr>
          <w:spacing w:val="-2"/>
        </w:rPr>
        <w:t>（二）关于控股股东与上市公司的关系本公司按照《公司法》、《证券法》、《公司章程》及证券监管部门的有关规定</w:t>
      </w:r>
      <w:r>
        <w:rPr/>
        <w:t> </w:t>
      </w:r>
      <w:r>
        <w:rPr>
          <w:spacing w:val="-2"/>
        </w:rPr>
        <w:t>正确处理与控股股东的关系。本公司控股股东依法行使其权利并承担相应义务，没有超越股东大会授权范围行使职权、直接</w:t>
      </w:r>
      <w:r>
        <w:rPr>
          <w:spacing w:val="-63"/>
        </w:rPr>
        <w:t> </w:t>
      </w:r>
      <w:r>
        <w:rPr>
          <w:spacing w:val="-63"/>
        </w:rPr>
      </w:r>
      <w:r>
        <w:rPr/>
        <w:t>或间接干预本公司的决策和生产经营活动。本公司具有自主经营能力，公司董事会、监事会和内部机构能够独立运作。</w:t>
      </w:r>
    </w:p>
    <w:p>
      <w:pPr>
        <w:pStyle w:val="BodyText"/>
        <w:spacing w:line="314" w:lineRule="auto" w:before="19"/>
        <w:ind w:right="191" w:firstLine="360"/>
        <w:jc w:val="both"/>
      </w:pPr>
      <w:r>
        <w:rPr>
          <w:spacing w:val="-2"/>
        </w:rPr>
        <w:t>（三）关于董事与董事会本公司董事的选聘程序公开、公平、公正，董事会严格按照《公司法》和《公司章程》和《董</w:t>
      </w:r>
      <w:r>
        <w:rPr/>
        <w:t> </w:t>
      </w:r>
      <w:r>
        <w:rPr>
          <w:spacing w:val="-2"/>
        </w:rPr>
        <w:t>事会议事规则》等法律法规开展工作，董事会组成人员</w:t>
      </w:r>
      <w:r>
        <w:rPr>
          <w:rFonts w:ascii="Times New Roman" w:hAnsi="Times New Roman" w:cs="Times New Roman" w:eastAsia="Times New Roman" w:hint="default"/>
          <w:spacing w:val="-2"/>
        </w:rPr>
        <w:t>7</w:t>
      </w:r>
      <w:r>
        <w:rPr>
          <w:spacing w:val="-2"/>
        </w:rPr>
        <w:t>人，其中独立董事</w:t>
      </w:r>
      <w:r>
        <w:rPr>
          <w:rFonts w:ascii="Times New Roman" w:hAnsi="Times New Roman" w:cs="Times New Roman" w:eastAsia="Times New Roman" w:hint="default"/>
          <w:spacing w:val="-2"/>
        </w:rPr>
        <w:t>3</w:t>
      </w:r>
      <w:r>
        <w:rPr>
          <w:spacing w:val="-2"/>
        </w:rPr>
        <w:t>人，董事产生程序合法有效。本公司董事积极学</w:t>
      </w:r>
      <w:r>
        <w:rPr>
          <w:spacing w:val="-63"/>
        </w:rPr>
        <w:t> </w:t>
      </w:r>
      <w:r>
        <w:rPr>
          <w:spacing w:val="-63"/>
        </w:rPr>
      </w:r>
      <w:r>
        <w:rPr>
          <w:spacing w:val="-2"/>
        </w:rPr>
        <w:t>习，熟悉有关法律、法规，并按照相关规定依法履行董事职责。独立董事按照《公司章程》等法律、法规不受影响的独立履</w:t>
      </w:r>
      <w:r>
        <w:rPr>
          <w:spacing w:val="-72"/>
        </w:rPr>
        <w:t> </w:t>
      </w:r>
      <w:r>
        <w:rPr>
          <w:spacing w:val="-72"/>
        </w:rPr>
      </w:r>
      <w:r>
        <w:rPr>
          <w:spacing w:val="-2"/>
        </w:rPr>
        <w:t>行职责，出席公司董事会、股东大会，对本公司重大投资、董事、高级管理人员的任免发表自己的独立意见，保证了公司的</w:t>
      </w:r>
      <w:r>
        <w:rPr>
          <w:spacing w:val="-68"/>
        </w:rPr>
        <w:t> </w:t>
      </w:r>
      <w:r>
        <w:rPr>
          <w:spacing w:val="-68"/>
        </w:rPr>
      </w:r>
      <w:r>
        <w:rPr/>
        <w:t>规范运作。董事会下薪酬与审计专业委员会，各专业委员会根据各自职责对本公司发展提出相关的专业意见和建议。</w:t>
      </w:r>
    </w:p>
    <w:p>
      <w:pPr>
        <w:pStyle w:val="BodyText"/>
        <w:spacing w:line="316" w:lineRule="auto" w:before="20"/>
        <w:ind w:right="196" w:firstLine="360"/>
        <w:jc w:val="both"/>
      </w:pPr>
      <w:r>
        <w:rPr>
          <w:spacing w:val="-2"/>
        </w:rPr>
        <w:t>（四）监事和监事会本公司监事会严格按照《公司法》、《公司章程》和《监事会议事规则》的有关规定开展工作，监</w:t>
      </w:r>
      <w:r>
        <w:rPr/>
        <w:t> </w:t>
      </w:r>
      <w:r>
        <w:rPr>
          <w:spacing w:val="-2"/>
        </w:rPr>
        <w:t>事的推荐、选举和产生程序符合相关法律、法规的要求。公司监事会认真履行自己的职责，对公司财务以及董事、高级管理</w:t>
      </w:r>
      <w:r>
        <w:rPr>
          <w:spacing w:val="-67"/>
        </w:rPr>
        <w:t> </w:t>
      </w:r>
      <w:r>
        <w:rPr>
          <w:spacing w:val="-67"/>
        </w:rPr>
      </w:r>
      <w:r>
        <w:rPr/>
        <w:t>人员行使职权的合规性进行监督，维护公司及股东的合法权益。</w:t>
      </w:r>
    </w:p>
    <w:p>
      <w:pPr>
        <w:pStyle w:val="BodyText"/>
        <w:spacing w:line="316" w:lineRule="auto" w:before="67"/>
        <w:ind w:right="193" w:firstLine="360"/>
        <w:jc w:val="both"/>
      </w:pPr>
      <w:r>
        <w:rPr>
          <w:spacing w:val="-2"/>
        </w:rPr>
        <w:t>（五）关于信息披露与透明度本公司制定了《信息披露管理制度》，指定董事会秘书负责信息披露工作、接待股东来访</w:t>
      </w:r>
      <w:r>
        <w:rPr/>
        <w:t> </w:t>
      </w:r>
      <w:r>
        <w:rPr>
          <w:spacing w:val="-2"/>
        </w:rPr>
        <w:t>和咨询。本公司指定《证券时报》、《上海证券报》、《中国证券报》、《证券日报》及巨潮资讯网作为本公司信息披露的</w:t>
      </w:r>
      <w:r>
        <w:rPr>
          <w:spacing w:val="-71"/>
        </w:rPr>
        <w:t> </w:t>
      </w:r>
      <w:r>
        <w:rPr>
          <w:spacing w:val="-71"/>
        </w:rPr>
      </w:r>
      <w:r>
        <w:rPr>
          <w:spacing w:val="-2"/>
        </w:rPr>
        <w:t>报纸和网站。本公司严格按照有关法律法规及制定的《信息披露管理制度》的要求，真实、准确、完整、及时的披露有关信</w:t>
      </w:r>
      <w:r>
        <w:rPr>
          <w:spacing w:val="-73"/>
        </w:rPr>
        <w:t> </w:t>
      </w:r>
      <w:r>
        <w:rPr>
          <w:spacing w:val="-73"/>
        </w:rPr>
      </w:r>
      <w:r>
        <w:rPr/>
        <w:t>息，并确保所有股东有平等的机会获得信息。</w:t>
      </w:r>
    </w:p>
    <w:p>
      <w:pPr>
        <w:pStyle w:val="BodyText"/>
        <w:spacing w:line="314" w:lineRule="auto" w:before="69"/>
        <w:ind w:right="193" w:firstLine="360"/>
        <w:jc w:val="both"/>
      </w:pPr>
      <w:r>
        <w:rPr>
          <w:spacing w:val="-2"/>
        </w:rPr>
        <w:t>（六）关于相关利益者本公司能够充分尊重和维护相关利益者的合法权益，实现股东、员工、社会等各方利益的协调平</w:t>
      </w:r>
      <w:r>
        <w:rPr/>
        <w:t> 衡，共同推动公司持续、健康的发展。</w:t>
      </w:r>
    </w:p>
    <w:p>
      <w:pPr>
        <w:pStyle w:val="BodyText"/>
        <w:spacing w:line="338" w:lineRule="auto" w:before="62"/>
        <w:ind w:right="94" w:firstLine="360"/>
        <w:jc w:val="left"/>
      </w:pPr>
      <w:r>
        <w:rPr/>
        <w:t>（七）绩效评价与激励约束机制 公司已建立企业绩效评价激励体系，管理者的收入与企业经营业绩和目标挂钩，高级管理人员的聘任公开、透明，符合有 </w:t>
      </w:r>
      <w:r>
        <w:rPr>
          <w:spacing w:val="-2"/>
        </w:rPr>
        <w:t>关法律、法规的要求。公司董事会设立了薪酬与考核委员会，制定高级管理人员的薪酬方案，根据公司实际经营指标完成情</w:t>
      </w:r>
    </w:p>
    <w:p>
      <w:pPr>
        <w:pStyle w:val="BodyText"/>
        <w:spacing w:line="316" w:lineRule="auto" w:before="2"/>
        <w:ind w:right="94"/>
        <w:jc w:val="left"/>
      </w:pPr>
      <w:r>
        <w:rPr>
          <w:spacing w:val="-2"/>
        </w:rPr>
        <w:t>况以及高级管理人员的工作业绩，对高级管理人员进行年度绩效考核，并监督薪酬制度执行情况。报告期内，本公司高级管</w:t>
      </w:r>
      <w:r>
        <w:rPr>
          <w:spacing w:val="-64"/>
        </w:rPr>
        <w:t> </w:t>
      </w:r>
      <w:r>
        <w:rPr>
          <w:spacing w:val="-64"/>
        </w:rPr>
      </w:r>
      <w:r>
        <w:rPr/>
        <w:t>理人员经考核，均认真履行了工作职责，工作业绩良好，较好地完成了各自经营管理任务。</w:t>
      </w:r>
    </w:p>
    <w:p>
      <w:pPr>
        <w:pStyle w:val="BodyText"/>
        <w:spacing w:line="338" w:lineRule="auto" w:before="59"/>
        <w:ind w:right="94" w:firstLine="362"/>
        <w:jc w:val="left"/>
      </w:pPr>
      <w:r>
        <w:rPr/>
        <w:t>（八）内部审计制度的建立和执行情况 </w:t>
      </w:r>
      <w:r>
        <w:rPr>
          <w:spacing w:val="-2"/>
        </w:rPr>
        <w:t>董事会下设审计委员会，主要负责公司内部、外部审计的沟通、监督、会议组织和核查工作。审计委员会下设审计部为日常</w:t>
      </w:r>
      <w:r>
        <w:rPr>
          <w:spacing w:val="-67"/>
        </w:rPr>
        <w:t> </w:t>
      </w:r>
      <w:r>
        <w:rPr>
          <w:spacing w:val="-67"/>
        </w:rPr>
      </w:r>
      <w:r>
        <w:rPr>
          <w:spacing w:val="-2"/>
        </w:rPr>
        <w:t>办事机构，公司上市后，审计部积极运作，按照上市公司的要求完善了部门职能和人员安排，审计部对公司内部控制制度的</w:t>
      </w:r>
    </w:p>
    <w:p>
      <w:pPr>
        <w:pStyle w:val="BodyText"/>
        <w:spacing w:line="240" w:lineRule="auto" w:before="2"/>
        <w:ind w:right="94"/>
        <w:jc w:val="left"/>
      </w:pPr>
      <w:r>
        <w:rPr/>
        <w:t>建立和实施、公司财务信息的真实性和完整性等情况进行检查监督。</w:t>
      </w:r>
    </w:p>
    <w:p>
      <w:pPr>
        <w:pStyle w:val="BodyText"/>
        <w:spacing w:line="360" w:lineRule="auto" w:before="115"/>
        <w:ind w:right="193" w:firstLine="288"/>
        <w:jc w:val="both"/>
      </w:pPr>
      <w:r>
        <w:rPr/>
        <w:t>（九）独立董事工作制度 </w:t>
      </w:r>
      <w:r>
        <w:rPr>
          <w:spacing w:val="-2"/>
        </w:rPr>
        <w:t>为进一步完善公司的治理结构，促进公司的规范运作，根据中国证监会《关于在上市公司建立独立董事制度的指导意见》和</w:t>
      </w:r>
    </w:p>
    <w:p>
      <w:pPr>
        <w:pStyle w:val="BodyText"/>
        <w:spacing w:line="222" w:lineRule="exact"/>
        <w:ind w:right="0"/>
        <w:jc w:val="left"/>
      </w:pPr>
      <w:r>
        <w:rPr/>
        <w:t>《上市公司治理准则》的规定，公司第一届董事会第十二次会议制订了《独立董事制度》《独立董事年报工作制度》，进一</w:t>
      </w:r>
    </w:p>
    <w:p>
      <w:pPr>
        <w:spacing w:after="0" w:line="222" w:lineRule="exact"/>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步加强了独立董事工作。</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60" w:lineRule="auto" w:before="115"/>
        <w:ind w:right="2574"/>
        <w:jc w:val="left"/>
      </w:pPr>
      <w:r>
        <w:rPr/>
        <w:t>□ 是 √</w:t>
      </w:r>
      <w:r>
        <w:rPr>
          <w:spacing w:val="3"/>
        </w:rPr>
        <w:t> </w:t>
      </w:r>
      <w:r>
        <w:rPr/>
        <w:t>否</w:t>
      </w:r>
      <w:r>
        <w:rPr/>
        <w:t> 公司治理的实际状况与中国证监会发布的有关上市公司治理的规范性文件不存在重大差异。</w:t>
      </w:r>
    </w:p>
    <w:p>
      <w:pPr>
        <w:spacing w:line="240" w:lineRule="auto" w:before="2"/>
        <w:rPr>
          <w:rFonts w:ascii="宋体" w:hAnsi="宋体" w:cs="宋体" w:eastAsia="宋体" w:hint="default"/>
          <w:sz w:val="18"/>
          <w:szCs w:val="18"/>
        </w:rPr>
      </w:pPr>
    </w:p>
    <w:p>
      <w:pPr>
        <w:pStyle w:val="Heading3"/>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r>
        <w:rPr/>
        <w:t>三、同业竞争情况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62" w:lineRule="auto" w:before="105"/>
              <w:ind w:left="24" w:right="38"/>
              <w:jc w:val="left"/>
              <w:rPr>
                <w:rFonts w:ascii="Times New Roman" w:hAnsi="Times New Roman" w:cs="Times New Roman" w:eastAsia="Times New Roman" w:hint="default"/>
                <w:sz w:val="18"/>
                <w:szCs w:val="18"/>
              </w:rPr>
            </w:pPr>
            <w:r>
              <w:rPr>
                <w:rFonts w:ascii="Times New Roman"/>
                <w:sz w:val="18"/>
              </w:rPr>
              <w:t>.com.cn/information/ companyinfo_n.html</w:t>
            </w:r>
          </w:p>
          <w:p>
            <w:pPr>
              <w:pStyle w:val="TableParagraph"/>
              <w:spacing w:line="312" w:lineRule="auto" w:before="3"/>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?fulltext?szcn30020 8</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62" w:lineRule="auto" w:before="105"/>
              <w:ind w:left="24" w:right="38"/>
              <w:jc w:val="left"/>
              <w:rPr>
                <w:rFonts w:ascii="Times New Roman" w:hAnsi="Times New Roman" w:cs="Times New Roman" w:eastAsia="Times New Roman" w:hint="default"/>
                <w:sz w:val="18"/>
                <w:szCs w:val="18"/>
              </w:rPr>
            </w:pPr>
            <w:r>
              <w:rPr>
                <w:rFonts w:ascii="Times New Roman"/>
                <w:sz w:val="18"/>
              </w:rPr>
              <w:t>.com.cn/information/ companyinfo_n.html</w:t>
            </w:r>
          </w:p>
          <w:p>
            <w:pPr>
              <w:pStyle w:val="TableParagraph"/>
              <w:spacing w:line="312" w:lineRule="auto" w:before="3"/>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?fulltext?szcn30020 8</w:t>
            </w:r>
            <w:r>
              <w:rPr>
                <w:rFonts w:ascii="宋体" w:hAnsi="宋体" w:cs="宋体" w:eastAsia="宋体" w:hint="default"/>
                <w:sz w:val="18"/>
                <w:szCs w:val="18"/>
              </w:rPr>
              <w:t>）</w:t>
            </w:r>
          </w:p>
        </w:tc>
      </w:tr>
      <w:tr>
        <w:trPr>
          <w:trHeight w:val="196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62" w:lineRule="auto" w:before="105"/>
              <w:ind w:left="24" w:right="38"/>
              <w:jc w:val="left"/>
              <w:rPr>
                <w:rFonts w:ascii="Times New Roman" w:hAnsi="Times New Roman" w:cs="Times New Roman" w:eastAsia="Times New Roman" w:hint="default"/>
                <w:sz w:val="18"/>
                <w:szCs w:val="18"/>
              </w:rPr>
            </w:pPr>
            <w:r>
              <w:rPr>
                <w:rFonts w:ascii="Times New Roman"/>
                <w:sz w:val="18"/>
              </w:rPr>
              <w:t>.com.cn/information/ companyinfo_n.html</w:t>
            </w:r>
          </w:p>
          <w:p>
            <w:pPr>
              <w:pStyle w:val="TableParagraph"/>
              <w:spacing w:line="312" w:lineRule="auto" w:before="3"/>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?fulltext?szcn30020 8</w:t>
            </w:r>
            <w:r>
              <w:rPr>
                <w:rFonts w:ascii="宋体" w:hAnsi="宋体" w:cs="宋体" w:eastAsia="宋体" w:hint="default"/>
                <w:sz w:val="18"/>
                <w:szCs w:val="18"/>
              </w:rPr>
              <w:t>）</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36.94%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62" w:lineRule="auto" w:before="105"/>
              <w:ind w:left="24" w:right="38"/>
              <w:jc w:val="left"/>
              <w:rPr>
                <w:rFonts w:ascii="Times New Roman" w:hAnsi="Times New Roman" w:cs="Times New Roman" w:eastAsia="Times New Roman" w:hint="default"/>
                <w:sz w:val="18"/>
                <w:szCs w:val="18"/>
              </w:rPr>
            </w:pPr>
            <w:r>
              <w:rPr>
                <w:rFonts w:ascii="Times New Roman"/>
                <w:sz w:val="18"/>
              </w:rPr>
              <w:t>.com.cn/information/ companyinfo_n.html</w:t>
            </w:r>
          </w:p>
          <w:p>
            <w:pPr>
              <w:pStyle w:val="TableParagraph"/>
              <w:spacing w:line="312" w:lineRule="auto" w:before="3"/>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?fulltext?szcn30020 8</w:t>
            </w:r>
            <w:r>
              <w:rPr>
                <w:rFonts w:ascii="宋体" w:hAnsi="宋体" w:cs="宋体" w:eastAsia="宋体" w:hint="default"/>
                <w:sz w:val="18"/>
                <w:szCs w:val="18"/>
              </w:rPr>
              <w:t>）</w:t>
            </w:r>
          </w:p>
        </w:tc>
      </w:tr>
    </w:tbl>
    <w:p>
      <w:pPr>
        <w:spacing w:after="0" w:line="312"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31.94%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362" w:lineRule="auto" w:before="105"/>
              <w:ind w:left="24" w:right="38"/>
              <w:jc w:val="left"/>
              <w:rPr>
                <w:rFonts w:ascii="Times New Roman" w:hAnsi="Times New Roman" w:cs="Times New Roman" w:eastAsia="Times New Roman" w:hint="default"/>
                <w:sz w:val="18"/>
                <w:szCs w:val="18"/>
              </w:rPr>
            </w:pPr>
            <w:r>
              <w:rPr>
                <w:rFonts w:ascii="Times New Roman"/>
                <w:sz w:val="18"/>
              </w:rPr>
              <w:t>.com.cn/information/ companyinfo_n.html</w:t>
            </w:r>
          </w:p>
          <w:p>
            <w:pPr>
              <w:pStyle w:val="TableParagraph"/>
              <w:spacing w:line="312" w:lineRule="auto" w:before="3"/>
              <w:ind w:left="24"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?fulltext?szcn30020 8</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3"/>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3"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徐茂顺</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王天文</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强力</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肖红英</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姚刚</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49"/>
        <w:ind w:right="0"/>
        <w:jc w:val="left"/>
      </w:pPr>
      <w:r>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5"/>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50" w:lineRule="auto" w:before="115"/>
        <w:ind w:right="58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 不适用</w:t>
      </w:r>
    </w:p>
    <w:p>
      <w:pPr>
        <w:spacing w:after="0" w:line="350" w:lineRule="auto"/>
        <w:jc w:val="left"/>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94"/>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94"/>
        <w:jc w:val="left"/>
      </w:pPr>
      <w:r>
        <w:rPr>
          <w:rFonts w:ascii="Times New Roman" w:hAnsi="Times New Roman" w:cs="Times New Roman" w:eastAsia="Times New Roman" w:hint="default"/>
          <w:spacing w:val="-2"/>
        </w:rPr>
        <w:t>1</w:t>
      </w:r>
      <w:r>
        <w:rPr>
          <w:spacing w:val="-2"/>
        </w:rPr>
        <w:t>、薪酬与考核委员会：</w:t>
      </w:r>
      <w:r>
        <w:rPr>
          <w:rFonts w:ascii="Times New Roman" w:hAnsi="Times New Roman" w:cs="Times New Roman" w:eastAsia="Times New Roman" w:hint="default"/>
          <w:spacing w:val="-2"/>
        </w:rPr>
        <w:t>2015</w:t>
      </w:r>
      <w:r>
        <w:rPr>
          <w:spacing w:val="-2"/>
        </w:rPr>
        <w:t>年度组织召开了</w:t>
      </w:r>
      <w:r>
        <w:rPr>
          <w:rFonts w:ascii="Times New Roman" w:hAnsi="Times New Roman" w:cs="Times New Roman" w:eastAsia="Times New Roman" w:hint="default"/>
          <w:spacing w:val="-2"/>
        </w:rPr>
        <w:t>3</w:t>
      </w:r>
      <w:r>
        <w:rPr>
          <w:spacing w:val="-2"/>
        </w:rPr>
        <w:t>次薪酬与考核委员会会议。审议并通过了高管人员薪酬审核事项，对</w:t>
      </w:r>
      <w:r>
        <w:rPr>
          <w:rFonts w:ascii="Times New Roman" w:hAnsi="Times New Roman" w:cs="Times New Roman" w:eastAsia="Times New Roman" w:hint="default"/>
          <w:spacing w:val="-2"/>
        </w:rPr>
        <w:t>2014</w:t>
      </w:r>
      <w:r>
        <w:rPr>
          <w:spacing w:val="-2"/>
        </w:rPr>
        <w:t>年度</w:t>
      </w:r>
      <w:r>
        <w:rPr>
          <w:spacing w:val="-59"/>
        </w:rPr>
        <w:t> </w:t>
      </w:r>
      <w:r>
        <w:rPr>
          <w:spacing w:val="-2"/>
        </w:rPr>
        <w:t>公司董监高所披露薪酬情况进行审核，认为符合公司薪酬管理的有关规定；审议并通过了关于公司股票期权首次授予股票期</w:t>
      </w:r>
      <w:r>
        <w:rPr>
          <w:spacing w:val="-64"/>
        </w:rPr>
        <w:t> </w:t>
      </w:r>
      <w:r>
        <w:rPr>
          <w:spacing w:val="-64"/>
        </w:rPr>
      </w:r>
      <w:r>
        <w:rPr/>
        <w:t>权第三个行权期可行权的议案；审议并通过了关于公司限制性股票激励计划首次授予的限制性股票第一期可解锁的议案。 </w:t>
      </w:r>
      <w:r>
        <w:rPr>
          <w:rFonts w:ascii="Times New Roman" w:hAnsi="Times New Roman" w:cs="Times New Roman" w:eastAsia="Times New Roman" w:hint="default"/>
        </w:rPr>
        <w:t>2</w:t>
      </w:r>
      <w:r>
        <w:rPr/>
        <w:t>、审计委员会：</w:t>
      </w:r>
      <w:r>
        <w:rPr>
          <w:rFonts w:ascii="Times New Roman" w:hAnsi="Times New Roman" w:cs="Times New Roman" w:eastAsia="Times New Roman" w:hint="default"/>
        </w:rPr>
        <w:t>2015</w:t>
      </w:r>
      <w:r>
        <w:rPr/>
        <w:t>年度共组织了</w:t>
      </w:r>
      <w:r>
        <w:rPr>
          <w:rFonts w:ascii="Times New Roman" w:hAnsi="Times New Roman" w:cs="Times New Roman" w:eastAsia="Times New Roman" w:hint="default"/>
        </w:rPr>
        <w:t>4</w:t>
      </w:r>
      <w:r>
        <w:rPr/>
        <w:t>次审计委员会会议。对公司</w:t>
      </w:r>
      <w:r>
        <w:rPr>
          <w:rFonts w:ascii="Times New Roman" w:hAnsi="Times New Roman" w:cs="Times New Roman" w:eastAsia="Times New Roman" w:hint="default"/>
        </w:rPr>
        <w:t>2014</w:t>
      </w:r>
      <w:r>
        <w:rPr/>
        <w:t>年年度报告全文及摘要、</w:t>
      </w:r>
      <w:r>
        <w:rPr>
          <w:rFonts w:ascii="Times New Roman" w:hAnsi="Times New Roman" w:cs="Times New Roman" w:eastAsia="Times New Roman" w:hint="default"/>
        </w:rPr>
        <w:t>2014</w:t>
      </w:r>
      <w:r>
        <w:rPr/>
        <w:t>年度内部审计开展情况、</w:t>
      </w:r>
    </w:p>
    <w:p>
      <w:pPr>
        <w:pStyle w:val="BodyText"/>
        <w:spacing w:line="300" w:lineRule="auto" w:before="3"/>
        <w:ind w:right="94"/>
        <w:jc w:val="left"/>
      </w:pPr>
      <w:r>
        <w:rPr>
          <w:rFonts w:ascii="Times New Roman" w:hAnsi="Times New Roman" w:cs="Times New Roman" w:eastAsia="Times New Roman" w:hint="default"/>
          <w:spacing w:val="-2"/>
        </w:rPr>
        <w:t>2015</w:t>
      </w:r>
      <w:r>
        <w:rPr>
          <w:spacing w:val="-2"/>
        </w:rPr>
        <w:t>年第一季度报告、</w:t>
      </w:r>
      <w:r>
        <w:rPr>
          <w:rFonts w:ascii="Times New Roman" w:hAnsi="Times New Roman" w:cs="Times New Roman" w:eastAsia="Times New Roman" w:hint="default"/>
          <w:spacing w:val="-2"/>
        </w:rPr>
        <w:t>2015</w:t>
      </w:r>
      <w:r>
        <w:rPr>
          <w:spacing w:val="-2"/>
        </w:rPr>
        <w:t>年半年度报告全文及摘要、</w:t>
      </w:r>
      <w:r>
        <w:rPr>
          <w:rFonts w:ascii="Times New Roman" w:hAnsi="Times New Roman" w:cs="Times New Roman" w:eastAsia="Times New Roman" w:hint="default"/>
          <w:spacing w:val="-2"/>
        </w:rPr>
        <w:t>2015</w:t>
      </w:r>
      <w:r>
        <w:rPr>
          <w:spacing w:val="-2"/>
        </w:rPr>
        <w:t>年第三季度报告等进行了审核，并参与了年度审计与主审会计机</w:t>
      </w:r>
      <w:r>
        <w:rPr>
          <w:spacing w:val="-54"/>
        </w:rPr>
        <w:t> </w:t>
      </w:r>
      <w:r>
        <w:rPr>
          <w:spacing w:val="-54"/>
        </w:rPr>
      </w:r>
      <w:r>
        <w:rPr/>
        <w:t>构的事前、事中沟通和事后评价工作。</w:t>
      </w:r>
    </w:p>
    <w:p>
      <w:pPr>
        <w:pStyle w:val="BodyText"/>
        <w:spacing w:line="297" w:lineRule="auto" w:before="72"/>
        <w:ind w:right="94"/>
        <w:jc w:val="left"/>
      </w:pPr>
      <w:r>
        <w:rPr>
          <w:rFonts w:ascii="Times New Roman" w:hAnsi="Times New Roman" w:cs="Times New Roman" w:eastAsia="Times New Roman" w:hint="default"/>
          <w:spacing w:val="-2"/>
        </w:rPr>
        <w:t>3</w:t>
      </w:r>
      <w:r>
        <w:rPr>
          <w:spacing w:val="-2"/>
        </w:rPr>
        <w:t>、战略委员会：</w:t>
      </w:r>
      <w:r>
        <w:rPr>
          <w:rFonts w:ascii="Times New Roman" w:hAnsi="Times New Roman" w:cs="Times New Roman" w:eastAsia="Times New Roman" w:hint="default"/>
          <w:spacing w:val="-2"/>
        </w:rPr>
        <w:t>2015</w:t>
      </w:r>
      <w:r>
        <w:rPr>
          <w:spacing w:val="-2"/>
        </w:rPr>
        <w:t>年度共组织了</w:t>
      </w:r>
      <w:r>
        <w:rPr>
          <w:rFonts w:ascii="Times New Roman" w:hAnsi="Times New Roman" w:cs="Times New Roman" w:eastAsia="Times New Roman" w:hint="default"/>
          <w:spacing w:val="-2"/>
        </w:rPr>
        <w:t>1</w:t>
      </w:r>
      <w:r>
        <w:rPr>
          <w:spacing w:val="-2"/>
        </w:rPr>
        <w:t>次战略委员会会议。审议并通过公司</w:t>
      </w:r>
      <w:r>
        <w:rPr>
          <w:rFonts w:ascii="Times New Roman" w:hAnsi="Times New Roman" w:cs="Times New Roman" w:eastAsia="Times New Roman" w:hint="default"/>
          <w:spacing w:val="-2"/>
        </w:rPr>
        <w:t>2014</w:t>
      </w:r>
      <w:r>
        <w:rPr>
          <w:spacing w:val="-2"/>
        </w:rPr>
        <w:t>年度公司发展战略取得的成果及</w:t>
      </w:r>
      <w:r>
        <w:rPr>
          <w:rFonts w:ascii="Times New Roman" w:hAnsi="Times New Roman" w:cs="Times New Roman" w:eastAsia="Times New Roman" w:hint="default"/>
          <w:spacing w:val="-2"/>
        </w:rPr>
        <w:t>2015</w:t>
      </w:r>
      <w:r>
        <w:rPr>
          <w:spacing w:val="-2"/>
        </w:rPr>
        <w:t>年将实施</w:t>
      </w:r>
      <w:r>
        <w:rPr>
          <w:spacing w:val="-58"/>
        </w:rPr>
        <w:t> </w:t>
      </w:r>
      <w:r>
        <w:rPr>
          <w:spacing w:val="-58"/>
        </w:rPr>
      </w:r>
      <w:r>
        <w:rPr/>
        <w:t>的战略规划。</w:t>
      </w:r>
    </w:p>
    <w:p>
      <w:pPr>
        <w:spacing w:line="240" w:lineRule="auto" w:before="13"/>
        <w:rPr>
          <w:rFonts w:ascii="宋体" w:hAnsi="宋体" w:cs="宋体" w:eastAsia="宋体" w:hint="default"/>
          <w:sz w:val="21"/>
          <w:szCs w:val="21"/>
        </w:rPr>
      </w:pPr>
    </w:p>
    <w:p>
      <w:pPr>
        <w:pStyle w:val="Heading3"/>
        <w:spacing w:line="240" w:lineRule="auto"/>
        <w:ind w:right="94"/>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监事会在报告期内的监督活动是否发现公司存在风险</w:t>
      </w:r>
    </w:p>
    <w:p>
      <w:pPr>
        <w:pStyle w:val="BodyText"/>
        <w:spacing w:line="360" w:lineRule="auto" w:before="115"/>
        <w:ind w:right="6394"/>
        <w:jc w:val="left"/>
      </w:pPr>
      <w:r>
        <w:rPr/>
        <w:t>□ 是 √</w:t>
      </w:r>
      <w:r>
        <w:rPr>
          <w:spacing w:val="3"/>
        </w:rPr>
        <w:t> </w:t>
      </w:r>
      <w:r>
        <w:rPr/>
        <w:t>否</w:t>
      </w:r>
      <w:r>
        <w:rPr/>
        <w:t> 公司监事会对报告期内的监督事项无异议。</w:t>
      </w:r>
    </w:p>
    <w:p>
      <w:pPr>
        <w:spacing w:line="240" w:lineRule="auto" w:before="5"/>
        <w:rPr>
          <w:rFonts w:ascii="宋体" w:hAnsi="宋体" w:cs="宋体" w:eastAsia="宋体" w:hint="default"/>
          <w:sz w:val="18"/>
          <w:szCs w:val="18"/>
        </w:rPr>
      </w:pPr>
    </w:p>
    <w:p>
      <w:pPr>
        <w:pStyle w:val="Heading3"/>
        <w:spacing w:line="240" w:lineRule="auto"/>
        <w:ind w:right="94"/>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97"/>
        <w:jc w:val="left"/>
      </w:pPr>
      <w:r>
        <w:rPr>
          <w:spacing w:val="-2"/>
        </w:rPr>
        <w:t>公司依据国家法律法规并结合实际情况制定了薪酬管理制度，建立和完善了公司组织绩效管理框架，不断完善绩效考核机制</w:t>
      </w:r>
      <w:r>
        <w:rPr>
          <w:spacing w:val="-64"/>
        </w:rPr>
        <w:t> </w:t>
      </w:r>
      <w:r>
        <w:rPr>
          <w:spacing w:val="-64"/>
        </w:rPr>
      </w:r>
      <w:r>
        <w:rPr>
          <w:spacing w:val="-2"/>
        </w:rPr>
        <w:t>和激励机制，公司高级管理人员严格按照相关法律法规的规定和要求进行聘任，确保公开、透明、公正，同时公司董事会设</w:t>
      </w:r>
      <w:r>
        <w:rPr>
          <w:spacing w:val="-65"/>
        </w:rPr>
        <w:t> </w:t>
      </w:r>
      <w:r>
        <w:rPr>
          <w:spacing w:val="-65"/>
        </w:rPr>
      </w:r>
      <w:r>
        <w:rPr>
          <w:spacing w:val="-2"/>
        </w:rPr>
        <w:t>立薪酬和考核委员会，主要负责对公司董事及高级管理人员进行绩效考核。公司对高级管理人员及技术骨干实施了股权激励</w:t>
      </w:r>
      <w:r>
        <w:rPr>
          <w:spacing w:val="-64"/>
        </w:rPr>
        <w:t> </w:t>
      </w:r>
      <w:r>
        <w:rPr>
          <w:spacing w:val="-64"/>
        </w:rPr>
      </w:r>
      <w:r>
        <w:rPr/>
        <w:t>计划。 </w:t>
      </w: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w:t>
      </w:r>
      <w:r>
        <w:rPr>
          <w:spacing w:val="-3"/>
        </w:rPr>
        <w:t>日，公司</w:t>
      </w:r>
      <w:r>
        <w:rPr>
          <w:rFonts w:ascii="Times New Roman" w:hAnsi="Times New Roman" w:cs="Times New Roman" w:eastAsia="Times New Roman" w:hint="default"/>
          <w:spacing w:val="-3"/>
        </w:rPr>
        <w:t>2011</w:t>
      </w:r>
      <w:r>
        <w:rPr>
          <w:spacing w:val="-3"/>
        </w:rPr>
        <w:t>年第二次临时股东大会审议通过了《青岛市恒顺电气股份有限公司股权激励计划（正式稿）》。</w:t>
      </w:r>
    </w:p>
    <w:p>
      <w:pPr>
        <w:pStyle w:val="BodyText"/>
        <w:spacing w:line="302" w:lineRule="auto"/>
        <w:ind w:right="177"/>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日公司召开第一届董事会第十八次会议，会议决定授予公司</w:t>
      </w:r>
      <w:r>
        <w:rPr>
          <w:rFonts w:ascii="Times New Roman" w:hAnsi="Times New Roman" w:cs="Times New Roman" w:eastAsia="Times New Roman" w:hint="default"/>
          <w:spacing w:val="-2"/>
        </w:rPr>
        <w:t>25</w:t>
      </w:r>
      <w:r>
        <w:rPr>
          <w:spacing w:val="-2"/>
        </w:rPr>
        <w:t>位激励对象合计</w:t>
      </w:r>
      <w:r>
        <w:rPr>
          <w:rFonts w:ascii="Times New Roman" w:hAnsi="Times New Roman" w:cs="Times New Roman" w:eastAsia="Times New Roman" w:hint="default"/>
          <w:spacing w:val="-2"/>
        </w:rPr>
        <w:t>410</w:t>
      </w:r>
      <w:r>
        <w:rPr>
          <w:spacing w:val="-2"/>
        </w:rPr>
        <w:t>万份股票期权，授权日为</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日，行权价格为</w:t>
      </w:r>
      <w:r>
        <w:rPr>
          <w:rFonts w:ascii="Times New Roman" w:hAnsi="Times New Roman" w:cs="Times New Roman" w:eastAsia="Times New Roman" w:hint="default"/>
          <w:spacing w:val="-2"/>
        </w:rPr>
        <w:t>19.74</w:t>
      </w:r>
      <w:r>
        <w:rPr>
          <w:spacing w:val="-2"/>
        </w:rPr>
        <w:t>元</w:t>
      </w:r>
      <w:r>
        <w:rPr>
          <w:rFonts w:ascii="Times New Roman" w:hAnsi="Times New Roman" w:cs="Times New Roman" w:eastAsia="Times New Roman" w:hint="default"/>
          <w:spacing w:val="-2"/>
        </w:rPr>
        <w:t>/</w:t>
      </w:r>
      <w:r>
        <w:rPr>
          <w:spacing w:val="-2"/>
        </w:rPr>
        <w:t>股，并对相关事项进行了公告。公司</w:t>
      </w:r>
      <w:r>
        <w:rPr>
          <w:rFonts w:ascii="Times New Roman" w:hAnsi="Times New Roman" w:cs="Times New Roman" w:eastAsia="Times New Roman" w:hint="default"/>
          <w:spacing w:val="-2"/>
        </w:rPr>
        <w:t>2011</w:t>
      </w:r>
      <w:r>
        <w:rPr>
          <w:spacing w:val="-2"/>
        </w:rPr>
        <w:t>年年度股东大会审议通过的</w:t>
      </w:r>
      <w:r>
        <w:rPr>
          <w:rFonts w:ascii="Times New Roman" w:hAnsi="Times New Roman" w:cs="Times New Roman" w:eastAsia="Times New Roman" w:hint="default"/>
          <w:spacing w:val="-2"/>
        </w:rPr>
        <w:t>2011</w:t>
      </w:r>
      <w:r>
        <w:rPr>
          <w:spacing w:val="-2"/>
        </w:rPr>
        <w:t>年度利润分配方案</w:t>
      </w:r>
      <w:r>
        <w:rPr>
          <w:spacing w:val="-60"/>
        </w:rPr>
        <w:t> </w:t>
      </w:r>
      <w:r>
        <w:rPr>
          <w:spacing w:val="-60"/>
        </w:rPr>
      </w:r>
      <w:r>
        <w:rPr/>
        <w:t>已实施完毕。</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w:t>
      </w:r>
      <w:r>
        <w:rPr/>
        <w:t>根据公司《股票期权激励计划》，董事会依据股东大会的授权，</w:t>
      </w:r>
      <w:r>
        <w:rPr>
          <w:spacing w:val="-38"/>
        </w:rPr>
        <w:t> </w:t>
      </w:r>
      <w:r>
        <w:rPr/>
        <w:t>对股权激励计划中的股票期权数量及</w:t>
      </w:r>
      <w:r>
        <w:rPr/>
        <w:t> 行权价格进行相应的调整。调整后公司股票期权激励计划期权数量调整为</w:t>
      </w:r>
      <w:r>
        <w:rPr>
          <w:rFonts w:ascii="Times New Roman" w:hAnsi="Times New Roman" w:cs="Times New Roman" w:eastAsia="Times New Roman" w:hint="default"/>
        </w:rPr>
        <w:t>820 </w:t>
      </w:r>
      <w:r>
        <w:rPr/>
        <w:t>万份，股票期权行权价格为</w:t>
      </w:r>
      <w:r>
        <w:rPr>
          <w:rFonts w:ascii="Times New Roman" w:hAnsi="Times New Roman" w:cs="Times New Roman" w:eastAsia="Times New Roman" w:hint="default"/>
        </w:rPr>
        <w:t>9.77</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 </w:t>
      </w:r>
      <w:r>
        <w:rPr/>
        <w:t>公司调整后公司股票期权激励计划期权数量调整为</w:t>
      </w:r>
      <w:r>
        <w:rPr>
          <w:rFonts w:ascii="Times New Roman" w:hAnsi="Times New Roman" w:cs="Times New Roman" w:eastAsia="Times New Roman" w:hint="default"/>
        </w:rPr>
        <w:t>1,640 </w:t>
      </w:r>
      <w:r>
        <w:rPr/>
        <w:t>万份，股票期权行权价格为</w:t>
      </w:r>
      <w:r>
        <w:rPr>
          <w:rFonts w:ascii="Times New Roman" w:hAnsi="Times New Roman" w:cs="Times New Roman" w:eastAsia="Times New Roman" w:hint="default"/>
        </w:rPr>
        <w:t>4.785</w:t>
      </w:r>
      <w:r>
        <w:rPr>
          <w:rFonts w:ascii="Times New Roman" w:hAnsi="Times New Roman" w:cs="Times New Roman" w:eastAsia="Times New Roman" w:hint="default"/>
          <w:spacing w:val="7"/>
        </w:rPr>
        <w:t> </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月，股票期权第三期 达到行权条件后行权，激励对象分别于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9</w:t>
      </w:r>
      <w:r>
        <w:rPr/>
        <w:t>日</w:t>
      </w:r>
      <w:r>
        <w:rPr>
          <w:rFonts w:ascii="Times New Roman" w:hAnsi="Times New Roman" w:cs="Times New Roman" w:eastAsia="Times New Roman" w:hint="default"/>
        </w:rPr>
        <w:t>~10</w:t>
      </w:r>
      <w:r>
        <w:rPr/>
        <w:t>日行权共计</w:t>
      </w:r>
      <w:r>
        <w:rPr>
          <w:rFonts w:ascii="Times New Roman" w:hAnsi="Times New Roman" w:cs="Times New Roman" w:eastAsia="Times New Roman" w:hint="default"/>
        </w:rPr>
        <w:t>464</w:t>
      </w:r>
      <w:r>
        <w:rPr/>
        <w:t>万份，至此股票期权全部行权完毕。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2014</w:t>
      </w:r>
      <w:r>
        <w:rPr/>
        <w:t>年第二次临时股东大会审议通过了《限制性股票激励计划（草案修订稿）》。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日公司召开第二届董事会第十二次会议，会议决定授予公司</w:t>
      </w:r>
      <w:r>
        <w:rPr>
          <w:rFonts w:ascii="Times New Roman" w:hAnsi="Times New Roman" w:cs="Times New Roman" w:eastAsia="Times New Roman" w:hint="default"/>
        </w:rPr>
        <w:t>26</w:t>
      </w:r>
      <w:r>
        <w:rPr/>
        <w:t>位激励对象合计</w:t>
      </w:r>
      <w:r>
        <w:rPr>
          <w:rFonts w:ascii="Times New Roman" w:hAnsi="Times New Roman" w:cs="Times New Roman" w:eastAsia="Times New Roman" w:hint="default"/>
        </w:rPr>
        <w:t>1,705</w:t>
      </w:r>
      <w:r>
        <w:rPr/>
        <w:t>万股限制性股票，授权日为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 </w:t>
      </w:r>
      <w:r>
        <w:rPr>
          <w:rFonts w:ascii="Times New Roman" w:hAnsi="Times New Roman" w:cs="Times New Roman" w:eastAsia="Times New Roman" w:hint="default"/>
          <w:spacing w:val="-2"/>
        </w:rPr>
        <w:t>20</w:t>
      </w:r>
      <w:r>
        <w:rPr>
          <w:spacing w:val="-2"/>
        </w:rPr>
        <w:t>日，授予价格为</w:t>
      </w:r>
      <w:r>
        <w:rPr>
          <w:rFonts w:ascii="Times New Roman" w:hAnsi="Times New Roman" w:cs="Times New Roman" w:eastAsia="Times New Roman" w:hint="default"/>
          <w:spacing w:val="-2"/>
        </w:rPr>
        <w:t>4.20</w:t>
      </w:r>
      <w:r>
        <w:rPr>
          <w:spacing w:val="-2"/>
        </w:rPr>
        <w:t>元</w:t>
      </w:r>
      <w:r>
        <w:rPr>
          <w:rFonts w:ascii="Times New Roman" w:hAnsi="Times New Roman" w:cs="Times New Roman" w:eastAsia="Times New Roman" w:hint="default"/>
          <w:spacing w:val="-2"/>
        </w:rPr>
        <w:t>/</w:t>
      </w:r>
      <w:r>
        <w:rPr>
          <w:spacing w:val="-2"/>
        </w:rPr>
        <w:t>股，并对相关事项进行了公告。公司</w:t>
      </w:r>
      <w:r>
        <w:rPr>
          <w:rFonts w:ascii="Times New Roman" w:hAnsi="Times New Roman" w:cs="Times New Roman" w:eastAsia="Times New Roman" w:hint="default"/>
          <w:spacing w:val="-2"/>
        </w:rPr>
        <w:t>2015</w:t>
      </w:r>
      <w:r>
        <w:rPr>
          <w:spacing w:val="-2"/>
        </w:rPr>
        <w:t>年第四次临时股东大会审议通过的</w:t>
      </w:r>
      <w:r>
        <w:rPr>
          <w:rFonts w:ascii="Times New Roman" w:hAnsi="Times New Roman" w:cs="Times New Roman" w:eastAsia="Times New Roman" w:hint="default"/>
          <w:spacing w:val="-2"/>
        </w:rPr>
        <w:t>2015</w:t>
      </w:r>
      <w:r>
        <w:rPr>
          <w:spacing w:val="-2"/>
        </w:rPr>
        <w:t>年半年度利润分配</w:t>
      </w:r>
      <w:r>
        <w:rPr>
          <w:spacing w:val="-61"/>
        </w:rPr>
        <w:t> </w:t>
      </w:r>
      <w:r>
        <w:rPr>
          <w:spacing w:val="-61"/>
        </w:rPr>
      </w:r>
      <w:r>
        <w:rPr/>
        <w:t>方案已实施完毕。</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w:t>
      </w:r>
      <w:r>
        <w:rPr/>
        <w:t>根据公司《限制性股票激励计划（草案修订稿）》，董事会依据股东大会的授权，经公 </w:t>
      </w:r>
      <w:r>
        <w:rPr>
          <w:spacing w:val="-2"/>
        </w:rPr>
        <w:t>司第二届董事会第二十五次会议审议，对限制性股票激励计划中首次授予的限制性股票数量及回购价格进行相应的调整。调</w:t>
      </w:r>
      <w:r>
        <w:rPr>
          <w:spacing w:val="-64"/>
        </w:rPr>
        <w:t> </w:t>
      </w:r>
      <w:r>
        <w:rPr>
          <w:spacing w:val="-64"/>
        </w:rPr>
      </w:r>
      <w:r>
        <w:rPr>
          <w:spacing w:val="-1"/>
        </w:rPr>
        <w:t>整后首次授予的限制性股票总量为</w:t>
      </w:r>
      <w:r>
        <w:rPr>
          <w:rFonts w:ascii="Times New Roman" w:hAnsi="Times New Roman" w:cs="Times New Roman" w:eastAsia="Times New Roman" w:hint="default"/>
          <w:spacing w:val="-1"/>
        </w:rPr>
        <w:t>4,262.50</w:t>
      </w:r>
      <w:r>
        <w:rPr>
          <w:spacing w:val="-1"/>
        </w:rPr>
        <w:t>万股；调整后首次授予的限制性股票的回购价格为</w:t>
      </w:r>
      <w:r>
        <w:rPr>
          <w:rFonts w:ascii="Times New Roman" w:hAnsi="Times New Roman" w:cs="Times New Roman" w:eastAsia="Times New Roman" w:hint="default"/>
          <w:spacing w:val="-1"/>
        </w:rPr>
        <w:t>1.656</w:t>
      </w:r>
      <w:r>
        <w:rPr>
          <w:spacing w:val="-1"/>
        </w:rPr>
        <w:t>元。</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10</w:t>
      </w:r>
      <w:r>
        <w:rPr>
          <w:spacing w:val="-1"/>
        </w:rPr>
        <w:t>月，限制性</w:t>
      </w:r>
      <w:r>
        <w:rPr>
          <w:spacing w:val="-72"/>
        </w:rPr>
        <w:t> </w:t>
      </w:r>
      <w:r>
        <w:rPr>
          <w:spacing w:val="-72"/>
        </w:rPr>
      </w:r>
      <w:r>
        <w:rPr/>
        <w:t>股票第一期达到解锁条件，激励对象分别于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日解锁共计</w:t>
      </w:r>
      <w:r>
        <w:rPr>
          <w:rFonts w:ascii="Times New Roman" w:hAnsi="Times New Roman" w:cs="Times New Roman" w:eastAsia="Times New Roman" w:hint="default"/>
        </w:rPr>
        <w:t>1,278.75</w:t>
      </w:r>
      <w:r>
        <w:rPr/>
        <w:t>万股。</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6"/>
          <w:szCs w:val="26"/>
        </w:rPr>
      </w:pPr>
    </w:p>
    <w:p>
      <w:pPr>
        <w:pStyle w:val="Heading3"/>
        <w:spacing w:line="240" w:lineRule="auto"/>
        <w:ind w:right="94"/>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94"/>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 是 √</w:t>
      </w:r>
      <w:r>
        <w:rPr>
          <w:spacing w:val="3"/>
        </w:rPr>
        <w:t> </w:t>
      </w:r>
      <w:r>
        <w:rPr/>
        <w:t>否</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6"/>
          <w:szCs w:val="26"/>
        </w:rPr>
      </w:pPr>
    </w:p>
    <w:p>
      <w:pPr>
        <w:pStyle w:val="BodyText"/>
        <w:tabs>
          <w:tab w:pos="3376" w:val="left" w:leader="none"/>
        </w:tabs>
        <w:spacing w:line="240" w:lineRule="auto" w:before="44"/>
        <w:ind w:left="181" w:right="0"/>
        <w:jc w:val="left"/>
      </w:pPr>
      <w:r>
        <w:rPr/>
        <w:t>内部控制评价报告全文披露日期</w:t>
        <w:tab/>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03 </w:t>
      </w:r>
      <w:r>
        <w:rPr/>
        <w:t>月</w:t>
      </w:r>
      <w:r>
        <w:rPr>
          <w:spacing w:val="-46"/>
        </w:rPr>
        <w:t> </w:t>
      </w:r>
      <w:r>
        <w:rPr>
          <w:rFonts w:ascii="Times New Roman" w:hAnsi="Times New Roman" w:cs="Times New Roman" w:eastAsia="Times New Roman" w:hint="default"/>
        </w:rPr>
        <w:t>26 </w:t>
      </w:r>
      <w:r>
        <w:rPr/>
        <w:t>日</w:t>
      </w:r>
    </w:p>
    <w:p>
      <w:pPr>
        <w:spacing w:line="240" w:lineRule="auto" w:before="2"/>
        <w:rPr>
          <w:rFonts w:ascii="宋体" w:hAnsi="宋体" w:cs="宋体" w:eastAsia="宋体" w:hint="default"/>
          <w:sz w:val="8"/>
          <w:szCs w:val="8"/>
        </w:rPr>
      </w:pPr>
    </w:p>
    <w:p>
      <w:pPr>
        <w:pStyle w:val="BodyText"/>
        <w:tabs>
          <w:tab w:pos="3376" w:val="left" w:leader="none"/>
        </w:tabs>
        <w:spacing w:line="240" w:lineRule="auto" w:before="44"/>
        <w:ind w:left="181" w:right="0"/>
        <w:jc w:val="left"/>
      </w:pPr>
      <w:r>
        <w:rPr/>
        <w:t>内部控制评价报告全文披露索引</w:t>
        <w:tab/>
        <w:t>巨潮资讯网</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79" w:top="1060" w:bottom="1160" w:left="980" w:right="980"/>
        </w:sectPr>
      </w:pPr>
    </w:p>
    <w:p>
      <w:pPr>
        <w:pStyle w:val="BodyText"/>
        <w:spacing w:line="314" w:lineRule="auto" w:before="44"/>
        <w:ind w:left="181" w:right="-20"/>
        <w:jc w:val="left"/>
      </w:pPr>
      <w:r>
        <w:rPr/>
        <w:t>纳入评价范围单位资产总额占公司合并 财务报表资产总额的比例</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81" w:right="0"/>
        <w:jc w:val="left"/>
        <w:rPr>
          <w:rFonts w:ascii="Times New Roman" w:hAnsi="Times New Roman" w:cs="Times New Roman" w:eastAsia="Times New Roman" w:hint="default"/>
        </w:rPr>
      </w:pPr>
      <w:r>
        <w:rPr>
          <w:rFonts w:ascii="Times New Roman"/>
        </w:rPr>
        <w:t>97.49%</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2" w:equalWidth="0">
            <w:col w:w="3242" w:space="5717"/>
            <w:col w:w="991"/>
          </w:cols>
        </w:sectPr>
      </w:pPr>
    </w:p>
    <w:p>
      <w:pPr>
        <w:pStyle w:val="BodyText"/>
        <w:spacing w:line="316" w:lineRule="auto" w:before="112"/>
        <w:ind w:left="181" w:right="-20"/>
        <w:jc w:val="left"/>
      </w:pPr>
      <w:r>
        <w:rPr/>
        <w:t>纳入评价范围单位营业收入占公司合并 财务报表营业收入的比例</w:t>
      </w:r>
    </w:p>
    <w:p>
      <w:pPr>
        <w:spacing w:line="240" w:lineRule="auto" w:before="9"/>
        <w:rPr>
          <w:rFonts w:ascii="宋体" w:hAnsi="宋体" w:cs="宋体" w:eastAsia="宋体" w:hint="default"/>
          <w:sz w:val="23"/>
          <w:szCs w:val="23"/>
        </w:rPr>
      </w:pPr>
      <w:r>
        <w:rPr/>
        <w:br w:type="column"/>
      </w:r>
      <w:r>
        <w:rPr>
          <w:rFonts w:ascii="宋体"/>
          <w:sz w:val="23"/>
        </w:rPr>
      </w:r>
    </w:p>
    <w:p>
      <w:pPr>
        <w:pStyle w:val="BodyText"/>
        <w:spacing w:line="240" w:lineRule="auto"/>
        <w:ind w:left="181" w:right="0"/>
        <w:jc w:val="left"/>
        <w:rPr>
          <w:rFonts w:ascii="Times New Roman" w:hAnsi="Times New Roman" w:cs="Times New Roman" w:eastAsia="Times New Roman" w:hint="default"/>
        </w:rPr>
      </w:pPr>
      <w:r>
        <w:rPr>
          <w:rFonts w:ascii="Times New Roman"/>
        </w:rPr>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cols w:num="2" w:equalWidth="0">
            <w:col w:w="3242" w:space="5625"/>
            <w:col w:w="1083"/>
          </w:cols>
        </w:sectPr>
      </w:pPr>
    </w:p>
    <w:p>
      <w:pPr>
        <w:pStyle w:val="BodyText"/>
        <w:spacing w:line="240" w:lineRule="auto" w:before="110"/>
        <w:ind w:left="133" w:right="203"/>
        <w:jc w:val="center"/>
      </w:pPr>
      <w:r>
        <w:rPr/>
        <w:t>缺陷认定标准</w:t>
      </w:r>
    </w:p>
    <w:p>
      <w:pPr>
        <w:spacing w:line="240" w:lineRule="auto" w:before="4"/>
        <w:rPr>
          <w:rFonts w:ascii="宋体" w:hAnsi="宋体" w:cs="宋体" w:eastAsia="宋体" w:hint="default"/>
          <w:sz w:val="9"/>
          <w:szCs w:val="9"/>
        </w:rPr>
      </w:pPr>
    </w:p>
    <w:p>
      <w:pPr>
        <w:pStyle w:val="BodyText"/>
        <w:tabs>
          <w:tab w:pos="4648" w:val="left" w:leader="none"/>
          <w:tab w:pos="7747" w:val="left" w:leader="none"/>
        </w:tabs>
        <w:spacing w:line="240" w:lineRule="auto" w:before="44"/>
        <w:ind w:left="1569" w:right="0"/>
        <w:jc w:val="left"/>
      </w:pPr>
      <w:r>
        <w:rPr/>
        <w:t>类别</w:t>
        <w:tab/>
        <w:t>财务报告</w:t>
        <w:tab/>
        <w:t>非财务报告</w:t>
      </w: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3377" w:right="-19"/>
        <w:jc w:val="left"/>
      </w:pPr>
      <w:r>
        <w:rPr/>
        <w:t>① 财务报告重大缺陷的迹象包括： </w:t>
      </w:r>
      <w:r>
        <w:rPr>
          <w:rFonts w:ascii="Times New Roman" w:hAnsi="Times New Roman" w:cs="Times New Roman" w:eastAsia="Times New Roman" w:hint="default"/>
        </w:rPr>
        <w:t>a </w:t>
      </w:r>
      <w:r>
        <w:rPr>
          <w:rFonts w:ascii="Times New Roman" w:hAnsi="Times New Roman" w:cs="Times New Roman" w:eastAsia="Times New Roman" w:hint="default"/>
          <w:spacing w:val="2"/>
        </w:rPr>
        <w:t> </w:t>
      </w:r>
      <w:r>
        <w:rPr/>
        <w:t>公</w:t>
      </w:r>
    </w:p>
    <w:p>
      <w:pPr>
        <w:pStyle w:val="BodyText"/>
        <w:spacing w:line="307" w:lineRule="auto" w:before="44"/>
        <w:ind w:left="51" w:right="231"/>
        <w:jc w:val="left"/>
      </w:pPr>
      <w:r>
        <w:rPr/>
        <w:br w:type="column"/>
      </w:r>
      <w:r>
        <w:rPr/>
        <w:t>①</w:t>
      </w:r>
      <w:r>
        <w:rPr>
          <w:spacing w:val="1"/>
        </w:rPr>
        <w:t> </w:t>
      </w:r>
      <w:r>
        <w:rPr/>
        <w:t>非财务报告重大缺陷的迹象包括：</w:t>
      </w:r>
      <w:r>
        <w:rPr/>
        <w:t> </w:t>
      </w:r>
      <w:r>
        <w:rPr>
          <w:rFonts w:ascii="Times New Roman" w:hAnsi="Times New Roman" w:cs="Times New Roman" w:eastAsia="Times New Roman" w:hint="default"/>
        </w:rPr>
        <w:t>a </w:t>
      </w:r>
      <w:r>
        <w:rPr/>
        <w:t>公司经营活动严重违反国家相关法 </w:t>
      </w:r>
      <w:r>
        <w:rPr>
          <w:spacing w:val="-13"/>
        </w:rPr>
        <w:t>律法规；</w:t>
      </w:r>
      <w:r>
        <w:rPr>
          <w:rFonts w:ascii="Times New Roman" w:hAnsi="Times New Roman" w:cs="Times New Roman" w:eastAsia="Times New Roman" w:hint="default"/>
          <w:spacing w:val="-13"/>
        </w:rPr>
        <w:t>b </w:t>
      </w:r>
      <w:r>
        <w:rPr>
          <w:rFonts w:ascii="Times New Roman" w:hAnsi="Times New Roman" w:cs="Times New Roman" w:eastAsia="Times New Roman" w:hint="default"/>
          <w:spacing w:val="12"/>
        </w:rPr>
        <w:t> </w:t>
      </w:r>
      <w:r>
        <w:rPr/>
        <w:t>重大经营决策未按公司政策</w:t>
      </w:r>
    </w:p>
    <w:p>
      <w:pPr>
        <w:pStyle w:val="BodyText"/>
        <w:spacing w:line="212" w:lineRule="exact" w:before="7"/>
        <w:ind w:left="51" w:right="0"/>
        <w:jc w:val="left"/>
      </w:pPr>
      <w:r>
        <w:rPr>
          <w:spacing w:val="-4"/>
        </w:rPr>
        <w:t>执行，导致决策失误，产生重大经济损</w:t>
      </w:r>
    </w:p>
    <w:p>
      <w:pPr>
        <w:spacing w:after="0" w:line="212" w:lineRule="exact"/>
        <w:jc w:val="left"/>
        <w:sectPr>
          <w:type w:val="continuous"/>
          <w:pgSz w:w="11910" w:h="16840"/>
          <w:pgMar w:top="1060" w:bottom="1160" w:left="980" w:right="980"/>
          <w:cols w:num="2" w:equalWidth="0">
            <w:col w:w="6611" w:space="40"/>
            <w:col w:w="3299"/>
          </w:cols>
        </w:sectPr>
      </w:pPr>
    </w:p>
    <w:p>
      <w:pPr>
        <w:pStyle w:val="BodyText"/>
        <w:spacing w:line="140" w:lineRule="exact"/>
        <w:ind w:left="3377" w:right="0"/>
        <w:jc w:val="left"/>
      </w:pPr>
      <w:r>
        <w:rPr>
          <w:spacing w:val="-4"/>
        </w:rPr>
        <w:t>司董事、监事和高级管理人员的舞弊行为；</w:t>
      </w:r>
    </w:p>
    <w:p>
      <w:pPr>
        <w:pStyle w:val="BodyText"/>
        <w:spacing w:line="172" w:lineRule="exact"/>
        <w:ind w:left="0" w:right="247"/>
        <w:jc w:val="right"/>
      </w:pPr>
      <w:r>
        <w:rPr>
          <w:spacing w:val="-9"/>
        </w:rPr>
        <w:t>失；</w:t>
      </w:r>
      <w:r>
        <w:rPr>
          <w:rFonts w:ascii="Times New Roman" w:hAnsi="Times New Roman" w:cs="Times New Roman" w:eastAsia="Times New Roman" w:hint="default"/>
          <w:spacing w:val="-9"/>
        </w:rPr>
        <w:t>c </w:t>
      </w:r>
      <w:r>
        <w:rPr>
          <w:rFonts w:ascii="Times New Roman" w:hAnsi="Times New Roman" w:cs="Times New Roman" w:eastAsia="Times New Roman" w:hint="default"/>
          <w:spacing w:val="22"/>
        </w:rPr>
        <w:t> </w:t>
      </w:r>
      <w:r>
        <w:rPr>
          <w:spacing w:val="-3"/>
        </w:rPr>
        <w:t>未对公司重要技术资料、机密内</w:t>
      </w:r>
    </w:p>
    <w:p>
      <w:pPr>
        <w:spacing w:after="0" w:line="172" w:lineRule="exact"/>
        <w:jc w:val="right"/>
        <w:sectPr>
          <w:type w:val="continuous"/>
          <w:pgSz w:w="11910" w:h="16840"/>
          <w:pgMar w:top="1060" w:bottom="1160" w:left="980" w:right="980"/>
        </w:sectPr>
      </w:pPr>
    </w:p>
    <w:p>
      <w:pPr>
        <w:pStyle w:val="BodyText"/>
        <w:spacing w:line="194" w:lineRule="exact"/>
        <w:ind w:left="3377" w:right="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注册会计师发现的却未被公司内部控制</w:t>
      </w:r>
    </w:p>
    <w:p>
      <w:pPr>
        <w:pStyle w:val="BodyText"/>
        <w:spacing w:line="307" w:lineRule="auto" w:before="63"/>
        <w:ind w:left="3377" w:right="0"/>
        <w:jc w:val="both"/>
      </w:pPr>
      <w:r>
        <w:rPr/>
        <w:t>识别的当期财务报告中的重大错报；</w:t>
      </w:r>
      <w:r>
        <w:rPr>
          <w:rFonts w:ascii="Times New Roman" w:hAnsi="Times New Roman" w:cs="Times New Roman" w:eastAsia="Times New Roman" w:hint="default"/>
        </w:rPr>
        <w:t>c </w:t>
      </w:r>
      <w:r>
        <w:rPr/>
        <w:t>对 已公告的财务报告出现的重大差错进行错 报更正；</w:t>
      </w:r>
      <w:r>
        <w:rPr>
          <w:spacing w:val="-63"/>
        </w:rPr>
        <w:t> </w:t>
      </w:r>
      <w:r>
        <w:rPr>
          <w:rFonts w:ascii="Times New Roman" w:hAnsi="Times New Roman" w:cs="Times New Roman" w:eastAsia="Times New Roman" w:hint="default"/>
        </w:rPr>
        <w:t>d</w:t>
      </w:r>
      <w:r>
        <w:rPr>
          <w:rFonts w:ascii="Times New Roman" w:hAnsi="Times New Roman" w:cs="Times New Roman" w:eastAsia="Times New Roman" w:hint="default"/>
          <w:spacing w:val="42"/>
        </w:rPr>
        <w:t> </w:t>
      </w:r>
      <w:r>
        <w:rPr/>
        <w:t>审计委员会和审计部门对公司 的对外财务报告和财务报告内部控制监督</w:t>
      </w:r>
    </w:p>
    <w:p>
      <w:pPr>
        <w:pStyle w:val="BodyText"/>
        <w:spacing w:line="312" w:lineRule="exact" w:before="61"/>
        <w:ind w:left="17" w:right="165"/>
        <w:jc w:val="left"/>
      </w:pPr>
      <w:r>
        <w:rPr/>
        <w:br w:type="column"/>
      </w:r>
      <w:r>
        <w:rPr/>
        <w:t>幕信息进行有效防控，致使信息泄漏， 导致公司重大损失或不良社会影响；</w:t>
      </w:r>
      <w:r>
        <w:rPr>
          <w:rFonts w:ascii="Times New Roman" w:hAnsi="Times New Roman" w:cs="Times New Roman" w:eastAsia="Times New Roman" w:hint="default"/>
        </w:rPr>
        <w:t>d </w:t>
      </w:r>
      <w:r>
        <w:rPr/>
        <w:t>重要业务缺乏制度控制或制度系统性 失效，且缺乏有效的补偿性控制</w:t>
      </w:r>
      <w:r>
        <w:rPr>
          <w:rFonts w:ascii="Times New Roman" w:hAnsi="Times New Roman" w:cs="Times New Roman" w:eastAsia="Times New Roman" w:hint="default"/>
        </w:rPr>
        <w:t>;e </w:t>
      </w:r>
      <w:r>
        <w:rPr/>
        <w:t>内 部控制评价中发现的重大或重要缺陷</w:t>
      </w:r>
    </w:p>
    <w:p>
      <w:pPr>
        <w:spacing w:after="0" w:line="312" w:lineRule="exact"/>
        <w:jc w:val="left"/>
        <w:sectPr>
          <w:type w:val="continuous"/>
          <w:pgSz w:w="11910" w:h="16840"/>
          <w:pgMar w:top="1060" w:bottom="1160" w:left="980" w:right="980"/>
          <w:cols w:num="2" w:equalWidth="0">
            <w:col w:w="6644" w:space="40"/>
            <w:col w:w="3266"/>
          </w:cols>
        </w:sectPr>
      </w:pPr>
    </w:p>
    <w:p>
      <w:pPr>
        <w:pStyle w:val="BodyText"/>
        <w:spacing w:line="80" w:lineRule="exact"/>
        <w:ind w:left="3377" w:right="0"/>
        <w:jc w:val="left"/>
      </w:pPr>
      <w:r>
        <w:rPr/>
        <w:t>无效。②</w:t>
      </w:r>
      <w:r>
        <w:rPr>
          <w:spacing w:val="1"/>
        </w:rPr>
        <w:t> </w:t>
      </w:r>
      <w:r>
        <w:rPr/>
        <w:t>财务报告重要缺陷的迹象包括：</w:t>
      </w:r>
    </w:p>
    <w:p>
      <w:pPr>
        <w:pStyle w:val="BodyText"/>
        <w:spacing w:line="172" w:lineRule="exact"/>
        <w:ind w:left="0" w:right="343"/>
        <w:jc w:val="right"/>
      </w:pPr>
      <w:r>
        <w:rPr/>
        <w:t>未得到整改</w:t>
      </w:r>
      <w:r>
        <w:rPr>
          <w:rFonts w:ascii="Times New Roman" w:hAnsi="Times New Roman" w:cs="Times New Roman" w:eastAsia="Times New Roman" w:hint="default"/>
        </w:rPr>
        <w:t>;f</w:t>
      </w:r>
      <w:r>
        <w:rPr>
          <w:rFonts w:ascii="Times New Roman" w:hAnsi="Times New Roman" w:cs="Times New Roman" w:eastAsia="Times New Roman" w:hint="default"/>
          <w:spacing w:val="44"/>
        </w:rPr>
        <w:t> </w:t>
      </w:r>
      <w:r>
        <w:rPr/>
        <w:t>其他对公司产生重大负</w:t>
      </w:r>
    </w:p>
    <w:p>
      <w:pPr>
        <w:spacing w:after="0" w:line="172" w:lineRule="exact"/>
        <w:jc w:val="right"/>
        <w:sectPr>
          <w:type w:val="continuous"/>
          <w:pgSz w:w="11910" w:h="16840"/>
          <w:pgMar w:top="1060" w:bottom="1160" w:left="980" w:right="980"/>
        </w:sectPr>
      </w:pPr>
    </w:p>
    <w:p>
      <w:pPr>
        <w:pStyle w:val="BodyText"/>
        <w:spacing w:line="240" w:lineRule="auto" w:before="103"/>
        <w:ind w:left="181" w:right="-20"/>
        <w:jc w:val="left"/>
      </w:pPr>
      <w:r>
        <w:rPr/>
        <w:t>定性标准</w:t>
      </w:r>
    </w:p>
    <w:p>
      <w:pPr>
        <w:pStyle w:val="BodyText"/>
        <w:spacing w:line="194" w:lineRule="exact"/>
        <w:ind w:left="181" w:right="0"/>
        <w:jc w:val="both"/>
      </w:pPr>
      <w:r>
        <w:rPr/>
        <w:br w:type="column"/>
      </w:r>
      <w:r>
        <w:rPr>
          <w:rFonts w:ascii="Times New Roman" w:hAnsi="Times New Roman" w:cs="Times New Roman" w:eastAsia="Times New Roman" w:hint="default"/>
        </w:rPr>
        <w:t>a  </w:t>
      </w:r>
      <w:r>
        <w:rPr/>
        <w:t>未依照公认会计准则选择和应用会计政</w:t>
      </w:r>
    </w:p>
    <w:p>
      <w:pPr>
        <w:pStyle w:val="BodyText"/>
        <w:spacing w:line="309" w:lineRule="auto" w:before="63"/>
        <w:ind w:left="181" w:right="0"/>
        <w:jc w:val="both"/>
      </w:pPr>
      <w:r>
        <w:rPr/>
        <w:t>策； </w:t>
      </w:r>
      <w:r>
        <w:rPr>
          <w:rFonts w:ascii="Times New Roman" w:hAnsi="Times New Roman" w:cs="Times New Roman" w:eastAsia="Times New Roman" w:hint="default"/>
        </w:rPr>
        <w:t>b </w:t>
      </w:r>
      <w:r>
        <w:rPr/>
        <w:t>未建立反舞弊程序和控制措施；</w:t>
      </w:r>
      <w:r>
        <w:rPr>
          <w:spacing w:val="-52"/>
        </w:rPr>
        <w:t> </w:t>
      </w:r>
      <w:r>
        <w:rPr>
          <w:rFonts w:ascii="Times New Roman" w:hAnsi="Times New Roman" w:cs="Times New Roman" w:eastAsia="Times New Roman" w:hint="default"/>
        </w:rPr>
        <w:t>c </w:t>
      </w:r>
      <w:r>
        <w:rPr/>
        <w:t>对于非常规或特殊交易的账务处理没有建 立相应的控制机制或没有实施且没有相应 的补偿性控制；</w:t>
      </w:r>
      <w:r>
        <w:rPr>
          <w:spacing w:val="-63"/>
        </w:rPr>
        <w:t> </w:t>
      </w:r>
      <w:r>
        <w:rPr>
          <w:rFonts w:ascii="Times New Roman" w:hAnsi="Times New Roman" w:cs="Times New Roman" w:eastAsia="Times New Roman" w:hint="default"/>
        </w:rPr>
        <w:t>d</w:t>
      </w:r>
      <w:r>
        <w:rPr>
          <w:rFonts w:ascii="Times New Roman" w:hAnsi="Times New Roman" w:cs="Times New Roman" w:eastAsia="Times New Roman" w:hint="default"/>
          <w:spacing w:val="42"/>
        </w:rPr>
        <w:t> </w:t>
      </w:r>
      <w:r>
        <w:rPr/>
        <w:t>对于期末财务报告过程 的控制存在一项或多项缺陷且不能合理保</w:t>
      </w:r>
    </w:p>
    <w:p>
      <w:pPr>
        <w:pStyle w:val="BodyText"/>
        <w:spacing w:line="312" w:lineRule="exact" w:before="61"/>
        <w:ind w:left="14" w:right="166"/>
        <w:jc w:val="left"/>
      </w:pPr>
      <w:r>
        <w:rPr/>
        <w:br w:type="column"/>
      </w:r>
      <w:r>
        <w:rPr/>
        <w:t>面影响的情形。②</w:t>
      </w:r>
      <w:r>
        <w:rPr>
          <w:spacing w:val="1"/>
        </w:rPr>
        <w:t> </w:t>
      </w:r>
      <w:r>
        <w:rPr/>
        <w:t>非财务报告重要缺</w:t>
      </w:r>
      <w:r>
        <w:rPr/>
        <w:t> 陷的迹象包括： </w:t>
      </w:r>
      <w:r>
        <w:rPr>
          <w:rFonts w:ascii="Times New Roman" w:hAnsi="Times New Roman" w:cs="Times New Roman" w:eastAsia="Times New Roman" w:hint="default"/>
        </w:rPr>
        <w:t>a</w:t>
      </w:r>
      <w:r>
        <w:rPr>
          <w:rFonts w:ascii="Times New Roman" w:hAnsi="Times New Roman" w:cs="Times New Roman" w:eastAsia="Times New Roman" w:hint="default"/>
          <w:spacing w:val="44"/>
        </w:rPr>
        <w:t> </w:t>
      </w:r>
      <w:r>
        <w:rPr/>
        <w:t>公司经营活动监管 </w:t>
      </w:r>
      <w:r>
        <w:rPr>
          <w:spacing w:val="-4"/>
        </w:rPr>
        <w:t>不全面，存在违反国家相关法律法规的</w:t>
      </w:r>
      <w:r>
        <w:rPr>
          <w:spacing w:val="-87"/>
        </w:rPr>
        <w:t> </w:t>
      </w:r>
      <w:r>
        <w:rPr>
          <w:spacing w:val="-87"/>
        </w:rPr>
      </w:r>
      <w:r>
        <w:rPr/>
        <w:t>可能；</w:t>
      </w:r>
      <w:r>
        <w:rPr>
          <w:rFonts w:ascii="Times New Roman" w:hAnsi="Times New Roman" w:cs="Times New Roman" w:eastAsia="Times New Roman" w:hint="default"/>
        </w:rPr>
        <w:t>b</w:t>
      </w:r>
      <w:r>
        <w:rPr>
          <w:rFonts w:ascii="Times New Roman" w:hAnsi="Times New Roman" w:cs="Times New Roman" w:eastAsia="Times New Roman" w:hint="default"/>
          <w:spacing w:val="44"/>
        </w:rPr>
        <w:t> </w:t>
      </w:r>
      <w:r>
        <w:rPr/>
        <w:t>经营决策未按公司政策执行， 导致决策执行不力，产生较大经济损 失；</w:t>
      </w:r>
      <w:r>
        <w:rPr>
          <w:rFonts w:ascii="Times New Roman" w:hAnsi="Times New Roman" w:cs="Times New Roman" w:eastAsia="Times New Roman" w:hint="default"/>
        </w:rPr>
        <w:t>c  </w:t>
      </w:r>
      <w:r>
        <w:rPr/>
        <w:t>公司重要技术资料保管不善丢</w:t>
      </w:r>
    </w:p>
    <w:p>
      <w:pPr>
        <w:spacing w:after="0" w:line="312" w:lineRule="exact"/>
        <w:jc w:val="left"/>
        <w:sectPr>
          <w:type w:val="continuous"/>
          <w:pgSz w:w="11910" w:h="16840"/>
          <w:pgMar w:top="1060" w:bottom="1160" w:left="980" w:right="980"/>
          <w:cols w:num="3" w:equalWidth="0">
            <w:col w:w="902" w:space="2293"/>
            <w:col w:w="3452" w:space="40"/>
            <w:col w:w="3263"/>
          </w:cols>
        </w:sectPr>
      </w:pPr>
    </w:p>
    <w:p>
      <w:pPr>
        <w:pStyle w:val="BodyText"/>
        <w:spacing w:line="79" w:lineRule="exact"/>
        <w:ind w:left="3377" w:right="0"/>
        <w:jc w:val="left"/>
      </w:pPr>
      <w:r>
        <w:rPr>
          <w:spacing w:val="-4"/>
        </w:rPr>
        <w:t>证编制的财务报表达到真实、完整的目标。</w:t>
      </w:r>
    </w:p>
    <w:p>
      <w:pPr>
        <w:pStyle w:val="BodyText"/>
        <w:spacing w:line="172" w:lineRule="exact"/>
        <w:ind w:left="0" w:right="244"/>
        <w:jc w:val="right"/>
      </w:pPr>
      <w:r>
        <w:rPr>
          <w:spacing w:val="-5"/>
        </w:rPr>
        <w:t>失，给公司造成较大经济损失；</w:t>
      </w:r>
      <w:r>
        <w:rPr>
          <w:rFonts w:ascii="Times New Roman" w:hAnsi="Times New Roman" w:cs="Times New Roman" w:eastAsia="Times New Roman" w:hint="default"/>
          <w:spacing w:val="-5"/>
        </w:rPr>
        <w:t>d </w:t>
      </w:r>
      <w:r>
        <w:rPr>
          <w:rFonts w:ascii="Times New Roman" w:hAnsi="Times New Roman" w:cs="Times New Roman" w:eastAsia="Times New Roman" w:hint="default"/>
          <w:spacing w:val="17"/>
        </w:rPr>
        <w:t> </w:t>
      </w:r>
      <w:r>
        <w:rPr/>
        <w:t>内部</w:t>
      </w:r>
    </w:p>
    <w:p>
      <w:pPr>
        <w:spacing w:after="0" w:line="172" w:lineRule="exact"/>
        <w:jc w:val="right"/>
        <w:sectPr>
          <w:type w:val="continuous"/>
          <w:pgSz w:w="11910" w:h="16840"/>
          <w:pgMar w:top="1060" w:bottom="1160" w:left="980" w:right="980"/>
        </w:sectPr>
      </w:pPr>
    </w:p>
    <w:p>
      <w:pPr>
        <w:pStyle w:val="BodyText"/>
        <w:spacing w:line="180" w:lineRule="exact"/>
        <w:ind w:left="3377" w:right="-20"/>
        <w:jc w:val="left"/>
      </w:pPr>
      <w:r>
        <w:rPr/>
        <w:t>③</w:t>
      </w:r>
      <w:r>
        <w:rPr>
          <w:spacing w:val="6"/>
        </w:rPr>
        <w:t> </w:t>
      </w:r>
      <w:r>
        <w:rPr>
          <w:spacing w:val="-4"/>
        </w:rPr>
        <w:t>财务报告一般缺陷的迹象包括：除上述</w:t>
      </w:r>
    </w:p>
    <w:p>
      <w:pPr>
        <w:pStyle w:val="BodyText"/>
        <w:spacing w:line="319" w:lineRule="auto" w:before="76"/>
        <w:ind w:left="3377" w:right="8"/>
        <w:jc w:val="left"/>
      </w:pPr>
      <w:r>
        <w:rPr/>
        <w:t>重大缺陷、重要缺陷之外的其他财务报告 内部控制缺陷。</w:t>
      </w:r>
    </w:p>
    <w:p>
      <w:pPr>
        <w:pStyle w:val="BodyText"/>
        <w:spacing w:line="314" w:lineRule="auto" w:before="100"/>
        <w:ind w:left="15" w:right="233"/>
        <w:jc w:val="left"/>
      </w:pPr>
      <w:r>
        <w:rPr/>
        <w:br w:type="column"/>
      </w:r>
      <w:r>
        <w:rPr/>
        <w:t>控制评价中发现的较大缺陷未得到整 </w:t>
      </w:r>
      <w:r>
        <w:rPr>
          <w:spacing w:val="-19"/>
        </w:rPr>
        <w:t>改；</w:t>
      </w:r>
      <w:r>
        <w:rPr>
          <w:rFonts w:ascii="Times New Roman" w:hAnsi="Times New Roman" w:cs="Times New Roman" w:eastAsia="Times New Roman" w:hint="default"/>
          <w:spacing w:val="-19"/>
        </w:rPr>
        <w:t>e</w:t>
      </w:r>
      <w:r>
        <w:rPr>
          <w:rFonts w:ascii="Times New Roman" w:hAnsi="Times New Roman" w:cs="Times New Roman" w:eastAsia="Times New Roman" w:hint="default"/>
          <w:spacing w:val="-7"/>
        </w:rPr>
        <w:t> </w:t>
      </w:r>
      <w:r>
        <w:rPr/>
        <w:t>其他对公司产生较大负面影响的 情形 ③ 非财务报告一般缺陷的迹象 </w:t>
      </w:r>
      <w:r>
        <w:rPr>
          <w:spacing w:val="-4"/>
        </w:rPr>
        <w:t>包括：除上述重大缺陷、重要缺陷之外</w:t>
      </w:r>
      <w:r>
        <w:rPr>
          <w:spacing w:val="-88"/>
        </w:rPr>
        <w:t> </w:t>
      </w:r>
      <w:r>
        <w:rPr>
          <w:spacing w:val="-88"/>
        </w:rPr>
      </w:r>
      <w:r>
        <w:rPr/>
        <w:t>的其他非财务报告内部控制缺陷。</w:t>
      </w:r>
    </w:p>
    <w:p>
      <w:pPr>
        <w:spacing w:after="0" w:line="314" w:lineRule="auto"/>
        <w:jc w:val="left"/>
        <w:sectPr>
          <w:type w:val="continuous"/>
          <w:pgSz w:w="11910" w:h="16840"/>
          <w:pgMar w:top="1060" w:bottom="1160" w:left="980" w:right="980"/>
          <w:cols w:num="2" w:equalWidth="0">
            <w:col w:w="6646" w:space="40"/>
            <w:col w:w="326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spacing w:line="212" w:lineRule="exact"/>
        <w:ind w:left="181" w:right="-20"/>
        <w:jc w:val="left"/>
      </w:pPr>
      <w:r>
        <w:rPr/>
        <w:t>定量标准</w:t>
      </w:r>
    </w:p>
    <w:p>
      <w:pPr>
        <w:pStyle w:val="BodyText"/>
        <w:spacing w:line="300" w:lineRule="auto" w:before="112"/>
        <w:ind w:left="181" w:right="-19"/>
        <w:jc w:val="left"/>
      </w:pPr>
      <w:r>
        <w:rPr/>
        <w:br w:type="column"/>
      </w:r>
      <w:r>
        <w:rPr/>
        <w:t>一、一般缺陷：利润总额错报错报≤</w:t>
      </w:r>
      <w:r>
        <w:rPr>
          <w:rFonts w:ascii="Times New Roman" w:hAnsi="Times New Roman" w:cs="Times New Roman" w:eastAsia="Times New Roman" w:hint="default"/>
        </w:rPr>
        <w:t>2%</w:t>
      </w:r>
      <w:r>
        <w:rPr/>
        <w:t>， 主营业务收入错报≤</w:t>
      </w:r>
      <w:r>
        <w:rPr>
          <w:rFonts w:ascii="Times New Roman" w:hAnsi="Times New Roman" w:cs="Times New Roman" w:eastAsia="Times New Roman" w:hint="default"/>
        </w:rPr>
        <w:t>0.5%</w:t>
      </w:r>
      <w:r>
        <w:rPr/>
        <w:t>，资产总额错报</w:t>
      </w:r>
    </w:p>
    <w:p>
      <w:pPr>
        <w:pStyle w:val="BodyText"/>
        <w:spacing w:line="240" w:lineRule="auto" w:before="13"/>
        <w:ind w:left="181" w:right="-19"/>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；二、重要缺陷：利润总额错报</w:t>
      </w:r>
      <w:r>
        <w:rPr>
          <w:spacing w:val="-43"/>
        </w:rPr>
        <w:t> </w:t>
      </w:r>
      <w:r>
        <w:rPr>
          <w:rFonts w:ascii="Times New Roman" w:hAnsi="Times New Roman" w:cs="Times New Roman" w:eastAsia="Times New Roman" w:hint="default"/>
        </w:rPr>
        <w:t>2%</w:t>
      </w:r>
    </w:p>
    <w:p>
      <w:pPr>
        <w:pStyle w:val="BodyText"/>
        <w:spacing w:line="240" w:lineRule="auto" w:before="63"/>
        <w:ind w:left="181" w:right="-19"/>
        <w:jc w:val="left"/>
      </w:pPr>
      <w:r>
        <w:rPr/>
        <w:t>＜错报≤</w:t>
      </w:r>
      <w:r>
        <w:rPr>
          <w:rFonts w:ascii="Times New Roman" w:hAnsi="Times New Roman" w:cs="Times New Roman" w:eastAsia="Times New Roman" w:hint="default"/>
        </w:rPr>
        <w:t>5%</w:t>
      </w:r>
      <w:r>
        <w:rPr/>
        <w:t>，主营业务收入错报</w:t>
      </w:r>
      <w:r>
        <w:rPr>
          <w:spacing w:val="-44"/>
        </w:rPr>
        <w:t> </w:t>
      </w:r>
      <w:r>
        <w:rPr>
          <w:rFonts w:ascii="Times New Roman" w:hAnsi="Times New Roman" w:cs="Times New Roman" w:eastAsia="Times New Roman" w:hint="default"/>
        </w:rPr>
        <w:t>0.5%</w:t>
      </w:r>
      <w:r>
        <w:rPr/>
        <w:t>＜</w:t>
      </w:r>
    </w:p>
    <w:p>
      <w:pPr>
        <w:spacing w:line="240" w:lineRule="auto" w:before="6"/>
        <w:rPr>
          <w:rFonts w:ascii="宋体" w:hAnsi="宋体" w:cs="宋体" w:eastAsia="宋体" w:hint="default"/>
          <w:sz w:val="17"/>
          <w:szCs w:val="17"/>
        </w:rPr>
      </w:pPr>
      <w:r>
        <w:rPr/>
        <w:br w:type="column"/>
      </w:r>
      <w:r>
        <w:rPr>
          <w:rFonts w:ascii="宋体"/>
          <w:sz w:val="17"/>
        </w:rPr>
      </w:r>
    </w:p>
    <w:p>
      <w:pPr>
        <w:pStyle w:val="BodyText"/>
        <w:spacing w:line="312" w:lineRule="exact"/>
        <w:ind w:left="-17" w:right="142"/>
        <w:jc w:val="left"/>
      </w:pPr>
      <w:r>
        <w:rPr>
          <w:spacing w:val="-4"/>
        </w:rPr>
        <w:t>一、一般缺陷：直接财产损失金额：损</w:t>
      </w:r>
      <w:r>
        <w:rPr>
          <w:spacing w:val="-88"/>
        </w:rPr>
        <w:t> </w:t>
      </w:r>
      <w:r>
        <w:rPr>
          <w:spacing w:val="-88"/>
        </w:rPr>
      </w:r>
      <w:r>
        <w:rPr/>
        <w:t>失≤上年经审计的利润总额的</w:t>
      </w:r>
      <w:r>
        <w:rPr>
          <w:spacing w:val="-41"/>
        </w:rPr>
        <w:t> </w:t>
      </w:r>
      <w:r>
        <w:rPr>
          <w:rFonts w:ascii="Times New Roman" w:hAnsi="Times New Roman" w:cs="Times New Roman" w:eastAsia="Times New Roman" w:hint="default"/>
          <w:spacing w:val="-17"/>
        </w:rPr>
        <w:t>2%</w:t>
      </w:r>
      <w:r>
        <w:rPr>
          <w:spacing w:val="-17"/>
        </w:rPr>
        <w:t>；二、</w:t>
      </w:r>
      <w:r>
        <w:rPr/>
        <w:t> </w:t>
      </w:r>
      <w:r>
        <w:rPr>
          <w:spacing w:val="-4"/>
        </w:rPr>
        <w:t>重要缺陷：直接财产损失金额：上年经</w:t>
      </w:r>
      <w:r>
        <w:rPr>
          <w:spacing w:val="-88"/>
        </w:rPr>
        <w:t> </w:t>
      </w:r>
      <w:r>
        <w:rPr>
          <w:spacing w:val="-88"/>
        </w:rPr>
      </w:r>
      <w:r>
        <w:rPr/>
        <w:t>审计的利润总额的</w:t>
      </w:r>
      <w:r>
        <w:rPr>
          <w:spacing w:val="-45"/>
        </w:rPr>
        <w:t> </w:t>
      </w:r>
      <w:r>
        <w:rPr>
          <w:rFonts w:ascii="Times New Roman" w:hAnsi="Times New Roman" w:cs="Times New Roman" w:eastAsia="Times New Roman" w:hint="default"/>
        </w:rPr>
        <w:t>2%</w:t>
      </w:r>
      <w:r>
        <w:rPr/>
        <w:t>＜损失≤上年经</w:t>
      </w:r>
    </w:p>
    <w:p>
      <w:pPr>
        <w:spacing w:after="0" w:line="312" w:lineRule="exact"/>
        <w:jc w:val="left"/>
        <w:sectPr>
          <w:type w:val="continuous"/>
          <w:pgSz w:w="11910" w:h="16840"/>
          <w:pgMar w:top="1060" w:bottom="1160" w:left="980" w:right="980"/>
          <w:cols w:num="3" w:equalWidth="0">
            <w:col w:w="902" w:space="2293"/>
            <w:col w:w="3483" w:space="40"/>
            <w:col w:w="3232"/>
          </w:cols>
        </w:sectPr>
      </w:pPr>
    </w:p>
    <w:p>
      <w:pPr>
        <w:pStyle w:val="BodyText"/>
        <w:spacing w:line="86" w:lineRule="exact"/>
        <w:ind w:left="3377" w:right="0"/>
        <w:jc w:val="left"/>
      </w:pPr>
      <w:r>
        <w:rPr/>
        <w:t>错报≤</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spacing w:val="-92"/>
        </w:rPr>
        <w:t>，</w:t>
      </w:r>
      <w:r>
        <w:rPr/>
        <w:t>资产总额错报</w:t>
      </w:r>
      <w:r>
        <w:rPr>
          <w:spacing w:val="-6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w:t>
      </w:r>
      <w:r>
        <w:rPr>
          <w:spacing w:val="2"/>
        </w:rPr>
        <w:t>＜</w:t>
      </w:r>
      <w:r>
        <w:rPr/>
        <w:t>错报≤</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t>；</w:t>
      </w:r>
    </w:p>
    <w:p>
      <w:pPr>
        <w:pStyle w:val="BodyText"/>
        <w:spacing w:line="165" w:lineRule="exact"/>
        <w:ind w:left="0" w:right="158"/>
        <w:jc w:val="right"/>
      </w:pPr>
      <w:r>
        <w:rPr/>
        <w:t>审计的利润总额的</w:t>
      </w:r>
      <w:r>
        <w:rPr>
          <w:spacing w:val="-37"/>
        </w:rPr>
        <w:t> </w:t>
      </w:r>
      <w:r>
        <w:rPr>
          <w:rFonts w:ascii="Times New Roman" w:hAnsi="Times New Roman" w:cs="Times New Roman" w:eastAsia="Times New Roman" w:hint="default"/>
          <w:spacing w:val="-9"/>
        </w:rPr>
        <w:t>5%</w:t>
      </w:r>
      <w:r>
        <w:rPr>
          <w:spacing w:val="-9"/>
        </w:rPr>
        <w:t>；三、重大缺陷：</w:t>
      </w:r>
    </w:p>
    <w:p>
      <w:pPr>
        <w:spacing w:after="0" w:line="165" w:lineRule="exact"/>
        <w:jc w:val="right"/>
        <w:sectPr>
          <w:type w:val="continuous"/>
          <w:pgSz w:w="11910" w:h="16840"/>
          <w:pgMar w:top="1060" w:bottom="1160" w:left="980" w:right="980"/>
        </w:sectPr>
      </w:pPr>
    </w:p>
    <w:p>
      <w:pPr>
        <w:pStyle w:val="BodyText"/>
        <w:spacing w:line="194" w:lineRule="exact"/>
        <w:ind w:left="3377" w:right="-2"/>
        <w:jc w:val="left"/>
      </w:pPr>
      <w:r>
        <w:rPr>
          <w:spacing w:val="-1"/>
        </w:rPr>
        <w:t>三，重大缺陷：利润总额错报错报</w:t>
      </w:r>
      <w:r>
        <w:rPr>
          <w:rFonts w:ascii="Times New Roman" w:hAnsi="Times New Roman" w:cs="Times New Roman" w:eastAsia="Times New Roman" w:hint="default"/>
          <w:spacing w:val="-1"/>
        </w:rPr>
        <w:t>&gt;5%</w:t>
      </w:r>
      <w:r>
        <w:rPr>
          <w:spacing w:val="-1"/>
        </w:rPr>
        <w:t>，</w:t>
      </w:r>
    </w:p>
    <w:p>
      <w:pPr>
        <w:pStyle w:val="BodyText"/>
        <w:spacing w:line="300" w:lineRule="auto" w:before="63"/>
        <w:ind w:left="3377" w:right="-21"/>
        <w:jc w:val="left"/>
      </w:pPr>
      <w:r>
        <w:rPr/>
        <w:t>主营业务收入错报：错报</w:t>
      </w:r>
      <w:r>
        <w:rPr>
          <w:rFonts w:ascii="Times New Roman" w:hAnsi="Times New Roman" w:cs="Times New Roman" w:eastAsia="Times New Roman" w:hint="default"/>
        </w:rPr>
        <w:t>&gt;1%</w:t>
      </w:r>
      <w:r>
        <w:rPr/>
        <w:t>，资产总额 错报：错报</w:t>
      </w:r>
      <w:r>
        <w:rPr>
          <w:rFonts w:ascii="Times New Roman" w:hAnsi="Times New Roman" w:cs="Times New Roman" w:eastAsia="Times New Roman" w:hint="default"/>
        </w:rPr>
        <w:t>&gt;2%</w:t>
      </w:r>
      <w:r>
        <w:rPr/>
        <w:t>。</w:t>
      </w:r>
    </w:p>
    <w:p>
      <w:pPr>
        <w:pStyle w:val="BodyText"/>
        <w:spacing w:line="300" w:lineRule="auto" w:before="100"/>
        <w:ind w:left="63" w:right="243"/>
        <w:jc w:val="left"/>
      </w:pPr>
      <w:r>
        <w:rPr/>
        <w:br w:type="column"/>
      </w:r>
      <w:r>
        <w:rPr/>
        <w:t>直接财产损失金额：损失</w:t>
      </w:r>
      <w:r>
        <w:rPr>
          <w:rFonts w:ascii="Times New Roman" w:hAnsi="Times New Roman" w:cs="Times New Roman" w:eastAsia="Times New Roman" w:hint="default"/>
        </w:rPr>
        <w:t>&gt;</w:t>
      </w:r>
      <w:r>
        <w:rPr/>
        <w:t>上年经审计 的利润总额的</w:t>
      </w:r>
      <w:r>
        <w:rPr>
          <w:spacing w:val="-45"/>
        </w:rPr>
        <w:t> </w:t>
      </w:r>
      <w:r>
        <w:rPr>
          <w:rFonts w:ascii="Times New Roman" w:hAnsi="Times New Roman" w:cs="Times New Roman" w:eastAsia="Times New Roman" w:hint="default"/>
        </w:rPr>
        <w:t>5%</w:t>
      </w:r>
      <w:r>
        <w:rPr/>
        <w:t>。</w:t>
      </w:r>
    </w:p>
    <w:p>
      <w:pPr>
        <w:spacing w:after="0" w:line="300" w:lineRule="auto"/>
        <w:jc w:val="left"/>
        <w:sectPr>
          <w:type w:val="continuous"/>
          <w:pgSz w:w="11910" w:h="16840"/>
          <w:pgMar w:top="1060" w:bottom="1160" w:left="980" w:right="980"/>
          <w:cols w:num="2" w:equalWidth="0">
            <w:col w:w="6599" w:space="40"/>
            <w:col w:w="3311"/>
          </w:cols>
        </w:sectPr>
      </w:pPr>
    </w:p>
    <w:p>
      <w:pPr>
        <w:pStyle w:val="BodyText"/>
        <w:tabs>
          <w:tab w:pos="9603" w:val="left" w:leader="none"/>
        </w:tabs>
        <w:spacing w:line="240" w:lineRule="auto" w:before="104"/>
        <w:ind w:left="181" w:right="0"/>
        <w:jc w:val="left"/>
        <w:rPr>
          <w:rFonts w:ascii="Times New Roman" w:hAnsi="Times New Roman" w:cs="Times New Roman" w:eastAsia="Times New Roman" w:hint="default"/>
        </w:rPr>
      </w:pPr>
      <w:r>
        <w:rPr/>
        <w:pict>
          <v:group style="position:absolute;margin-left:56.400002pt;margin-top:102.499985pt;width:479.05pt;height:665.5pt;mso-position-horizontal-relative:page;mso-position-vertical-relative:page;z-index:-892936" coordorigin="1128,2050" coordsize="9581,13310">
            <v:group style="position:absolute;left:1151;top:2064;width:2;height:392" coordorigin="1151,2064" coordsize="2,392">
              <v:shape style="position:absolute;left:1151;top:2064;width:2;height:392" coordorigin="1151,2064" coordsize="0,392" path="m1151,2064l1151,2456e" filled="false" stroked="true" strokeweight="1.08pt" strokecolor="#d2d2d2">
                <v:path arrowok="t"/>
              </v:shape>
            </v:group>
            <v:group style="position:absolute;left:4313;top:2064;width:2;height:392" coordorigin="4313,2064" coordsize="2,392">
              <v:shape style="position:absolute;left:4313;top:2064;width:2;height:392" coordorigin="4313,2064" coordsize="0,392" path="m4313,2064l4313,2456e" filled="false" stroked="true" strokeweight="1.08pt" strokecolor="#d2d2d2">
                <v:path arrowok="t"/>
              </v:shape>
            </v:group>
            <v:group style="position:absolute;left:1162;top:2064;width:3141;height:392" coordorigin="1162,2064" coordsize="3141,392">
              <v:shape style="position:absolute;left:1162;top:2064;width:3141;height:392" coordorigin="1162,2064" coordsize="3141,392" path="m1162,2456l4302,2456,4302,2064,1162,2064,1162,2456xe" filled="true" fillcolor="#d2d2d2" stroked="false">
                <v:path arrowok="t"/>
                <v:fill type="solid"/>
              </v:shape>
            </v:group>
            <v:group style="position:absolute;left:1138;top:2060;width:3186;height:2" coordorigin="1138,2060" coordsize="3186,2">
              <v:shape style="position:absolute;left:1138;top:2060;width:3186;height:2" coordorigin="1138,2060" coordsize="3186,0" path="m1138,2060l4323,2060e" filled="false" stroked="true" strokeweight=".48pt" strokecolor="#000000">
                <v:path arrowok="t"/>
              </v:shape>
            </v:group>
            <v:group style="position:absolute;left:4333;top:2060;width:6366;height:2" coordorigin="4333,2060" coordsize="6366,2">
              <v:shape style="position:absolute;left:4333;top:2060;width:6366;height:2" coordorigin="4333,2060" coordsize="6366,0" path="m4333,2060l10699,2060e" filled="false" stroked="true" strokeweight=".48pt" strokecolor="#000000">
                <v:path arrowok="t"/>
              </v:shape>
            </v:group>
            <v:group style="position:absolute;left:1151;top:2465;width:2;height:394" coordorigin="1151,2465" coordsize="2,394">
              <v:shape style="position:absolute;left:1151;top:2465;width:2;height:394" coordorigin="1151,2465" coordsize="0,394" path="m1151,2465l1151,2859e" filled="false" stroked="true" strokeweight="1.08pt" strokecolor="#d2d2d2">
                <v:path arrowok="t"/>
              </v:shape>
            </v:group>
            <v:group style="position:absolute;left:4313;top:2465;width:2;height:394" coordorigin="4313,2465" coordsize="2,394">
              <v:shape style="position:absolute;left:4313;top:2465;width:2;height:394" coordorigin="4313,2465" coordsize="0,394" path="m4313,2465l4313,2859e" filled="false" stroked="true" strokeweight="1.08pt" strokecolor="#d2d2d2">
                <v:path arrowok="t"/>
              </v:shape>
            </v:group>
            <v:group style="position:absolute;left:1162;top:2465;width:3141;height:394" coordorigin="1162,2465" coordsize="3141,394">
              <v:shape style="position:absolute;left:1162;top:2465;width:3141;height:394" coordorigin="1162,2465" coordsize="3141,394" path="m1162,2859l4302,2859,4302,2465,1162,2465,1162,2859xe" filled="true" fillcolor="#d2d2d2" stroked="false">
                <v:path arrowok="t"/>
                <v:fill type="solid"/>
              </v:shape>
            </v:group>
            <v:group style="position:absolute;left:1138;top:2460;width:3186;height:2" coordorigin="1138,2460" coordsize="3186,2">
              <v:shape style="position:absolute;left:1138;top:2460;width:3186;height:2" coordorigin="1138,2460" coordsize="3186,0" path="m1138,2460l4323,2460e" filled="false" stroked="true" strokeweight=".48pt" strokecolor="#000000">
                <v:path arrowok="t"/>
              </v:shape>
            </v:group>
            <v:group style="position:absolute;left:4333;top:2460;width:6366;height:2" coordorigin="4333,2460" coordsize="6366,2">
              <v:shape style="position:absolute;left:4333;top:2460;width:6366;height:2" coordorigin="4333,2460" coordsize="6366,0" path="m4333,2460l10699,2460e" filled="false" stroked="true" strokeweight=".48pt" strokecolor="#000000">
                <v:path arrowok="t"/>
              </v:shape>
            </v:group>
            <v:group style="position:absolute;left:1151;top:2868;width:2;height:704" coordorigin="1151,2868" coordsize="2,704">
              <v:shape style="position:absolute;left:1151;top:2868;width:2;height:704" coordorigin="1151,2868" coordsize="0,704" path="m1151,2868l1151,3572e" filled="false" stroked="true" strokeweight="1.08pt" strokecolor="#d2d2d2">
                <v:path arrowok="t"/>
              </v:shape>
            </v:group>
            <v:group style="position:absolute;left:4313;top:2868;width:2;height:704" coordorigin="4313,2868" coordsize="2,704">
              <v:shape style="position:absolute;left:4313;top:2868;width:2;height:704" coordorigin="4313,2868" coordsize="0,704" path="m4313,2868l4313,3572e" filled="false" stroked="true" strokeweight="1.08pt" strokecolor="#d2d2d2">
                <v:path arrowok="t"/>
              </v:shape>
            </v:group>
            <v:group style="position:absolute;left:1162;top:2868;width:3141;height:351" coordorigin="1162,2868" coordsize="3141,351">
              <v:shape style="position:absolute;left:1162;top:2868;width:3141;height:351" coordorigin="1162,2868" coordsize="3141,351" path="m1162,3219l4302,3219,4302,2868,1162,2868,1162,3219xe" filled="true" fillcolor="#d2d2d2" stroked="false">
                <v:path arrowok="t"/>
                <v:fill type="solid"/>
              </v:shape>
            </v:group>
            <v:group style="position:absolute;left:1162;top:3219;width:3141;height:353" coordorigin="1162,3219" coordsize="3141,353">
              <v:shape style="position:absolute;left:1162;top:3219;width:3141;height:353" coordorigin="1162,3219" coordsize="3141,353" path="m1162,3572l4302,3572,4302,3219,1162,3219,1162,3572xe" filled="true" fillcolor="#d2d2d2" stroked="false">
                <v:path arrowok="t"/>
                <v:fill type="solid"/>
              </v:shape>
            </v:group>
            <v:group style="position:absolute;left:1138;top:2864;width:3186;height:2" coordorigin="1138,2864" coordsize="3186,2">
              <v:shape style="position:absolute;left:1138;top:2864;width:3186;height:2" coordorigin="1138,2864" coordsize="3186,0" path="m1138,2864l4323,2864e" filled="false" stroked="true" strokeweight=".48pt" strokecolor="#000000">
                <v:path arrowok="t"/>
              </v:shape>
            </v:group>
            <v:group style="position:absolute;left:4333;top:2864;width:6366;height:2" coordorigin="4333,2864" coordsize="6366,2">
              <v:shape style="position:absolute;left:4333;top:2864;width:6366;height:2" coordorigin="4333,2864" coordsize="6366,0" path="m4333,2864l10699,2864e" filled="false" stroked="true" strokeweight=".48pt" strokecolor="#000000">
                <v:path arrowok="t"/>
              </v:shape>
            </v:group>
            <v:group style="position:absolute;left:1151;top:3581;width:2;height:706" coordorigin="1151,3581" coordsize="2,706">
              <v:shape style="position:absolute;left:1151;top:3581;width:2;height:706" coordorigin="1151,3581" coordsize="0,706" path="m1151,3581l1151,4287e" filled="false" stroked="true" strokeweight="1.08pt" strokecolor="#d2d2d2">
                <v:path arrowok="t"/>
              </v:shape>
            </v:group>
            <v:group style="position:absolute;left:4313;top:3581;width:2;height:706" coordorigin="4313,3581" coordsize="2,706">
              <v:shape style="position:absolute;left:4313;top:3581;width:2;height:706" coordorigin="4313,3581" coordsize="0,706" path="m4313,3581l4313,4287e" filled="false" stroked="true" strokeweight="1.08pt" strokecolor="#d2d2d2">
                <v:path arrowok="t"/>
              </v:shape>
            </v:group>
            <v:group style="position:absolute;left:1162;top:3581;width:3141;height:353" coordorigin="1162,3581" coordsize="3141,353">
              <v:shape style="position:absolute;left:1162;top:3581;width:3141;height:353" coordorigin="1162,3581" coordsize="3141,353" path="m1162,3934l4302,3934,4302,3581,1162,3581,1162,3934xe" filled="true" fillcolor="#d2d2d2" stroked="false">
                <v:path arrowok="t"/>
                <v:fill type="solid"/>
              </v:shape>
            </v:group>
            <v:group style="position:absolute;left:1162;top:3934;width:3141;height:353" coordorigin="1162,3934" coordsize="3141,353">
              <v:shape style="position:absolute;left:1162;top:3934;width:3141;height:353" coordorigin="1162,3934" coordsize="3141,353" path="m1162,4287l4302,4287,4302,3934,1162,3934,1162,4287xe" filled="true" fillcolor="#d2d2d2" stroked="false">
                <v:path arrowok="t"/>
                <v:fill type="solid"/>
              </v:shape>
            </v:group>
            <v:group style="position:absolute;left:1138;top:3576;width:3186;height:2" coordorigin="1138,3576" coordsize="3186,2">
              <v:shape style="position:absolute;left:1138;top:3576;width:3186;height:2" coordorigin="1138,3576" coordsize="3186,0" path="m1138,3576l4323,3576e" filled="false" stroked="true" strokeweight=".48pt" strokecolor="#000000">
                <v:path arrowok="t"/>
              </v:shape>
            </v:group>
            <v:group style="position:absolute;left:4333;top:3576;width:6366;height:2" coordorigin="4333,3576" coordsize="6366,2">
              <v:shape style="position:absolute;left:4333;top:3576;width:6366;height:2" coordorigin="4333,3576" coordsize="6366,0" path="m4333,3576l10699,3576e" filled="false" stroked="true" strokeweight=".48pt" strokecolor="#000000">
                <v:path arrowok="t"/>
              </v:shape>
            </v:group>
            <v:group style="position:absolute;left:4328;top:2055;width:2;height:2242" coordorigin="4328,2055" coordsize="2,2242">
              <v:shape style="position:absolute;left:4328;top:2055;width:2;height:2242" coordorigin="4328,2055" coordsize="0,2242" path="m4328,2055l4328,4296e" filled="false" stroked="true" strokeweight=".48pt" strokecolor="#000000">
                <v:path arrowok="t"/>
              </v:shape>
            </v:group>
            <v:group style="position:absolute;left:1151;top:4296;width:2;height:392" coordorigin="1151,4296" coordsize="2,392">
              <v:shape style="position:absolute;left:1151;top:4296;width:2;height:392" coordorigin="1151,4296" coordsize="0,392" path="m1151,4296l1151,4688e" filled="false" stroked="true" strokeweight="1.08pt" strokecolor="#d2d2d2">
                <v:path arrowok="t"/>
              </v:shape>
            </v:group>
            <v:group style="position:absolute;left:10687;top:4296;width:2;height:392" coordorigin="10687,4296" coordsize="2,392">
              <v:shape style="position:absolute;left:10687;top:4296;width:2;height:392" coordorigin="10687,4296" coordsize="0,392" path="m10687,4296l10687,4688e" filled="false" stroked="true" strokeweight="1.2pt" strokecolor="#d2d2d2">
                <v:path arrowok="t"/>
              </v:shape>
            </v:group>
            <v:group style="position:absolute;left:1162;top:4296;width:9514;height:392" coordorigin="1162,4296" coordsize="9514,392">
              <v:shape style="position:absolute;left:1162;top:4296;width:9514;height:392" coordorigin="1162,4296" coordsize="9514,392" path="m1162,4688l10675,4688,10675,4296,1162,4296,1162,4688xe" filled="true" fillcolor="#d2d2d2" stroked="false">
                <v:path arrowok="t"/>
                <v:fill type="solid"/>
              </v:shape>
            </v:group>
            <v:group style="position:absolute;left:1138;top:4292;width:3186;height:2" coordorigin="1138,4292" coordsize="3186,2">
              <v:shape style="position:absolute;left:1138;top:4292;width:3186;height:2" coordorigin="1138,4292" coordsize="3186,0" path="m1138,4292l4323,4292e" filled="false" stroked="true" strokeweight=".48pt" strokecolor="#000000">
                <v:path arrowok="t"/>
              </v:shape>
            </v:group>
            <v:group style="position:absolute;left:4333;top:4292;width:6366;height:2" coordorigin="4333,4292" coordsize="6366,2">
              <v:shape style="position:absolute;left:4333;top:4292;width:6366;height:2" coordorigin="4333,4292" coordsize="6366,0" path="m4333,4292l10699,4292e" filled="false" stroked="true" strokeweight=".48pt" strokecolor="#000000">
                <v:path arrowok="t"/>
              </v:shape>
            </v:group>
            <v:group style="position:absolute;left:1151;top:4697;width:2;height:395" coordorigin="1151,4697" coordsize="2,395">
              <v:shape style="position:absolute;left:1151;top:4697;width:2;height:395" coordorigin="1151,4697" coordsize="0,395" path="m1151,4697l1151,5091e" filled="false" stroked="true" strokeweight="1.08pt" strokecolor="#d2d2d2">
                <v:path arrowok="t"/>
              </v:shape>
            </v:group>
            <v:group style="position:absolute;left:4313;top:4697;width:2;height:395" coordorigin="4313,4697" coordsize="2,395">
              <v:shape style="position:absolute;left:4313;top:4697;width:2;height:395" coordorigin="4313,4697" coordsize="0,395" path="m4313,4697l4313,5091e" filled="false" stroked="true" strokeweight="1.08pt" strokecolor="#d2d2d2">
                <v:path arrowok="t"/>
              </v:shape>
            </v:group>
            <v:group style="position:absolute;left:1162;top:4697;width:3141;height:395" coordorigin="1162,4697" coordsize="3141,395">
              <v:shape style="position:absolute;left:1162;top:4697;width:3141;height:395" coordorigin="1162,4697" coordsize="3141,395" path="m1162,5091l4302,5091,4302,4697,1162,4697,1162,5091xe" filled="true" fillcolor="#d2d2d2" stroked="false">
                <v:path arrowok="t"/>
                <v:fill type="solid"/>
              </v:shape>
            </v:group>
            <v:group style="position:absolute;left:4345;top:4697;width:2;height:395" coordorigin="4345,4697" coordsize="2,395">
              <v:shape style="position:absolute;left:4345;top:4697;width:2;height:395" coordorigin="4345,4697" coordsize="0,395" path="m4345,4697l4345,5091e" filled="false" stroked="true" strokeweight="1.2pt" strokecolor="#d2d2d2">
                <v:path arrowok="t"/>
              </v:shape>
            </v:group>
            <v:group style="position:absolute;left:7636;top:4697;width:2;height:395" coordorigin="7636,4697" coordsize="2,395">
              <v:shape style="position:absolute;left:7636;top:4697;width:2;height:395" coordorigin="7636,4697" coordsize="0,395" path="m7636,4697l7636,5091e" filled="false" stroked="true" strokeweight="1.2pt" strokecolor="#d2d2d2">
                <v:path arrowok="t"/>
              </v:shape>
            </v:group>
            <v:group style="position:absolute;left:4357;top:4697;width:3267;height:395" coordorigin="4357,4697" coordsize="3267,395">
              <v:shape style="position:absolute;left:4357;top:4697;width:3267;height:395" coordorigin="4357,4697" coordsize="3267,395" path="m4357,5091l7624,5091,7624,4697,4357,4697,4357,5091xe" filled="true" fillcolor="#d2d2d2" stroked="false">
                <v:path arrowok="t"/>
                <v:fill type="solid"/>
              </v:shape>
            </v:group>
            <v:group style="position:absolute;left:7669;top:4697;width:2;height:395" coordorigin="7669,4697" coordsize="2,395">
              <v:shape style="position:absolute;left:7669;top:4697;width:2;height:395" coordorigin="7669,4697" coordsize="0,395" path="m7669,4697l7669,5091e" filled="false" stroked="true" strokeweight="1.2pt" strokecolor="#d2d2d2">
                <v:path arrowok="t"/>
              </v:shape>
            </v:group>
            <v:group style="position:absolute;left:10687;top:4697;width:2;height:395" coordorigin="10687,4697" coordsize="2,395">
              <v:shape style="position:absolute;left:10687;top:4697;width:2;height:395" coordorigin="10687,4697" coordsize="0,395" path="m10687,4697l10687,5091e" filled="false" stroked="true" strokeweight="1.2pt" strokecolor="#d2d2d2">
                <v:path arrowok="t"/>
              </v:shape>
            </v:group>
            <v:group style="position:absolute;left:7681;top:4697;width:2994;height:395" coordorigin="7681,4697" coordsize="2994,395">
              <v:shape style="position:absolute;left:7681;top:4697;width:2994;height:395" coordorigin="7681,4697" coordsize="2994,395" path="m7681,5091l10675,5091,10675,4697,7681,4697,7681,5091xe" filled="true" fillcolor="#d2d2d2" stroked="false">
                <v:path arrowok="t"/>
                <v:fill type="solid"/>
              </v:shape>
            </v:group>
            <v:group style="position:absolute;left:1138;top:4692;width:3186;height:2" coordorigin="1138,4692" coordsize="3186,2">
              <v:shape style="position:absolute;left:1138;top:4692;width:3186;height:2" coordorigin="1138,4692" coordsize="3186,0" path="m1138,4692l4323,4692e" filled="false" stroked="true" strokeweight=".48pt" strokecolor="#000000">
                <v:path arrowok="t"/>
              </v:shape>
            </v:group>
            <v:group style="position:absolute;left:4323;top:4692;width:10;height:2" coordorigin="4323,4692" coordsize="10,2">
              <v:shape style="position:absolute;left:4323;top:4692;width:10;height:2" coordorigin="4323,4692" coordsize="10,0" path="m4323,4692l4333,4692e" filled="false" stroked="true" strokeweight=".48pt" strokecolor="#000000">
                <v:path arrowok="t"/>
              </v:shape>
            </v:group>
            <v:group style="position:absolute;left:4333;top:4692;width:3313;height:2" coordorigin="4333,4692" coordsize="3313,2">
              <v:shape style="position:absolute;left:4333;top:4692;width:3313;height:2" coordorigin="4333,4692" coordsize="3313,0" path="m4333,4692l7645,4692e" filled="false" stroked="true" strokeweight=".48pt" strokecolor="#000000">
                <v:path arrowok="t"/>
              </v:shape>
            </v:group>
            <v:group style="position:absolute;left:7655;top:4692;width:3044;height:2" coordorigin="7655,4692" coordsize="3044,2">
              <v:shape style="position:absolute;left:7655;top:4692;width:3044;height:2" coordorigin="7655,4692" coordsize="3044,0" path="m7655,4692l10699,4692e" filled="false" stroked="true" strokeweight=".48pt" strokecolor="#000000">
                <v:path arrowok="t"/>
              </v:shape>
            </v:group>
            <v:group style="position:absolute;left:1140;top:5101;width:3184;height:3433" coordorigin="1140,5101" coordsize="3184,3433">
              <v:shape style="position:absolute;left:1140;top:5101;width:3184;height:3433" coordorigin="1140,5101" coordsize="3184,3433" path="m1140,8533l4323,8533,4323,5101,1140,5101,1140,8533xe" filled="true" fillcolor="#d2d2d2" stroked="false">
                <v:path arrowok="t"/>
                <v:fill type="solid"/>
              </v:shape>
            </v:group>
            <v:group style="position:absolute;left:1151;top:8533;width:2;height:392" coordorigin="1151,8533" coordsize="2,392">
              <v:shape style="position:absolute;left:1151;top:8533;width:2;height:392" coordorigin="1151,8533" coordsize="0,392" path="m1151,8533l1151,8925e" filled="false" stroked="true" strokeweight="1.08pt" strokecolor="#d2d2d2">
                <v:path arrowok="t"/>
              </v:shape>
            </v:group>
            <v:group style="position:absolute;left:4313;top:8533;width:2;height:392" coordorigin="4313,8533" coordsize="2,392">
              <v:shape style="position:absolute;left:4313;top:8533;width:2;height:392" coordorigin="4313,8533" coordsize="0,392" path="m4313,8533l4313,8925e" filled="false" stroked="true" strokeweight="1.08pt" strokecolor="#d2d2d2">
                <v:path arrowok="t"/>
              </v:shape>
            </v:group>
            <v:group style="position:absolute;left:1140;top:8925;width:3184;height:3433" coordorigin="1140,8925" coordsize="3184,3433">
              <v:shape style="position:absolute;left:1140;top:8925;width:3184;height:3433" coordorigin="1140,8925" coordsize="3184,3433" path="m1140,12357l4323,12357,4323,8925,1140,8925,1140,12357xe" filled="true" fillcolor="#d2d2d2" stroked="false">
                <v:path arrowok="t"/>
                <v:fill type="solid"/>
              </v:shape>
            </v:group>
            <v:group style="position:absolute;left:1162;top:8533;width:3141;height:392" coordorigin="1162,8533" coordsize="3141,392">
              <v:shape style="position:absolute;left:1162;top:8533;width:3141;height:392" coordorigin="1162,8533" coordsize="3141,392" path="m1162,8925l4302,8925,4302,8533,1162,8533,1162,8925xe" filled="true" fillcolor="#d2d2d2" stroked="false">
                <v:path arrowok="t"/>
                <v:fill type="solid"/>
              </v:shape>
            </v:group>
            <v:group style="position:absolute;left:7669;top:5101;width:2;height:7257" coordorigin="7669,5101" coordsize="2,7257">
              <v:shape style="position:absolute;left:7669;top:5101;width:2;height:7257" coordorigin="7669,5101" coordsize="0,7257" path="m7669,5101l7669,12357e" filled="false" stroked="true" strokeweight="1.2pt" strokecolor="#ffffff">
                <v:path arrowok="t"/>
              </v:shape>
            </v:group>
            <v:group style="position:absolute;left:7681;top:6075;width:2994;height:312" coordorigin="7681,6075" coordsize="2994,312">
              <v:shape style="position:absolute;left:7681;top:6075;width:2994;height:312" coordorigin="7681,6075" coordsize="2994,312" path="m7681,6387l10675,6387,10675,6075,7681,6075,7681,6387xe" filled="true" fillcolor="#ffffff" stroked="false">
                <v:path arrowok="t"/>
                <v:fill type="solid"/>
              </v:shape>
            </v:group>
            <v:group style="position:absolute;left:7681;top:6387;width:2994;height:312" coordorigin="7681,6387" coordsize="2994,312">
              <v:shape style="position:absolute;left:7681;top:6387;width:2994;height:312" coordorigin="7681,6387" coordsize="2994,312" path="m7681,6699l10675,6699,10675,6387,7681,6387,7681,6699xe" filled="true" fillcolor="#ffffff" stroked="false">
                <v:path arrowok="t"/>
                <v:fill type="solid"/>
              </v:shape>
            </v:group>
            <v:group style="position:absolute;left:7681;top:10132;width:2994;height:312" coordorigin="7681,10132" coordsize="2994,312">
              <v:shape style="position:absolute;left:7681;top:10132;width:2994;height:312" coordorigin="7681,10132" coordsize="2994,312" path="m7681,10444l10675,10444,10675,10132,7681,10132,7681,10444xe" filled="true" fillcolor="#ffffff" stroked="false">
                <v:path arrowok="t"/>
                <v:fill type="solid"/>
              </v:shape>
            </v:group>
            <v:group style="position:absolute;left:7681;top:10444;width:2994;height:312" coordorigin="7681,10444" coordsize="2994,312">
              <v:shape style="position:absolute;left:7681;top:10444;width:2994;height:312" coordorigin="7681,10444" coordsize="2994,312" path="m7681,10756l10675,10756,10675,10444,7681,10444,7681,10756xe" filled="true" fillcolor="#ffffff" stroked="false">
                <v:path arrowok="t"/>
                <v:fill type="solid"/>
              </v:shape>
            </v:group>
            <v:group style="position:absolute;left:1138;top:5096;width:3186;height:2" coordorigin="1138,5096" coordsize="3186,2">
              <v:shape style="position:absolute;left:1138;top:5096;width:3186;height:2" coordorigin="1138,5096" coordsize="3186,0" path="m1138,5096l4323,5096e" filled="false" stroked="true" strokeweight=".48pt" strokecolor="#000000">
                <v:path arrowok="t"/>
              </v:shape>
            </v:group>
            <v:group style="position:absolute;left:4333;top:5096;width:3313;height:2" coordorigin="4333,5096" coordsize="3313,2">
              <v:shape style="position:absolute;left:4333;top:5096;width:3313;height:2" coordorigin="4333,5096" coordsize="3313,0" path="m4333,5096l7645,5096e" filled="false" stroked="true" strokeweight=".48pt" strokecolor="#000000">
                <v:path arrowok="t"/>
              </v:shape>
            </v:group>
            <v:group style="position:absolute;left:7655;top:5096;width:3044;height:2" coordorigin="7655,5096" coordsize="3044,2">
              <v:shape style="position:absolute;left:7655;top:5096;width:3044;height:2" coordorigin="7655,5096" coordsize="3044,0" path="m7655,5096l10699,5096e" filled="false" stroked="true" strokeweight=".48pt" strokecolor="#000000">
                <v:path arrowok="t"/>
              </v:shape>
            </v:group>
            <v:group style="position:absolute;left:1140;top:12367;width:3184;height:1092" coordorigin="1140,12367" coordsize="3184,1092">
              <v:shape style="position:absolute;left:1140;top:12367;width:3184;height:1092" coordorigin="1140,12367" coordsize="3184,1092" path="m1140,13459l4323,13459,4323,12367,1140,12367,1140,13459xe" filled="true" fillcolor="#d2d2d2" stroked="false">
                <v:path arrowok="t"/>
                <v:fill type="solid"/>
              </v:shape>
            </v:group>
            <v:group style="position:absolute;left:1151;top:13459;width:2;height:392" coordorigin="1151,13459" coordsize="2,392">
              <v:shape style="position:absolute;left:1151;top:13459;width:2;height:392" coordorigin="1151,13459" coordsize="0,392" path="m1151,13459l1151,13850e" filled="false" stroked="true" strokeweight="1.08pt" strokecolor="#d2d2d2">
                <v:path arrowok="t"/>
              </v:shape>
            </v:group>
            <v:group style="position:absolute;left:4313;top:13459;width:2;height:392" coordorigin="4313,13459" coordsize="2,392">
              <v:shape style="position:absolute;left:4313;top:13459;width:2;height:392" coordorigin="4313,13459" coordsize="0,392" path="m4313,13459l4313,13850e" filled="false" stroked="true" strokeweight="1.08pt" strokecolor="#d2d2d2">
                <v:path arrowok="t"/>
              </v:shape>
            </v:group>
            <v:group style="position:absolute;left:1140;top:13850;width:3184;height:1093" coordorigin="1140,13850" coordsize="3184,1093">
              <v:shape style="position:absolute;left:1140;top:13850;width:3184;height:1093" coordorigin="1140,13850" coordsize="3184,1093" path="m1140,14942l4323,14942,4323,13850,1140,13850,1140,14942xe" filled="true" fillcolor="#d2d2d2" stroked="false">
                <v:path arrowok="t"/>
                <v:fill type="solid"/>
              </v:shape>
            </v:group>
            <v:group style="position:absolute;left:1162;top:13459;width:3141;height:392" coordorigin="1162,13459" coordsize="3141,392">
              <v:shape style="position:absolute;left:1162;top:13459;width:3141;height:392" coordorigin="1162,13459" coordsize="3141,392" path="m1162,13850l4302,13850,4302,13459,1162,13459,1162,13850xe" filled="true" fillcolor="#d2d2d2" stroked="false">
                <v:path arrowok="t"/>
                <v:fill type="solid"/>
              </v:shape>
            </v:group>
            <v:group style="position:absolute;left:7669;top:12523;width:2;height:2264" coordorigin="7669,12523" coordsize="2,2264">
              <v:shape style="position:absolute;left:7669;top:12523;width:2;height:2264" coordorigin="7669,12523" coordsize="0,2264" path="m7669,12523l7669,14786e" filled="false" stroked="true" strokeweight="1.2pt" strokecolor="#ffffff">
                <v:path arrowok="t"/>
              </v:shape>
            </v:group>
            <v:group style="position:absolute;left:7681;top:13500;width:2994;height:312" coordorigin="7681,13500" coordsize="2994,312">
              <v:shape style="position:absolute;left:7681;top:13500;width:2994;height:312" coordorigin="7681,13500" coordsize="2994,312" path="m7681,13812l10675,13812,10675,13500,7681,13500,7681,13812xe" filled="true" fillcolor="#ffffff" stroked="false">
                <v:path arrowok="t"/>
                <v:fill type="solid"/>
              </v:shape>
            </v:group>
            <v:group style="position:absolute;left:7681;top:13812;width:2994;height:312" coordorigin="7681,13812" coordsize="2994,312">
              <v:shape style="position:absolute;left:7681;top:13812;width:2994;height:312" coordorigin="7681,13812" coordsize="2994,312" path="m7681,14124l10675,14124,10675,13812,7681,13812,7681,14124xe" filled="true" fillcolor="#ffffff" stroked="false">
                <v:path arrowok="t"/>
                <v:fill type="solid"/>
              </v:shape>
            </v:group>
            <v:group style="position:absolute;left:1138;top:12362;width:3186;height:2" coordorigin="1138,12362" coordsize="3186,2">
              <v:shape style="position:absolute;left:1138;top:12362;width:3186;height:2" coordorigin="1138,12362" coordsize="3186,0" path="m1138,12362l4323,12362e" filled="false" stroked="true" strokeweight=".47998pt" strokecolor="#000000">
                <v:path arrowok="t"/>
              </v:shape>
            </v:group>
            <v:group style="position:absolute;left:4333;top:12362;width:3313;height:2" coordorigin="4333,12362" coordsize="3313,2">
              <v:shape style="position:absolute;left:4333;top:12362;width:3313;height:2" coordorigin="4333,12362" coordsize="3313,0" path="m4333,12362l7645,12362e" filled="false" stroked="true" strokeweight=".47998pt" strokecolor="#000000">
                <v:path arrowok="t"/>
              </v:shape>
            </v:group>
            <v:group style="position:absolute;left:7655;top:12362;width:3044;height:2" coordorigin="7655,12362" coordsize="3044,2">
              <v:shape style="position:absolute;left:7655;top:12362;width:3044;height:2" coordorigin="7655,12362" coordsize="3044,0" path="m7655,12362l10699,12362e" filled="false" stroked="true" strokeweight=".47998pt" strokecolor="#000000">
                <v:path arrowok="t"/>
              </v:shape>
            </v:group>
            <v:group style="position:absolute;left:7650;top:4688;width:2;height:10265" coordorigin="7650,4688" coordsize="2,10265">
              <v:shape style="position:absolute;left:7650;top:4688;width:2;height:10265" coordorigin="7650,4688" coordsize="0,10265" path="m7650,4688l7650,14952e" filled="false" stroked="true" strokeweight=".48001pt" strokecolor="#000000">
                <v:path arrowok="t"/>
              </v:shape>
            </v:group>
            <v:group style="position:absolute;left:1151;top:14954;width:2;height:392" coordorigin="1151,14954" coordsize="2,392">
              <v:shape style="position:absolute;left:1151;top:14954;width:2;height:392" coordorigin="1151,14954" coordsize="0,392" path="m1151,14954l1151,15346e" filled="false" stroked="true" strokeweight="1.08pt" strokecolor="#d2d2d2">
                <v:path arrowok="t"/>
              </v:shape>
            </v:group>
            <v:group style="position:absolute;left:4313;top:14954;width:2;height:392" coordorigin="4313,14954" coordsize="2,392">
              <v:shape style="position:absolute;left:4313;top:14954;width:2;height:392" coordorigin="4313,14954" coordsize="0,392" path="m4313,14954l4313,15346e" filled="false" stroked="true" strokeweight="1.08pt" strokecolor="#d2d2d2">
                <v:path arrowok="t"/>
              </v:shape>
            </v:group>
            <v:group style="position:absolute;left:1162;top:14954;width:3141;height:392" coordorigin="1162,14954" coordsize="3141,392">
              <v:shape style="position:absolute;left:1162;top:14954;width:3141;height:392" coordorigin="1162,14954" coordsize="3141,392" path="m1162,15346l4302,15346,4302,14954,1162,14954,1162,15346xe" filled="true" fillcolor="#d2d2d2" stroked="false">
                <v:path arrowok="t"/>
                <v:fill type="solid"/>
              </v:shape>
            </v:group>
            <v:group style="position:absolute;left:1138;top:14947;width:3186;height:2" coordorigin="1138,14947" coordsize="3186,2">
              <v:shape style="position:absolute;left:1138;top:14947;width:3186;height:2" coordorigin="1138,14947" coordsize="3186,0" path="m1138,14947l4323,14947e" filled="false" stroked="true" strokeweight=".48004pt" strokecolor="#000000">
                <v:path arrowok="t"/>
              </v:shape>
            </v:group>
            <v:group style="position:absolute;left:4333;top:14947;width:3313;height:2" coordorigin="4333,14947" coordsize="3313,2">
              <v:shape style="position:absolute;left:4333;top:14947;width:3313;height:2" coordorigin="4333,14947" coordsize="3313,0" path="m4333,14947l7645,14947e" filled="false" stroked="true" strokeweight=".48004pt" strokecolor="#000000">
                <v:path arrowok="t"/>
              </v:shape>
            </v:group>
            <v:group style="position:absolute;left:7655;top:14947;width:3044;height:2" coordorigin="7655,14947" coordsize="3044,2">
              <v:shape style="position:absolute;left:7655;top:14947;width:3044;height:2" coordorigin="7655,14947" coordsize="3044,0" path="m7655,14947l10699,14947e" filled="false" stroked="true" strokeweight=".48004pt" strokecolor="#000000">
                <v:path arrowok="t"/>
              </v:shape>
            </v:group>
            <v:group style="position:absolute;left:1133;top:2055;width:2;height:13301" coordorigin="1133,2055" coordsize="2,13301">
              <v:shape style="position:absolute;left:1133;top:2055;width:2;height:13301" coordorigin="1133,2055" coordsize="0,13301" path="m1133,2055l1133,15355e" filled="false" stroked="true" strokeweight=".48pt" strokecolor="#000000">
                <v:path arrowok="t"/>
              </v:shape>
            </v:group>
            <v:group style="position:absolute;left:1138;top:15350;width:3186;height:2" coordorigin="1138,15350" coordsize="3186,2">
              <v:shape style="position:absolute;left:1138;top:15350;width:3186;height:2" coordorigin="1138,15350" coordsize="3186,0" path="m1138,15350l4323,15350e" filled="false" stroked="true" strokeweight=".47998pt" strokecolor="#000000">
                <v:path arrowok="t"/>
              </v:shape>
            </v:group>
            <v:group style="position:absolute;left:4328;top:4697;width:2;height:10658" coordorigin="4328,4697" coordsize="2,10658">
              <v:shape style="position:absolute;left:4328;top:4697;width:2;height:10658" coordorigin="4328,4697" coordsize="0,10658" path="m4328,4697l4328,15355e" filled="false" stroked="true" strokeweight=".48pt" strokecolor="#000000">
                <v:path arrowok="t"/>
              </v:shape>
            </v:group>
            <v:group style="position:absolute;left:4333;top:15350;width:6366;height:2" coordorigin="4333,15350" coordsize="6366,2">
              <v:shape style="position:absolute;left:4333;top:15350;width:6366;height:2" coordorigin="4333,15350" coordsize="6366,0" path="m4333,15350l10699,15350e" filled="false" stroked="true" strokeweight=".47998pt" strokecolor="#000000">
                <v:path arrowok="t"/>
              </v:shape>
            </v:group>
            <v:group style="position:absolute;left:10704;top:2055;width:2;height:13301" coordorigin="10704,2055" coordsize="2,13301">
              <v:shape style="position:absolute;left:10704;top:2055;width:2;height:13301" coordorigin="10704,2055" coordsize="0,13301" path="m10704,2055l10704,15355e" filled="false" stroked="true" strokeweight=".47998pt" strokecolor="#000000">
                <v:path arrowok="t"/>
              </v:shape>
            </v:group>
            <w10:wrap type="none"/>
          </v:group>
        </w:pict>
      </w:r>
      <w:r>
        <w:rPr/>
        <w:t>财务报告重大缺陷数量（个）</w:t>
      </w:r>
      <w:r>
        <w:rPr>
          <w:rFonts w:ascii="Times New Roman" w:hAnsi="Times New Roman" w:cs="Times New Roman" w:eastAsia="Times New Roman" w:hint="default"/>
        </w:rPr>
        <w:tab/>
        <w:t>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6"/>
        <w:rPr>
          <w:rFonts w:ascii="Times New Roman" w:hAnsi="Times New Roman" w:cs="Times New Roman" w:eastAsia="Times New Roman" w:hint="default"/>
          <w:sz w:val="20"/>
          <w:szCs w:val="20"/>
        </w:rPr>
      </w:pPr>
    </w:p>
    <w:p>
      <w:pPr>
        <w:pStyle w:val="Heading3"/>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0" w:right="76"/>
        <w:jc w:val="center"/>
        <w:rPr>
          <w:b w:val="0"/>
          <w:bCs w:val="0"/>
        </w:rPr>
      </w:pPr>
      <w:bookmarkStart w:name="_bookmark9" w:id="10"/>
      <w:bookmarkEnd w:id="10"/>
      <w:r>
        <w:rPr>
          <w:b w:val="0"/>
          <w:bCs w:val="0"/>
        </w:rPr>
      </w:r>
      <w:r>
        <w:rPr/>
        <w:t>第十节</w:t>
      </w:r>
      <w:r>
        <w:rPr>
          <w:spacing w:val="-2"/>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3"/>
        <w:spacing w:line="240" w:lineRule="auto" w:before="26"/>
        <w:ind w:right="215"/>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带强调事项段的无保留意见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山东和信会计师事务所（特殊普通合伙）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000282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左伟，李长欢</w:t>
            </w:r>
          </w:p>
        </w:tc>
      </w:tr>
    </w:tbl>
    <w:p>
      <w:pPr>
        <w:pStyle w:val="BodyText"/>
        <w:spacing w:line="230" w:lineRule="exact" w:before="49"/>
        <w:ind w:left="0" w:right="78"/>
        <w:jc w:val="center"/>
      </w:pPr>
      <w:r>
        <w:rPr/>
        <w:t>审计报告正文</w:t>
      </w:r>
    </w:p>
    <w:p>
      <w:pPr>
        <w:tabs>
          <w:tab w:pos="3252" w:val="left" w:leader="none"/>
        </w:tabs>
        <w:spacing w:line="936" w:lineRule="exact" w:before="0"/>
        <w:ind w:left="0" w:right="109" w:firstLine="0"/>
        <w:jc w:val="center"/>
        <w:rPr>
          <w:rFonts w:ascii="楷体" w:hAnsi="楷体" w:cs="楷体" w:eastAsia="楷体" w:hint="default"/>
          <w:sz w:val="72"/>
          <w:szCs w:val="72"/>
        </w:rPr>
      </w:pPr>
      <w:r>
        <w:rPr>
          <w:rFonts w:ascii="楷体" w:hAnsi="楷体" w:cs="楷体" w:eastAsia="楷体" w:hint="default"/>
          <w:b/>
          <w:bCs/>
          <w:sz w:val="72"/>
          <w:szCs w:val="72"/>
        </w:rPr>
        <w:t>审 计</w:t>
      </w:r>
      <w:r>
        <w:rPr>
          <w:rFonts w:ascii="楷体" w:hAnsi="楷体" w:cs="楷体" w:eastAsia="楷体" w:hint="default"/>
          <w:b/>
          <w:bCs/>
          <w:spacing w:val="-6"/>
          <w:sz w:val="72"/>
          <w:szCs w:val="72"/>
        </w:rPr>
        <w:t> </w:t>
      </w:r>
      <w:r>
        <w:rPr>
          <w:rFonts w:ascii="楷体" w:hAnsi="楷体" w:cs="楷体" w:eastAsia="楷体" w:hint="default"/>
          <w:b/>
          <w:bCs/>
          <w:sz w:val="72"/>
          <w:szCs w:val="72"/>
        </w:rPr>
        <w:t>报</w:t>
        <w:tab/>
        <w:t>告</w:t>
      </w:r>
      <w:r>
        <w:rPr>
          <w:rFonts w:ascii="楷体" w:hAnsi="楷体" w:cs="楷体" w:eastAsia="楷体" w:hint="default"/>
          <w:sz w:val="72"/>
          <w:szCs w:val="72"/>
        </w:rPr>
      </w:r>
    </w:p>
    <w:p>
      <w:pPr>
        <w:pStyle w:val="Heading3"/>
        <w:spacing w:line="240" w:lineRule="auto" w:before="384"/>
        <w:ind w:left="6773" w:right="103"/>
        <w:jc w:val="left"/>
        <w:rPr>
          <w:rFonts w:ascii="楷体" w:hAnsi="楷体" w:cs="楷体" w:eastAsia="楷体" w:hint="default"/>
          <w:b w:val="0"/>
          <w:bCs w:val="0"/>
        </w:rPr>
      </w:pPr>
      <w:r>
        <w:rPr>
          <w:rFonts w:ascii="楷体" w:hAnsi="楷体" w:cs="楷体" w:eastAsia="楷体" w:hint="default"/>
        </w:rPr>
        <w:t>和信审字</w:t>
      </w:r>
      <w:r>
        <w:rPr>
          <w:rFonts w:ascii="楷体" w:hAnsi="楷体" w:cs="楷体" w:eastAsia="楷体" w:hint="default"/>
        </w:rPr>
        <w:t>(2016)</w:t>
      </w:r>
      <w:r>
        <w:rPr>
          <w:rFonts w:ascii="楷体" w:hAnsi="楷体" w:cs="楷体" w:eastAsia="楷体" w:hint="default"/>
        </w:rPr>
        <w:t>第</w:t>
      </w:r>
      <w:r>
        <w:rPr>
          <w:rFonts w:ascii="楷体" w:hAnsi="楷体" w:cs="楷体" w:eastAsia="楷体" w:hint="default"/>
          <w:spacing w:val="-61"/>
        </w:rPr>
        <w:t> </w:t>
      </w:r>
      <w:r>
        <w:rPr>
          <w:rFonts w:ascii="楷体" w:hAnsi="楷体" w:cs="楷体" w:eastAsia="楷体" w:hint="default"/>
        </w:rPr>
        <w:t>000282</w:t>
      </w:r>
      <w:r>
        <w:rPr>
          <w:rFonts w:ascii="楷体" w:hAnsi="楷体" w:cs="楷体" w:eastAsia="楷体" w:hint="default"/>
          <w:spacing w:val="-61"/>
        </w:rPr>
        <w:t> </w:t>
      </w:r>
      <w:r>
        <w:rPr>
          <w:rFonts w:ascii="楷体" w:hAnsi="楷体" w:cs="楷体" w:eastAsia="楷体" w:hint="default"/>
        </w:rPr>
        <w:t>号</w:t>
      </w:r>
      <w:r>
        <w:rPr>
          <w:rFonts w:ascii="楷体" w:hAnsi="楷体" w:cs="楷体" w:eastAsia="楷体" w:hint="default"/>
          <w:b w:val="0"/>
          <w:bCs w:val="0"/>
        </w:rPr>
      </w:r>
    </w:p>
    <w:p>
      <w:pPr>
        <w:spacing w:line="240" w:lineRule="auto" w:before="0"/>
        <w:rPr>
          <w:rFonts w:ascii="楷体" w:hAnsi="楷体" w:cs="楷体" w:eastAsia="楷体" w:hint="default"/>
          <w:b/>
          <w:bCs/>
          <w:sz w:val="24"/>
          <w:szCs w:val="24"/>
        </w:rPr>
      </w:pPr>
    </w:p>
    <w:p>
      <w:pPr>
        <w:spacing w:line="240" w:lineRule="auto" w:before="0"/>
        <w:rPr>
          <w:rFonts w:ascii="楷体" w:hAnsi="楷体" w:cs="楷体" w:eastAsia="楷体" w:hint="default"/>
          <w:b/>
          <w:bCs/>
          <w:sz w:val="24"/>
          <w:szCs w:val="24"/>
        </w:rPr>
      </w:pPr>
    </w:p>
    <w:p>
      <w:pPr>
        <w:spacing w:line="240" w:lineRule="auto" w:before="5"/>
        <w:rPr>
          <w:rFonts w:ascii="楷体" w:hAnsi="楷体" w:cs="楷体" w:eastAsia="楷体" w:hint="default"/>
          <w:b/>
          <w:bCs/>
          <w:sz w:val="24"/>
          <w:szCs w:val="24"/>
        </w:rPr>
      </w:pPr>
    </w:p>
    <w:p>
      <w:pPr>
        <w:pStyle w:val="Heading2"/>
        <w:spacing w:line="240" w:lineRule="auto"/>
        <w:ind w:right="215"/>
        <w:jc w:val="left"/>
        <w:rPr>
          <w:b w:val="0"/>
          <w:bCs w:val="0"/>
        </w:rPr>
      </w:pPr>
      <w:r>
        <w:rPr/>
        <w:t>青岛市恒顺众昇集团股份有限公司全体股东：</w:t>
      </w:r>
      <w:r>
        <w:rPr>
          <w:b w:val="0"/>
          <w:bCs w:val="0"/>
        </w:rPr>
      </w:r>
    </w:p>
    <w:p>
      <w:pPr>
        <w:spacing w:line="240" w:lineRule="auto" w:before="2"/>
        <w:rPr>
          <w:rFonts w:ascii="宋体" w:hAnsi="宋体" w:cs="宋体" w:eastAsia="宋体" w:hint="default"/>
          <w:b/>
          <w:bCs/>
          <w:sz w:val="26"/>
          <w:szCs w:val="26"/>
        </w:rPr>
      </w:pPr>
    </w:p>
    <w:p>
      <w:pPr>
        <w:pStyle w:val="Heading4"/>
        <w:spacing w:line="357" w:lineRule="auto"/>
        <w:ind w:right="231" w:firstLine="480"/>
        <w:jc w:val="both"/>
      </w:pPr>
      <w:r>
        <w:rPr/>
        <w:t>我们审计了后附的青岛市恒顺众昇集团股份有限公司（以下简称恒顺公司）财务报表， 包括</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8"/>
        </w:rPr>
        <w:t> </w:t>
      </w:r>
      <w:r>
        <w:rPr/>
        <w:t>日的合并及母公司资产负债表，</w:t>
      </w:r>
      <w:r>
        <w:rPr>
          <w:rFonts w:ascii="宋体" w:hAnsi="宋体" w:cs="宋体" w:eastAsia="宋体" w:hint="default"/>
        </w:rPr>
        <w:t>2015</w:t>
      </w:r>
      <w:r>
        <w:rPr>
          <w:rFonts w:ascii="宋体" w:hAnsi="宋体" w:cs="宋体" w:eastAsia="宋体" w:hint="default"/>
          <w:spacing w:val="-46"/>
        </w:rPr>
        <w:t> </w:t>
      </w:r>
      <w:r>
        <w:rPr/>
        <w:t>年度的合并及母公司利润表、合 并及母公司现金流量表、合并及母公司股东权益变动表以及财务报表附注。</w:t>
      </w:r>
    </w:p>
    <w:p>
      <w:pPr>
        <w:pStyle w:val="Heading3"/>
        <w:spacing w:line="240" w:lineRule="auto" w:before="190"/>
        <w:ind w:left="635" w:right="215"/>
        <w:jc w:val="left"/>
        <w:rPr>
          <w:b w:val="0"/>
          <w:bCs w:val="0"/>
        </w:rPr>
      </w:pPr>
      <w:r>
        <w:rPr/>
        <w:t>一、管理层对财务报表的责任</w:t>
      </w:r>
      <w:r>
        <w:rPr>
          <w:b w:val="0"/>
          <w:bCs w:val="0"/>
        </w:rPr>
      </w:r>
    </w:p>
    <w:p>
      <w:pPr>
        <w:spacing w:line="240" w:lineRule="auto" w:before="10"/>
        <w:rPr>
          <w:rFonts w:ascii="宋体" w:hAnsi="宋体" w:cs="宋体" w:eastAsia="宋体" w:hint="default"/>
          <w:b/>
          <w:bCs/>
          <w:sz w:val="23"/>
          <w:szCs w:val="23"/>
        </w:rPr>
      </w:pPr>
    </w:p>
    <w:p>
      <w:pPr>
        <w:pStyle w:val="Heading4"/>
        <w:spacing w:line="357" w:lineRule="auto"/>
        <w:ind w:right="235" w:firstLine="480"/>
        <w:jc w:val="both"/>
      </w:pPr>
      <w:r>
        <w:rPr/>
        <w:t>编制和公允列报财务报表是管理层的责任，这种责任包括</w:t>
      </w:r>
      <w:r>
        <w:rPr>
          <w:rFonts w:ascii="宋体" w:hAnsi="宋体" w:cs="宋体" w:eastAsia="宋体" w:hint="default"/>
        </w:rPr>
        <w:t>:</w:t>
      </w:r>
      <w:r>
        <w:rPr/>
        <w:t>（</w:t>
      </w:r>
      <w:r>
        <w:rPr>
          <w:rFonts w:ascii="宋体" w:hAnsi="宋体" w:cs="宋体" w:eastAsia="宋体" w:hint="default"/>
        </w:rPr>
        <w:t>1</w:t>
      </w:r>
      <w:r>
        <w:rPr/>
        <w:t>）按照企业会计准则的规 </w:t>
      </w:r>
      <w:r>
        <w:rPr>
          <w:spacing w:val="-3"/>
        </w:rPr>
        <w:t>定编制财务报表，并使其实现公允反映；（</w:t>
      </w:r>
      <w:r>
        <w:rPr>
          <w:rFonts w:ascii="宋体" w:hAnsi="宋体" w:cs="宋体" w:eastAsia="宋体" w:hint="default"/>
          <w:spacing w:val="-3"/>
        </w:rPr>
        <w:t>2</w:t>
      </w:r>
      <w:r>
        <w:rPr>
          <w:spacing w:val="-3"/>
        </w:rPr>
        <w:t>）设计、执行和维护必要的内部控制，以使财务</w:t>
      </w:r>
      <w:r>
        <w:rPr>
          <w:spacing w:val="-86"/>
        </w:rPr>
        <w:t> </w:t>
      </w:r>
      <w:r>
        <w:rPr>
          <w:spacing w:val="-86"/>
        </w:rPr>
      </w:r>
      <w:r>
        <w:rPr/>
        <w:t>报表不存在由于舞弊或错误导致的重大错报。</w:t>
      </w:r>
    </w:p>
    <w:p>
      <w:pPr>
        <w:pStyle w:val="Heading3"/>
        <w:spacing w:line="240" w:lineRule="auto" w:before="190"/>
        <w:ind w:left="635" w:right="215"/>
        <w:jc w:val="left"/>
        <w:rPr>
          <w:b w:val="0"/>
          <w:bCs w:val="0"/>
        </w:rPr>
      </w:pPr>
      <w:r>
        <w:rPr/>
        <w:t>二、注册会计师的责任</w:t>
      </w:r>
      <w:r>
        <w:rPr>
          <w:b w:val="0"/>
          <w:bCs w:val="0"/>
        </w:rPr>
      </w:r>
    </w:p>
    <w:p>
      <w:pPr>
        <w:spacing w:line="240" w:lineRule="auto" w:before="9"/>
        <w:rPr>
          <w:rFonts w:ascii="宋体" w:hAnsi="宋体" w:cs="宋体" w:eastAsia="宋体" w:hint="default"/>
          <w:b/>
          <w:bCs/>
          <w:sz w:val="23"/>
          <w:szCs w:val="23"/>
        </w:rPr>
      </w:pPr>
    </w:p>
    <w:p>
      <w:pPr>
        <w:pStyle w:val="Heading4"/>
        <w:spacing w:line="357" w:lineRule="auto"/>
        <w:ind w:right="96" w:firstLine="480"/>
        <w:jc w:val="left"/>
      </w:pPr>
      <w:r>
        <w:rPr/>
        <w:t>我们的责任是在执行审计工作的基础上对财务报表发表审计意见。我们按照中国注册会 </w:t>
      </w:r>
      <w:r>
        <w:rPr>
          <w:spacing w:val="-2"/>
        </w:rPr>
        <w:t>计师审计准则的规定执行了审计工作。中国注册会计师审计准则要求我们遵守职业道德守则，</w:t>
      </w:r>
      <w:r>
        <w:rPr/>
        <w:t> 计划和执行审计工作以对财务报表是否不存在重大错报获取合理保证。</w:t>
      </w:r>
    </w:p>
    <w:p>
      <w:pPr>
        <w:pStyle w:val="Heading4"/>
        <w:spacing w:line="240" w:lineRule="auto" w:before="190"/>
        <w:ind w:left="633" w:right="215"/>
        <w:jc w:val="left"/>
      </w:pPr>
      <w:r>
        <w:rPr/>
        <w:t>审计工作涉及实施审计程序，以获取有关财务报表金额和披露的审计证据。选择的审计</w:t>
      </w:r>
    </w:p>
    <w:p>
      <w:pPr>
        <w:spacing w:after="0" w:line="240" w:lineRule="auto"/>
        <w:jc w:val="left"/>
        <w:sectPr>
          <w:pgSz w:w="11910" w:h="16840"/>
          <w:pgMar w:header="745" w:footer="979" w:top="1060" w:bottom="1160" w:left="980" w:right="900"/>
        </w:sectPr>
      </w:pPr>
    </w:p>
    <w:p>
      <w:pPr>
        <w:spacing w:line="240" w:lineRule="auto" w:before="6"/>
        <w:rPr>
          <w:rFonts w:ascii="宋体" w:hAnsi="宋体" w:cs="宋体" w:eastAsia="宋体" w:hint="default"/>
          <w:sz w:val="23"/>
          <w:szCs w:val="23"/>
        </w:rPr>
      </w:pPr>
    </w:p>
    <w:p>
      <w:pPr>
        <w:pStyle w:val="Heading4"/>
        <w:spacing w:line="357" w:lineRule="auto" w:before="26"/>
        <w:ind w:right="96"/>
        <w:jc w:val="left"/>
      </w:pP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6"/>
        </w:rPr>
        <w:t> </w:t>
      </w:r>
      <w:r>
        <w:rPr>
          <w:spacing w:val="-86"/>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pStyle w:val="Heading4"/>
        <w:spacing w:line="475" w:lineRule="auto" w:before="190"/>
        <w:ind w:left="633" w:right="215"/>
        <w:jc w:val="left"/>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Heading4"/>
        <w:spacing w:line="357" w:lineRule="auto" w:before="75"/>
        <w:ind w:right="231" w:firstLine="480"/>
        <w:jc w:val="both"/>
      </w:pPr>
      <w:r>
        <w:rPr/>
        <w:t>我们认为，财务报表在所有重大方面按照企业会计准则的规定编制，公允反映了恒顺公 司</w:t>
      </w:r>
      <w:r>
        <w:rPr>
          <w:spacing w:val="-55"/>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5"/>
        </w:rPr>
        <w:t> </w:t>
      </w:r>
      <w:r>
        <w:rPr>
          <w:rFonts w:ascii="宋体" w:hAnsi="宋体" w:cs="宋体" w:eastAsia="宋体" w:hint="default"/>
        </w:rPr>
        <w:t>2015</w:t>
      </w:r>
      <w:r>
        <w:rPr>
          <w:rFonts w:ascii="宋体" w:hAnsi="宋体" w:cs="宋体" w:eastAsia="宋体" w:hint="default"/>
          <w:spacing w:val="-56"/>
        </w:rPr>
        <w:t> </w:t>
      </w:r>
      <w:r>
        <w:rPr/>
        <w:t>年度的合并及母公司经营成果和合 并及母公司现金流量。</w:t>
      </w:r>
    </w:p>
    <w:p>
      <w:pPr>
        <w:spacing w:line="477" w:lineRule="auto" w:before="190"/>
        <w:ind w:left="633" w:right="5053" w:firstLine="2"/>
        <w:jc w:val="left"/>
        <w:rPr>
          <w:rFonts w:ascii="宋体" w:hAnsi="宋体" w:cs="宋体" w:eastAsia="宋体" w:hint="default"/>
          <w:sz w:val="24"/>
          <w:szCs w:val="24"/>
        </w:rPr>
      </w:pPr>
      <w:r>
        <w:rPr>
          <w:rFonts w:ascii="宋体" w:hAnsi="宋体" w:cs="宋体" w:eastAsia="宋体" w:hint="default"/>
          <w:b/>
          <w:bCs/>
          <w:sz w:val="24"/>
          <w:szCs w:val="24"/>
        </w:rPr>
        <w:t>四、强调事项</w:t>
      </w:r>
      <w:r>
        <w:rPr>
          <w:rFonts w:ascii="宋体" w:hAnsi="宋体" w:cs="宋体" w:eastAsia="宋体" w:hint="default"/>
          <w:b/>
          <w:bCs/>
          <w:w w:val="99"/>
          <w:sz w:val="24"/>
          <w:szCs w:val="24"/>
        </w:rPr>
        <w:t> </w:t>
      </w:r>
      <w:r>
        <w:rPr>
          <w:rFonts w:ascii="宋体" w:hAnsi="宋体" w:cs="宋体" w:eastAsia="宋体" w:hint="default"/>
          <w:sz w:val="24"/>
          <w:szCs w:val="24"/>
        </w:rPr>
        <w:t>我们提醒财务报表使用者关注如下事项：</w:t>
      </w:r>
    </w:p>
    <w:p>
      <w:pPr>
        <w:pStyle w:val="Heading4"/>
        <w:spacing w:line="240" w:lineRule="auto" w:before="72"/>
        <w:ind w:left="633" w:right="103"/>
        <w:jc w:val="left"/>
      </w:pPr>
      <w:r>
        <w:rPr/>
        <w:t>恒顺公司于</w:t>
      </w:r>
      <w:r>
        <w:rPr>
          <w:spacing w:val="-57"/>
        </w:rPr>
        <w:t> </w:t>
      </w:r>
      <w:r>
        <w:rPr>
          <w:rFonts w:ascii="宋体" w:hAnsi="宋体" w:cs="宋体" w:eastAsia="宋体" w:hint="default"/>
        </w:rPr>
        <w:t>2015</w:t>
      </w:r>
      <w:r>
        <w:rPr>
          <w:rFonts w:ascii="宋体" w:hAnsi="宋体" w:cs="宋体" w:eastAsia="宋体" w:hint="default"/>
          <w:spacing w:val="-56"/>
        </w:rPr>
        <w:t> </w:t>
      </w:r>
      <w:r>
        <w:rPr/>
        <w:t>年</w:t>
      </w:r>
      <w:r>
        <w:rPr>
          <w:spacing w:val="-56"/>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3</w:t>
      </w:r>
      <w:r>
        <w:rPr>
          <w:rFonts w:ascii="宋体" w:hAnsi="宋体" w:cs="宋体" w:eastAsia="宋体" w:hint="default"/>
          <w:spacing w:val="-56"/>
        </w:rPr>
        <w:t> </w:t>
      </w:r>
      <w:r>
        <w:rPr>
          <w:spacing w:val="-4"/>
        </w:rPr>
        <w:t>日收到中国证券监督管理委员会调查通知书（编号：深专调查</w:t>
      </w:r>
    </w:p>
    <w:p>
      <w:pPr>
        <w:pStyle w:val="Heading4"/>
        <w:spacing w:line="357" w:lineRule="auto" w:before="152"/>
        <w:ind w:right="217"/>
        <w:jc w:val="left"/>
      </w:pPr>
      <w:r>
        <w:rPr/>
        <w:t>通字</w:t>
      </w:r>
      <w:r>
        <w:rPr>
          <w:spacing w:val="-56"/>
        </w:rPr>
        <w:t> </w:t>
      </w:r>
      <w:r>
        <w:rPr>
          <w:rFonts w:ascii="宋体" w:hAnsi="宋体" w:cs="宋体" w:eastAsia="宋体" w:hint="default"/>
        </w:rPr>
        <w:t>2015689</w:t>
      </w:r>
      <w:r>
        <w:rPr>
          <w:rFonts w:ascii="宋体" w:hAnsi="宋体" w:cs="宋体" w:eastAsia="宋体" w:hint="default"/>
          <w:spacing w:val="-57"/>
        </w:rPr>
        <w:t> </w:t>
      </w:r>
      <w:r>
        <w:rPr>
          <w:spacing w:val="-6"/>
        </w:rPr>
        <w:t>号），根据《中华人民共和国证券法》的有关规定，中国证券监督管理委员会决</w:t>
      </w:r>
      <w:r>
        <w:rPr/>
        <w:t> 定对恒顺公司立案调查。截至审计报告日，证监会尚未出具最终结论。</w:t>
      </w:r>
    </w:p>
    <w:p>
      <w:pPr>
        <w:pStyle w:val="Heading4"/>
        <w:spacing w:line="240" w:lineRule="auto" w:before="74"/>
        <w:ind w:left="638" w:right="215"/>
        <w:jc w:val="left"/>
      </w:pPr>
      <w:r>
        <w:rPr/>
        <w:t>本段内容不影响发表的审计意见。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2"/>
          <w:szCs w:val="22"/>
        </w:rPr>
      </w:pPr>
    </w:p>
    <w:p>
      <w:pPr>
        <w:pStyle w:val="Heading3"/>
        <w:tabs>
          <w:tab w:pos="5095" w:val="left" w:leader="none"/>
        </w:tabs>
        <w:spacing w:line="240" w:lineRule="auto"/>
        <w:ind w:right="215"/>
        <w:jc w:val="left"/>
        <w:rPr>
          <w:rFonts w:ascii="宋体" w:hAnsi="宋体" w:cs="宋体" w:eastAsia="宋体" w:hint="default"/>
          <w:b w:val="0"/>
          <w:bCs w:val="0"/>
        </w:rPr>
      </w:pPr>
      <w:r>
        <w:rPr>
          <w:w w:val="95"/>
        </w:rPr>
        <w:t>山东和信会计师事务所（特殊普通合伙）</w:t>
        <w:tab/>
      </w:r>
      <w:r>
        <w:rPr/>
        <w:t>中国注册会计师</w:t>
      </w:r>
      <w:r>
        <w:rPr>
          <w:rFonts w:ascii="宋体" w:hAnsi="宋体" w:cs="宋体" w:eastAsia="宋体" w:hint="default"/>
        </w:rPr>
        <w:t>:</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4"/>
          <w:szCs w:val="14"/>
        </w:rPr>
      </w:pPr>
    </w:p>
    <w:p>
      <w:pPr>
        <w:spacing w:after="0" w:line="240" w:lineRule="auto"/>
        <w:rPr>
          <w:rFonts w:ascii="宋体" w:hAnsi="宋体" w:cs="宋体" w:eastAsia="宋体" w:hint="default"/>
          <w:sz w:val="14"/>
          <w:szCs w:val="14"/>
        </w:rPr>
        <w:sectPr>
          <w:pgSz w:w="11910" w:h="16840"/>
          <w:pgMar w:header="745" w:footer="979" w:top="1060" w:bottom="1160" w:left="980" w:right="900"/>
        </w:sectPr>
      </w:pPr>
    </w:p>
    <w:p>
      <w:pPr>
        <w:pStyle w:val="Heading3"/>
        <w:spacing w:line="240" w:lineRule="auto" w:before="26"/>
        <w:ind w:left="1307" w:right="-19"/>
        <w:jc w:val="left"/>
        <w:rPr>
          <w:b w:val="0"/>
          <w:bCs w:val="0"/>
        </w:rPr>
      </w:pPr>
      <w:r>
        <w:rPr>
          <w:spacing w:val="-6"/>
        </w:rPr>
        <w:t>中国·济南</w:t>
      </w:r>
      <w:r>
        <w:rPr>
          <w:b w:val="0"/>
          <w:bCs w:val="0"/>
          <w:spacing w:val="-6"/>
        </w:rPr>
      </w:r>
    </w:p>
    <w:p>
      <w:pPr>
        <w:spacing w:line="240" w:lineRule="auto" w:before="10"/>
        <w:rPr>
          <w:rFonts w:ascii="宋体" w:hAnsi="宋体" w:cs="宋体" w:eastAsia="宋体" w:hint="default"/>
          <w:b/>
          <w:bCs/>
          <w:sz w:val="28"/>
          <w:szCs w:val="28"/>
        </w:rPr>
      </w:pPr>
      <w:r>
        <w:rPr/>
        <w:br w:type="column"/>
      </w:r>
      <w:r>
        <w:rPr>
          <w:rFonts w:ascii="宋体"/>
          <w:b/>
          <w:sz w:val="28"/>
        </w:rPr>
      </w:r>
    </w:p>
    <w:p>
      <w:pPr>
        <w:pStyle w:val="Heading3"/>
        <w:spacing w:line="240" w:lineRule="auto"/>
        <w:ind w:left="1307" w:right="0" w:firstLine="81"/>
        <w:jc w:val="left"/>
        <w:rPr>
          <w:rFonts w:ascii="宋体" w:hAnsi="宋体" w:cs="宋体" w:eastAsia="宋体" w:hint="default"/>
          <w:b w:val="0"/>
          <w:bCs w:val="0"/>
        </w:rPr>
      </w:pPr>
      <w:r>
        <w:rPr/>
        <w:t>中国注册会计师</w:t>
      </w:r>
      <w:r>
        <w:rPr>
          <w:rFonts w:ascii="宋体" w:hAnsi="宋体" w:cs="宋体" w:eastAsia="宋体" w:hint="default"/>
        </w:rPr>
        <w:t>:</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35"/>
          <w:szCs w:val="35"/>
        </w:rPr>
      </w:pPr>
    </w:p>
    <w:p>
      <w:pPr>
        <w:pStyle w:val="Heading3"/>
        <w:spacing w:line="240" w:lineRule="auto"/>
        <w:ind w:left="1307" w:right="0"/>
        <w:jc w:val="left"/>
        <w:rPr>
          <w:b w:val="0"/>
          <w:bCs w:val="0"/>
        </w:rPr>
      </w:pPr>
      <w:r>
        <w:rPr>
          <w:rFonts w:ascii="宋体" w:hAnsi="宋体" w:cs="宋体" w:eastAsia="宋体" w:hint="default"/>
          <w:spacing w:val="-3"/>
        </w:rPr>
        <w:t>2016</w:t>
      </w:r>
      <w:r>
        <w:rPr>
          <w:rFonts w:ascii="宋体" w:hAnsi="宋体" w:cs="宋体" w:eastAsia="宋体" w:hint="default"/>
          <w:spacing w:val="-62"/>
        </w:rPr>
        <w:t> </w:t>
      </w:r>
      <w:r>
        <w:rPr/>
        <w:t>年</w:t>
      </w:r>
      <w:r>
        <w:rPr>
          <w:spacing w:val="-74"/>
        </w:rPr>
        <w:t> </w:t>
      </w:r>
      <w:r>
        <w:rPr>
          <w:rFonts w:ascii="宋体" w:hAnsi="宋体" w:cs="宋体" w:eastAsia="宋体" w:hint="default"/>
        </w:rPr>
        <w:t>3</w:t>
      </w:r>
      <w:r>
        <w:rPr>
          <w:rFonts w:ascii="宋体" w:hAnsi="宋体" w:cs="宋体" w:eastAsia="宋体" w:hint="default"/>
          <w:spacing w:val="-69"/>
        </w:rPr>
        <w:t> </w:t>
      </w:r>
      <w:r>
        <w:rPr/>
        <w:t>月</w:t>
      </w:r>
      <w:r>
        <w:rPr>
          <w:spacing w:val="-74"/>
        </w:rPr>
        <w:t> </w:t>
      </w:r>
      <w:r>
        <w:rPr>
          <w:rFonts w:ascii="宋体" w:hAnsi="宋体" w:cs="宋体" w:eastAsia="宋体" w:hint="default"/>
        </w:rPr>
        <w:t>25</w:t>
      </w:r>
      <w:r>
        <w:rPr>
          <w:rFonts w:ascii="宋体" w:hAnsi="宋体" w:cs="宋体" w:eastAsia="宋体" w:hint="default"/>
          <w:spacing w:val="-69"/>
        </w:rPr>
        <w:t> </w:t>
      </w:r>
      <w:r>
        <w:rPr/>
        <w:t>日</w:t>
      </w:r>
      <w:r>
        <w:rPr>
          <w:b w:val="0"/>
          <w:bCs w:val="0"/>
        </w:rPr>
      </w:r>
    </w:p>
    <w:p>
      <w:pPr>
        <w:spacing w:after="0" w:line="240" w:lineRule="auto"/>
        <w:jc w:val="left"/>
        <w:sectPr>
          <w:type w:val="continuous"/>
          <w:pgSz w:w="11910" w:h="16840"/>
          <w:pgMar w:top="1060" w:bottom="1160" w:left="980" w:right="900"/>
          <w:cols w:num="2" w:equalWidth="0">
            <w:col w:w="2484" w:space="1222"/>
            <w:col w:w="6324"/>
          </w:cols>
        </w:sectPr>
      </w:pPr>
    </w:p>
    <w:p>
      <w:pPr>
        <w:spacing w:line="240" w:lineRule="auto" w:before="8"/>
        <w:rPr>
          <w:rFonts w:ascii="宋体" w:hAnsi="宋体" w:cs="宋体" w:eastAsia="宋体" w:hint="default"/>
          <w:b/>
          <w:bCs/>
          <w:sz w:val="23"/>
          <w:szCs w:val="23"/>
        </w:rPr>
      </w:pPr>
    </w:p>
    <w:p>
      <w:pPr>
        <w:pStyle w:val="Heading3"/>
        <w:spacing w:line="240" w:lineRule="auto" w:before="26"/>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编制单位：青岛市恒顺众昇集团股份有限公司</w:t>
      </w:r>
    </w:p>
    <w:p>
      <w:pPr>
        <w:pStyle w:val="BodyText"/>
        <w:spacing w:line="240" w:lineRule="auto" w:before="117"/>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413,594,215.18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111,831,398.71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488,415,364.25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258,220,586.48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18,957,729.19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6,650,148.39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39,166,978.42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18,378,560.69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59,371,697.45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64,297,633.15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152,118.00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47,334,646.12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3,366,593.56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1,069,981,630.61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465,220,038.98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36,314,729.80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43,880,664.62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222,099,657.85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255,425,336.39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216,469,295.87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137,584,480.07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416,603,168.36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356,708,990.52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24,580,800.00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24,580,800.00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1,329,877.11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123,175.78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6,062,835.31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7,235,451.90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143,310,242.60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146,245,964.07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1,066,770,606.90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971,784,863.35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2,136,752,237.51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1,437,004,902.33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183,849,020.00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931,064.71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293,066,177.27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108,930,715.49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46,158,424.43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838,409.37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3,325,162.37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3,887,696.29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53,110,632.38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25,269,458.63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17,494,684.38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17,898,675.14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6,287,740.50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33,450,575.66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17,915,382.23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2,976,111.76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72,161,352.93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1,099,232.45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695,718,528.75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321,931,987.24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198,985,770.66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198,550,559.17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7,192,270.25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3,755,710.84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450,201.18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4,410,475.82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50,127,000.00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71,610,000.00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283,755,242.09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307,326,745.83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979,473,770.84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629,258,733.07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766,525,000.00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301,970,000.00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74,087,425.22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302,381,638.77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-74,116,917.84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-28,897,363.38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2,589,655.26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1,014,922.62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56,695,227.34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22,356,125.94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356,277,775.87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223,669,721.30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1,152,220,665.85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805,445,045.25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5,057,800.82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2,301,124.01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1,157,278,466.67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807,746,169.26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2,136,752,237.51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1,437,004,902.33</w:t>
            </w:r>
          </w:p>
        </w:tc>
      </w:tr>
    </w:tbl>
    <w:p>
      <w:pPr>
        <w:spacing w:line="240" w:lineRule="auto" w:before="11"/>
        <w:rPr>
          <w:rFonts w:ascii="Times New Roman" w:hAnsi="Times New Roman" w:cs="Times New Roman" w:eastAsia="Times New Roman" w:hint="default"/>
          <w:sz w:val="22"/>
          <w:szCs w:val="22"/>
        </w:rPr>
      </w:pPr>
    </w:p>
    <w:p>
      <w:pPr>
        <w:pStyle w:val="BodyText"/>
        <w:tabs>
          <w:tab w:pos="3605" w:val="left" w:leader="none"/>
          <w:tab w:pos="7749" w:val="left" w:leader="none"/>
        </w:tabs>
        <w:spacing w:line="240" w:lineRule="auto" w:before="44"/>
        <w:ind w:left="0" w:right="242"/>
        <w:jc w:val="right"/>
      </w:pPr>
      <w:r>
        <w:rPr/>
        <w:t>法定代表人：贾全臣</w:t>
        <w:tab/>
      </w:r>
      <w:r>
        <w:rPr>
          <w:spacing w:val="-1"/>
        </w:rPr>
        <w:t>主管会计工作负责人：刘涛</w:t>
        <w:tab/>
      </w:r>
      <w:r>
        <w:rPr/>
        <w:t>会计机构负责人：于越</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375,591,599.81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66,755,098.91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467,049,845.69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190,399,849.92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3,719,937.19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1,660,154.49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40,176,632.33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13,538,288.02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59,359,897.58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64,233,545.31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152,118.00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40,050,357.77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91,666.67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986,448,270.37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339,153,721.32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36,314,729.80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43,880,664.62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1,068,410,979.38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880,027,699.38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143,236,959.58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153,655,230.12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7,379,351.12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7,414,573.28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1,329,877.11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123,175.78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5,471,963.33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6,587,469.55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1,262,143,860.32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1,091,688,812.73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2,248,592,130.69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1,430,842,534.05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183,849,020.00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931,064.71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284,814,218.79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84,768,853.63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46,158,424.43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838,409.37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3,170,411.66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3,714,534.43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51,610,456.97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15,372,559.28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17,494,684.38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17,890,845.28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6,287,740.50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155,751,497.92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103,913,400.00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2,976,111.76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1,099,232.45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808,112,566.41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363,528,899.15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198,985,770.66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198,550,559.17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7,192,270.25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3,755,710.84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450,201.18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4,410,475.82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50,127,000.00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71,610,000.00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283,755,242.09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307,326,745.83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1,091,867,808.50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670,855,644.98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766,525,000.00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301,970,000.00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70,199,293.56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298,493,507.11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29,837,500.00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2,589,655.26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1,014,922.62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56,695,227.34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22,356,125.94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290,552,646.03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153,202,333.40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1,156,724,322.19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759,986,889.07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2,248,592,130.69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1,430,842,534.05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1,163,266,236.47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670,442,561.22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1,163,266,236.47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670,442,561.22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811,311,272.16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535,259,686.36</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638,457,983.51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449,068,420.37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380.149994pt;width:158.9pt;height:20.65pt;mso-position-horizontal-relative:page;mso-position-vertical-relative:page;z-index:-892912" coordorigin="4220,7603" coordsize="3178,413">
            <v:group style="position:absolute;left:4231;top:7614;width:2;height:392" coordorigin="4231,7614" coordsize="2,392">
              <v:shape style="position:absolute;left:4231;top:7614;width:2;height:392" coordorigin="4231,7614" coordsize="0,392" path="m4231,7614l4231,8005e" filled="false" stroked="true" strokeweight="1.08pt" strokecolor="#ffffff">
                <v:path arrowok="t"/>
              </v:shape>
            </v:group>
            <v:group style="position:absolute;left:4242;top:7614;width:3157;height:392" coordorigin="4242,7614" coordsize="3157,392">
              <v:shape style="position:absolute;left:4242;top:7614;width:3157;height:392" coordorigin="4242,7614" coordsize="3157,392" path="m4242,8005l7398,8005,7398,7614,4242,7614,4242,8005xe" filled="true" fillcolor="#ffffff" stroked="false">
                <v:path arrowok="t"/>
                <v:fill type="solid"/>
              </v:shape>
            </v:group>
            <w10:wrap type="none"/>
          </v:group>
        </w:pict>
      </w:r>
      <w:r>
        <w:rPr/>
        <w:pict>
          <v:group style="position:absolute;margin-left:211.009995pt;margin-top:500.769989pt;width:158.9pt;height:20.65pt;mso-position-horizontal-relative:page;mso-position-vertical-relative:page;z-index:-892888" coordorigin="4220,10015" coordsize="3178,413">
            <v:group style="position:absolute;left:4231;top:10026;width:2;height:392" coordorigin="4231,10026" coordsize="2,392">
              <v:shape style="position:absolute;left:4231;top:10026;width:2;height:392" coordorigin="4231,10026" coordsize="0,392" path="m4231,10026l4231,10417e" filled="false" stroked="true" strokeweight="1.08pt" strokecolor="#ffffff">
                <v:path arrowok="t"/>
              </v:shape>
            </v:group>
            <v:group style="position:absolute;left:4242;top:10026;width:3157;height:392" coordorigin="4242,10026" coordsize="3157,392">
              <v:shape style="position:absolute;left:4242;top:10026;width:3157;height:392" coordorigin="4242,10026" coordsize="3157,392" path="m4242,10417l7398,10417,7398,10026,4242,10026,4242,10417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071"/>
        <w:gridCol w:w="2151"/>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2,660,950.07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3,426,746.81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28,498,641.04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9,784,410.13</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106,404,257.56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38,889,996.67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19,179,297.12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23,695,163.44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16,110,142.86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10,394,948.94</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2"/>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351,954,964.31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135,182,874.86</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46,688,477.79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3,269,478.62</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18,587.12</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108,760.76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3,631.17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108,760.76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3,631.17</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1"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398,534,681.34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138,448,722.31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60,002,592.68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21,237,888.45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338,532,088.66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117,210,833.86</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338,648,755.97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109,530,694.55</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-116,667.31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7,680,139.31</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-42,346,210.34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-12,428,782.99</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6" w:right="0"/>
              <w:jc w:val="left"/>
              <w:rPr>
                <w:rFonts w:ascii="Times New Roman" w:hAnsi="Times New Roman" w:cs="Times New Roman" w:eastAsia="Times New Roman" w:hint="default"/>
                <w:sz w:val="18"/>
                <w:szCs w:val="18"/>
              </w:rPr>
            </w:pPr>
            <w:r>
              <w:rPr>
                <w:rFonts w:ascii="Times New Roman"/>
                <w:sz w:val="18"/>
              </w:rPr>
              <w:t>-45,219,554.46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-11,960,248.58</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20"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36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-45,219,554.46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-11,960,248.58</w:t>
            </w:r>
          </w:p>
        </w:tc>
      </w:tr>
      <w:tr>
        <w:trPr>
          <w:trHeight w:val="1027"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-45,219,554.46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-11,960,248.58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2,873,344.12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-468,534.41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296,185,878.32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104,782,050.87</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293,429,201.51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97,570,445.97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2,756,676.81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7,211,604.90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bl>
    <w:p>
      <w:pPr>
        <w:pStyle w:val="BodyText"/>
        <w:tabs>
          <w:tab w:pos="3758" w:val="left" w:leader="none"/>
          <w:tab w:pos="7901" w:val="left" w:leader="none"/>
        </w:tabs>
        <w:spacing w:line="621" w:lineRule="auto" w:before="49"/>
        <w:ind w:right="242"/>
        <w:jc w:val="left"/>
      </w:pPr>
      <w:r>
        <w:rPr/>
        <w:t>本期发生同一控制下企业合并的，被合并方在合并前实现的净利润为：元，上期被合并方实现的净利润为：元。 法定代表人：贾全臣</w:t>
        <w:tab/>
      </w:r>
      <w:r>
        <w:rPr>
          <w:spacing w:val="-1"/>
        </w:rPr>
        <w:t>主管会计工作负责人：刘涛</w:t>
        <w:tab/>
      </w:r>
      <w:r>
        <w:rPr/>
        <w:t>会计机构负责人：于越</w:t>
      </w:r>
    </w:p>
    <w:p>
      <w:pPr>
        <w:pStyle w:val="Heading5"/>
        <w:spacing w:line="240" w:lineRule="auto" w:before="69"/>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1,117,569,104.30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365,416,060.60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601,231,048.90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204,253,765.20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2,660,950.07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3,426,746.81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28,458,899.08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9,460,449.11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93,307,075.06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32,426,797.02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19,441,477.69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23,692,077.18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17,260,311.21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7,389,094.05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355,209,342.29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84,767,131.23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46,635,049.92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3,268,865.15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18,587.12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108,760.76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696.34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108,760.76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696.34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401,735,631.45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88,035,300.04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58,344,617.42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12,013,954.92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343,391,014.03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76,021,345.12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343,391,014.03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76,021,345.12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0"/>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40"/>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977,552,103.13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573,147,632.06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20,263,793.66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53,842,057.04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21,673,469.78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1,051,657,953.83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594,821,101.84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349,279,790.13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369,090,944.20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25,320,573.69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23,674,227.70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46,528,929.50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16,050,189.32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61,815,453.28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47,600,317.87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482,944,746.60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456,415,679.09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568,713,207.23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138,405,422.75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7,516,332.99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7,648,332.99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103,521,326.93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253,265,138.91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97,919,477.37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63,261,810.00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201,440,804.30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316,526,948.91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-193,792,471.31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-316,498,948.91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22,202,400.00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71,610,000.00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36,571,170.46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9,115,545.18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114,773,570.46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183,725,545.18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143,944,444.41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96,666,666.68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40,368,864.26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31,052,892.51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98,128,098.57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6,917,673.02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282,441,407.24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134,637,232.21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-167,667,836.78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49,088,312.97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3,189,377.79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-1,821,985.03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210,442,276.93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-130,827,198.22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105,260,228.25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236,087,426.47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315,702,505.18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105,260,228.25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889,705,956.89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315,131,700.65</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20,263,793.66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67,524,484.31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107,420,548.64</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977,494,234.86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422,552,249.29</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313,959,190.69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186,526,401.61</w:t>
            </w: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17,949,883.46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15,255,219.94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35,313,207.00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15,793,232.13</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47,167,350.46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20,412,636.11</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414,389,631.61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237,987,489.79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563,104,603.25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184,564,759.50</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7,516,332.99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7,648,332.99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28,000.00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6,374,040.17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12,475,793.64</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188,383,280.00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338,285,282.38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3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194,757,320.17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350,761,076.02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-187,108,987.18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-350,733,076.02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22,202,400.00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71,610,000.00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36,571,170.46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9,115,545.18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114,773,570.46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183,725,545.18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40,185,426.60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27,758,944.25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98,128,098.57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6,917,673.02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275,313,525.17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114,676,617.27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-160,539,954.71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69,048,927.91</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2,060,300.00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333,150.50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217,515,961.36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-96,786,238.11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60,183,928.45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156,970,166.56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277,699,889.81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60,183,928.45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3"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7" w:hRule="exact"/>
        </w:trPr>
        <w:tc>
          <w:tcPr>
            <w:tcW w:w="1438"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301,97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302,381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,638.77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-28,897,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363.38</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22.62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125.94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9"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223,669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,721.30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2,301,1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24.01</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807,746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,169.26</w:t>
            </w:r>
          </w:p>
        </w:tc>
      </w:tr>
      <w:tr>
        <w:trPr>
          <w:trHeight w:val="391"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44"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301,97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302,381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,638.77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-28,897,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363.38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22.62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22,356,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125.94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223,669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,721.30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2,301,1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24.01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807,746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,169.26</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464,55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4,213.5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-45,219,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554.46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1,574,7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32.64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34,339,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132,608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,054.57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2,756,6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76.81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349,532</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,297.41</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-45,219,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554.46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338,648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,755.97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2,756,6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76.81</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296,185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,878.32</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4,640,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78,315,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786.45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70,168,</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286.45</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4,640,</w:t>
            </w:r>
          </w:p>
          <w:p>
            <w:pPr>
              <w:pStyle w:val="TableParagraph"/>
              <w:spacing w:line="240" w:lineRule="auto" w:before="105"/>
              <w:ind w:left="35" w:right="0"/>
              <w:jc w:val="left"/>
              <w:rPr>
                <w:rFonts w:ascii="Times New Roman" w:hAnsi="Times New Roman" w:cs="Times New Roman" w:eastAsia="Times New Roman" w:hint="default"/>
                <w:sz w:val="18"/>
                <w:szCs w:val="18"/>
              </w:rPr>
            </w:pPr>
            <w:r>
              <w:rPr>
                <w:rFonts w:ascii="Times New Roman"/>
                <w:sz w:val="18"/>
              </w:rPr>
              <w:t>000.00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17,562,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22,202,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400.00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60,753,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386.45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12,787,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47,965,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886.45</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34,339,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0,701.4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-18,396,</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600.00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34,339,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-34,339,</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101.40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153,30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1,600.0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-18,396,</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600.00</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306,61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306,61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-306,61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1,574,7</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32.64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center"/>
              <w:rPr>
                <w:rFonts w:ascii="Times New Roman" w:hAnsi="Times New Roman" w:cs="Times New Roman" w:eastAsia="Times New Roman" w:hint="default"/>
                <w:sz w:val="18"/>
                <w:szCs w:val="18"/>
              </w:rPr>
            </w:pPr>
            <w:r>
              <w:rPr>
                <w:rFonts w:ascii="Times New Roman"/>
                <w:sz w:val="18"/>
              </w:rPr>
              <w:t>1,574,7</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32.64</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1,574,7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32.64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1,574,7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32.64</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766,52</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5,000.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74,087,</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425.22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29,837,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500.00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-74,116,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917.84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2,589,6</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55.26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56,695,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227.34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356,277</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,775.87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5,057,8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00.82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1,157,2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78,466.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403"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0" w:hRule="exact"/>
        </w:trPr>
        <w:tc>
          <w:tcPr>
            <w:tcW w:w="1415" w:type="dxa"/>
            <w:vMerge/>
            <w:tcBorders>
              <w:left w:val="single" w:sz="4" w:space="0" w:color="000000"/>
              <w:right w:val="single" w:sz="4" w:space="0" w:color="000000"/>
            </w:tcBorders>
            <w:shd w:val="clear" w:color="auto" w:fill="D2D2D2"/>
          </w:tcPr>
          <w:p>
            <w:pPr/>
          </w:p>
        </w:tc>
        <w:tc>
          <w:tcPr>
            <w:tcW w:w="6833"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33" w:type="dxa"/>
            <w:gridSpan w:val="11"/>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tcBorders>
              <w:left w:val="single" w:sz="4" w:space="0" w:color="000000"/>
              <w:right w:val="single" w:sz="4" w:space="0" w:color="000000"/>
            </w:tcBorders>
            <w:shd w:val="clear" w:color="auto" w:fill="D2D2D2"/>
          </w:tcPr>
          <w:p>
            <w:pPr/>
          </w:p>
        </w:tc>
      </w:tr>
      <w:tr>
        <w:trPr>
          <w:trHeight w:val="174"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84"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68"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8"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80" w:type="dxa"/>
            <w:vMerge/>
            <w:tcBorders>
              <w:left w:val="single" w:sz="4" w:space="0" w:color="000000"/>
              <w:right w:val="single" w:sz="4" w:space="0" w:color="000000"/>
            </w:tcBorders>
            <w:shd w:val="clear" w:color="auto" w:fill="D2D2D2"/>
          </w:tcPr>
          <w:p>
            <w:pPr/>
          </w:p>
        </w:tc>
        <w:tc>
          <w:tcPr>
            <w:tcW w:w="653" w:type="dxa"/>
            <w:vMerge/>
            <w:tcBorders>
              <w:left w:val="single" w:sz="4" w:space="0" w:color="000000"/>
              <w:bottom w:val="nil" w:sz="6" w:space="0" w:color="auto"/>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653" w:type="dxa"/>
            <w:vMerge w:val="restart"/>
            <w:tcBorders>
              <w:top w:val="nil" w:sz="6" w:space="0" w:color="auto"/>
              <w:left w:val="single" w:sz="4" w:space="0" w:color="000000"/>
              <w:right w:val="single" w:sz="4" w:space="0" w:color="000000"/>
            </w:tcBorders>
            <w:shd w:val="clear" w:color="auto" w:fill="D2D2D2"/>
          </w:tcPr>
          <w:p>
            <w:pPr/>
          </w:p>
        </w:tc>
        <w:tc>
          <w:tcPr>
            <w:tcW w:w="658"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284,92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294,334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,854.43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-16,937,</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114.80</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14,753,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991.43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121,741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,161.26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-4,910,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480.89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693,902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,411.43</w:t>
            </w:r>
          </w:p>
        </w:tc>
      </w:tr>
      <w:tr>
        <w:trPr>
          <w:trHeight w:val="39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284,92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294,334</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,854.43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-16,937,</w:t>
            </w:r>
          </w:p>
          <w:p>
            <w:pPr>
              <w:pStyle w:val="TableParagraph"/>
              <w:spacing w:line="240" w:lineRule="auto" w:before="102"/>
              <w:ind w:left="127" w:right="0"/>
              <w:jc w:val="center"/>
              <w:rPr>
                <w:rFonts w:ascii="Times New Roman" w:hAnsi="Times New Roman" w:cs="Times New Roman" w:eastAsia="Times New Roman" w:hint="default"/>
                <w:sz w:val="18"/>
                <w:szCs w:val="18"/>
              </w:rPr>
            </w:pPr>
            <w:r>
              <w:rPr>
                <w:rFonts w:ascii="Times New Roman"/>
                <w:sz w:val="18"/>
              </w:rPr>
              <w:t>114.80</w:t>
            </w: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14,753,</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991.43</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121,741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,161.26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-4,910,</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480.89</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693,902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,411.43</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8"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8,046,7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84.34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-11,960,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248.58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22.62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34.51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101,928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,560.04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7,211,6</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04.90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113,843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,757.83</w:t>
            </w:r>
          </w:p>
        </w:tc>
      </w:tr>
      <w:tr>
        <w:trPr>
          <w:trHeight w:val="401"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1"/>
              <w:jc w:val="right"/>
              <w:rPr>
                <w:rFonts w:ascii="宋体" w:hAnsi="宋体" w:cs="宋体" w:eastAsia="宋体" w:hint="default"/>
                <w:sz w:val="18"/>
                <w:szCs w:val="18"/>
              </w:rPr>
            </w:pPr>
            <w:r>
              <w:rPr>
                <w:rFonts w:ascii="宋体" w:hAnsi="宋体" w:cs="宋体" w:eastAsia="宋体" w:hint="default"/>
                <w:spacing w:val="-8"/>
                <w:sz w:val="18"/>
                <w:szCs w:val="18"/>
              </w:rPr>
              <w:t>（一）综合收益总</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307,445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-11,960,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 w:right="0"/>
              <w:jc w:val="left"/>
              <w:rPr>
                <w:rFonts w:ascii="Times New Roman" w:hAnsi="Times New Roman" w:cs="Times New Roman" w:eastAsia="Times New Roman" w:hint="default"/>
                <w:sz w:val="18"/>
                <w:szCs w:val="18"/>
              </w:rPr>
            </w:pPr>
            <w:r>
              <w:rPr>
                <w:rFonts w:ascii="Times New Roman"/>
                <w:sz w:val="18"/>
              </w:rPr>
              <w:t>109,530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8"/>
                <w:szCs w:val="18"/>
              </w:rPr>
            </w:pPr>
            <w:r>
              <w:rPr>
                <w:rFonts w:ascii="Times New Roman"/>
                <w:sz w:val="18"/>
              </w:rPr>
              <w:t>7,211,6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0" w:right="0"/>
              <w:jc w:val="left"/>
              <w:rPr>
                <w:rFonts w:ascii="Times New Roman" w:hAnsi="Times New Roman" w:cs="Times New Roman" w:eastAsia="Times New Roman" w:hint="default"/>
                <w:sz w:val="18"/>
                <w:szCs w:val="18"/>
              </w:rPr>
            </w:pPr>
            <w:r>
              <w:rPr>
                <w:rFonts w:ascii="Times New Roman"/>
                <w:sz w:val="18"/>
              </w:rPr>
              <w:t>105,089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05" w:right="0"/>
              <w:jc w:val="left"/>
              <w:rPr>
                <w:rFonts w:ascii="Times New Roman" w:hAnsi="Times New Roman" w:cs="Times New Roman" w:eastAsia="Times New Roman" w:hint="default"/>
                <w:sz w:val="18"/>
                <w:szCs w:val="18"/>
              </w:rPr>
            </w:pPr>
            <w:r>
              <w:rPr>
                <w:rFonts w:ascii="Times New Roman"/>
                <w:sz w:val="18"/>
              </w:rPr>
              <w:t>.59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1" w:right="0"/>
              <w:jc w:val="left"/>
              <w:rPr>
                <w:rFonts w:ascii="Times New Roman" w:hAnsi="Times New Roman" w:cs="Times New Roman" w:eastAsia="Times New Roman" w:hint="default"/>
                <w:sz w:val="18"/>
                <w:szCs w:val="18"/>
              </w:rPr>
            </w:pPr>
            <w:r>
              <w:rPr>
                <w:rFonts w:ascii="Times New Roman"/>
                <w:sz w:val="18"/>
              </w:rPr>
              <w:t>248.58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Times New Roman" w:hAnsi="Times New Roman" w:cs="Times New Roman" w:eastAsia="Times New Roman" w:hint="default"/>
                <w:sz w:val="18"/>
                <w:szCs w:val="18"/>
              </w:rPr>
            </w:pPr>
            <w:r>
              <w:rPr>
                <w:rFonts w:ascii="Times New Roman"/>
                <w:sz w:val="18"/>
              </w:rPr>
              <w:t>,694.55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13" w:right="0"/>
              <w:jc w:val="left"/>
              <w:rPr>
                <w:rFonts w:ascii="Times New Roman" w:hAnsi="Times New Roman" w:cs="Times New Roman" w:eastAsia="Times New Roman" w:hint="default"/>
                <w:sz w:val="18"/>
                <w:szCs w:val="18"/>
              </w:rPr>
            </w:pPr>
            <w:r>
              <w:rPr>
                <w:rFonts w:ascii="Times New Roman"/>
                <w:sz w:val="18"/>
              </w:rPr>
              <w:t>04.90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86" w:right="0"/>
              <w:jc w:val="left"/>
              <w:rPr>
                <w:rFonts w:ascii="Times New Roman" w:hAnsi="Times New Roman" w:cs="Times New Roman" w:eastAsia="Times New Roman" w:hint="default"/>
                <w:sz w:val="18"/>
                <w:szCs w:val="18"/>
              </w:rPr>
            </w:pPr>
            <w:r>
              <w:rPr>
                <w:rFonts w:ascii="Times New Roman"/>
                <w:sz w:val="18"/>
              </w:rPr>
              <w:t>,496.46</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7,739,3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7,739,3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38.75</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17,050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7,739,3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38.75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7,739,3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38.75</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34.51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34.51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34.51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34.51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22.62</w:t>
            </w: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22.62</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22.62</w:t>
            </w: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22.62</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35" w:right="0"/>
              <w:jc w:val="left"/>
              <w:rPr>
                <w:rFonts w:ascii="Times New Roman" w:hAnsi="Times New Roman" w:cs="Times New Roman" w:eastAsia="Times New Roman" w:hint="default"/>
                <w:sz w:val="18"/>
                <w:szCs w:val="18"/>
              </w:rPr>
            </w:pPr>
            <w:r>
              <w:rPr>
                <w:rFonts w:ascii="Times New Roman"/>
                <w:sz w:val="18"/>
              </w:rPr>
              <w:t>301,97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302,381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,638.77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17,050,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-28,897,</w:t>
            </w:r>
          </w:p>
          <w:p>
            <w:pPr>
              <w:pStyle w:val="TableParagraph"/>
              <w:spacing w:line="240" w:lineRule="auto" w:before="105"/>
              <w:ind w:left="120" w:right="0"/>
              <w:jc w:val="center"/>
              <w:rPr>
                <w:rFonts w:ascii="Times New Roman" w:hAnsi="Times New Roman" w:cs="Times New Roman" w:eastAsia="Times New Roman" w:hint="default"/>
                <w:sz w:val="18"/>
                <w:szCs w:val="18"/>
              </w:rPr>
            </w:pPr>
            <w:r>
              <w:rPr>
                <w:rFonts w:ascii="Times New Roman"/>
                <w:sz w:val="18"/>
              </w:rPr>
              <w:t>363.38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1,014,9</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22.62</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22,356,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125.94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223,669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,721.30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2,301,1</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24.01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807,746</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,169.26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4"/>
              <w:ind w:left="6" w:right="0"/>
              <w:jc w:val="center"/>
              <w:rPr>
                <w:rFonts w:ascii="Times New Roman" w:hAnsi="Times New Roman" w:cs="Times New Roman" w:eastAsia="Times New Roman" w:hint="default"/>
                <w:sz w:val="18"/>
                <w:szCs w:val="18"/>
              </w:rPr>
            </w:pPr>
            <w:r>
              <w:rPr>
                <w:rFonts w:ascii="Times New Roman"/>
                <w:sz w:val="18"/>
              </w:rPr>
              <w:t>301,970,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298,493,5</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07.11</w:t>
            </w:r>
          </w:p>
        </w:tc>
        <w:tc>
          <w:tcPr>
            <w:tcW w:w="797" w:type="dxa"/>
            <w:vMerge w:val="restart"/>
            <w:tcBorders>
              <w:top w:val="single" w:sz="21" w:space="0" w:color="D2D2D2"/>
              <w:left w:val="single" w:sz="4" w:space="0" w:color="000000"/>
              <w:right w:val="single" w:sz="4" w:space="0" w:color="000000"/>
            </w:tcBorders>
          </w:tcPr>
          <w:p>
            <w:pPr>
              <w:pStyle w:val="TableParagraph"/>
              <w:spacing w:line="240" w:lineRule="auto" w:before="72"/>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21"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22,356,12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5.94</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57" w:right="0"/>
              <w:jc w:val="left"/>
              <w:rPr>
                <w:rFonts w:ascii="Times New Roman" w:hAnsi="Times New Roman" w:cs="Times New Roman" w:eastAsia="Times New Roman" w:hint="default"/>
                <w:sz w:val="18"/>
                <w:szCs w:val="18"/>
              </w:rPr>
            </w:pPr>
            <w:r>
              <w:rPr>
                <w:rFonts w:ascii="Times New Roman"/>
                <w:sz w:val="18"/>
              </w:rPr>
              <w:t>153,202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,333.40</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759,986,8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89.07</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301,970,</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298,493,5</w:t>
            </w:r>
          </w:p>
          <w:p>
            <w:pPr>
              <w:pStyle w:val="TableParagraph"/>
              <w:spacing w:line="240" w:lineRule="auto" w:before="102"/>
              <w:ind w:left="367" w:right="0"/>
              <w:jc w:val="left"/>
              <w:rPr>
                <w:rFonts w:ascii="Times New Roman" w:hAnsi="Times New Roman" w:cs="Times New Roman" w:eastAsia="Times New Roman" w:hint="default"/>
                <w:sz w:val="18"/>
                <w:szCs w:val="18"/>
              </w:rPr>
            </w:pPr>
            <w:r>
              <w:rPr>
                <w:rFonts w:ascii="Times New Roman"/>
                <w:sz w:val="18"/>
              </w:rPr>
              <w:t>07.11</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22,356,12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5.94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153,202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,333.40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759,986,8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89.07</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464,555,</w:t>
            </w:r>
          </w:p>
          <w:p>
            <w:pPr>
              <w:pStyle w:val="TableParagraph"/>
              <w:spacing w:line="240" w:lineRule="auto" w:before="105"/>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-228,294,</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213.55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12,787,50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1,574,732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34,339,10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137,350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,312.63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396,737,4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33.12</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343,391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,014.03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343,391,0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14.03</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4,640,00</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78,315,78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12,787,50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70,168,28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6.45</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4,640,00</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17,562,40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22,202,40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60,753,38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12,787,50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47,965,88</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6.45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153,305,</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34,339,10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1.40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-206,04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0,701.4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-18,396,6</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317"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34,339,10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1.40</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-34,339,</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101.40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153,305,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-171,70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9" w:right="0"/>
              <w:jc w:val="left"/>
              <w:rPr>
                <w:rFonts w:ascii="Times New Roman" w:hAnsi="Times New Roman" w:cs="Times New Roman" w:eastAsia="Times New Roman" w:hint="default"/>
                <w:sz w:val="18"/>
                <w:szCs w:val="18"/>
              </w:rPr>
            </w:pPr>
            <w:r>
              <w:rPr>
                <w:rFonts w:ascii="Times New Roman"/>
                <w:sz w:val="18"/>
              </w:rPr>
              <w:t>-18,396,6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67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1,600.0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306,610,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-306,610,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306,610,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-306,610,</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1,574,732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1,574,732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1,574,732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1,574,732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.64</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766,525,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70,199,29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29,837,50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2,589,655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56,695,22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7.34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290,552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,646.03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1,156,724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,322.19</w:t>
            </w:r>
          </w:p>
        </w:tc>
      </w:tr>
    </w:tbl>
    <w:p>
      <w:pPr>
        <w:pStyle w:val="BodyText"/>
        <w:spacing w:line="240" w:lineRule="auto" w:before="49"/>
        <w:ind w:right="0"/>
        <w:jc w:val="left"/>
      </w:pPr>
      <w:r>
        <w:rPr/>
        <w:t>上期金额</w:t>
      </w:r>
    </w:p>
    <w:p>
      <w:pPr>
        <w:pStyle w:val="BodyText"/>
        <w:spacing w:line="240" w:lineRule="auto" w:before="117"/>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284,920,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290,754,1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68.36</w:t>
            </w:r>
          </w:p>
        </w:tc>
        <w:tc>
          <w:tcPr>
            <w:tcW w:w="797" w:type="dxa"/>
            <w:vMerge w:val="restart"/>
            <w:tcBorders>
              <w:top w:val="single" w:sz="22" w:space="0" w:color="D2D2D2"/>
              <w:left w:val="single" w:sz="4" w:space="0" w:color="000000"/>
              <w:right w:val="single" w:sz="4" w:space="0" w:color="000000"/>
            </w:tcBorders>
          </w:tcPr>
          <w:p>
            <w:pP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14,753,99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1.43</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sz w:val="18"/>
              </w:rPr>
              <w:t>84,783,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122.79</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35" w:right="0"/>
              <w:jc w:val="left"/>
              <w:rPr>
                <w:rFonts w:ascii="Times New Roman" w:hAnsi="Times New Roman" w:cs="Times New Roman" w:eastAsia="Times New Roman" w:hint="default"/>
                <w:sz w:val="18"/>
                <w:szCs w:val="18"/>
              </w:rPr>
            </w:pPr>
            <w:r>
              <w:rPr>
                <w:rFonts w:ascii="Times New Roman"/>
                <w:sz w:val="18"/>
              </w:rPr>
              <w:t>675,211,2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82.58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284,920,</w:t>
            </w:r>
          </w:p>
          <w:p>
            <w:pPr>
              <w:pStyle w:val="TableParagraph"/>
              <w:spacing w:line="240" w:lineRule="auto" w:before="105"/>
              <w:ind w:left="15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290,754,1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68.36</w:t>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14,753,99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1.43</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84,783,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122.79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675,211,2</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82.58</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8"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17,050,0</w:t>
            </w:r>
          </w:p>
          <w:p>
            <w:pPr>
              <w:pStyle w:val="TableParagraph"/>
              <w:spacing w:line="240" w:lineRule="auto" w:before="102"/>
              <w:ind w:left="260"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7,602,134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68,419,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210.61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84,775,60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6.49</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9"/>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Times New Roman" w:hAnsi="Times New Roman" w:cs="Times New Roman" w:eastAsia="Times New Roman" w:hint="default"/>
                <w:sz w:val="18"/>
                <w:szCs w:val="18"/>
              </w:rPr>
            </w:pPr>
            <w:r>
              <w:rPr>
                <w:rFonts w:ascii="Times New Roman"/>
                <w:sz w:val="18"/>
              </w:rPr>
              <w:t>76,021,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sz w:val="18"/>
              </w:rPr>
              <w:t>76,021,34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48" w:right="0"/>
              <w:jc w:val="left"/>
              <w:rPr>
                <w:rFonts w:ascii="Times New Roman" w:hAnsi="Times New Roman" w:cs="Times New Roman" w:eastAsia="Times New Roman" w:hint="default"/>
                <w:sz w:val="18"/>
                <w:szCs w:val="18"/>
              </w:rPr>
            </w:pPr>
            <w:r>
              <w:rPr>
                <w:rFonts w:ascii="Times New Roman"/>
                <w:sz w:val="18"/>
              </w:rPr>
              <w:t>345.12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4" w:right="0"/>
              <w:jc w:val="left"/>
              <w:rPr>
                <w:rFonts w:ascii="Times New Roman" w:hAnsi="Times New Roman" w:cs="Times New Roman" w:eastAsia="Times New Roman" w:hint="default"/>
                <w:sz w:val="18"/>
                <w:szCs w:val="18"/>
              </w:rPr>
            </w:pPr>
            <w:r>
              <w:rPr>
                <w:rFonts w:ascii="Times New Roman"/>
                <w:sz w:val="18"/>
              </w:rPr>
              <w:t>5.12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17,050,0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17,050,0</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7,739,338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7,602,134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34.51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7,602,134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-7,602,1</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34.51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.62</w:t>
            </w: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301,970,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298,493,5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07.11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17,050,00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1,014,922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22,356,12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5.94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153,202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,333.40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759,986,8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89.07</w:t>
            </w:r>
          </w:p>
        </w:tc>
      </w:tr>
    </w:tbl>
    <w:p>
      <w:pPr>
        <w:spacing w:line="240" w:lineRule="auto" w:before="1"/>
        <w:rPr>
          <w:rFonts w:ascii="宋体" w:hAnsi="宋体" w:cs="宋体" w:eastAsia="宋体" w:hint="default"/>
          <w:sz w:val="18"/>
          <w:szCs w:val="18"/>
        </w:rPr>
      </w:pPr>
    </w:p>
    <w:p>
      <w:pPr>
        <w:pStyle w:val="Heading3"/>
        <w:spacing w:line="240" w:lineRule="auto" w:before="26"/>
        <w:ind w:left="133" w:right="7845"/>
        <w:jc w:val="center"/>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Heading6"/>
        <w:spacing w:line="240" w:lineRule="auto" w:before="0"/>
        <w:ind w:left="133" w:right="7786"/>
        <w:jc w:val="center"/>
        <w:rPr>
          <w:b w:val="0"/>
          <w:bCs w:val="0"/>
        </w:rPr>
      </w:pPr>
      <w:r>
        <w:rPr/>
        <w:t>（一）公司概况</w:t>
      </w:r>
      <w:r>
        <w:rPr>
          <w:b w:val="0"/>
          <w:bCs w:val="0"/>
        </w:rPr>
      </w:r>
    </w:p>
    <w:p>
      <w:pPr>
        <w:spacing w:after="0" w:line="240" w:lineRule="auto"/>
        <w:jc w:val="center"/>
        <w:sectPr>
          <w:pgSz w:w="11910" w:h="16840"/>
          <w:pgMar w:header="745" w:footer="979" w:top="1060" w:bottom="1160" w:left="980" w:right="980"/>
        </w:sectPr>
      </w:pPr>
    </w:p>
    <w:p>
      <w:pPr>
        <w:spacing w:line="240" w:lineRule="auto" w:before="10"/>
        <w:rPr>
          <w:rFonts w:ascii="宋体" w:hAnsi="宋体" w:cs="宋体" w:eastAsia="宋体" w:hint="default"/>
          <w:b/>
          <w:bCs/>
          <w:sz w:val="25"/>
          <w:szCs w:val="25"/>
        </w:rPr>
      </w:pPr>
    </w:p>
    <w:p>
      <w:pPr>
        <w:pStyle w:val="BodyText"/>
        <w:spacing w:line="300" w:lineRule="auto" w:before="44"/>
        <w:ind w:right="127" w:firstLine="413"/>
        <w:jc w:val="both"/>
      </w:pPr>
      <w:r>
        <w:rPr>
          <w:spacing w:val="23"/>
        </w:rPr>
        <w:t>青岛市恒顺众昇集团股份</w:t>
      </w:r>
      <w:r>
        <w:rPr>
          <w:spacing w:val="-60"/>
        </w:rPr>
        <w:t> </w:t>
      </w:r>
      <w:r>
        <w:rPr>
          <w:spacing w:val="23"/>
        </w:rPr>
        <w:t>有限公司（以下简称本公</w:t>
      </w:r>
      <w:r>
        <w:rPr>
          <w:spacing w:val="-60"/>
        </w:rPr>
        <w:t> </w:t>
      </w:r>
      <w:r>
        <w:rPr>
          <w:spacing w:val="22"/>
        </w:rPr>
        <w:t>司或公司）成立于</w:t>
      </w:r>
      <w:r>
        <w:rPr>
          <w:spacing w:val="-61"/>
        </w:rPr>
        <w:t> </w:t>
      </w:r>
      <w:r>
        <w:rPr>
          <w:rFonts w:ascii="Times New Roman" w:hAnsi="Times New Roman" w:cs="Times New Roman" w:eastAsia="Times New Roman" w:hint="default"/>
        </w:rPr>
        <w:t>1998</w:t>
      </w:r>
      <w:r>
        <w:rPr>
          <w:rFonts w:ascii="Times New Roman" w:hAnsi="Times New Roman" w:cs="Times New Roman" w:eastAsia="Times New Roman" w:hint="default"/>
          <w:spacing w:val="-16"/>
        </w:rPr>
        <w:t> </w:t>
      </w:r>
      <w:r>
        <w:rPr/>
        <w:t>年</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月</w:t>
      </w:r>
      <w:r>
        <w:rPr>
          <w:spacing w:val="-62"/>
        </w:rPr>
        <w:t> </w:t>
      </w:r>
      <w:r>
        <w:rPr>
          <w:rFonts w:ascii="Times New Roman" w:hAnsi="Times New Roman" w:cs="Times New Roman" w:eastAsia="Times New Roman" w:hint="default"/>
        </w:rPr>
        <w:t>,</w:t>
      </w:r>
      <w:r>
        <w:rPr>
          <w:rFonts w:ascii="Times New Roman" w:hAnsi="Times New Roman" w:cs="Times New Roman" w:eastAsia="Times New Roman" w:hint="default"/>
          <w:spacing w:val="-16"/>
        </w:rPr>
        <w:t> </w:t>
      </w:r>
      <w:r>
        <w:rPr>
          <w:spacing w:val="23"/>
        </w:rPr>
        <w:t>公司统一社会信用代码</w:t>
      </w:r>
      <w:r>
        <w:rPr>
          <w:spacing w:val="-64"/>
        </w:rPr>
        <w:t> </w:t>
      </w:r>
      <w:r>
        <w:rPr>
          <w:rFonts w:ascii="Times New Roman" w:hAnsi="Times New Roman" w:cs="Times New Roman" w:eastAsia="Times New Roman" w:hint="default"/>
          <w:spacing w:val="-4"/>
        </w:rPr>
        <w:t>913702007064604985</w:t>
      </w:r>
      <w:r>
        <w:rPr>
          <w:spacing w:val="-4"/>
        </w:rPr>
        <w:t>，公司注册资本、实收资本均为人民币</w:t>
      </w:r>
      <w:r>
        <w:rPr>
          <w:rFonts w:ascii="Times New Roman" w:hAnsi="Times New Roman" w:cs="Times New Roman" w:eastAsia="Times New Roman" w:hint="default"/>
          <w:spacing w:val="-4"/>
        </w:rPr>
        <w:t>76,652.50</w:t>
      </w:r>
      <w:r>
        <w:rPr>
          <w:spacing w:val="-4"/>
        </w:rPr>
        <w:t>万元，公司住所为青岛市城阳区流亭街道双元路西侧（空</w:t>
      </w:r>
      <w:r>
        <w:rPr>
          <w:spacing w:val="-83"/>
        </w:rPr>
        <w:t> </w:t>
      </w:r>
      <w:r>
        <w:rPr>
          <w:spacing w:val="-83"/>
        </w:rPr>
      </w:r>
      <w:r>
        <w:rPr/>
        <w:t>港工业聚集区），公司法定代表人为贾全臣。</w:t>
      </w:r>
    </w:p>
    <w:p>
      <w:pPr>
        <w:pStyle w:val="BodyText"/>
        <w:spacing w:line="357" w:lineRule="auto" w:before="72"/>
        <w:ind w:left="513" w:right="0" w:firstLine="52"/>
        <w:jc w:val="left"/>
      </w:pPr>
      <w:r>
        <w:rPr/>
        <w:t>公司经营范围： </w:t>
      </w:r>
      <w:r>
        <w:rPr>
          <w:spacing w:val="-2"/>
        </w:rPr>
        <w:t>电力系统发供电设备设计、制造、安装、调试，修理；批发、零售：电力材料；货物及技术进出口；机械成套装备；变</w:t>
      </w:r>
    </w:p>
    <w:p>
      <w:pPr>
        <w:pStyle w:val="BodyText"/>
        <w:spacing w:line="224" w:lineRule="exact"/>
        <w:ind w:right="0"/>
        <w:jc w:val="both"/>
      </w:pPr>
      <w:r>
        <w:rPr/>
        <w:t>电站：设备总成、运行保养及维护、工程总包；软件开发、销售及技术服务；自有资金对外投资。</w:t>
      </w:r>
    </w:p>
    <w:p>
      <w:pPr>
        <w:pStyle w:val="BodyText"/>
        <w:spacing w:line="316" w:lineRule="auto" w:before="117"/>
        <w:ind w:right="0" w:firstLine="413"/>
        <w:jc w:val="left"/>
      </w:pPr>
      <w:r>
        <w:rPr/>
        <w:t>公司主营业务：机械成套装备、余热余压利用、电容器、电抗器等电能质量优化产品的生产销售、采掘服务、煤炭产 销等。</w:t>
      </w:r>
    </w:p>
    <w:p>
      <w:pPr>
        <w:pStyle w:val="BodyText"/>
        <w:spacing w:line="240" w:lineRule="auto" w:before="59"/>
        <w:ind w:left="566" w:right="0"/>
        <w:jc w:val="left"/>
      </w:pPr>
      <w:r>
        <w:rPr/>
        <w:t>公司行业性质：电力设备及相关机械设备制造。</w:t>
      </w:r>
    </w:p>
    <w:p>
      <w:pPr>
        <w:pStyle w:val="BodyText"/>
        <w:spacing w:line="360" w:lineRule="auto" w:before="115"/>
        <w:ind w:left="573" w:right="0" w:hanging="60"/>
        <w:jc w:val="left"/>
      </w:pPr>
      <w:r>
        <w:rPr>
          <w:rFonts w:ascii="宋体" w:hAnsi="宋体" w:cs="宋体" w:eastAsia="宋体" w:hint="default"/>
          <w:b/>
          <w:bCs/>
        </w:rPr>
        <w:t>（二）历史沿革</w:t>
      </w:r>
      <w:r>
        <w:rPr>
          <w:rFonts w:ascii="宋体" w:hAnsi="宋体" w:cs="宋体" w:eastAsia="宋体" w:hint="default"/>
          <w:b/>
          <w:bCs/>
          <w:w w:val="99"/>
        </w:rPr>
        <w:t> </w:t>
      </w:r>
      <w:r>
        <w:rPr/>
        <w:t>青岛市恒顺众昇集团股份有限公司（以下简称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）是由青岛恒顺电器有限公司整体变更方式设立的</w:t>
      </w:r>
    </w:p>
    <w:p>
      <w:pPr>
        <w:pStyle w:val="BodyText"/>
        <w:spacing w:line="212" w:lineRule="exact"/>
        <w:ind w:right="0"/>
        <w:jc w:val="both"/>
        <w:rPr>
          <w:rFonts w:ascii="Times New Roman" w:hAnsi="Times New Roman" w:cs="Times New Roman" w:eastAsia="Times New Roman" w:hint="default"/>
        </w:rPr>
      </w:pPr>
      <w:r>
        <w:rPr/>
        <w:t>股份有限公司。经中国证券监督管理委员会证监许可〔</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500</w:t>
      </w:r>
      <w:r>
        <w:rPr/>
        <w:t>号文核准，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日公司公开发行人民币普通股</w:t>
      </w:r>
      <w:r>
        <w:rPr>
          <w:rFonts w:ascii="Times New Roman" w:hAnsi="Times New Roman" w:cs="Times New Roman" w:eastAsia="Times New Roman" w:hint="default"/>
        </w:rPr>
        <w:t>(A</w:t>
      </w:r>
    </w:p>
    <w:p>
      <w:pPr>
        <w:pStyle w:val="BodyText"/>
        <w:spacing w:line="300" w:lineRule="auto" w:before="63"/>
        <w:ind w:right="317"/>
        <w:jc w:val="both"/>
      </w:pPr>
      <w:r>
        <w:rPr/>
        <w:t>股</w:t>
      </w:r>
      <w:r>
        <w:rPr>
          <w:rFonts w:ascii="Times New Roman" w:hAnsi="Times New Roman" w:cs="Times New Roman" w:eastAsia="Times New Roman" w:hint="default"/>
        </w:rPr>
        <w:t>)1,750</w:t>
      </w:r>
      <w:r>
        <w:rPr/>
        <w:t>万股，发行后公司注册资本变更为</w:t>
      </w:r>
      <w:r>
        <w:rPr>
          <w:rFonts w:ascii="Times New Roman" w:hAnsi="Times New Roman" w:cs="Times New Roman" w:eastAsia="Times New Roman" w:hint="default"/>
        </w:rPr>
        <w:t>7,000</w:t>
      </w:r>
      <w:r>
        <w:rPr/>
        <w:t>万元人民币，并于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日在青岛市工商行政管理局办理了工商变</w:t>
      </w:r>
      <w:r>
        <w:rPr>
          <w:spacing w:val="-53"/>
        </w:rPr>
        <w:t> </w:t>
      </w:r>
      <w:r>
        <w:rPr>
          <w:spacing w:val="-53"/>
        </w:rPr>
      </w:r>
      <w:r>
        <w:rPr>
          <w:spacing w:val="-2"/>
        </w:rPr>
        <w:t>更登记手续，取得注册号为</w:t>
      </w:r>
      <w:r>
        <w:rPr>
          <w:rFonts w:ascii="Times New Roman" w:hAnsi="Times New Roman" w:cs="Times New Roman" w:eastAsia="Times New Roman" w:hint="default"/>
          <w:spacing w:val="-2"/>
        </w:rPr>
        <w:t>370214018001595</w:t>
      </w:r>
      <w:r>
        <w:rPr>
          <w:spacing w:val="-2"/>
        </w:rPr>
        <w:t>的《企业法人营业执照》。公司股票已于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日在深圳证券交易所挂</w:t>
      </w:r>
      <w:r>
        <w:rPr>
          <w:spacing w:val="-38"/>
        </w:rPr>
        <w:t> </w:t>
      </w:r>
      <w:r>
        <w:rPr/>
        <w:t>牌交易。</w:t>
      </w:r>
    </w:p>
    <w:p>
      <w:pPr>
        <w:pStyle w:val="BodyText"/>
        <w:spacing w:line="300" w:lineRule="auto" w:before="72"/>
        <w:ind w:right="321" w:firstLine="42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日经公司股东大会审议通过</w:t>
      </w:r>
      <w:r>
        <w:rPr>
          <w:rFonts w:ascii="Times New Roman" w:hAnsi="Times New Roman" w:cs="Times New Roman" w:eastAsia="Times New Roman" w:hint="default"/>
        </w:rPr>
        <w:t>2011</w:t>
      </w:r>
      <w:r>
        <w:rPr/>
        <w:t>年度利润分配方案</w:t>
      </w:r>
      <w:r>
        <w:rPr>
          <w:rFonts w:ascii="Times New Roman" w:hAnsi="Times New Roman" w:cs="Times New Roman" w:eastAsia="Times New Roman" w:hint="default"/>
        </w:rPr>
        <w:t>,</w:t>
      </w:r>
      <w:r>
        <w:rPr/>
        <w:t>以公司</w:t>
      </w:r>
      <w:r>
        <w:rPr>
          <w:rFonts w:ascii="Times New Roman" w:hAnsi="Times New Roman" w:cs="Times New Roman" w:eastAsia="Times New Roman" w:hint="default"/>
        </w:rPr>
        <w:t>2011</w:t>
      </w:r>
      <w:r>
        <w:rPr/>
        <w:t>年末股本</w:t>
      </w:r>
      <w:r>
        <w:rPr>
          <w:rFonts w:ascii="Times New Roman" w:hAnsi="Times New Roman" w:cs="Times New Roman" w:eastAsia="Times New Roman" w:hint="default"/>
        </w:rPr>
        <w:t>7,000</w:t>
      </w:r>
      <w:r>
        <w:rPr/>
        <w:t>万股为基数</w:t>
      </w:r>
      <w:r>
        <w:rPr>
          <w:rFonts w:ascii="Times New Roman" w:hAnsi="Times New Roman" w:cs="Times New Roman" w:eastAsia="Times New Roman" w:hint="default"/>
        </w:rPr>
        <w:t>,</w:t>
      </w:r>
      <w:r>
        <w:rPr/>
        <w:t>以资本公积金 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股，共计</w:t>
      </w:r>
      <w:r>
        <w:rPr>
          <w:rFonts w:ascii="Times New Roman" w:hAnsi="Times New Roman" w:cs="Times New Roman" w:eastAsia="Times New Roman" w:hint="default"/>
        </w:rPr>
        <w:t>7,000</w:t>
      </w:r>
      <w:r>
        <w:rPr/>
        <w:t>万股</w:t>
      </w:r>
      <w:r>
        <w:rPr>
          <w:rFonts w:ascii="Times New Roman" w:hAnsi="Times New Roman" w:cs="Times New Roman" w:eastAsia="Times New Roman" w:hint="default"/>
        </w:rPr>
        <w:t>,</w:t>
      </w:r>
      <w:r>
        <w:rPr/>
        <w:t>转增股本后公司注册资本人民币</w:t>
      </w:r>
      <w:r>
        <w:rPr>
          <w:rFonts w:ascii="Times New Roman" w:hAnsi="Times New Roman" w:cs="Times New Roman" w:eastAsia="Times New Roman" w:hint="default"/>
        </w:rPr>
        <w:t>14,000</w:t>
      </w:r>
      <w:r>
        <w:rPr/>
        <w:t>万元，股份总数</w:t>
      </w:r>
      <w:r>
        <w:rPr>
          <w:rFonts w:ascii="Times New Roman" w:hAnsi="Times New Roman" w:cs="Times New Roman" w:eastAsia="Times New Roman" w:hint="default"/>
        </w:rPr>
        <w:t>14,000</w:t>
      </w:r>
      <w:r>
        <w:rPr/>
        <w:t>万股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w:t>
      </w:r>
    </w:p>
    <w:p>
      <w:pPr>
        <w:pStyle w:val="BodyText"/>
        <w:spacing w:line="300" w:lineRule="auto" w:before="51"/>
        <w:ind w:right="322"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日经公司股东大会审议通过</w:t>
      </w:r>
      <w:r>
        <w:rPr>
          <w:rFonts w:ascii="Times New Roman" w:hAnsi="Times New Roman" w:cs="Times New Roman" w:eastAsia="Times New Roman" w:hint="default"/>
        </w:rPr>
        <w:t>2012</w:t>
      </w:r>
      <w:r>
        <w:rPr/>
        <w:t>年度利润分配方案，公司以</w:t>
      </w:r>
      <w:r>
        <w:rPr>
          <w:rFonts w:ascii="Times New Roman" w:hAnsi="Times New Roman" w:cs="Times New Roman" w:eastAsia="Times New Roman" w:hint="default"/>
        </w:rPr>
        <w:t>2012</w:t>
      </w:r>
      <w:r>
        <w:rPr/>
        <w:t>年末股本</w:t>
      </w:r>
      <w:r>
        <w:rPr>
          <w:rFonts w:ascii="Times New Roman" w:hAnsi="Times New Roman" w:cs="Times New Roman" w:eastAsia="Times New Roman" w:hint="default"/>
        </w:rPr>
        <w:t>14,000</w:t>
      </w:r>
      <w:r>
        <w:rPr/>
        <w:t>万股为基数，以资本公 </w:t>
      </w:r>
      <w:r>
        <w:rPr>
          <w:spacing w:val="-1"/>
        </w:rPr>
        <w:t>积每</w:t>
      </w:r>
      <w:r>
        <w:rPr>
          <w:rFonts w:ascii="Times New Roman" w:hAnsi="Times New Roman" w:cs="Times New Roman" w:eastAsia="Times New Roman" w:hint="default"/>
          <w:spacing w:val="-1"/>
        </w:rPr>
        <w:t>10</w:t>
      </w:r>
      <w:r>
        <w:rPr>
          <w:spacing w:val="-1"/>
        </w:rPr>
        <w:t>股转</w:t>
      </w:r>
      <w:r>
        <w:rPr>
          <w:rFonts w:ascii="Times New Roman" w:hAnsi="Times New Roman" w:cs="Times New Roman" w:eastAsia="Times New Roman" w:hint="default"/>
          <w:spacing w:val="-1"/>
        </w:rPr>
        <w:t>10</w:t>
      </w:r>
      <w:r>
        <w:rPr>
          <w:spacing w:val="-1"/>
        </w:rPr>
        <w:t>股，转增股本后公司注册资本人民币</w:t>
      </w:r>
      <w:r>
        <w:rPr>
          <w:rFonts w:ascii="Times New Roman" w:hAnsi="Times New Roman" w:cs="Times New Roman" w:eastAsia="Times New Roman" w:hint="default"/>
          <w:spacing w:val="-1"/>
        </w:rPr>
        <w:t>28,000</w:t>
      </w:r>
      <w:r>
        <w:rPr>
          <w:spacing w:val="-1"/>
        </w:rPr>
        <w:t>万元，股份总数</w:t>
      </w:r>
      <w:r>
        <w:rPr>
          <w:rFonts w:ascii="Times New Roman" w:hAnsi="Times New Roman" w:cs="Times New Roman" w:eastAsia="Times New Roman" w:hint="default"/>
          <w:spacing w:val="-1"/>
        </w:rPr>
        <w:t>28,000</w:t>
      </w:r>
      <w:r>
        <w:rPr>
          <w:spacing w:val="-1"/>
        </w:rPr>
        <w:t>万股</w:t>
      </w:r>
      <w:r>
        <w:rPr>
          <w:rFonts w:ascii="Times New Roman" w:hAnsi="Times New Roman" w:cs="Times New Roman" w:eastAsia="Times New Roman" w:hint="default"/>
          <w:spacing w:val="-1"/>
        </w:rPr>
        <w:t>(</w:t>
      </w:r>
      <w:r>
        <w:rPr>
          <w:spacing w:val="-1"/>
        </w:rPr>
        <w:t>每股面值</w:t>
      </w:r>
      <w:r>
        <w:rPr>
          <w:rFonts w:ascii="Times New Roman" w:hAnsi="Times New Roman" w:cs="Times New Roman" w:eastAsia="Times New Roman" w:hint="default"/>
          <w:spacing w:val="-1"/>
        </w:rPr>
        <w:t>1</w:t>
      </w:r>
      <w:r>
        <w:rPr>
          <w:spacing w:val="-1"/>
        </w:rPr>
        <w:t>元</w:t>
      </w:r>
      <w:r>
        <w:rPr>
          <w:rFonts w:ascii="Times New Roman" w:hAnsi="Times New Roman" w:cs="Times New Roman" w:eastAsia="Times New Roman" w:hint="default"/>
          <w:spacing w:val="-1"/>
        </w:rPr>
        <w:t>)</w:t>
      </w:r>
      <w:r>
        <w:rPr>
          <w:spacing w:val="-1"/>
        </w:rPr>
        <w:t>。关于此次增资经山东</w:t>
      </w:r>
      <w:r>
        <w:rPr>
          <w:spacing w:val="-49"/>
        </w:rPr>
        <w:t> </w:t>
      </w:r>
      <w:r>
        <w:rPr>
          <w:spacing w:val="-49"/>
        </w:rPr>
      </w:r>
      <w:r>
        <w:rPr/>
        <w:t>汇德会计师事务所以（</w:t>
      </w:r>
      <w:r>
        <w:rPr>
          <w:rFonts w:ascii="Times New Roman" w:hAnsi="Times New Roman" w:cs="Times New Roman" w:eastAsia="Times New Roman" w:hint="default"/>
        </w:rPr>
        <w:t>2013</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006</w:t>
      </w:r>
      <w:r>
        <w:rPr/>
        <w:t>号验资报告验证。</w:t>
      </w:r>
    </w:p>
    <w:p>
      <w:pPr>
        <w:pStyle w:val="BodyText"/>
        <w:spacing w:line="300" w:lineRule="auto" w:before="54"/>
        <w:ind w:right="316" w:firstLine="420"/>
        <w:jc w:val="both"/>
      </w:pPr>
      <w:r>
        <w:rPr>
          <w:spacing w:val="-2"/>
        </w:rPr>
        <w:t>根据《青岛市恒顺电气股份有限公司股权激励计划</w:t>
      </w:r>
      <w:r>
        <w:rPr>
          <w:rFonts w:ascii="Times New Roman" w:hAnsi="Times New Roman" w:cs="Times New Roman" w:eastAsia="Times New Roman" w:hint="default"/>
          <w:spacing w:val="-2"/>
        </w:rPr>
        <w:t>(</w:t>
      </w:r>
      <w:r>
        <w:rPr>
          <w:spacing w:val="-2"/>
        </w:rPr>
        <w:t>正式稿</w:t>
      </w:r>
      <w:r>
        <w:rPr>
          <w:rFonts w:ascii="Times New Roman" w:hAnsi="Times New Roman" w:cs="Times New Roman" w:eastAsia="Times New Roman" w:hint="default"/>
          <w:spacing w:val="-2"/>
        </w:rPr>
        <w:t>)</w:t>
      </w:r>
      <w:r>
        <w:rPr>
          <w:spacing w:val="-2"/>
        </w:rPr>
        <w:t>》规定和第一届董事会第三十五次会议决议规定公司增加</w:t>
      </w:r>
      <w:r>
        <w:rPr/>
        <w:t> 注册资本</w:t>
      </w:r>
      <w:r>
        <w:rPr>
          <w:rFonts w:ascii="Times New Roman" w:hAnsi="Times New Roman" w:cs="Times New Roman" w:eastAsia="Times New Roman" w:hint="default"/>
        </w:rPr>
        <w:t>492</w:t>
      </w:r>
      <w:r>
        <w:rPr/>
        <w:t>万元，由黄淑华等</w:t>
      </w:r>
      <w:r>
        <w:rPr>
          <w:rFonts w:ascii="Times New Roman" w:hAnsi="Times New Roman" w:cs="Times New Roman" w:eastAsia="Times New Roman" w:hint="default"/>
        </w:rPr>
        <w:t>25</w:t>
      </w:r>
      <w:r>
        <w:rPr/>
        <w:t>人认缴，变更后的注册资本为</w:t>
      </w:r>
      <w:r>
        <w:rPr>
          <w:rFonts w:ascii="Times New Roman" w:hAnsi="Times New Roman" w:cs="Times New Roman" w:eastAsia="Times New Roman" w:hint="default"/>
        </w:rPr>
        <w:t>28,492</w:t>
      </w:r>
      <w:r>
        <w:rPr/>
        <w:t>万元</w:t>
      </w:r>
      <w:r>
        <w:rPr>
          <w:rFonts w:ascii="Times New Roman" w:hAnsi="Times New Roman" w:cs="Times New Roman" w:eastAsia="Times New Roman" w:hint="default"/>
        </w:rPr>
        <w:t>,</w:t>
      </w:r>
      <w:r>
        <w:rPr/>
        <w:t>此次增资经山东汇德会计师事务所以（</w:t>
      </w:r>
      <w:r>
        <w:rPr>
          <w:rFonts w:ascii="Times New Roman" w:hAnsi="Times New Roman" w:cs="Times New Roman" w:eastAsia="Times New Roman" w:hint="default"/>
        </w:rPr>
        <w:t>2013</w:t>
      </w:r>
      <w:r>
        <w:rPr/>
        <w:t>）</w:t>
      </w:r>
      <w:r>
        <w:rPr>
          <w:spacing w:val="-72"/>
        </w:rPr>
        <w:t> </w:t>
      </w:r>
      <w:r>
        <w:rPr/>
        <w:t>汇所验字第</w:t>
      </w:r>
      <w:r>
        <w:rPr>
          <w:rFonts w:ascii="Times New Roman" w:hAnsi="Times New Roman" w:cs="Times New Roman" w:eastAsia="Times New Roman" w:hint="default"/>
        </w:rPr>
        <w:t>1</w:t>
      </w:r>
      <w:r>
        <w:rPr/>
        <w:t>－</w:t>
      </w:r>
      <w:r>
        <w:rPr>
          <w:rFonts w:ascii="Times New Roman" w:hAnsi="Times New Roman" w:cs="Times New Roman" w:eastAsia="Times New Roman" w:hint="default"/>
        </w:rPr>
        <w:t>009</w:t>
      </w:r>
      <w:r>
        <w:rPr/>
        <w:t>号验资报告验证。</w:t>
      </w:r>
    </w:p>
    <w:p>
      <w:pPr>
        <w:pStyle w:val="BodyText"/>
        <w:spacing w:line="300" w:lineRule="auto" w:before="53"/>
        <w:ind w:right="319" w:firstLine="420"/>
        <w:jc w:val="both"/>
      </w:pPr>
      <w:r>
        <w:rPr>
          <w:spacing w:val="-2"/>
        </w:rPr>
        <w:t>根据《青岛市恒顺电气股份有限公司股权激励计划</w:t>
      </w:r>
      <w:r>
        <w:rPr>
          <w:rFonts w:ascii="Times New Roman" w:hAnsi="Times New Roman" w:cs="Times New Roman" w:eastAsia="Times New Roman" w:hint="default"/>
          <w:spacing w:val="-2"/>
        </w:rPr>
        <w:t>(</w:t>
      </w:r>
      <w:r>
        <w:rPr>
          <w:spacing w:val="-2"/>
        </w:rPr>
        <w:t>草案修订稿</w:t>
      </w:r>
      <w:r>
        <w:rPr>
          <w:rFonts w:ascii="Times New Roman" w:hAnsi="Times New Roman" w:cs="Times New Roman" w:eastAsia="Times New Roman" w:hint="default"/>
          <w:spacing w:val="-2"/>
        </w:rPr>
        <w:t>)</w:t>
      </w:r>
      <w:r>
        <w:rPr>
          <w:spacing w:val="-2"/>
        </w:rPr>
        <w:t>》规定和</w:t>
      </w:r>
      <w:r>
        <w:rPr>
          <w:rFonts w:ascii="Times New Roman" w:hAnsi="Times New Roman" w:cs="Times New Roman" w:eastAsia="Times New Roman" w:hint="default"/>
          <w:spacing w:val="-2"/>
        </w:rPr>
        <w:t>2014</w:t>
      </w:r>
      <w:r>
        <w:rPr>
          <w:spacing w:val="-2"/>
        </w:rPr>
        <w:t>年第二次临时股东大会决议规定，公司</w:t>
      </w:r>
      <w:r>
        <w:rPr/>
        <w:t> </w:t>
      </w:r>
      <w:r>
        <w:rPr>
          <w:spacing w:val="-2"/>
        </w:rPr>
        <w:t>增加注册资本</w:t>
      </w:r>
      <w:r>
        <w:rPr>
          <w:rFonts w:ascii="Times New Roman" w:hAnsi="Times New Roman" w:cs="Times New Roman" w:eastAsia="Times New Roman" w:hint="default"/>
          <w:spacing w:val="-2"/>
        </w:rPr>
        <w:t>1,705</w:t>
      </w:r>
      <w:r>
        <w:rPr>
          <w:spacing w:val="-2"/>
        </w:rPr>
        <w:t>万元，由陈肖强等</w:t>
      </w:r>
      <w:r>
        <w:rPr>
          <w:rFonts w:ascii="Times New Roman" w:hAnsi="Times New Roman" w:cs="Times New Roman" w:eastAsia="Times New Roman" w:hint="default"/>
          <w:spacing w:val="-2"/>
        </w:rPr>
        <w:t>26</w:t>
      </w:r>
      <w:r>
        <w:rPr>
          <w:spacing w:val="-2"/>
        </w:rPr>
        <w:t>人认缴。变更后的注册资本为</w:t>
      </w:r>
      <w:r>
        <w:rPr>
          <w:rFonts w:ascii="Times New Roman" w:hAnsi="Times New Roman" w:cs="Times New Roman" w:eastAsia="Times New Roman" w:hint="default"/>
          <w:spacing w:val="-2"/>
        </w:rPr>
        <w:t>30,197</w:t>
      </w:r>
      <w:r>
        <w:rPr>
          <w:spacing w:val="-2"/>
        </w:rPr>
        <w:t>万元，此次增资经山东和信会计师事务所（特</w:t>
      </w:r>
      <w:r>
        <w:rPr>
          <w:spacing w:val="-47"/>
        </w:rPr>
        <w:t> </w:t>
      </w:r>
      <w:r>
        <w:rPr>
          <w:spacing w:val="-47"/>
        </w:rPr>
      </w:r>
      <w:r>
        <w:rPr/>
        <w:t>殊普通合伙）以和信验字（</w:t>
      </w:r>
      <w:r>
        <w:rPr>
          <w:rFonts w:ascii="Times New Roman" w:hAnsi="Times New Roman" w:cs="Times New Roman" w:eastAsia="Times New Roman" w:hint="default"/>
        </w:rPr>
        <w:t>2014</w:t>
      </w:r>
      <w:r>
        <w:rPr/>
        <w:t>）第</w:t>
      </w:r>
      <w:r>
        <w:rPr>
          <w:rFonts w:ascii="Times New Roman" w:hAnsi="Times New Roman" w:cs="Times New Roman" w:eastAsia="Times New Roman" w:hint="default"/>
        </w:rPr>
        <w:t>000034</w:t>
      </w:r>
      <w:r>
        <w:rPr/>
        <w:t>号验资报告验证。</w:t>
      </w:r>
    </w:p>
    <w:p>
      <w:pPr>
        <w:pStyle w:val="BodyText"/>
        <w:spacing w:line="300" w:lineRule="auto" w:before="51"/>
        <w:ind w:right="323" w:firstLine="420"/>
        <w:jc w:val="both"/>
      </w:pPr>
      <w:r>
        <w:rPr/>
        <w:t>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06</w:t>
      </w:r>
      <w:r>
        <w:rPr/>
        <w:t>日召开</w:t>
      </w:r>
      <w:r>
        <w:rPr>
          <w:rFonts w:ascii="Times New Roman" w:hAnsi="Times New Roman" w:cs="Times New Roman" w:eastAsia="Times New Roman" w:hint="default"/>
        </w:rPr>
        <w:t>2015</w:t>
      </w:r>
      <w:r>
        <w:rPr/>
        <w:t>年第一次临时股东大会，审议通过了公司《关于修改公司名称和简称及修订</w:t>
      </w:r>
      <w:r>
        <w:rPr>
          <w:rFonts w:ascii="Times New Roman" w:hAnsi="Times New Roman" w:cs="Times New Roman" w:eastAsia="Times New Roman" w:hint="default"/>
        </w:rPr>
        <w:t>&lt;</w:t>
      </w:r>
      <w:r>
        <w:rPr/>
        <w:t>青岛市 </w:t>
      </w:r>
      <w:r>
        <w:rPr>
          <w:spacing w:val="-2"/>
        </w:rPr>
        <w:t>恒顺电气股份有限公司章程</w:t>
      </w:r>
      <w:r>
        <w:rPr>
          <w:rFonts w:ascii="Times New Roman" w:hAnsi="Times New Roman" w:cs="Times New Roman" w:eastAsia="Times New Roman" w:hint="default"/>
          <w:spacing w:val="-2"/>
        </w:rPr>
        <w:t>&gt;</w:t>
      </w:r>
      <w:r>
        <w:rPr>
          <w:spacing w:val="-2"/>
        </w:rPr>
        <w:t>的议案》，并决定将公司中文名称由</w:t>
      </w:r>
      <w:r>
        <w:rPr>
          <w:rFonts w:ascii="Times New Roman" w:hAnsi="Times New Roman" w:cs="Times New Roman" w:eastAsia="Times New Roman" w:hint="default"/>
          <w:spacing w:val="-2"/>
        </w:rPr>
        <w:t>“</w:t>
      </w:r>
      <w:r>
        <w:rPr>
          <w:spacing w:val="-2"/>
        </w:rPr>
        <w:t>青岛市恒顺电气股份有限公司</w:t>
      </w:r>
      <w:r>
        <w:rPr>
          <w:rFonts w:ascii="Times New Roman" w:hAnsi="Times New Roman" w:cs="Times New Roman" w:eastAsia="Times New Roman" w:hint="default"/>
          <w:spacing w:val="-2"/>
        </w:rPr>
        <w:t>”</w:t>
      </w:r>
      <w:r>
        <w:rPr>
          <w:spacing w:val="-2"/>
        </w:rPr>
        <w:t>变更为</w:t>
      </w:r>
      <w:r>
        <w:rPr>
          <w:rFonts w:ascii="Times New Roman" w:hAnsi="Times New Roman" w:cs="Times New Roman" w:eastAsia="Times New Roman" w:hint="default"/>
          <w:spacing w:val="-2"/>
        </w:rPr>
        <w:t>“</w:t>
      </w:r>
      <w:r>
        <w:rPr>
          <w:spacing w:val="-2"/>
        </w:rPr>
        <w:t>青岛市恒顺众昇</w:t>
      </w:r>
      <w:r>
        <w:rPr>
          <w:spacing w:val="-38"/>
        </w:rPr>
        <w:t> </w:t>
      </w:r>
      <w:r>
        <w:rPr/>
        <w:t>集团股份有限公司</w:t>
      </w:r>
      <w:r>
        <w:rPr>
          <w:rFonts w:ascii="Times New Roman" w:hAnsi="Times New Roman" w:cs="Times New Roman" w:eastAsia="Times New Roman" w:hint="default"/>
        </w:rPr>
        <w:t>”</w:t>
      </w:r>
      <w:r>
        <w:rPr/>
        <w:t>；英文名称由</w:t>
      </w:r>
      <w:r>
        <w:rPr>
          <w:rFonts w:ascii="Times New Roman" w:hAnsi="Times New Roman" w:cs="Times New Roman" w:eastAsia="Times New Roman" w:hint="default"/>
        </w:rPr>
        <w:t>“Qingdao Evercontaining Electric Co.,Ltd. ”</w:t>
      </w:r>
      <w:r>
        <w:rPr/>
        <w:t>变更为</w:t>
      </w:r>
      <w:r>
        <w:rPr>
          <w:rFonts w:ascii="Times New Roman" w:hAnsi="Times New Roman" w:cs="Times New Roman" w:eastAsia="Times New Roman" w:hint="default"/>
        </w:rPr>
        <w:t>“Qingdao Hengshun Zhongsheng</w:t>
      </w:r>
      <w:r>
        <w:rPr>
          <w:rFonts w:ascii="Times New Roman" w:hAnsi="Times New Roman" w:cs="Times New Roman" w:eastAsia="Times New Roman" w:hint="default"/>
          <w:spacing w:val="44"/>
        </w:rPr>
        <w:t> </w:t>
      </w:r>
      <w:r>
        <w:rPr>
          <w:rFonts w:ascii="Times New Roman" w:hAnsi="Times New Roman" w:cs="Times New Roman" w:eastAsia="Times New Roman" w:hint="default"/>
        </w:rPr>
        <w:t>Group</w:t>
      </w:r>
      <w:r>
        <w:rPr>
          <w:rFonts w:ascii="Times New Roman" w:hAnsi="Times New Roman" w:cs="Times New Roman" w:eastAsia="Times New Roman" w:hint="default"/>
          <w:w w:val="99"/>
        </w:rPr>
        <w:t> </w:t>
      </w:r>
      <w:r>
        <w:rPr>
          <w:rFonts w:ascii="Times New Roman" w:hAnsi="Times New Roman" w:cs="Times New Roman" w:eastAsia="Times New Roman" w:hint="default"/>
        </w:rPr>
        <w:t>Co.,Ltd.”</w:t>
      </w:r>
      <w:r>
        <w:rPr/>
        <w:t>。</w:t>
      </w:r>
    </w:p>
    <w:p>
      <w:pPr>
        <w:pStyle w:val="BodyText"/>
        <w:spacing w:line="300" w:lineRule="auto" w:before="54"/>
        <w:ind w:right="318" w:firstLine="420"/>
        <w:jc w:val="both"/>
      </w:pPr>
      <w:r>
        <w:rPr>
          <w:spacing w:val="-2"/>
        </w:rPr>
        <w:t>根据《青岛市恒顺电气股份有限公司股权激励计划</w:t>
      </w:r>
      <w:r>
        <w:rPr>
          <w:rFonts w:ascii="Times New Roman" w:hAnsi="Times New Roman" w:cs="Times New Roman" w:eastAsia="Times New Roman" w:hint="default"/>
          <w:spacing w:val="-2"/>
        </w:rPr>
        <w:t>(</w:t>
      </w:r>
      <w:r>
        <w:rPr>
          <w:spacing w:val="-2"/>
        </w:rPr>
        <w:t>正式稿</w:t>
      </w:r>
      <w:r>
        <w:rPr>
          <w:rFonts w:ascii="Times New Roman" w:hAnsi="Times New Roman" w:cs="Times New Roman" w:eastAsia="Times New Roman" w:hint="default"/>
          <w:spacing w:val="-2"/>
        </w:rPr>
        <w:t>)</w:t>
      </w:r>
      <w:r>
        <w:rPr>
          <w:spacing w:val="-2"/>
        </w:rPr>
        <w:t>》规定和</w:t>
      </w:r>
      <w:r>
        <w:rPr>
          <w:rFonts w:ascii="Times New Roman" w:hAnsi="Times New Roman" w:cs="Times New Roman" w:eastAsia="Times New Roman" w:hint="default"/>
          <w:spacing w:val="-2"/>
        </w:rPr>
        <w:t>2015</w:t>
      </w:r>
      <w:r>
        <w:rPr>
          <w:spacing w:val="-2"/>
        </w:rPr>
        <w:t>年第二届董事会第二十二次会议规定，同意</w:t>
      </w:r>
      <w:r>
        <w:rPr/>
        <w:t> </w:t>
      </w:r>
      <w:r>
        <w:rPr>
          <w:rFonts w:ascii="Times New Roman" w:hAnsi="Times New Roman" w:cs="Times New Roman" w:eastAsia="Times New Roman" w:hint="default"/>
        </w:rPr>
        <w:t>22</w:t>
      </w:r>
      <w:r>
        <w:rPr/>
        <w:t>位激励对象在第三个行权期行权，公司增加注册资本</w:t>
      </w:r>
      <w:r>
        <w:rPr>
          <w:rFonts w:ascii="Times New Roman" w:hAnsi="Times New Roman" w:cs="Times New Roman" w:eastAsia="Times New Roman" w:hint="default"/>
        </w:rPr>
        <w:t>464</w:t>
      </w:r>
      <w:r>
        <w:rPr/>
        <w:t>万元，变更后的注册资本为</w:t>
      </w:r>
      <w:r>
        <w:rPr>
          <w:rFonts w:ascii="Times New Roman" w:hAnsi="Times New Roman" w:cs="Times New Roman" w:eastAsia="Times New Roman" w:hint="default"/>
        </w:rPr>
        <w:t>30,661</w:t>
      </w:r>
      <w:r>
        <w:rPr/>
        <w:t>万元，此次增资经山东和信</w:t>
      </w:r>
      <w:r>
        <w:rPr>
          <w:spacing w:val="-32"/>
        </w:rPr>
        <w:t> </w:t>
      </w:r>
      <w:r>
        <w:rPr>
          <w:spacing w:val="-32"/>
        </w:rPr>
      </w:r>
      <w:r>
        <w:rPr/>
        <w:t>会计师事务所（特殊普通合伙）以和信验字（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000046</w:t>
      </w:r>
      <w:r>
        <w:rPr/>
        <w:t>号验资报告验证。</w:t>
      </w:r>
    </w:p>
    <w:p>
      <w:pPr>
        <w:pStyle w:val="BodyText"/>
        <w:spacing w:line="300" w:lineRule="auto" w:before="53"/>
        <w:ind w:right="319" w:firstLine="420"/>
        <w:jc w:val="both"/>
      </w:pPr>
      <w:r>
        <w:rPr>
          <w:spacing w:val="-2"/>
        </w:rPr>
        <w:t>根据公司</w:t>
      </w:r>
      <w:r>
        <w:rPr>
          <w:rFonts w:ascii="Times New Roman" w:hAnsi="Times New Roman" w:cs="Times New Roman" w:eastAsia="Times New Roman" w:hint="default"/>
          <w:spacing w:val="-2"/>
        </w:rPr>
        <w:t>2015</w:t>
      </w:r>
      <w:r>
        <w:rPr>
          <w:spacing w:val="-2"/>
        </w:rPr>
        <w:t>年第四次临时股东大会审议通过《关于调整</w:t>
      </w:r>
      <w:r>
        <w:rPr>
          <w:rFonts w:ascii="Times New Roman" w:hAnsi="Times New Roman" w:cs="Times New Roman" w:eastAsia="Times New Roman" w:hint="default"/>
          <w:spacing w:val="-2"/>
        </w:rPr>
        <w:t>2015</w:t>
      </w:r>
      <w:r>
        <w:rPr>
          <w:spacing w:val="-2"/>
        </w:rPr>
        <w:t>年半年度利润分配预案的议案》，公司以</w:t>
      </w:r>
      <w:r>
        <w:rPr>
          <w:rFonts w:ascii="Times New Roman" w:hAnsi="Times New Roman" w:cs="Times New Roman" w:eastAsia="Times New Roman" w:hint="default"/>
          <w:spacing w:val="-2"/>
        </w:rPr>
        <w:t>30,661</w:t>
      </w:r>
      <w:r>
        <w:rPr>
          <w:spacing w:val="-2"/>
        </w:rPr>
        <w:t>万股为</w:t>
      </w:r>
      <w:r>
        <w:rPr/>
        <w:t> 基数，向全体股东每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股。变更后公司注册资本为</w:t>
      </w:r>
      <w:r>
        <w:rPr>
          <w:rFonts w:ascii="Times New Roman" w:hAnsi="Times New Roman" w:cs="Times New Roman" w:eastAsia="Times New Roman" w:hint="default"/>
        </w:rPr>
        <w:t>76,652.50</w:t>
      </w:r>
      <w:r>
        <w:rPr/>
        <w:t>万元，此</w:t>
      </w:r>
      <w:r>
        <w:rPr>
          <w:spacing w:val="-74"/>
        </w:rPr>
        <w:t> </w:t>
      </w:r>
      <w:r>
        <w:rPr/>
        <w:t>次增资经山东和信会计师事务所（特殊普通合伙）以和信验字（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000096</w:t>
      </w:r>
      <w:r>
        <w:rPr/>
        <w:t>号验资报告验证。</w:t>
      </w:r>
    </w:p>
    <w:p>
      <w:pPr>
        <w:pStyle w:val="BodyText"/>
        <w:spacing w:line="240" w:lineRule="auto" w:before="51"/>
        <w:ind w:left="573" w:right="0"/>
        <w:jc w:val="left"/>
      </w:pPr>
      <w:r>
        <w:rPr/>
        <w:t>依据青岛市</w:t>
      </w:r>
      <w:r>
        <w:rPr>
          <w:rFonts w:ascii="Times New Roman" w:hAnsi="Times New Roman" w:cs="Times New Roman" w:eastAsia="Times New Roman" w:hint="default"/>
        </w:rPr>
        <w:t>“</w:t>
      </w:r>
      <w:r>
        <w:rPr/>
        <w:t>三证合一</w:t>
      </w:r>
      <w:r>
        <w:rPr>
          <w:rFonts w:ascii="Times New Roman" w:hAnsi="Times New Roman" w:cs="Times New Roman" w:eastAsia="Times New Roman" w:hint="default"/>
        </w:rPr>
        <w:t>”</w:t>
      </w:r>
      <w:r>
        <w:rPr/>
        <w:t>政策，已将注册号变更为统一社会信用代码</w:t>
      </w:r>
      <w:r>
        <w:rPr>
          <w:spacing w:val="-23"/>
        </w:rPr>
        <w:t> </w:t>
      </w:r>
      <w:r>
        <w:rPr>
          <w:rFonts w:ascii="Times New Roman" w:hAnsi="Times New Roman" w:cs="Times New Roman" w:eastAsia="Times New Roman" w:hint="default"/>
        </w:rPr>
        <w:t>913702007064604985</w:t>
      </w:r>
      <w:r>
        <w:rPr/>
        <w:t>。</w:t>
      </w:r>
    </w:p>
    <w:p>
      <w:pPr>
        <w:spacing w:line="360" w:lineRule="auto" w:before="103"/>
        <w:ind w:left="573" w:right="4943" w:firstLine="0"/>
        <w:jc w:val="left"/>
        <w:rPr>
          <w:rFonts w:ascii="宋体" w:hAnsi="宋体" w:cs="宋体" w:eastAsia="宋体" w:hint="default"/>
          <w:sz w:val="18"/>
          <w:szCs w:val="18"/>
        </w:rPr>
      </w:pPr>
      <w:r>
        <w:rPr>
          <w:rFonts w:ascii="宋体" w:hAnsi="宋体" w:cs="宋体" w:eastAsia="宋体" w:hint="default"/>
          <w:b/>
          <w:bCs/>
          <w:sz w:val="18"/>
          <w:szCs w:val="18"/>
        </w:rPr>
        <w:t>（三）财务报表批准</w:t>
      </w:r>
      <w:r>
        <w:rPr>
          <w:rFonts w:ascii="宋体" w:hAnsi="宋体" w:cs="宋体" w:eastAsia="宋体" w:hint="default"/>
          <w:b/>
          <w:bCs/>
          <w:w w:val="99"/>
          <w:sz w:val="18"/>
          <w:szCs w:val="18"/>
        </w:rPr>
        <w:t> </w:t>
      </w:r>
      <w:r>
        <w:rPr>
          <w:rFonts w:ascii="宋体" w:hAnsi="宋体" w:cs="宋体" w:eastAsia="宋体" w:hint="default"/>
          <w:sz w:val="18"/>
          <w:szCs w:val="18"/>
        </w:rPr>
        <w:t>本财务报表经公司全体董事于</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日批准报出。</w:t>
      </w:r>
    </w:p>
    <w:p>
      <w:pPr>
        <w:pStyle w:val="Heading6"/>
        <w:spacing w:line="240" w:lineRule="auto" w:before="1"/>
        <w:ind w:left="573" w:right="0"/>
        <w:jc w:val="left"/>
        <w:rPr>
          <w:b w:val="0"/>
          <w:bCs w:val="0"/>
        </w:rPr>
      </w:pPr>
      <w:r>
        <w:rPr/>
        <w:t>（四）合并报表范围</w:t>
      </w:r>
      <w:r>
        <w:rPr>
          <w:b w:val="0"/>
          <w:bCs w:val="0"/>
        </w:rPr>
      </w:r>
    </w:p>
    <w:p>
      <w:pPr>
        <w:pStyle w:val="Heading6"/>
        <w:spacing w:line="240" w:lineRule="auto" w:before="117"/>
        <w:ind w:left="513" w:right="0"/>
        <w:jc w:val="left"/>
        <w:rPr>
          <w:b w:val="0"/>
          <w:bCs w:val="0"/>
        </w:rPr>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日，本公司合并财务报表范围内子公司：</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513" w:right="0"/>
        <w:jc w:val="left"/>
      </w:pPr>
      <w:r>
        <w:rPr/>
        <w:t>（</w:t>
      </w:r>
      <w:r>
        <w:rPr>
          <w:rFonts w:ascii="Times New Roman" w:hAnsi="Times New Roman" w:cs="Times New Roman" w:eastAsia="Times New Roman" w:hint="default"/>
        </w:rPr>
        <w:t>1</w:t>
      </w:r>
      <w:r>
        <w:rPr/>
        <w:t>）通过设立或投资等方式取得的子公司</w:t>
      </w:r>
    </w:p>
    <w:p>
      <w:pPr>
        <w:spacing w:after="0" w:line="240" w:lineRule="auto"/>
        <w:jc w:val="left"/>
        <w:sectPr>
          <w:footerReference w:type="default" r:id="rId13"/>
          <w:pgSz w:w="11910" w:h="16840"/>
          <w:pgMar w:footer="979" w:header="745" w:top="1060" w:bottom="1160" w:left="980" w:right="980"/>
          <w:pgNumType w:start="85"/>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971"/>
        <w:gridCol w:w="1702"/>
        <w:gridCol w:w="1416"/>
        <w:gridCol w:w="1419"/>
      </w:tblGrid>
      <w:tr>
        <w:trPr>
          <w:trHeight w:val="428"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 w:right="0"/>
              <w:jc w:val="center"/>
              <w:rPr>
                <w:rFonts w:ascii="宋体" w:hAnsi="宋体" w:cs="宋体" w:eastAsia="宋体" w:hint="default"/>
                <w:sz w:val="18"/>
                <w:szCs w:val="18"/>
              </w:rPr>
            </w:pPr>
            <w:r>
              <w:rPr>
                <w:rFonts w:ascii="宋体" w:hAnsi="宋体" w:cs="宋体" w:eastAsia="宋体" w:hint="default"/>
                <w:b/>
                <w:bCs/>
                <w:sz w:val="18"/>
                <w:szCs w:val="18"/>
              </w:rPr>
              <w:t>公司全称</w:t>
            </w:r>
            <w:r>
              <w:rPr>
                <w:rFonts w:ascii="宋体" w:hAnsi="宋体" w:cs="宋体" w:eastAsia="宋体" w:hint="default"/>
                <w:sz w:val="18"/>
                <w:szCs w:val="18"/>
              </w:rPr>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79"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8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00"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表决权比例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42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青岛恒顺节能科技有限公司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万元人民币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西安恒顺电气科技有限公司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 国际控股有限责任公司）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10,017</w:t>
            </w:r>
            <w:r>
              <w:rPr>
                <w:rFonts w:ascii="宋体" w:hAnsi="宋体" w:cs="宋体" w:eastAsia="宋体" w:hint="default"/>
                <w:sz w:val="18"/>
                <w:szCs w:val="18"/>
              </w:rPr>
              <w:t>万美元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Holding Pte.Ltd.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（恒顺新加坡煤炭控 股有限公司）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Power</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Holding</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pacing w:val="-3"/>
                <w:sz w:val="18"/>
                <w:szCs w:val="18"/>
              </w:rPr>
              <w:t>Pte.Ltd.</w:t>
            </w:r>
            <w:r>
              <w:rPr>
                <w:rFonts w:ascii="宋体" w:hAnsi="宋体" w:cs="宋体" w:eastAsia="宋体" w:hint="default"/>
                <w:spacing w:val="-3"/>
                <w:sz w:val="18"/>
                <w:szCs w:val="18"/>
              </w:rPr>
              <w:t>（恒顺新加坡能源控</w:t>
            </w:r>
            <w:r>
              <w:rPr>
                <w:rFonts w:ascii="宋体" w:hAnsi="宋体" w:cs="宋体" w:eastAsia="宋体" w:hint="default"/>
                <w:spacing w:val="-88"/>
                <w:sz w:val="18"/>
                <w:szCs w:val="18"/>
              </w:rPr>
              <w:t> </w:t>
            </w:r>
            <w:r>
              <w:rPr>
                <w:rFonts w:ascii="宋体" w:hAnsi="宋体" w:cs="宋体" w:eastAsia="宋体" w:hint="default"/>
                <w:sz w:val="18"/>
                <w:szCs w:val="18"/>
              </w:rPr>
              <w:t>股有限公司）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Marketing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 贸易有限公司）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An Shun Coal Mines</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（恒顺新加坡安顺煤矿 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Shiny Kindness International</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（恒顺香港泽善 国际有限公司）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万美元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Energy</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z w:val="18"/>
                <w:szCs w:val="18"/>
              </w:rPr>
              <w:t>Kapitalindo</w:t>
            </w:r>
            <w:r>
              <w:rPr>
                <w:rFonts w:ascii="宋体" w:hAnsi="宋体" w:cs="宋体" w:eastAsia="宋体" w:hint="default"/>
                <w:sz w:val="18"/>
                <w:szCs w:val="18"/>
              </w:rPr>
              <w:t>（恒顺印尼安能有限 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宋体" w:hAnsi="宋体" w:cs="宋体" w:eastAsia="宋体" w:hint="default"/>
                <w:sz w:val="18"/>
                <w:szCs w:val="18"/>
              </w:rPr>
              <w:t>万美元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40"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Bumindo</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（恒顺印尼资源有限 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亿美元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PT.Transon Daya</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Indomining</w:t>
            </w:r>
            <w:r>
              <w:rPr>
                <w:rFonts w:ascii="宋体" w:hAnsi="宋体" w:cs="宋体" w:eastAsia="宋体" w:hint="default"/>
                <w:sz w:val="18"/>
                <w:szCs w:val="18"/>
              </w:rPr>
              <w:t>（恒顺印尼矿业服务有 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Energy</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（恒顺新加坡煤炭能源 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Coal Resource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（恒顺新加坡煤炭资 源有限公司）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40"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PT. Transon Mining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Development</w:t>
            </w:r>
            <w:r>
              <w:rPr>
                <w:rFonts w:ascii="宋体" w:hAnsi="宋体" w:cs="宋体" w:eastAsia="宋体" w:hint="default"/>
                <w:sz w:val="18"/>
                <w:szCs w:val="18"/>
              </w:rPr>
              <w:t>（恒顺印尼安宁公 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20"/>
                <w:sz w:val="18"/>
                <w:szCs w:val="18"/>
              </w:rPr>
              <w:t> </w:t>
            </w:r>
            <w:r>
              <w:rPr>
                <w:rFonts w:ascii="Times New Roman" w:hAnsi="Times New Roman" w:cs="Times New Roman" w:eastAsia="Times New Roman" w:hint="default"/>
                <w:sz w:val="18"/>
                <w:szCs w:val="18"/>
              </w:rPr>
              <w:t>Global</w:t>
            </w:r>
            <w:r>
              <w:rPr>
                <w:rFonts w:ascii="Times New Roman" w:hAnsi="Times New Roman" w:cs="Times New Roman" w:eastAsia="Times New Roman" w:hint="default"/>
                <w:spacing w:val="-21"/>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（恒顺印尼环宇资源公 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宋体" w:hAnsi="宋体" w:cs="宋体" w:eastAsia="宋体" w:hint="default"/>
                <w:sz w:val="18"/>
                <w:szCs w:val="18"/>
              </w:rPr>
              <w:t>万美元</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青岛恒顺众昇实业有限公司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5"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青岛恒顺众昇进出口有限公司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青岛恒顺众昇矿产资源有限公司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青岛恒顺众昇电气制造有限公司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北京科程物联网技术有限公司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51.00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51.00</w:t>
            </w:r>
          </w:p>
        </w:tc>
      </w:tr>
      <w:tr>
        <w:trPr>
          <w:trHeight w:val="740"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 Holdings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（恒顺新加坡普帝控股有 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971"/>
        <w:gridCol w:w="1702"/>
        <w:gridCol w:w="1416"/>
        <w:gridCol w:w="1419"/>
      </w:tblGrid>
      <w:tr>
        <w:trPr>
          <w:trHeight w:val="740"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01"/>
              <w:ind w:left="4" w:right="89"/>
              <w:jc w:val="left"/>
              <w:rPr>
                <w:rFonts w:ascii="宋体" w:hAnsi="宋体" w:cs="宋体" w:eastAsia="宋体" w:hint="default"/>
                <w:sz w:val="18"/>
                <w:szCs w:val="18"/>
              </w:rPr>
            </w:pPr>
            <w:r>
              <w:rPr>
                <w:rFonts w:ascii="Times New Roman" w:hAnsi="Times New Roman" w:cs="Times New Roman" w:eastAsia="Times New Roman" w:hint="default"/>
                <w:sz w:val="18"/>
                <w:szCs w:val="18"/>
              </w:rPr>
              <w:t>Qingdao Hengshun Zhongsheng Group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South</w:t>
            </w:r>
            <w:r>
              <w:rPr>
                <w:rFonts w:ascii="Times New Roman" w:hAnsi="Times New Roman" w:cs="Times New Roman" w:eastAsia="Times New Roman" w:hint="default"/>
                <w:sz w:val="18"/>
                <w:szCs w:val="18"/>
              </w:rPr>
              <w:t> Africa(PTY)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3"/>
                <w:sz w:val="18"/>
                <w:szCs w:val="18"/>
              </w:rPr>
              <w:t>Ltd</w:t>
            </w:r>
            <w:r>
              <w:rPr>
                <w:rFonts w:ascii="宋体" w:hAnsi="宋体" w:cs="宋体" w:eastAsia="宋体" w:hint="default"/>
                <w:spacing w:val="-3"/>
                <w:sz w:val="18"/>
                <w:szCs w:val="18"/>
              </w:rPr>
              <w:t>（青岛恒顺众昇集团南非有限公司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万人民币</w:t>
            </w:r>
          </w:p>
          <w:p>
            <w:pPr>
              <w:pStyle w:val="TableParagraph"/>
              <w:spacing w:line="240" w:lineRule="auto" w:before="63"/>
              <w:ind w:left="-107" w:right="0"/>
              <w:jc w:val="left"/>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39" w:hRule="exact"/>
        </w:trPr>
        <w:tc>
          <w:tcPr>
            <w:tcW w:w="3971"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00"/>
              <w:ind w:left="4" w:right="406"/>
              <w:jc w:val="left"/>
              <w:rPr>
                <w:rFonts w:ascii="宋体" w:hAnsi="宋体" w:cs="宋体" w:eastAsia="宋体" w:hint="default"/>
                <w:sz w:val="18"/>
                <w:szCs w:val="18"/>
              </w:rPr>
            </w:pPr>
            <w:r>
              <w:rPr>
                <w:rFonts w:ascii="Times New Roman" w:hAnsi="Times New Roman" w:cs="Times New Roman" w:eastAsia="Times New Roman" w:hint="default"/>
                <w:sz w:val="18"/>
                <w:szCs w:val="18"/>
              </w:rPr>
              <w:t>Hengshun zhongsheng group</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Zimbabwe(Private)</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（恒顺众昇集团津巴布韦有限公司）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万人民币</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Times New Roman" w:hAnsi="Times New Roman" w:cs="Times New Roman" w:eastAsia="Times New Roman" w:hint="default"/>
          <w:sz w:val="7"/>
          <w:szCs w:val="7"/>
        </w:rPr>
      </w:pPr>
    </w:p>
    <w:p>
      <w:pPr>
        <w:pStyle w:val="BodyText"/>
        <w:spacing w:line="240" w:lineRule="auto" w:before="44"/>
        <w:ind w:left="369" w:right="0"/>
        <w:jc w:val="left"/>
      </w:pPr>
      <w:r>
        <w:rPr/>
        <w:pict>
          <v:group style="position:absolute;margin-left:56.639999pt;margin-top:60.351746pt;width:429.25pt;height:.75pt;mso-position-horizontal-relative:page;mso-position-vertical-relative:paragraph;z-index:-892864" coordorigin="1133,1207" coordsize="8585,15">
            <v:group style="position:absolute;left:1140;top:1214;width:4660;height:2" coordorigin="1140,1214" coordsize="4660,2">
              <v:shape style="position:absolute;left:1140;top:1214;width:4660;height:2" coordorigin="1140,1214" coordsize="4660,0" path="m1140,1214l5799,1214e" filled="false" stroked="true" strokeweight=".72pt" strokecolor="#000000">
                <v:path arrowok="t"/>
              </v:shape>
            </v:group>
            <v:group style="position:absolute;left:5814;top:1214;width:1847;height:2" coordorigin="5814,1214" coordsize="1847,2">
              <v:shape style="position:absolute;left:5814;top:1214;width:1847;height:2" coordorigin="5814,1214" coordsize="1847,0" path="m5814,1214l7660,1214e" filled="false" stroked="true" strokeweight=".72pt" strokecolor="#000000">
                <v:path arrowok="t"/>
              </v:shape>
            </v:group>
            <v:group style="position:absolute;left:7674;top:1214;width:917;height:2" coordorigin="7674,1214" coordsize="917,2">
              <v:shape style="position:absolute;left:7674;top:1214;width:917;height:2" coordorigin="7674,1214" coordsize="917,0" path="m7674,1214l8591,1214e" filled="false" stroked="true" strokeweight=".72pt" strokecolor="#000000">
                <v:path arrowok="t"/>
              </v:shape>
            </v:group>
            <v:group style="position:absolute;left:8605;top:1214;width:1105;height:2" coordorigin="8605,1214" coordsize="1105,2">
              <v:shape style="position:absolute;left:8605;top:1214;width:1105;height:2" coordorigin="8605,1214" coordsize="1105,0" path="m8605,1214l9710,1214e" filled="false" stroked="true" strokeweight=".72pt" strokecolor="#000000">
                <v:path arrowok="t"/>
              </v:shape>
            </v:group>
            <w10:wrap type="none"/>
          </v:group>
        </w:pict>
      </w:r>
      <w:r>
        <w:rPr/>
        <w:t>（</w:t>
      </w:r>
      <w:r>
        <w:rPr>
          <w:rFonts w:ascii="Times New Roman" w:hAnsi="Times New Roman" w:cs="Times New Roman" w:eastAsia="Times New Roman" w:hint="default"/>
        </w:rPr>
        <w:t>2</w:t>
      </w:r>
      <w:r>
        <w:rPr/>
        <w:t>）非同一控制下企业合并取得的子公司</w:t>
      </w:r>
    </w:p>
    <w:p>
      <w:pPr>
        <w:spacing w:line="240" w:lineRule="auto" w:before="12"/>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4674"/>
        <w:gridCol w:w="1860"/>
        <w:gridCol w:w="931"/>
        <w:gridCol w:w="1119"/>
      </w:tblGrid>
      <w:tr>
        <w:trPr>
          <w:trHeight w:val="1166"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879"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青岛恒川网络科技有限公司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firstLine="559"/>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万元人民币</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129" w:right="125" w:firstLine="148"/>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2"/>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240" w:lineRule="auto" w:before="156"/>
              <w:ind w:left="422" w:right="-1"/>
              <w:jc w:val="left"/>
              <w:rPr>
                <w:rFonts w:ascii="Times New Roman" w:hAnsi="Times New Roman" w:cs="Times New Roman" w:eastAsia="Times New Roman" w:hint="default"/>
                <w:sz w:val="18"/>
                <w:szCs w:val="18"/>
              </w:rPr>
            </w:pPr>
            <w:r>
              <w:rPr>
                <w:rFonts w:ascii="Times New Roman"/>
                <w:sz w:val="18"/>
              </w:rPr>
              <w:t>100.00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20" w:right="221" w:firstLine="6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表决权</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p>
            <w:pPr>
              <w:pStyle w:val="TableParagraph"/>
              <w:spacing w:line="240" w:lineRule="auto" w:before="156"/>
              <w:ind w:left="607" w:right="0"/>
              <w:jc w:val="left"/>
              <w:rPr>
                <w:rFonts w:ascii="Times New Roman" w:hAnsi="Times New Roman" w:cs="Times New Roman" w:eastAsia="Times New Roman" w:hint="default"/>
                <w:sz w:val="18"/>
                <w:szCs w:val="18"/>
              </w:rPr>
            </w:pPr>
            <w:r>
              <w:rPr>
                <w:rFonts w:ascii="Times New Roman"/>
                <w:sz w:val="18"/>
              </w:rPr>
              <w:t>100.00</w:t>
            </w:r>
          </w:p>
        </w:tc>
      </w:tr>
      <w:tr>
        <w:trPr>
          <w:trHeight w:val="428"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W &amp; H Brothers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Mining</w:t>
            </w:r>
            <w:r>
              <w:rPr>
                <w:rFonts w:ascii="宋体" w:hAnsi="宋体" w:cs="宋体" w:eastAsia="宋体" w:hint="default"/>
                <w:sz w:val="18"/>
                <w:szCs w:val="18"/>
              </w:rPr>
              <w:t>（恒顺印尼兄弟矿业公司）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29,692,320</w:t>
            </w:r>
            <w:r>
              <w:rPr>
                <w:rFonts w:ascii="宋体" w:hAnsi="宋体" w:cs="宋体" w:eastAsia="宋体" w:hint="default"/>
                <w:sz w:val="18"/>
                <w:szCs w:val="18"/>
              </w:rPr>
              <w:t>美元</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27"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Kutai Nyala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（恒顺印尼东加码头公司）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w:t>
            </w:r>
            <w:r>
              <w:rPr>
                <w:rFonts w:ascii="宋体" w:hAnsi="宋体" w:cs="宋体" w:eastAsia="宋体" w:hint="default"/>
                <w:sz w:val="18"/>
                <w:szCs w:val="18"/>
              </w:rPr>
              <w:t>万美元</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76.00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76.00</w:t>
            </w:r>
          </w:p>
        </w:tc>
      </w:tr>
      <w:tr>
        <w:trPr>
          <w:trHeight w:val="427"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（恒顺印尼中加煤矿公司）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宋体" w:hAnsi="宋体" w:cs="宋体" w:eastAsia="宋体" w:hint="default"/>
                <w:sz w:val="18"/>
                <w:szCs w:val="18"/>
              </w:rPr>
              <w:t>万印尼盾</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80.00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80.00</w:t>
            </w:r>
          </w:p>
        </w:tc>
      </w:tr>
      <w:tr>
        <w:trPr>
          <w:trHeight w:val="427" w:hRule="exact"/>
        </w:trPr>
        <w:tc>
          <w:tcPr>
            <w:tcW w:w="46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PT.Madani</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Sejahtera</w:t>
            </w:r>
            <w:r>
              <w:rPr>
                <w:rFonts w:ascii="宋体" w:hAnsi="宋体" w:cs="宋体" w:eastAsia="宋体" w:hint="default"/>
                <w:sz w:val="18"/>
                <w:szCs w:val="18"/>
              </w:rPr>
              <w:t>（恒顺印尼苏岛镍矿公司）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1,100,000</w:t>
            </w:r>
            <w:r>
              <w:rPr>
                <w:rFonts w:ascii="宋体" w:hAnsi="宋体" w:cs="宋体" w:eastAsia="宋体" w:hint="default"/>
                <w:sz w:val="18"/>
                <w:szCs w:val="18"/>
              </w:rPr>
              <w:t>万印尼盾</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95.00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95.00</w:t>
            </w:r>
          </w:p>
        </w:tc>
      </w:tr>
      <w:tr>
        <w:trPr>
          <w:trHeight w:val="311" w:hRule="exact"/>
        </w:trPr>
        <w:tc>
          <w:tcPr>
            <w:tcW w:w="467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Utama(</w:t>
            </w:r>
            <w:r>
              <w:rPr>
                <w:rFonts w:ascii="宋体" w:hAnsi="宋体" w:cs="宋体" w:eastAsia="宋体" w:hint="default"/>
                <w:sz w:val="18"/>
                <w:szCs w:val="18"/>
              </w:rPr>
              <w:t>恒顺印尼中苏镍矿公司</w:t>
            </w:r>
            <w:r>
              <w:rPr>
                <w:rFonts w:ascii="Times New Roman" w:hAnsi="Times New Roman" w:cs="Times New Roman" w:eastAsia="Times New Roman" w:hint="default"/>
                <w:sz w:val="18"/>
                <w:szCs w:val="18"/>
              </w:rPr>
              <w:t>)</w:t>
            </w: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100,155,464,618</w:t>
            </w:r>
            <w:r>
              <w:rPr>
                <w:rFonts w:ascii="宋体" w:hAnsi="宋体" w:cs="宋体" w:eastAsia="宋体" w:hint="default"/>
                <w:sz w:val="18"/>
                <w:szCs w:val="18"/>
              </w:rPr>
              <w:t>印尼盾</w:t>
            </w:r>
          </w:p>
        </w:tc>
        <w:tc>
          <w:tcPr>
            <w:tcW w:w="9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80.00</w:t>
            </w:r>
          </w:p>
        </w:tc>
        <w:tc>
          <w:tcPr>
            <w:tcW w:w="111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80.00</w:t>
            </w:r>
          </w:p>
        </w:tc>
      </w:tr>
      <w:tr>
        <w:trPr>
          <w:trHeight w:val="543" w:hRule="exact"/>
        </w:trPr>
        <w:tc>
          <w:tcPr>
            <w:tcW w:w="467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3"/>
                <w:sz w:val="18"/>
                <w:szCs w:val="18"/>
              </w:rPr>
              <w:t>Pte.ltd.</w:t>
            </w:r>
            <w:r>
              <w:rPr>
                <w:rFonts w:ascii="宋体" w:hAnsi="宋体" w:cs="宋体" w:eastAsia="宋体" w:hint="default"/>
                <w:spacing w:val="-3"/>
                <w:sz w:val="18"/>
                <w:szCs w:val="18"/>
              </w:rPr>
              <w:t>（恒顺新加坡圣赢投资有限公司）</w:t>
            </w:r>
            <w:r>
              <w:rPr>
                <w:rFonts w:ascii="宋体" w:hAnsi="宋体" w:cs="宋体" w:eastAsia="宋体" w:hint="default"/>
                <w:sz w:val="18"/>
                <w:szCs w:val="18"/>
              </w:rPr>
            </w: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万美元</w:t>
            </w:r>
          </w:p>
        </w:tc>
        <w:tc>
          <w:tcPr>
            <w:tcW w:w="931"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119"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11"/>
        <w:rPr>
          <w:rFonts w:ascii="宋体" w:hAnsi="宋体" w:cs="宋体" w:eastAsia="宋体" w:hint="default"/>
          <w:sz w:val="5"/>
          <w:szCs w:val="5"/>
        </w:rPr>
      </w:pPr>
    </w:p>
    <w:p>
      <w:pPr>
        <w:pStyle w:val="Heading6"/>
        <w:spacing w:line="240" w:lineRule="auto"/>
        <w:ind w:left="513" w:right="0"/>
        <w:jc w:val="left"/>
        <w:rPr>
          <w:b w:val="0"/>
          <w:bCs w:val="0"/>
        </w:rPr>
      </w:pPr>
      <w:r>
        <w:rPr/>
        <w:pict>
          <v:group style="position:absolute;margin-left:56.639999pt;margin-top:-26.408272pt;width:429.25pt;height:.75pt;mso-position-horizontal-relative:page;mso-position-vertical-relative:paragraph;z-index:-892840" coordorigin="1133,-528" coordsize="8585,15">
            <v:group style="position:absolute;left:1140;top:-521;width:4660;height:2" coordorigin="1140,-521" coordsize="4660,2">
              <v:shape style="position:absolute;left:1140;top:-521;width:4660;height:2" coordorigin="1140,-521" coordsize="4660,0" path="m1140,-521l5799,-521e" filled="false" stroked="true" strokeweight=".72pt" strokecolor="#000000">
                <v:path arrowok="t"/>
              </v:shape>
            </v:group>
            <v:group style="position:absolute;left:5814;top:-521;width:1847;height:2" coordorigin="5814,-521" coordsize="1847,2">
              <v:shape style="position:absolute;left:5814;top:-521;width:1847;height:2" coordorigin="5814,-521" coordsize="1847,0" path="m5814,-521l7660,-521e" filled="false" stroked="true" strokeweight=".72pt" strokecolor="#000000">
                <v:path arrowok="t"/>
              </v:shape>
            </v:group>
            <v:group style="position:absolute;left:7674;top:-521;width:917;height:2" coordorigin="7674,-521" coordsize="917,2">
              <v:shape style="position:absolute;left:7674;top:-521;width:917;height:2" coordorigin="7674,-521" coordsize="917,0" path="m7674,-521l8591,-521e" filled="false" stroked="true" strokeweight=".72pt" strokecolor="#000000">
                <v:path arrowok="t"/>
              </v:shape>
            </v:group>
            <v:group style="position:absolute;left:8605;top:-521;width:1105;height:2" coordorigin="8605,-521" coordsize="1105,2">
              <v:shape style="position:absolute;left:8605;top:-521;width:1105;height:2" coordorigin="8605,-521" coordsize="1105,0" path="m8605,-521l9710,-521e" filled="false" stroked="true" strokeweight=".72pt" strokecolor="#000000">
                <v:path arrowok="t"/>
              </v:shape>
            </v:group>
            <w10:wrap type="none"/>
          </v:group>
        </w:pict>
      </w:r>
      <w:r>
        <w:rPr>
          <w:rFonts w:ascii="Times New Roman" w:hAnsi="Times New Roman" w:cs="Times New Roman" w:eastAsia="Times New Roman" w:hint="default"/>
        </w:rPr>
        <w:t>2</w:t>
      </w:r>
      <w:r>
        <w:rPr/>
        <w:t>、报告期合并财务报表合并范围的变化</w:t>
      </w:r>
      <w:r>
        <w:rPr>
          <w:b w:val="0"/>
          <w:bCs w:val="0"/>
        </w:rPr>
      </w:r>
    </w:p>
    <w:p>
      <w:pPr>
        <w:spacing w:line="240" w:lineRule="auto" w:before="5"/>
        <w:rPr>
          <w:rFonts w:ascii="宋体" w:hAnsi="宋体" w:cs="宋体" w:eastAsia="宋体" w:hint="default"/>
          <w:b/>
          <w:bCs/>
          <w:sz w:val="13"/>
          <w:szCs w:val="13"/>
        </w:rPr>
      </w:pPr>
    </w:p>
    <w:tbl>
      <w:tblPr>
        <w:tblW w:w="0" w:type="auto"/>
        <w:jc w:val="left"/>
        <w:tblInd w:w="145" w:type="dxa"/>
        <w:tblLayout w:type="fixed"/>
        <w:tblCellMar>
          <w:top w:w="0" w:type="dxa"/>
          <w:left w:w="0" w:type="dxa"/>
          <w:bottom w:w="0" w:type="dxa"/>
          <w:right w:w="0" w:type="dxa"/>
        </w:tblCellMar>
        <w:tblLook w:val="01E0"/>
      </w:tblPr>
      <w:tblGrid>
        <w:gridCol w:w="1440"/>
        <w:gridCol w:w="2701"/>
        <w:gridCol w:w="1440"/>
        <w:gridCol w:w="720"/>
        <w:gridCol w:w="2341"/>
      </w:tblGrid>
      <w:tr>
        <w:trPr>
          <w:trHeight w:val="77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99"/>
              <w:ind w:left="624" w:right="50" w:hanging="567"/>
              <w:jc w:val="left"/>
              <w:rPr>
                <w:rFonts w:ascii="宋体" w:hAnsi="宋体" w:cs="宋体" w:eastAsia="宋体" w:hint="default"/>
                <w:sz w:val="18"/>
                <w:szCs w:val="18"/>
              </w:rPr>
            </w:pPr>
            <w:r>
              <w:rPr>
                <w:rFonts w:ascii="宋体" w:hAnsi="宋体" w:cs="宋体" w:eastAsia="宋体" w:hint="default"/>
                <w:b/>
                <w:bCs/>
                <w:sz w:val="18"/>
                <w:szCs w:val="18"/>
              </w:rPr>
              <w:t>成立日期</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收购日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b/>
                <w:bCs/>
                <w:sz w:val="18"/>
                <w:szCs w:val="18"/>
              </w:rPr>
              <w:t>公司名称</w:t>
            </w:r>
            <w:r>
              <w:rPr>
                <w:rFonts w:ascii="宋体" w:hAnsi="宋体" w:cs="宋体" w:eastAsia="宋体" w:hint="default"/>
                <w:sz w:val="18"/>
                <w:szCs w:val="18"/>
              </w:rPr>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b/>
                <w:bCs/>
                <w:sz w:val="18"/>
                <w:szCs w:val="18"/>
              </w:rPr>
              <w:t>注册资本</w:t>
            </w:r>
            <w:r>
              <w:rPr>
                <w:rFonts w:ascii="宋体" w:hAnsi="宋体" w:cs="宋体" w:eastAsia="宋体" w:hint="default"/>
                <w:sz w:val="18"/>
                <w:szCs w:val="18"/>
              </w:rPr>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58"/>
              <w:ind w:left="172" w:right="167"/>
              <w:jc w:val="left"/>
              <w:rPr>
                <w:rFonts w:ascii="宋体" w:hAnsi="宋体" w:cs="宋体" w:eastAsia="宋体" w:hint="default"/>
                <w:sz w:val="18"/>
                <w:szCs w:val="18"/>
              </w:rPr>
            </w:pPr>
            <w:r>
              <w:rPr>
                <w:rFonts w:ascii="宋体" w:hAnsi="宋体" w:cs="宋体" w:eastAsia="宋体" w:hint="default"/>
                <w:b/>
                <w:bCs/>
                <w:sz w:val="18"/>
                <w:szCs w:val="18"/>
              </w:rPr>
              <w:t>持股</w:t>
            </w:r>
            <w:r>
              <w:rPr>
                <w:rFonts w:ascii="宋体" w:hAnsi="宋体" w:cs="宋体" w:eastAsia="宋体" w:hint="default"/>
                <w:b/>
                <w:bCs/>
                <w:spacing w:val="-8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73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青岛恒顺众昇电气制造有限公司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2"/>
              <w:jc w:val="left"/>
              <w:rPr>
                <w:rFonts w:ascii="宋体" w:hAnsi="宋体" w:cs="宋体" w:eastAsia="宋体" w:hint="default"/>
                <w:sz w:val="18"/>
                <w:szCs w:val="18"/>
              </w:rPr>
            </w:pPr>
            <w:r>
              <w:rPr>
                <w:rFonts w:ascii="宋体" w:hAnsi="宋体" w:cs="宋体" w:eastAsia="宋体" w:hint="default"/>
                <w:spacing w:val="14"/>
                <w:sz w:val="18"/>
                <w:szCs w:val="18"/>
              </w:rPr>
              <w:t>自设立之日起纳入集团合并 </w:t>
            </w:r>
            <w:r>
              <w:rPr>
                <w:rFonts w:ascii="宋体" w:hAnsi="宋体" w:cs="宋体" w:eastAsia="宋体" w:hint="default"/>
                <w:sz w:val="18"/>
                <w:szCs w:val="18"/>
              </w:rPr>
              <w:t>报表范围</w:t>
            </w:r>
          </w:p>
        </w:tc>
      </w:tr>
      <w:tr>
        <w:trPr>
          <w:trHeight w:val="73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宋体" w:hAnsi="宋体" w:cs="宋体" w:eastAsia="宋体" w:hint="default"/>
                <w:sz w:val="18"/>
                <w:szCs w:val="18"/>
              </w:rPr>
              <w:t>青岛恒顺众昇进出口有限公司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4" w:right="-12"/>
              <w:jc w:val="left"/>
              <w:rPr>
                <w:rFonts w:ascii="宋体" w:hAnsi="宋体" w:cs="宋体" w:eastAsia="宋体" w:hint="default"/>
                <w:sz w:val="18"/>
                <w:szCs w:val="18"/>
              </w:rPr>
            </w:pPr>
            <w:r>
              <w:rPr>
                <w:rFonts w:ascii="宋体" w:hAnsi="宋体" w:cs="宋体" w:eastAsia="宋体" w:hint="default"/>
                <w:spacing w:val="14"/>
                <w:sz w:val="18"/>
                <w:szCs w:val="18"/>
              </w:rPr>
              <w:t>自设立之日起纳入集团合并 </w:t>
            </w:r>
            <w:r>
              <w:rPr>
                <w:rFonts w:ascii="宋体" w:hAnsi="宋体" w:cs="宋体" w:eastAsia="宋体" w:hint="default"/>
                <w:sz w:val="18"/>
                <w:szCs w:val="18"/>
              </w:rPr>
              <w:t>报表范围</w:t>
            </w:r>
          </w:p>
        </w:tc>
      </w:tr>
      <w:tr>
        <w:trPr>
          <w:trHeight w:val="73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sz w:val="18"/>
                <w:szCs w:val="18"/>
              </w:rPr>
              <w:t>青岛恒顺众昇实业有限公司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2"/>
              <w:jc w:val="left"/>
              <w:rPr>
                <w:rFonts w:ascii="宋体" w:hAnsi="宋体" w:cs="宋体" w:eastAsia="宋体" w:hint="default"/>
                <w:sz w:val="18"/>
                <w:szCs w:val="18"/>
              </w:rPr>
            </w:pPr>
            <w:r>
              <w:rPr>
                <w:rFonts w:ascii="宋体" w:hAnsi="宋体" w:cs="宋体" w:eastAsia="宋体" w:hint="default"/>
                <w:spacing w:val="14"/>
                <w:sz w:val="18"/>
                <w:szCs w:val="18"/>
              </w:rPr>
              <w:t>自设立之日起纳入集团合并 </w:t>
            </w:r>
            <w:r>
              <w:rPr>
                <w:rFonts w:ascii="宋体" w:hAnsi="宋体" w:cs="宋体" w:eastAsia="宋体" w:hint="default"/>
                <w:sz w:val="18"/>
                <w:szCs w:val="18"/>
              </w:rPr>
              <w:t>报表范围</w:t>
            </w:r>
          </w:p>
        </w:tc>
      </w:tr>
      <w:tr>
        <w:trPr>
          <w:trHeight w:val="74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sz w:val="18"/>
                <w:szCs w:val="18"/>
              </w:rPr>
              <w:t>青岛恒顺众昇矿产资源有限公司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2"/>
              <w:jc w:val="left"/>
              <w:rPr>
                <w:rFonts w:ascii="宋体" w:hAnsi="宋体" w:cs="宋体" w:eastAsia="宋体" w:hint="default"/>
                <w:sz w:val="18"/>
                <w:szCs w:val="18"/>
              </w:rPr>
            </w:pPr>
            <w:r>
              <w:rPr>
                <w:rFonts w:ascii="宋体" w:hAnsi="宋体" w:cs="宋体" w:eastAsia="宋体" w:hint="default"/>
                <w:spacing w:val="14"/>
                <w:sz w:val="18"/>
                <w:szCs w:val="18"/>
              </w:rPr>
              <w:t>自设立之日起纳入集团合并 </w:t>
            </w:r>
            <w:r>
              <w:rPr>
                <w:rFonts w:ascii="宋体" w:hAnsi="宋体" w:cs="宋体" w:eastAsia="宋体" w:hint="default"/>
                <w:sz w:val="18"/>
                <w:szCs w:val="18"/>
              </w:rPr>
              <w:t>报表范围</w:t>
            </w:r>
          </w:p>
        </w:tc>
      </w:tr>
      <w:tr>
        <w:trPr>
          <w:trHeight w:val="1051"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00"/>
              <w:ind w:left="4"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Qingdao Hengshun</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Zhongsheng</w:t>
            </w:r>
            <w:r>
              <w:rPr>
                <w:rFonts w:ascii="Times New Roman" w:hAnsi="Times New Roman" w:cs="Times New Roman" w:eastAsia="Times New Roman" w:hint="default"/>
                <w:sz w:val="18"/>
                <w:szCs w:val="18"/>
              </w:rPr>
              <w:t> Group South Africa(PTY)</w:t>
            </w:r>
            <w:r>
              <w:rPr>
                <w:rFonts w:ascii="Times New Roman" w:hAnsi="Times New Roman" w:cs="Times New Roman" w:eastAsia="Times New Roman" w:hint="default"/>
                <w:spacing w:val="-29"/>
                <w:sz w:val="18"/>
                <w:szCs w:val="18"/>
              </w:rPr>
              <w:t> </w:t>
            </w:r>
            <w:r>
              <w:rPr>
                <w:rFonts w:ascii="Times New Roman" w:hAnsi="Times New Roman" w:cs="Times New Roman" w:eastAsia="Times New Roman" w:hint="default"/>
                <w:spacing w:val="-3"/>
                <w:sz w:val="18"/>
                <w:szCs w:val="18"/>
              </w:rPr>
              <w:t>Ltd</w:t>
            </w:r>
            <w:r>
              <w:rPr>
                <w:rFonts w:ascii="宋体" w:hAnsi="宋体" w:cs="宋体" w:eastAsia="宋体" w:hint="default"/>
                <w:spacing w:val="-3"/>
                <w:sz w:val="18"/>
                <w:szCs w:val="18"/>
              </w:rPr>
              <w:t>（青岛</w:t>
            </w:r>
            <w:r>
              <w:rPr>
                <w:rFonts w:ascii="宋体" w:hAnsi="宋体" w:cs="宋体" w:eastAsia="宋体" w:hint="default"/>
                <w:sz w:val="18"/>
                <w:szCs w:val="18"/>
              </w:rPr>
              <w:t> 恒顺众昇集团南非有限公司）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万人民币</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4" w:right="-12"/>
              <w:jc w:val="left"/>
              <w:rPr>
                <w:rFonts w:ascii="宋体" w:hAnsi="宋体" w:cs="宋体" w:eastAsia="宋体" w:hint="default"/>
                <w:sz w:val="18"/>
                <w:szCs w:val="18"/>
              </w:rPr>
            </w:pPr>
            <w:r>
              <w:rPr>
                <w:rFonts w:ascii="宋体" w:hAnsi="宋体" w:cs="宋体" w:eastAsia="宋体" w:hint="default"/>
                <w:spacing w:val="14"/>
                <w:sz w:val="18"/>
                <w:szCs w:val="18"/>
              </w:rPr>
              <w:t>自设立之日起纳入集团合并 </w:t>
            </w:r>
            <w:r>
              <w:rPr>
                <w:rFonts w:ascii="宋体" w:hAnsi="宋体" w:cs="宋体" w:eastAsia="宋体" w:hint="default"/>
                <w:sz w:val="18"/>
                <w:szCs w:val="18"/>
              </w:rPr>
              <w:t>报表范围</w:t>
            </w:r>
          </w:p>
        </w:tc>
      </w:tr>
      <w:tr>
        <w:trPr>
          <w:trHeight w:val="73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 Holdings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 加坡普帝控股有限公司）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元新币</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2"/>
              <w:jc w:val="left"/>
              <w:rPr>
                <w:rFonts w:ascii="宋体" w:hAnsi="宋体" w:cs="宋体" w:eastAsia="宋体" w:hint="default"/>
                <w:sz w:val="18"/>
                <w:szCs w:val="18"/>
              </w:rPr>
            </w:pPr>
            <w:r>
              <w:rPr>
                <w:rFonts w:ascii="宋体" w:hAnsi="宋体" w:cs="宋体" w:eastAsia="宋体" w:hint="default"/>
                <w:spacing w:val="14"/>
                <w:sz w:val="18"/>
                <w:szCs w:val="18"/>
              </w:rPr>
              <w:t>自设立之日起纳入集团合并 </w:t>
            </w:r>
            <w:r>
              <w:rPr>
                <w:rFonts w:ascii="宋体" w:hAnsi="宋体" w:cs="宋体" w:eastAsia="宋体" w:hint="default"/>
                <w:sz w:val="18"/>
                <w:szCs w:val="18"/>
              </w:rPr>
              <w:t>报表范围</w:t>
            </w:r>
          </w:p>
        </w:tc>
      </w:tr>
      <w:tr>
        <w:trPr>
          <w:trHeight w:val="1051"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00"/>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Hengshun zhongsheng</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z w:val="18"/>
                <w:szCs w:val="18"/>
              </w:rPr>
              <w:t> Zimbabwe(Private)</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pacing w:val="-5"/>
                <w:sz w:val="18"/>
                <w:szCs w:val="18"/>
              </w:rPr>
              <w:t>Limited</w:t>
            </w:r>
            <w:r>
              <w:rPr>
                <w:rFonts w:ascii="宋体" w:hAnsi="宋体" w:cs="宋体" w:eastAsia="宋体" w:hint="default"/>
                <w:spacing w:val="-5"/>
                <w:sz w:val="18"/>
                <w:szCs w:val="18"/>
              </w:rPr>
              <w:t>（恒顺众</w:t>
            </w:r>
            <w:r>
              <w:rPr>
                <w:rFonts w:ascii="宋体" w:hAnsi="宋体" w:cs="宋体" w:eastAsia="宋体" w:hint="default"/>
                <w:w w:val="99"/>
                <w:sz w:val="18"/>
                <w:szCs w:val="18"/>
              </w:rPr>
              <w:t> </w:t>
            </w:r>
            <w:r>
              <w:rPr>
                <w:rFonts w:ascii="宋体" w:hAnsi="宋体" w:cs="宋体" w:eastAsia="宋体" w:hint="default"/>
                <w:sz w:val="18"/>
                <w:szCs w:val="18"/>
              </w:rPr>
              <w:t>昇集团津巴布韦有限公司）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宋体" w:hAnsi="宋体" w:cs="宋体" w:eastAsia="宋体" w:hint="default"/>
                <w:sz w:val="18"/>
                <w:szCs w:val="18"/>
              </w:rPr>
              <w:t>万人民币</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4" w:right="-12"/>
              <w:jc w:val="left"/>
              <w:rPr>
                <w:rFonts w:ascii="宋体" w:hAnsi="宋体" w:cs="宋体" w:eastAsia="宋体" w:hint="default"/>
                <w:sz w:val="18"/>
                <w:szCs w:val="18"/>
              </w:rPr>
            </w:pPr>
            <w:r>
              <w:rPr>
                <w:rFonts w:ascii="宋体" w:hAnsi="宋体" w:cs="宋体" w:eastAsia="宋体" w:hint="default"/>
                <w:spacing w:val="14"/>
                <w:sz w:val="18"/>
                <w:szCs w:val="18"/>
              </w:rPr>
              <w:t>自设立之日起纳入集团合并 </w:t>
            </w:r>
            <w:r>
              <w:rPr>
                <w:rFonts w:ascii="宋体" w:hAnsi="宋体" w:cs="宋体" w:eastAsia="宋体" w:hint="default"/>
                <w:sz w:val="18"/>
                <w:szCs w:val="18"/>
              </w:rPr>
              <w:t>报表范围</w:t>
            </w:r>
          </w:p>
        </w:tc>
      </w:tr>
      <w:tr>
        <w:trPr>
          <w:trHeight w:val="74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pacing w:val="-3"/>
                <w:sz w:val="18"/>
                <w:szCs w:val="18"/>
              </w:rPr>
              <w:t>pte.ltd.</w:t>
            </w:r>
            <w:r>
              <w:rPr>
                <w:rFonts w:ascii="宋体" w:hAnsi="宋体" w:cs="宋体" w:eastAsia="宋体" w:hint="default"/>
                <w:spacing w:val="-3"/>
                <w:sz w:val="18"/>
                <w:szCs w:val="18"/>
              </w:rPr>
              <w:t>（恒顺新</w:t>
            </w:r>
            <w:r>
              <w:rPr>
                <w:rFonts w:ascii="宋体" w:hAnsi="宋体" w:cs="宋体" w:eastAsia="宋体" w:hint="default"/>
                <w:sz w:val="18"/>
                <w:szCs w:val="18"/>
              </w:rPr>
              <w:t> 加坡圣赢投资有限公司）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万美元</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4" w:right="-12"/>
              <w:jc w:val="left"/>
              <w:rPr>
                <w:rFonts w:ascii="宋体" w:hAnsi="宋体" w:cs="宋体" w:eastAsia="宋体" w:hint="default"/>
                <w:sz w:val="18"/>
                <w:szCs w:val="18"/>
              </w:rPr>
            </w:pPr>
            <w:r>
              <w:rPr>
                <w:rFonts w:ascii="宋体" w:hAnsi="宋体" w:cs="宋体" w:eastAsia="宋体" w:hint="default"/>
                <w:spacing w:val="14"/>
                <w:sz w:val="18"/>
                <w:szCs w:val="18"/>
              </w:rPr>
              <w:t>自控制权取得日起纳入集团 </w:t>
            </w:r>
            <w:r>
              <w:rPr>
                <w:rFonts w:ascii="宋体" w:hAnsi="宋体" w:cs="宋体" w:eastAsia="宋体" w:hint="default"/>
                <w:sz w:val="18"/>
                <w:szCs w:val="18"/>
              </w:rPr>
              <w:t>合并范围</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440"/>
        <w:gridCol w:w="2701"/>
        <w:gridCol w:w="1440"/>
        <w:gridCol w:w="720"/>
        <w:gridCol w:w="2341"/>
      </w:tblGrid>
      <w:tr>
        <w:trPr>
          <w:trHeight w:val="740"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9"/>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19"/>
                <w:sz w:val="18"/>
                <w:szCs w:val="18"/>
              </w:rPr>
              <w:t> </w:t>
            </w:r>
            <w:r>
              <w:rPr>
                <w:rFonts w:ascii="Times New Roman" w:hAnsi="Times New Roman" w:cs="Times New Roman" w:eastAsia="Times New Roman" w:hint="default"/>
                <w:sz w:val="18"/>
                <w:szCs w:val="18"/>
              </w:rPr>
              <w:t>Utama(</w:t>
            </w:r>
            <w:r>
              <w:rPr>
                <w:rFonts w:ascii="宋体" w:hAnsi="宋体" w:cs="宋体" w:eastAsia="宋体" w:hint="default"/>
                <w:sz w:val="18"/>
                <w:szCs w:val="18"/>
              </w:rPr>
              <w:t>恒顺印尼 中苏镍矿公司</w:t>
            </w:r>
            <w:r>
              <w:rPr>
                <w:rFonts w:ascii="Times New Roman" w:hAnsi="Times New Roman" w:cs="Times New Roman" w:eastAsia="Times New Roman" w:hint="default"/>
                <w:sz w:val="18"/>
                <w:szCs w:val="18"/>
              </w:rPr>
              <w:t>)</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100155464618  </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印</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尼盾</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80%</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4" w:right="-12"/>
              <w:jc w:val="left"/>
              <w:rPr>
                <w:rFonts w:ascii="宋体" w:hAnsi="宋体" w:cs="宋体" w:eastAsia="宋体" w:hint="default"/>
                <w:sz w:val="18"/>
                <w:szCs w:val="18"/>
              </w:rPr>
            </w:pPr>
            <w:r>
              <w:rPr>
                <w:rFonts w:ascii="宋体" w:hAnsi="宋体" w:cs="宋体" w:eastAsia="宋体" w:hint="default"/>
                <w:spacing w:val="14"/>
                <w:sz w:val="18"/>
                <w:szCs w:val="18"/>
              </w:rPr>
              <w:t>自控制权取得日起纳入集团 </w:t>
            </w:r>
            <w:r>
              <w:rPr>
                <w:rFonts w:ascii="宋体" w:hAnsi="宋体" w:cs="宋体" w:eastAsia="宋体" w:hint="default"/>
                <w:sz w:val="18"/>
                <w:szCs w:val="18"/>
              </w:rPr>
              <w:t>合并范围</w:t>
            </w:r>
          </w:p>
        </w:tc>
      </w:tr>
      <w:tr>
        <w:trPr>
          <w:trHeight w:val="739"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w:t>
            </w:r>
          </w:p>
        </w:tc>
        <w:tc>
          <w:tcPr>
            <w:tcW w:w="2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宋体" w:hAnsi="宋体" w:cs="宋体" w:eastAsia="宋体" w:hint="default"/>
                <w:sz w:val="18"/>
                <w:szCs w:val="18"/>
              </w:rPr>
              <w:t>北京科程物联网技术有限公司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5"/>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万元人民币</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51%</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4" w:right="-12"/>
              <w:jc w:val="left"/>
              <w:rPr>
                <w:rFonts w:ascii="宋体" w:hAnsi="宋体" w:cs="宋体" w:eastAsia="宋体" w:hint="default"/>
                <w:sz w:val="18"/>
                <w:szCs w:val="18"/>
              </w:rPr>
            </w:pPr>
            <w:r>
              <w:rPr>
                <w:rFonts w:ascii="宋体" w:hAnsi="宋体" w:cs="宋体" w:eastAsia="宋体" w:hint="default"/>
                <w:spacing w:val="14"/>
                <w:sz w:val="18"/>
                <w:szCs w:val="18"/>
              </w:rPr>
              <w:t>自设立之日起纳入集团合并 </w:t>
            </w:r>
            <w:r>
              <w:rPr>
                <w:rFonts w:ascii="宋体" w:hAnsi="宋体" w:cs="宋体" w:eastAsia="宋体" w:hint="default"/>
                <w:sz w:val="18"/>
                <w:szCs w:val="18"/>
              </w:rPr>
              <w:t>报表范围</w:t>
            </w:r>
          </w:p>
        </w:tc>
      </w:tr>
    </w:tbl>
    <w:p>
      <w:pPr>
        <w:spacing w:line="240" w:lineRule="auto" w:before="2"/>
        <w:rPr>
          <w:rFonts w:ascii="宋体" w:hAnsi="宋体" w:cs="宋体" w:eastAsia="宋体" w:hint="default"/>
          <w:b/>
          <w:bCs/>
          <w:sz w:val="27"/>
          <w:szCs w:val="27"/>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）本期新纳入合并范围的子公司</w:t>
      </w:r>
      <w:r>
        <w:rPr>
          <w:b w:val="0"/>
          <w:bCs w:val="0"/>
        </w:rPr>
      </w:r>
    </w:p>
    <w:p>
      <w:pPr>
        <w:spacing w:line="240" w:lineRule="auto" w:before="4"/>
        <w:rPr>
          <w:rFonts w:ascii="宋体" w:hAnsi="宋体" w:cs="宋体" w:eastAsia="宋体" w:hint="default"/>
          <w:b/>
          <w:bCs/>
          <w:sz w:val="7"/>
          <w:szCs w:val="7"/>
        </w:rPr>
      </w:pPr>
    </w:p>
    <w:tbl>
      <w:tblPr>
        <w:tblW w:w="0" w:type="auto"/>
        <w:jc w:val="left"/>
        <w:tblInd w:w="136" w:type="dxa"/>
        <w:tblLayout w:type="fixed"/>
        <w:tblCellMar>
          <w:top w:w="0" w:type="dxa"/>
          <w:left w:w="0" w:type="dxa"/>
          <w:bottom w:w="0" w:type="dxa"/>
          <w:right w:w="0" w:type="dxa"/>
        </w:tblCellMar>
        <w:tblLook w:val="01E0"/>
      </w:tblPr>
      <w:tblGrid>
        <w:gridCol w:w="4141"/>
        <w:gridCol w:w="2160"/>
        <w:gridCol w:w="2341"/>
      </w:tblGrid>
      <w:tr>
        <w:trPr>
          <w:trHeight w:val="427"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21"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10" w:right="0"/>
              <w:jc w:val="left"/>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427"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青岛恒顺众昇电气制造有限公司</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95,149.31</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-4,850.69</w:t>
            </w:r>
          </w:p>
        </w:tc>
      </w:tr>
      <w:tr>
        <w:trPr>
          <w:trHeight w:val="428"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青岛恒顺众昇进出口有限公司</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97,374.66</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-2,625.34</w:t>
            </w:r>
          </w:p>
        </w:tc>
      </w:tr>
      <w:tr>
        <w:trPr>
          <w:trHeight w:val="427"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青岛恒顺众昇实业有限公司</w:t>
            </w:r>
          </w:p>
        </w:tc>
        <w:tc>
          <w:tcPr>
            <w:tcW w:w="2160"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青岛恒顺众昇矿产资源有限公司</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-21,201.27</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-121,201.27</w:t>
            </w:r>
          </w:p>
        </w:tc>
      </w:tr>
      <w:tr>
        <w:trPr>
          <w:trHeight w:val="739"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872" w:val="left" w:leader="none"/>
                <w:tab w:pos="1853" w:val="left" w:leader="none"/>
                <w:tab w:pos="2990" w:val="left" w:leader="none"/>
                <w:tab w:pos="3700" w:val="left" w:leader="none"/>
              </w:tabs>
              <w:spacing w:line="312" w:lineRule="auto" w:before="100"/>
              <w:ind w:left="2" w:right="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Qingdao</w:t>
              <w:tab/>
              <w:t>Hengshun</w:t>
              <w:tab/>
              <w:t>Zhongsheng</w:t>
              <w:tab/>
              <w:t>Group</w:t>
              <w:tab/>
              <w:t>South</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Africa(PTY)</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（青岛恒顺众昇集团南非有限公司）</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1,242,235.22</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-541,936.34</w:t>
            </w:r>
          </w:p>
        </w:tc>
      </w:tr>
      <w:tr>
        <w:trPr>
          <w:trHeight w:val="737"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2"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 Holdings</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（恒顺新加坡普帝控股有限 公司）</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-567,518.96</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-1,203,247.55</w:t>
            </w:r>
          </w:p>
        </w:tc>
      </w:tr>
      <w:tr>
        <w:trPr>
          <w:trHeight w:val="739"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tabs>
                <w:tab w:pos="971" w:val="left" w:leader="none"/>
                <w:tab w:pos="2066" w:val="left" w:leader="none"/>
                <w:tab w:pos="2721" w:val="left" w:leader="none"/>
              </w:tabs>
              <w:spacing w:line="312" w:lineRule="auto" w:before="103"/>
              <w:ind w:left="2" w:right="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Hengshun</w:t>
              <w:tab/>
              <w:t>zhongsheng</w:t>
              <w:tab/>
            </w:r>
            <w:r>
              <w:rPr>
                <w:rFonts w:ascii="Times New Roman" w:hAnsi="Times New Roman" w:cs="Times New Roman" w:eastAsia="Times New Roman" w:hint="default"/>
                <w:spacing w:val="-2"/>
                <w:sz w:val="18"/>
                <w:szCs w:val="18"/>
              </w:rPr>
              <w:t>group</w:t>
              <w:tab/>
            </w:r>
            <w:r>
              <w:rPr>
                <w:rFonts w:ascii="Times New Roman" w:hAnsi="Times New Roman" w:cs="Times New Roman" w:eastAsia="Times New Roman" w:hint="default"/>
                <w:spacing w:val="-1"/>
                <w:sz w:val="18"/>
                <w:szCs w:val="18"/>
              </w:rPr>
              <w:t>Zimbabwe(Private)</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pacing w:val="-35"/>
                <w:sz w:val="18"/>
                <w:szCs w:val="18"/>
              </w:rPr>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（恒顺众昇集团津巴布韦有限公司）</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1,720,472.62</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-275,107.73</w:t>
            </w:r>
          </w:p>
        </w:tc>
      </w:tr>
      <w:tr>
        <w:trPr>
          <w:trHeight w:val="428"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Utama(</w:t>
            </w:r>
            <w:r>
              <w:rPr>
                <w:rFonts w:ascii="宋体" w:hAnsi="宋体" w:cs="宋体" w:eastAsia="宋体" w:hint="default"/>
                <w:sz w:val="18"/>
                <w:szCs w:val="18"/>
              </w:rPr>
              <w:t>恒顺印尼中苏镍矿公司</w:t>
            </w:r>
            <w:r>
              <w:rPr>
                <w:rFonts w:ascii="Times New Roman" w:hAnsi="Times New Roman" w:cs="Times New Roman" w:eastAsia="Times New Roman" w:hint="default"/>
                <w:sz w:val="18"/>
                <w:szCs w:val="18"/>
              </w:rPr>
              <w:t>)</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-57,856.11</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-57,729.44</w:t>
            </w:r>
          </w:p>
        </w:tc>
      </w:tr>
      <w:tr>
        <w:trPr>
          <w:trHeight w:val="739"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w:t>
            </w:r>
            <w:r>
              <w:rPr>
                <w:rFonts w:ascii="Times New Roman" w:hAnsi="Times New Roman" w:cs="Times New Roman" w:eastAsia="Times New Roman" w:hint="default"/>
                <w:spacing w:val="-23"/>
                <w:sz w:val="18"/>
                <w:szCs w:val="18"/>
              </w:rPr>
              <w:t> </w:t>
            </w:r>
            <w:r>
              <w:rPr>
                <w:rFonts w:ascii="Times New Roman" w:hAnsi="Times New Roman" w:cs="Times New Roman" w:eastAsia="Times New Roman" w:hint="default"/>
                <w:sz w:val="18"/>
                <w:szCs w:val="18"/>
              </w:rPr>
              <w:t>investment</w:t>
            </w:r>
            <w:r>
              <w:rPr>
                <w:rFonts w:ascii="Times New Roman" w:hAnsi="Times New Roman" w:cs="Times New Roman" w:eastAsia="Times New Roman" w:hint="default"/>
                <w:spacing w:val="-24"/>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（恒顺新加坡圣赢投资有限 公司）</w:t>
            </w:r>
          </w:p>
        </w:tc>
        <w:tc>
          <w:tcPr>
            <w:tcW w:w="2160"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4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北京科程物联网技术有限公司</w:t>
            </w:r>
          </w:p>
        </w:tc>
        <w:tc>
          <w:tcPr>
            <w:tcW w:w="2160" w:type="dxa"/>
            <w:tcBorders>
              <w:top w:val="single" w:sz="6" w:space="0" w:color="000000"/>
              <w:left w:val="single" w:sz="6" w:space="0" w:color="000000"/>
              <w:bottom w:val="single" w:sz="6" w:space="0" w:color="000000"/>
              <w:right w:val="single" w:sz="6" w:space="0" w:color="000000"/>
            </w:tcBorders>
          </w:tcPr>
          <w:p>
            <w:pPr/>
          </w:p>
        </w:tc>
        <w:tc>
          <w:tcPr>
            <w:tcW w:w="234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18"/>
          <w:szCs w:val="18"/>
        </w:rPr>
      </w:pPr>
    </w:p>
    <w:p>
      <w:pPr>
        <w:pStyle w:val="Heading3"/>
        <w:spacing w:line="240" w:lineRule="auto" w:before="26"/>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51" w:firstLine="360"/>
        <w:jc w:val="both"/>
      </w:pPr>
      <w:r>
        <w:rPr/>
        <w:t>公司财务报表以持续经营为基础，根据实际发生的交易和事项，按照财政部颁布的《企业会计准则</w:t>
      </w:r>
      <w:r>
        <w:rPr>
          <w:rFonts w:ascii="Times New Roman" w:hAnsi="Times New Roman" w:cs="Times New Roman" w:eastAsia="Times New Roman" w:hint="default"/>
        </w:rPr>
        <w:t>-</w:t>
      </w:r>
      <w:r>
        <w:rPr/>
        <w:t>基本准则》、具体 </w:t>
      </w:r>
      <w:r>
        <w:rPr>
          <w:spacing w:val="-2"/>
        </w:rPr>
        <w:t>会计准则和其后颁布的企业会计准则应用指南、企业会计准则解释及其他相关规定（以下简称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w:t>
      </w:r>
      <w:r>
        <w:rPr>
          <w:spacing w:val="-45"/>
        </w:rPr>
        <w:t> </w:t>
      </w:r>
      <w:r>
        <w:rPr>
          <w:spacing w:val="-45"/>
        </w:rPr>
      </w:r>
      <w:r>
        <w:rPr>
          <w:spacing w:val="-1"/>
        </w:rPr>
        <w:t>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财务报告的一般规定》</w:t>
      </w:r>
      <w:r>
        <w:rPr>
          <w:rFonts w:ascii="Times New Roman" w:hAnsi="Times New Roman" w:cs="Times New Roman" w:eastAsia="Times New Roman" w:hint="default"/>
          <w:spacing w:val="-1"/>
        </w:rPr>
        <w:t>(2014</w:t>
      </w:r>
      <w:r>
        <w:rPr>
          <w:spacing w:val="-1"/>
        </w:rPr>
        <w:t>年修订</w:t>
      </w:r>
      <w:r>
        <w:rPr>
          <w:rFonts w:ascii="Times New Roman" w:hAnsi="Times New Roman" w:cs="Times New Roman" w:eastAsia="Times New Roman" w:hint="default"/>
          <w:spacing w:val="-1"/>
        </w:rPr>
        <w:t>)</w:t>
      </w:r>
      <w:r>
        <w:rPr>
          <w:spacing w:val="-1"/>
        </w:rPr>
        <w:t>的披露规定，并</w:t>
      </w:r>
      <w:r>
        <w:rPr>
          <w:spacing w:val="-56"/>
        </w:rPr>
        <w:t> </w:t>
      </w:r>
      <w:r>
        <w:rPr>
          <w:spacing w:val="-56"/>
        </w:rPr>
      </w:r>
      <w:r>
        <w:rPr/>
        <w:t>基于以下所述重要会计政策、会计估计进行编制。</w:t>
      </w:r>
    </w:p>
    <w:p>
      <w:pPr>
        <w:spacing w:line="240" w:lineRule="auto" w:before="10"/>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5" w:firstLine="360"/>
        <w:jc w:val="both"/>
      </w:pPr>
      <w:r>
        <w:rPr>
          <w:spacing w:val="-2"/>
        </w:rPr>
        <w:t>报告期内及报告期末起至少十二个月，公司生产经营稳定，资产负债结构合理，具备持续经营能力，不存在影响持续经</w:t>
      </w:r>
      <w:r>
        <w:rPr/>
        <w:t> 营能力的重大不利风险。</w:t>
      </w:r>
    </w:p>
    <w:p>
      <w:pPr>
        <w:spacing w:line="240" w:lineRule="auto" w:before="11"/>
        <w:rPr>
          <w:rFonts w:ascii="宋体" w:hAnsi="宋体" w:cs="宋体" w:eastAsia="宋体" w:hint="default"/>
          <w:sz w:val="20"/>
          <w:szCs w:val="20"/>
        </w:rPr>
      </w:pPr>
    </w:p>
    <w:p>
      <w:pPr>
        <w:pStyle w:val="Heading3"/>
        <w:spacing w:line="240" w:lineRule="auto"/>
        <w:ind w:right="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具体会计政策和会计估计提示：</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94" w:firstLine="360"/>
        <w:jc w:val="left"/>
      </w:pPr>
      <w:r>
        <w:rPr/>
        <w:t>本公司编制的财务报表符合《企业会计准则》的要求，真实、完整地反映了本公司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w:t>
      </w:r>
      <w:r>
        <w:rPr>
          <w:rFonts w:ascii="Times New Roman" w:hAnsi="Times New Roman" w:cs="Times New Roman" w:eastAsia="Times New Roman" w:hint="default"/>
        </w:rPr>
        <w:t>2015 </w:t>
      </w:r>
      <w:r>
        <w:rPr/>
        <w:t>年度的经营成果和现金流量等相关信息。</w:t>
      </w:r>
    </w:p>
    <w:p>
      <w:pPr>
        <w:spacing w:line="240" w:lineRule="auto" w:before="10"/>
        <w:rPr>
          <w:rFonts w:ascii="宋体" w:hAnsi="宋体" w:cs="宋体" w:eastAsia="宋体" w:hint="default"/>
          <w:sz w:val="23"/>
          <w:szCs w:val="23"/>
        </w:rPr>
      </w:pPr>
    </w:p>
    <w:p>
      <w:pPr>
        <w:pStyle w:val="Heading5"/>
        <w:spacing w:line="240" w:lineRule="auto"/>
        <w:ind w:right="9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513" w:right="94"/>
        <w:jc w:val="left"/>
      </w:pPr>
      <w:r>
        <w:rPr/>
        <w:t>本公司会计年度为公历年度，即每年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3"/>
        <w:rPr>
          <w:rFonts w:ascii="宋体" w:hAnsi="宋体" w:cs="宋体" w:eastAsia="宋体" w:hint="default"/>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94"/>
        <w:jc w:val="left"/>
      </w:pPr>
      <w:r>
        <w:rPr/>
        <w:t>公司以一年（</w:t>
      </w:r>
      <w:r>
        <w:rPr>
          <w:rFonts w:ascii="Times New Roman" w:hAnsi="Times New Roman" w:cs="Times New Roman" w:eastAsia="Times New Roman" w:hint="default"/>
        </w:rPr>
        <w:t>12</w:t>
      </w:r>
      <w:r>
        <w:rPr/>
        <w:t>个月）作为正常营业周期。</w:t>
      </w:r>
    </w:p>
    <w:p>
      <w:pPr>
        <w:spacing w:line="240" w:lineRule="auto" w:before="2"/>
        <w:rPr>
          <w:rFonts w:ascii="宋体" w:hAnsi="宋体" w:cs="宋体" w:eastAsia="宋体" w:hint="default"/>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4"/>
        </w:rPr>
        <w:t>本公司及境内子公司的记账本位币为人民币，本公司位于香港、新加坡、印尼、南非、津巴布韦的子公司分别采用港币、</w:t>
      </w:r>
      <w:r>
        <w:rPr/>
        <w:t> 新币、印尼盾、兰特、美元作为记账本位币。本集团合并财务报表以人民币列示。</w:t>
      </w:r>
    </w:p>
    <w:p>
      <w:pPr>
        <w:spacing w:line="240" w:lineRule="auto" w:before="10"/>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419" w:right="94"/>
        <w:jc w:val="left"/>
        <w:rPr>
          <w:b w:val="0"/>
          <w:bCs w:val="0"/>
        </w:rPr>
      </w:pPr>
      <w:r>
        <w:rPr>
          <w:rFonts w:ascii="Times New Roman" w:hAnsi="Times New Roman" w:cs="Times New Roman" w:eastAsia="Times New Roman" w:hint="default"/>
        </w:rPr>
        <w:t>1</w:t>
      </w:r>
      <w:r>
        <w:rPr/>
        <w:t>、同一控制下企业合并</w:t>
      </w:r>
      <w:r>
        <w:rPr>
          <w:b w:val="0"/>
          <w:bCs w:val="0"/>
        </w:rPr>
      </w:r>
    </w:p>
    <w:p>
      <w:pPr>
        <w:pStyle w:val="BodyText"/>
        <w:spacing w:line="309" w:lineRule="auto" w:before="42"/>
        <w:ind w:right="190" w:firstLine="360"/>
        <w:jc w:val="both"/>
      </w:pPr>
      <w:r>
        <w:rPr>
          <w:spacing w:val="-2"/>
        </w:rPr>
        <w:t>参与合并的企业在合并前后均受同一方或相同的多方最终控制且该控制并非暂时性的，为同一控制下的企业合并。本公</w:t>
      </w:r>
      <w:r>
        <w:rPr/>
        <w:t> </w:t>
      </w:r>
      <w:r>
        <w:rPr>
          <w:spacing w:val="-2"/>
        </w:rPr>
        <w:t>司在企业合并同时满足下列条件时，界定为同一控制下的企业合并：合并各方在合并前后同受集团公司或相同的多方最终控</w:t>
      </w:r>
      <w:r>
        <w:rPr>
          <w:spacing w:val="-64"/>
        </w:rPr>
        <w:t> </w:t>
      </w:r>
      <w:r>
        <w:rPr>
          <w:spacing w:val="-64"/>
        </w:rPr>
      </w:r>
      <w:r>
        <w:rPr>
          <w:spacing w:val="-2"/>
        </w:rPr>
        <w:t>制；合并前，参与合并各方受最终控制方控制时间一般在</w:t>
      </w:r>
      <w:r>
        <w:rPr>
          <w:rFonts w:ascii="Times New Roman" w:hAnsi="Times New Roman" w:cs="Times New Roman" w:eastAsia="Times New Roman" w:hint="default"/>
          <w:spacing w:val="-2"/>
        </w:rPr>
        <w:t>1</w:t>
      </w:r>
      <w:r>
        <w:rPr>
          <w:spacing w:val="-2"/>
        </w:rPr>
        <w:t>年以上（含</w:t>
      </w:r>
      <w:r>
        <w:rPr>
          <w:rFonts w:ascii="Times New Roman" w:hAnsi="Times New Roman" w:cs="Times New Roman" w:eastAsia="Times New Roman" w:hint="default"/>
          <w:spacing w:val="-2"/>
        </w:rPr>
        <w:t>1</w:t>
      </w:r>
      <w:r>
        <w:rPr>
          <w:spacing w:val="-2"/>
        </w:rPr>
        <w:t>年），企业合并后所形成的报告主体受最终控制方控</w:t>
      </w:r>
      <w:r>
        <w:rPr>
          <w:spacing w:val="-63"/>
        </w:rPr>
        <w:t> </w:t>
      </w:r>
      <w:r>
        <w:rPr>
          <w:spacing w:val="-63"/>
        </w:rPr>
      </w:r>
      <w:r>
        <w:rPr>
          <w:spacing w:val="-2"/>
        </w:rPr>
        <w:t>制时间也达到</w:t>
      </w:r>
      <w:r>
        <w:rPr>
          <w:rFonts w:ascii="Times New Roman" w:hAnsi="Times New Roman" w:cs="Times New Roman" w:eastAsia="Times New Roman" w:hint="default"/>
          <w:spacing w:val="-2"/>
        </w:rPr>
        <w:t>1</w:t>
      </w:r>
      <w:r>
        <w:rPr>
          <w:spacing w:val="-2"/>
        </w:rPr>
        <w:t>年以上（含</w:t>
      </w:r>
      <w:r>
        <w:rPr>
          <w:rFonts w:ascii="Times New Roman" w:hAnsi="Times New Roman" w:cs="Times New Roman" w:eastAsia="Times New Roman" w:hint="default"/>
          <w:spacing w:val="-2"/>
        </w:rPr>
        <w:t>1</w:t>
      </w:r>
      <w:r>
        <w:rPr>
          <w:spacing w:val="-2"/>
        </w:rPr>
        <w:t>年）。在合并日取得对其他参与合并企业控制权的一方为合并方，参与合并的其他企业为被合并</w:t>
      </w:r>
      <w:r>
        <w:rPr>
          <w:spacing w:val="-62"/>
        </w:rPr>
        <w:t> </w:t>
      </w:r>
      <w:r>
        <w:rPr>
          <w:spacing w:val="-62"/>
        </w:rPr>
      </w:r>
      <w:r>
        <w:rPr/>
        <w:t>方。合并日为合并方实际取得对被合并方控制权的日期。</w:t>
      </w:r>
    </w:p>
    <w:p>
      <w:pPr>
        <w:pStyle w:val="BodyText"/>
        <w:spacing w:line="316" w:lineRule="auto" w:before="24"/>
        <w:ind w:right="190" w:firstLine="360"/>
        <w:jc w:val="both"/>
      </w:pPr>
      <w:r>
        <w:rPr>
          <w:spacing w:val="-2"/>
        </w:rPr>
        <w:t>合并成本按在合并日为取得对被合并方的控制权而付出的资产、发生或承担的负债以及发行的权益性证券的账面价值确</w:t>
      </w:r>
      <w:r>
        <w:rPr/>
        <w:t> </w:t>
      </w:r>
      <w:r>
        <w:rPr>
          <w:spacing w:val="-2"/>
        </w:rPr>
        <w:t>定。对于吸收合并，公司在企业合并中取得的资产和负债，按照合并日在被合并方的账面价值计量，取得的净资产账面价值</w:t>
      </w:r>
      <w:r>
        <w:rPr>
          <w:spacing w:val="-63"/>
        </w:rPr>
        <w:t> </w:t>
      </w:r>
      <w:r>
        <w:rPr>
          <w:spacing w:val="-63"/>
        </w:rPr>
      </w:r>
      <w:r>
        <w:rPr>
          <w:spacing w:val="-2"/>
        </w:rPr>
        <w:t>与支付的合并对价账面价值（或发行股份面值总额）的差额，调整资本公积；资本公积不足冲减的，调整留存收益。对于控</w:t>
      </w:r>
      <w:r>
        <w:rPr>
          <w:spacing w:val="-68"/>
        </w:rPr>
        <w:t> </w:t>
      </w:r>
      <w:r>
        <w:rPr>
          <w:spacing w:val="-68"/>
        </w:rPr>
      </w:r>
      <w:r>
        <w:rPr/>
        <w:t>股合并，合并资产负债表中被合并方的各项资产、负债，按其账面价值计量。</w:t>
      </w:r>
    </w:p>
    <w:p>
      <w:pPr>
        <w:pStyle w:val="BodyText"/>
        <w:spacing w:line="316" w:lineRule="auto" w:before="19"/>
        <w:ind w:right="94" w:firstLine="360"/>
        <w:jc w:val="left"/>
      </w:pPr>
      <w:r>
        <w:rPr>
          <w:spacing w:val="-4"/>
        </w:rPr>
        <w:t>合并方为进行企业合并发生的各项直接相关费用，包括为进行企业合并而支付的审计费用、评估费用、法律服务费用等，</w:t>
      </w:r>
      <w:r>
        <w:rPr/>
        <w:t> </w:t>
      </w:r>
      <w:r>
        <w:rPr>
          <w:spacing w:val="-2"/>
        </w:rPr>
        <w:t>应当于发生时计入当期损益。为企业合并发行的债券或承担其他债务支付的手续费、佣金等，应当计入所发行债券及其他债</w:t>
      </w:r>
      <w:r>
        <w:rPr>
          <w:spacing w:val="-63"/>
        </w:rPr>
        <w:t> </w:t>
      </w:r>
      <w:r>
        <w:rPr>
          <w:spacing w:val="-63"/>
        </w:rPr>
      </w:r>
      <w:r>
        <w:rPr>
          <w:spacing w:val="-2"/>
        </w:rPr>
        <w:t>务的初始计量金额。企业合并中发行权益性证券发生的手续费、佣金等费用，应当抵减权益性证券溢价收入，溢价收入不足</w:t>
      </w:r>
      <w:r>
        <w:rPr>
          <w:spacing w:val="-63"/>
        </w:rPr>
        <w:t> </w:t>
      </w:r>
      <w:r>
        <w:rPr>
          <w:spacing w:val="-63"/>
        </w:rPr>
      </w:r>
      <w:r>
        <w:rPr/>
        <w:t>冲减的，冲减留存收益。</w:t>
      </w:r>
    </w:p>
    <w:p>
      <w:pPr>
        <w:pStyle w:val="Heading5"/>
        <w:spacing w:line="289" w:lineRule="exact"/>
        <w:ind w:left="419" w:right="94"/>
        <w:jc w:val="left"/>
        <w:rPr>
          <w:b w:val="0"/>
          <w:bCs w:val="0"/>
        </w:rPr>
      </w:pPr>
      <w:r>
        <w:rPr>
          <w:rFonts w:ascii="Times New Roman" w:hAnsi="Times New Roman" w:cs="Times New Roman" w:eastAsia="Times New Roman" w:hint="default"/>
        </w:rPr>
        <w:t>2</w:t>
      </w:r>
      <w:r>
        <w:rPr/>
        <w:t>、非同一控制下企业合并</w:t>
      </w:r>
      <w:r>
        <w:rPr>
          <w:b w:val="0"/>
          <w:bCs w:val="0"/>
        </w:rPr>
      </w:r>
    </w:p>
    <w:p>
      <w:pPr>
        <w:pStyle w:val="BodyText"/>
        <w:spacing w:line="316" w:lineRule="auto" w:before="42"/>
        <w:ind w:right="94" w:firstLine="360"/>
        <w:jc w:val="left"/>
      </w:pPr>
      <w:r>
        <w:rPr>
          <w:spacing w:val="-2"/>
        </w:rPr>
        <w:t>参与合并的各方在合并前后不受同一方或相同的多方最终控制的，为非同一控制下的企业合并。非同一控制下的企业合</w:t>
      </w:r>
      <w:r>
        <w:rPr/>
        <w:t> 并，在购买日取得对其他参与合并企业控制权的一方为购买方，参与合并的其他企业为被购买方。</w:t>
      </w:r>
    </w:p>
    <w:p>
      <w:pPr>
        <w:pStyle w:val="BodyText"/>
        <w:spacing w:line="314" w:lineRule="auto" w:before="19"/>
        <w:ind w:right="94" w:firstLine="360"/>
        <w:jc w:val="left"/>
      </w:pPr>
      <w:r>
        <w:rPr>
          <w:spacing w:val="-2"/>
        </w:rPr>
        <w:t>购买日为购买方实际取得对被合并方控制权的日期。当满足以下条件时，本公司认为实行了控制权的转移，并确定为购</w:t>
      </w:r>
      <w:r>
        <w:rPr/>
        <w:t> 买日：企业合并合同或协议已获得股东大会等内部权利机构通过；按照规定，合并事项需要经过国家有关主管部门审批的， </w:t>
      </w:r>
      <w:r>
        <w:rPr>
          <w:spacing w:val="-5"/>
        </w:rPr>
        <w:t>已获得相关部门的批准；参与合并各方已办理了必要的财产权交接手续；购买方已支付了购买价款的大部分（一般超过</w:t>
      </w:r>
      <w:r>
        <w:rPr>
          <w:rFonts w:ascii="Times New Roman" w:hAnsi="Times New Roman" w:cs="Times New Roman" w:eastAsia="Times New Roman" w:hint="default"/>
          <w:spacing w:val="-5"/>
        </w:rPr>
        <w:t>50%</w:t>
      </w:r>
      <w:r>
        <w:rPr>
          <w:spacing w:val="-5"/>
        </w:rPr>
        <w:t>）</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38"/>
        </w:rPr>
        <w:t> </w:t>
      </w:r>
      <w:r>
        <w:rPr>
          <w:spacing w:val="-2"/>
        </w:rPr>
        <w:t>并且有能力、有计划支付剩余款项；购买方实际上已经控制了被购买方的财务和经营政策，享有相应的收益并承担相应的风</w:t>
      </w:r>
      <w:r>
        <w:rPr>
          <w:spacing w:val="-63"/>
        </w:rPr>
        <w:t> </w:t>
      </w:r>
      <w:r>
        <w:rPr>
          <w:spacing w:val="-63"/>
        </w:rPr>
      </w:r>
      <w:r>
        <w:rPr/>
        <w:t>险。</w:t>
      </w:r>
    </w:p>
    <w:p>
      <w:pPr>
        <w:pStyle w:val="BodyText"/>
        <w:spacing w:line="240" w:lineRule="auto" w:before="20"/>
        <w:ind w:left="513" w:right="94"/>
        <w:jc w:val="left"/>
      </w:pPr>
      <w:r>
        <w:rPr/>
        <w:t>合并成本为购买日本公司为取得对被购买方的控制权而付出的资产</w:t>
      </w:r>
      <w:r>
        <w:rPr>
          <w:spacing w:val="-82"/>
        </w:rPr>
        <w:t>、</w:t>
      </w:r>
      <w:r>
        <w:rPr/>
        <w:t>发生或承担的负债以及发行的权益性证券的公允价</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值。通过多次交换交易分步实现的企业合并，合并成本为每一单项交易成本之和。在合并合同中对可能影响合并成本的未来</w:t>
      </w:r>
      <w:r>
        <w:rPr>
          <w:spacing w:val="-63"/>
        </w:rPr>
        <w:t> </w:t>
      </w:r>
      <w:r>
        <w:rPr>
          <w:spacing w:val="-63"/>
        </w:rPr>
      </w:r>
      <w:r>
        <w:rPr/>
        <w:t>事项作出约定的，购买日如果估计未来事项可能发生并且对合并成本的影响金额能够可靠计量的，本公司也计入合并成本。</w:t>
      </w:r>
    </w:p>
    <w:p>
      <w:pPr>
        <w:pStyle w:val="BodyText"/>
        <w:spacing w:line="316" w:lineRule="auto" w:before="19"/>
        <w:ind w:right="188" w:firstLine="360"/>
        <w:jc w:val="both"/>
      </w:pPr>
      <w:r>
        <w:rPr>
          <w:spacing w:val="-2"/>
        </w:rPr>
        <w:t>对于吸收合并，合并成本大于合并中取得的被购买方可辨认净资产公允价值份额的差额，确认为商誉；合并成本小于合</w:t>
      </w:r>
      <w:r>
        <w:rPr/>
        <w:t> </w:t>
      </w:r>
      <w:r>
        <w:rPr>
          <w:spacing w:val="-2"/>
        </w:rPr>
        <w:t>并中取得的被购买方可辨认净资产公允价值份额的差额，计入当期损益。对于控股合并，合并资产负债表中被购买方可辨认</w:t>
      </w:r>
      <w:r>
        <w:rPr>
          <w:spacing w:val="-65"/>
        </w:rPr>
        <w:t> </w:t>
      </w:r>
      <w:r>
        <w:rPr>
          <w:spacing w:val="-65"/>
        </w:rPr>
      </w:r>
      <w:r>
        <w:rPr>
          <w:spacing w:val="-2"/>
        </w:rPr>
        <w:t>资产、负债按照合并中确定的公允价值列示，合并成本大于合并中取得的各项可辨认资产、负债公允价值份额的差额，确认</w:t>
      </w:r>
      <w:r>
        <w:rPr>
          <w:spacing w:val="-64"/>
        </w:rPr>
        <w:t> </w:t>
      </w:r>
      <w:r>
        <w:rPr>
          <w:spacing w:val="-64"/>
        </w:rPr>
      </w:r>
      <w:r>
        <w:rPr>
          <w:spacing w:val="-2"/>
        </w:rPr>
        <w:t>为合并资产负债表中的商誉，企业合并成本小于合并中取得的各项可辨认资产、负债公允价值份额的差额，计入合并当期损</w:t>
      </w:r>
      <w:r>
        <w:rPr>
          <w:spacing w:val="-61"/>
        </w:rPr>
        <w:t> </w:t>
      </w:r>
      <w:r>
        <w:rPr>
          <w:spacing w:val="-61"/>
        </w:rPr>
      </w:r>
      <w:r>
        <w:rPr/>
        <w:t>益。</w:t>
      </w:r>
    </w:p>
    <w:p>
      <w:pPr>
        <w:pStyle w:val="BodyText"/>
        <w:spacing w:line="316" w:lineRule="auto" w:before="19"/>
        <w:ind w:right="94" w:firstLine="360"/>
        <w:jc w:val="left"/>
      </w:pPr>
      <w:r>
        <w:rPr/>
        <w:t>公司为进行企业合并发生的各项中介费用以及其他相关管理费用，包括为进行企业合并而支付的审计费用、评估费用、 </w:t>
      </w:r>
      <w:r>
        <w:rPr>
          <w:spacing w:val="-2"/>
        </w:rPr>
        <w:t>法律服务费用等，于发生时计入当期损益。为企业合并发行的债券或承担其他债务支付的手续费、佣金等，计入所发行债券</w:t>
      </w:r>
      <w:r>
        <w:rPr>
          <w:spacing w:val="-64"/>
        </w:rPr>
        <w:t> </w:t>
      </w:r>
      <w:r>
        <w:rPr>
          <w:spacing w:val="-64"/>
        </w:rPr>
      </w:r>
      <w:r>
        <w:rPr>
          <w:spacing w:val="-2"/>
        </w:rPr>
        <w:t>及其他债务的初始计量金额。企业合并中发行权益性证券发生的手续费、佣金等费用，抵减权益性证券溢价收入，溢价收入</w:t>
      </w:r>
      <w:r>
        <w:rPr>
          <w:spacing w:val="-64"/>
        </w:rPr>
        <w:t> </w:t>
      </w:r>
      <w:r>
        <w:rPr>
          <w:spacing w:val="-64"/>
        </w:rPr>
      </w:r>
      <w:r>
        <w:rPr/>
        <w:t>不足冲减的，冲减留存收益。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39"/>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4" w:firstLine="360"/>
        <w:jc w:val="left"/>
      </w:pPr>
      <w:r>
        <w:rPr>
          <w:rFonts w:ascii="Times New Roman" w:hAnsi="Times New Roman" w:cs="Times New Roman" w:eastAsia="Times New Roman" w:hint="default"/>
        </w:rPr>
        <w:t>1</w:t>
      </w:r>
      <w:r>
        <w:rPr/>
        <w:t>、公司对合并财务报表的合并范围以控制为基础予以确定。控制是指本公司能够决定被投资单位的财务和经营政策， 并能据以从其经营活动中获取利益的权力。被控制的被投资单位为本公司的子公司。</w:t>
      </w:r>
    </w:p>
    <w:p>
      <w:pPr>
        <w:pStyle w:val="BodyText"/>
        <w:spacing w:line="300" w:lineRule="auto" w:before="31"/>
        <w:ind w:right="184" w:firstLine="360"/>
        <w:jc w:val="left"/>
      </w:pPr>
      <w:r>
        <w:rPr>
          <w:rFonts w:ascii="Times New Roman" w:hAnsi="Times New Roman" w:cs="Times New Roman" w:eastAsia="Times New Roman" w:hint="default"/>
        </w:rPr>
        <w:t>2</w:t>
      </w:r>
      <w:r>
        <w:rPr/>
        <w:t>、合并财务报表系以本公司和列入合并范围内的子公司的个别财务报表为基础，经按照权益法调整了对子公司的长期 股权投资、且抵销了内部交易的影响后编制而成。少数股东所占的权益和损益，以单独项目列示于合并财务报表内。</w:t>
      </w:r>
    </w:p>
    <w:p>
      <w:pPr>
        <w:pStyle w:val="BodyText"/>
        <w:spacing w:line="300" w:lineRule="auto" w:before="31"/>
        <w:ind w:right="184" w:firstLine="360"/>
        <w:jc w:val="left"/>
      </w:pPr>
      <w:r>
        <w:rPr>
          <w:rFonts w:ascii="Times New Roman" w:hAnsi="Times New Roman" w:cs="Times New Roman" w:eastAsia="Times New Roman" w:hint="default"/>
        </w:rPr>
        <w:t>3</w:t>
      </w:r>
      <w:r>
        <w:rPr/>
        <w:t>、对于因非同一控制企业合并形成的子公司，合并成本大于合并中取得的子公司可辨认净资产公允价值份额的差额， 不调整投资成本，在合并财务报表中列作商誉。</w:t>
      </w:r>
    </w:p>
    <w:p>
      <w:pPr>
        <w:pStyle w:val="BodyText"/>
        <w:spacing w:line="314" w:lineRule="auto" w:before="32"/>
        <w:ind w:right="104" w:firstLine="360"/>
        <w:jc w:val="both"/>
      </w:pPr>
      <w:r>
        <w:rPr>
          <w:rFonts w:ascii="Times New Roman" w:hAnsi="Times New Roman" w:cs="Times New Roman" w:eastAsia="Times New Roman" w:hint="default"/>
        </w:rPr>
        <w:t>4</w:t>
      </w:r>
      <w:r>
        <w:rPr/>
        <w:t>、对于报告期内增加的子公司，若属于同一控制下企业合并的，调整合并资产负债表的期初数，并将该子公司当期期 </w:t>
      </w:r>
      <w:r>
        <w:rPr>
          <w:spacing w:val="-2"/>
        </w:rPr>
        <w:t>初至报告期末的收入、费用、利润纳入合并利润表，将同期的现金流量纳入合并现金流量表；若属于非同一控制下的企业合</w:t>
      </w:r>
      <w:r>
        <w:rPr>
          <w:spacing w:val="-64"/>
        </w:rPr>
        <w:t> </w:t>
      </w:r>
      <w:r>
        <w:rPr>
          <w:spacing w:val="-64"/>
        </w:rPr>
      </w:r>
      <w:r>
        <w:rPr>
          <w:spacing w:val="-2"/>
        </w:rPr>
        <w:t>并的，则不调整合并资产负债表的期初数，并将该子公司购买日至报告期末的收入、费用、利润纳入合并利润表，将同期的</w:t>
      </w:r>
      <w:r>
        <w:rPr>
          <w:spacing w:val="-67"/>
        </w:rPr>
        <w:t> </w:t>
      </w:r>
      <w:r>
        <w:rPr>
          <w:spacing w:val="-67"/>
        </w:rPr>
      </w:r>
      <w:r>
        <w:rPr>
          <w:spacing w:val="-2"/>
        </w:rPr>
        <w:t>现金流量纳入合并现金流量表。对于报告期内处置的子公司，不论属于同一控制抑或非同一控制企业合并，均不调整合并资</w:t>
      </w:r>
      <w:r>
        <w:rPr>
          <w:spacing w:val="-63"/>
        </w:rPr>
        <w:t> </w:t>
      </w:r>
      <w:r>
        <w:rPr>
          <w:spacing w:val="-63"/>
        </w:rPr>
      </w:r>
      <w:r>
        <w:rPr>
          <w:spacing w:val="-4"/>
        </w:rPr>
        <w:t>产负债表的期初数，并将该子公司期初至处置日收入、费用、利润纳入合并利润表，及同期的现金流量纳入合并现金流量表。</w:t>
      </w:r>
    </w:p>
    <w:p>
      <w:pPr>
        <w:pStyle w:val="BodyText"/>
        <w:spacing w:line="309" w:lineRule="auto" w:before="20"/>
        <w:ind w:right="190" w:firstLine="360"/>
        <w:jc w:val="both"/>
      </w:pPr>
      <w:r>
        <w:rPr>
          <w:rFonts w:ascii="Times New Roman" w:hAnsi="Times New Roman" w:cs="Times New Roman" w:eastAsia="Times New Roman" w:hint="default"/>
        </w:rPr>
        <w:t>5</w:t>
      </w:r>
      <w:r>
        <w:rPr/>
        <w:t>、如果子公司执行的会计政策与本公司不一致，编制合并财务报表时已按照本公司的会计政策对子公司财务报表进行 </w:t>
      </w:r>
      <w:r>
        <w:rPr>
          <w:spacing w:val="-2"/>
        </w:rPr>
        <w:t>了相应的调整；对非同一控制下企业合并取得的子公司，已按照购买日该子公司可辨认的资产、负债及或有负债的公允价值</w:t>
      </w:r>
      <w:r>
        <w:rPr>
          <w:spacing w:val="-63"/>
        </w:rPr>
        <w:t> </w:t>
      </w:r>
      <w:r>
        <w:rPr>
          <w:spacing w:val="-63"/>
        </w:rPr>
      </w:r>
      <w:r>
        <w:rPr/>
        <w:t>对子公司财务报表进行了相应的调整。</w:t>
      </w:r>
    </w:p>
    <w:p>
      <w:pPr>
        <w:pStyle w:val="BodyText"/>
        <w:spacing w:line="240" w:lineRule="auto" w:before="24"/>
        <w:ind w:left="513" w:right="94"/>
        <w:jc w:val="left"/>
      </w:pPr>
      <w:r>
        <w:rPr>
          <w:rFonts w:ascii="Times New Roman" w:hAnsi="Times New Roman" w:cs="Times New Roman" w:eastAsia="Times New Roman" w:hint="default"/>
        </w:rPr>
        <w:t>6</w:t>
      </w:r>
      <w:r>
        <w:rPr/>
        <w:t>、在编制合并财务报表时，本公司与子公司及子公司相互之间的所有交易、往来余额、损益均予以抵销。</w:t>
      </w:r>
    </w:p>
    <w:p>
      <w:pPr>
        <w:pStyle w:val="BodyText"/>
        <w:spacing w:line="309" w:lineRule="auto" w:before="63"/>
        <w:ind w:right="94" w:firstLine="360"/>
        <w:jc w:val="left"/>
      </w:pPr>
      <w:r>
        <w:rPr>
          <w:rFonts w:ascii="Times New Roman" w:hAnsi="Times New Roman" w:cs="Times New Roman" w:eastAsia="Times New Roman" w:hint="default"/>
          <w:spacing w:val="-2"/>
        </w:rPr>
        <w:t>7</w:t>
      </w:r>
      <w:r>
        <w:rPr>
          <w:spacing w:val="-2"/>
        </w:rPr>
        <w:t>、少数股东权益包括子公司合并当日少数股东按股权比例拥有的权益金额以及自合并日起少数股东所占的权益变动额。</w:t>
      </w:r>
      <w:r>
        <w:rPr/>
        <w:t> 子公司少数股东分担的当期亏损超过了少数股东在该子公司期初所有者权益中所享有份额而形成的余额，冲减少数股东权 益。</w:t>
      </w:r>
    </w:p>
    <w:p>
      <w:pPr>
        <w:spacing w:line="240" w:lineRule="auto" w:before="3"/>
        <w:rPr>
          <w:rFonts w:ascii="宋体" w:hAnsi="宋体" w:cs="宋体" w:eastAsia="宋体" w:hint="default"/>
          <w:sz w:val="23"/>
          <w:szCs w:val="23"/>
        </w:rPr>
      </w:pPr>
    </w:p>
    <w:p>
      <w:pPr>
        <w:pStyle w:val="Heading5"/>
        <w:spacing w:line="240" w:lineRule="auto"/>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合营安排分为共同经营和合营企业。本公司确认与共同经营中利益份额相关的下列项目，并按照相关企业会计准则的规</w:t>
      </w:r>
      <w:r>
        <w:rPr/>
        <w:t> 定进行会计处理：</w:t>
      </w:r>
    </w:p>
    <w:p>
      <w:pPr>
        <w:pStyle w:val="BodyText"/>
        <w:spacing w:line="240" w:lineRule="auto" w:before="19"/>
        <w:ind w:left="513" w:right="94"/>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63"/>
        <w:ind w:left="513" w:right="94"/>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63"/>
        <w:ind w:left="513" w:right="94"/>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63"/>
        <w:ind w:left="513" w:right="94"/>
        <w:jc w:val="left"/>
      </w:pP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63"/>
        <w:ind w:left="513" w:right="94"/>
        <w:jc w:val="left"/>
      </w:pPr>
      <w:r>
        <w:rPr>
          <w:rFonts w:ascii="Times New Roman" w:hAnsi="Times New Roman" w:cs="Times New Roman" w:eastAsia="Times New Roman" w:hint="default"/>
        </w:rPr>
        <w:t>5</w:t>
      </w:r>
      <w:r>
        <w:rPr/>
        <w:t>、确认单独所发生的费用，以及按其份额确认共同经营发生的费用。</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0"/>
        <w:jc w:val="left"/>
      </w:pPr>
      <w:r>
        <w:rPr/>
        <w:t>本公司在编制现金流量表时所确定的现金，是指本公司库存现金以及可以随时用于支付的存款。 </w:t>
      </w:r>
      <w:r>
        <w:rPr>
          <w:spacing w:val="-2"/>
        </w:rPr>
        <w:t>本公司在编制现金流量表时所确定的现金等价物，是指本公司持有的期限短、流动性强、易于转换为已知金额现金、价</w:t>
      </w:r>
    </w:p>
    <w:p>
      <w:pPr>
        <w:pStyle w:val="BodyText"/>
        <w:spacing w:line="240" w:lineRule="auto" w:before="19"/>
        <w:ind w:right="0"/>
        <w:jc w:val="both"/>
      </w:pPr>
      <w:r>
        <w:rPr/>
        <w:t>值变动风险很小的投资。</w:t>
      </w:r>
    </w:p>
    <w:p>
      <w:pPr>
        <w:spacing w:line="240" w:lineRule="auto" w:before="0"/>
        <w:rPr>
          <w:rFonts w:ascii="宋体" w:hAnsi="宋体" w:cs="宋体" w:eastAsia="宋体" w:hint="default"/>
          <w:sz w:val="18"/>
          <w:szCs w:val="18"/>
        </w:rPr>
      </w:pPr>
    </w:p>
    <w:p>
      <w:pPr>
        <w:pStyle w:val="Heading5"/>
        <w:spacing w:line="240" w:lineRule="auto" w:before="120"/>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419" w:right="0"/>
        <w:jc w:val="left"/>
        <w:rPr>
          <w:b w:val="0"/>
          <w:bCs w:val="0"/>
        </w:rPr>
      </w:pPr>
      <w:r>
        <w:rPr>
          <w:rFonts w:ascii="Times New Roman" w:hAnsi="Times New Roman" w:cs="Times New Roman" w:eastAsia="Times New Roman" w:hint="default"/>
        </w:rPr>
        <w:t>1</w:t>
      </w:r>
      <w:r>
        <w:rPr/>
        <w:t>、外币业务折算</w:t>
      </w:r>
      <w:r>
        <w:rPr>
          <w:b w:val="0"/>
          <w:bCs w:val="0"/>
        </w:rPr>
      </w:r>
    </w:p>
    <w:p>
      <w:pPr>
        <w:pStyle w:val="BodyText"/>
        <w:spacing w:line="316" w:lineRule="auto" w:before="42"/>
        <w:ind w:left="513" w:right="0"/>
        <w:jc w:val="left"/>
      </w:pPr>
      <w:r>
        <w:rPr/>
        <w:t>对于发生的外币交易，初始采用交易发生日的即期汇率折算人民币入账。 </w:t>
      </w:r>
      <w:r>
        <w:rPr>
          <w:spacing w:val="-2"/>
        </w:rPr>
        <w:t>在资产负债表日，外币货币性项目采用资产负债表日即期汇率计算，由此产生的汇兑差额，除了按照企业会计准则的规</w:t>
      </w:r>
    </w:p>
    <w:p>
      <w:pPr>
        <w:pStyle w:val="BodyText"/>
        <w:spacing w:line="316" w:lineRule="auto" w:before="19"/>
        <w:ind w:right="150"/>
        <w:jc w:val="both"/>
      </w:pPr>
      <w:r>
        <w:rPr>
          <w:spacing w:val="-2"/>
        </w:rPr>
        <w:t>定，与购建或生产符合资本化条件的资产相关的外币借款产生的汇兑差额予以资本化外，均计入当期损益。以历史成本计量</w:t>
      </w:r>
      <w:r>
        <w:rPr>
          <w:spacing w:val="-63"/>
        </w:rPr>
        <w:t> </w:t>
      </w:r>
      <w:r>
        <w:rPr>
          <w:spacing w:val="-63"/>
        </w:rPr>
      </w:r>
      <w:r>
        <w:rPr>
          <w:spacing w:val="-2"/>
        </w:rPr>
        <w:t>的外币非货币性项目，仍采用交易发生日的即期汇率折算，不改变其记账本位币金额；以公允价值计量的非货币性项目，如</w:t>
      </w:r>
      <w:r>
        <w:rPr>
          <w:spacing w:val="-64"/>
        </w:rPr>
        <w:t> </w:t>
      </w:r>
      <w:r>
        <w:rPr>
          <w:spacing w:val="-64"/>
        </w:rPr>
      </w:r>
      <w:r>
        <w:rPr>
          <w:spacing w:val="-2"/>
        </w:rPr>
        <w:t>果期末的公允价值以外币反映，将该外币按照公允价值确定当日的即期汇率折算，折算后的记账本位币金额与原记账本位币</w:t>
      </w:r>
      <w:r>
        <w:rPr>
          <w:spacing w:val="-64"/>
        </w:rPr>
        <w:t> </w:t>
      </w:r>
      <w:r>
        <w:rPr>
          <w:spacing w:val="-64"/>
        </w:rPr>
      </w:r>
      <w:r>
        <w:rPr/>
        <w:t>金额的差额，作为公允价值变动损益，计入当期损益或资本公积。</w:t>
      </w:r>
    </w:p>
    <w:p>
      <w:pPr>
        <w:pStyle w:val="Heading5"/>
        <w:spacing w:line="289" w:lineRule="exact"/>
        <w:ind w:left="419" w:right="0"/>
        <w:jc w:val="left"/>
        <w:rPr>
          <w:b w:val="0"/>
          <w:bCs w:val="0"/>
        </w:rPr>
      </w:pPr>
      <w:r>
        <w:rPr>
          <w:rFonts w:ascii="Times New Roman" w:hAnsi="Times New Roman" w:cs="Times New Roman" w:eastAsia="Times New Roman" w:hint="default"/>
        </w:rPr>
        <w:t>2</w:t>
      </w:r>
      <w:r>
        <w:rPr/>
        <w:t>、外币财务报表折算</w:t>
      </w:r>
      <w:r>
        <w:rPr>
          <w:b w:val="0"/>
          <w:bCs w:val="0"/>
        </w:rPr>
      </w:r>
    </w:p>
    <w:p>
      <w:pPr>
        <w:pStyle w:val="BodyText"/>
        <w:spacing w:line="316" w:lineRule="auto" w:before="42"/>
        <w:ind w:right="0" w:firstLine="360"/>
        <w:jc w:val="left"/>
      </w:pPr>
      <w:r>
        <w:rPr>
          <w:spacing w:val="-2"/>
        </w:rPr>
        <w:t>本公司的控股子公司、合营企业、联营企业等，若采用与本公司不同的记账本位币，需对其外币财务报表折算后，再进</w:t>
      </w:r>
      <w:r>
        <w:rPr/>
        <w:t> 行会计核算及合并财务报表的编报。</w:t>
      </w:r>
    </w:p>
    <w:p>
      <w:pPr>
        <w:pStyle w:val="BodyText"/>
        <w:spacing w:line="300" w:lineRule="auto" w:before="19"/>
        <w:ind w:right="0" w:firstLine="360"/>
        <w:jc w:val="left"/>
      </w:pP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r>
        <w:rPr/>
        <w:t> 目采用发生时的即期汇率折算。</w:t>
      </w:r>
    </w:p>
    <w:p>
      <w:pPr>
        <w:pStyle w:val="BodyText"/>
        <w:spacing w:line="319" w:lineRule="auto" w:before="31"/>
        <w:ind w:right="0" w:firstLine="360"/>
        <w:jc w:val="left"/>
      </w:pPr>
      <w:r>
        <w:rPr>
          <w:spacing w:val="-2"/>
        </w:rPr>
        <w:t>利润表中的收入和费用项目，采用按照系统合理的方法确定的、与交易发生日即期汇率近似的汇率折算，折算产生的外</w:t>
      </w:r>
      <w:r>
        <w:rPr/>
        <w:t> 币财务报表折算差额，在资产负债表中所有者权益项目下单独列示。</w:t>
      </w:r>
    </w:p>
    <w:p>
      <w:pPr>
        <w:pStyle w:val="BodyText"/>
        <w:spacing w:line="316" w:lineRule="auto" w:before="17"/>
        <w:ind w:left="513" w:right="233"/>
        <w:jc w:val="left"/>
      </w:pPr>
      <w:r>
        <w:rPr/>
        <w:t>外币现金流量采用现金流量发生日即期汇率近似的汇率折算。汇率变动对现金的影响额，在现金流量表中单独列示。 处置境外经营时，与该境外经营有关的外币报表折算差额，按比例转入处置当期损益。</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spacing w:line="285" w:lineRule="auto" w:before="0"/>
        <w:ind w:left="419" w:right="602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、金融资产和金融负债的确认依据：</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18"/>
          <w:szCs w:val="18"/>
        </w:rPr>
        <w:t>公司已经成为金融工具合同的一方。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、金融资产和金融负债分类</w:t>
      </w:r>
      <w:r>
        <w:rPr>
          <w:rFonts w:ascii="宋体" w:hAnsi="宋体" w:cs="宋体" w:eastAsia="宋体" w:hint="default"/>
          <w:sz w:val="21"/>
          <w:szCs w:val="21"/>
        </w:rPr>
      </w:r>
    </w:p>
    <w:p>
      <w:pPr>
        <w:pStyle w:val="BodyText"/>
        <w:spacing w:line="247" w:lineRule="exact"/>
        <w:ind w:left="513" w:right="0"/>
        <w:jc w:val="left"/>
      </w:pPr>
      <w:r>
        <w:rPr/>
        <w:t>（</w:t>
      </w:r>
      <w:r>
        <w:rPr>
          <w:rFonts w:ascii="Times New Roman" w:hAnsi="Times New Roman" w:cs="Times New Roman" w:eastAsia="Times New Roman" w:hint="default"/>
        </w:rPr>
        <w:t>1</w:t>
      </w:r>
      <w:r>
        <w:rPr/>
        <w:t>）金融资产在初始确认时划分为四类</w:t>
      </w:r>
    </w:p>
    <w:p>
      <w:pPr>
        <w:pStyle w:val="BodyText"/>
        <w:spacing w:line="319" w:lineRule="auto" w:before="63"/>
        <w:ind w:right="0" w:firstLine="360"/>
        <w:jc w:val="left"/>
      </w:pPr>
      <w:r>
        <w:rPr>
          <w:spacing w:val="-2"/>
        </w:rPr>
        <w:t>①以公允价值计量且其变动计入当期损益的金融资产，包括交易性金融资产和指定为以公允价值计量且其变动计入当期</w:t>
      </w:r>
      <w:r>
        <w:rPr/>
        <w:t> 损益的金融资产；</w:t>
      </w:r>
    </w:p>
    <w:p>
      <w:pPr>
        <w:pStyle w:val="BodyText"/>
        <w:spacing w:line="240" w:lineRule="auto" w:before="17"/>
        <w:ind w:left="513" w:right="0"/>
        <w:jc w:val="left"/>
      </w:pPr>
      <w:r>
        <w:rPr/>
        <w:t>②持有至到期投资；</w:t>
      </w:r>
    </w:p>
    <w:p>
      <w:pPr>
        <w:pStyle w:val="BodyText"/>
        <w:spacing w:line="240" w:lineRule="auto" w:before="76"/>
        <w:ind w:left="513" w:right="0"/>
        <w:jc w:val="left"/>
      </w:pPr>
      <w:r>
        <w:rPr/>
        <w:t>③应收款项；</w:t>
      </w:r>
    </w:p>
    <w:p>
      <w:pPr>
        <w:pStyle w:val="BodyText"/>
        <w:spacing w:line="240" w:lineRule="auto" w:before="76"/>
        <w:ind w:left="513" w:right="0"/>
        <w:jc w:val="left"/>
      </w:pPr>
      <w:r>
        <w:rPr/>
        <w:t>④可供出售金融资产。</w:t>
      </w:r>
    </w:p>
    <w:p>
      <w:pPr>
        <w:pStyle w:val="BodyText"/>
        <w:spacing w:line="240" w:lineRule="auto" w:before="76"/>
        <w:ind w:left="513" w:right="0"/>
        <w:jc w:val="left"/>
      </w:pPr>
      <w:r>
        <w:rPr/>
        <w:t>（</w:t>
      </w:r>
      <w:r>
        <w:rPr>
          <w:rFonts w:ascii="Times New Roman" w:hAnsi="Times New Roman" w:cs="Times New Roman" w:eastAsia="Times New Roman" w:hint="default"/>
        </w:rPr>
        <w:t>2</w:t>
      </w:r>
      <w:r>
        <w:rPr/>
        <w:t>）金融负债在初始确认时划分为两类</w:t>
      </w:r>
    </w:p>
    <w:p>
      <w:pPr>
        <w:pStyle w:val="BodyText"/>
        <w:spacing w:line="316" w:lineRule="auto" w:before="63"/>
        <w:ind w:right="0" w:firstLine="360"/>
        <w:jc w:val="left"/>
      </w:pPr>
      <w:r>
        <w:rPr>
          <w:spacing w:val="-2"/>
        </w:rPr>
        <w:t>①以公允价值计量且其变动计入当期损益的金融负债，包括交易性金融负债和直接指定为以公允价值计量且其变动计入</w:t>
      </w:r>
      <w:r>
        <w:rPr/>
        <w:t> 当期损益的金融负债；</w:t>
      </w:r>
    </w:p>
    <w:p>
      <w:pPr>
        <w:pStyle w:val="BodyText"/>
        <w:spacing w:line="240" w:lineRule="auto" w:before="19"/>
        <w:ind w:left="513" w:right="0"/>
        <w:jc w:val="left"/>
      </w:pPr>
      <w:r>
        <w:rPr/>
        <w:t>②其他金融负债。</w:t>
      </w:r>
    </w:p>
    <w:p>
      <w:pPr>
        <w:pStyle w:val="Heading5"/>
        <w:spacing w:line="240" w:lineRule="auto" w:before="56"/>
        <w:ind w:left="405" w:right="0"/>
        <w:jc w:val="left"/>
        <w:rPr>
          <w:b w:val="0"/>
          <w:bCs w:val="0"/>
        </w:rPr>
      </w:pPr>
      <w:r>
        <w:rPr>
          <w:rFonts w:ascii="Times New Roman" w:hAnsi="Times New Roman" w:cs="Times New Roman" w:eastAsia="Times New Roman" w:hint="default"/>
        </w:rPr>
        <w:t>3</w:t>
      </w:r>
      <w:r>
        <w:rPr/>
        <w:t>、金融资产或金融负债的初始计量</w:t>
      </w:r>
      <w:r>
        <w:rPr>
          <w:b w:val="0"/>
          <w:bCs w:val="0"/>
        </w:rPr>
      </w:r>
    </w:p>
    <w:p>
      <w:pPr>
        <w:pStyle w:val="BodyText"/>
        <w:spacing w:line="316" w:lineRule="auto" w:before="42"/>
        <w:ind w:right="0" w:firstLine="360"/>
        <w:jc w:val="left"/>
      </w:pPr>
      <w:r>
        <w:rPr>
          <w:spacing w:val="-2"/>
        </w:rPr>
        <w:t>初始确认金融资产或金融负债时，按照公允价值计量；对于以公允价值计量且其变动计入当期损益的金融资产和金融负</w:t>
      </w:r>
      <w:r>
        <w:rPr/>
        <w:t> 债，相关交易费用直接计入当期损益；对于其他类别的金融资产或金融负债，相关交易费用计入初始确认金额。</w:t>
      </w:r>
    </w:p>
    <w:p>
      <w:pPr>
        <w:pStyle w:val="Heading5"/>
        <w:spacing w:line="289" w:lineRule="exact"/>
        <w:ind w:left="419" w:right="0"/>
        <w:jc w:val="left"/>
        <w:rPr>
          <w:b w:val="0"/>
          <w:bCs w:val="0"/>
        </w:rPr>
      </w:pPr>
      <w:r>
        <w:rPr>
          <w:rFonts w:ascii="Times New Roman" w:hAnsi="Times New Roman" w:cs="Times New Roman" w:eastAsia="Times New Roman" w:hint="default"/>
        </w:rPr>
        <w:t>4</w:t>
      </w:r>
      <w:r>
        <w:rPr/>
        <w:t>、金融资产后续计量</w:t>
      </w:r>
      <w:r>
        <w:rPr>
          <w:b w:val="0"/>
          <w:bCs w:val="0"/>
        </w:rPr>
      </w:r>
    </w:p>
    <w:p>
      <w:pPr>
        <w:pStyle w:val="BodyText"/>
        <w:spacing w:line="240" w:lineRule="auto" w:before="42"/>
        <w:ind w:left="513" w:right="0"/>
        <w:jc w:val="left"/>
      </w:pPr>
      <w:r>
        <w:rPr/>
        <w:t>（</w:t>
      </w:r>
      <w:r>
        <w:rPr>
          <w:rFonts w:ascii="Times New Roman" w:hAnsi="Times New Roman" w:cs="Times New Roman" w:eastAsia="Times New Roman" w:hint="default"/>
        </w:rPr>
        <w:t>1</w:t>
      </w:r>
      <w:r>
        <w:rPr/>
        <w:t>）持有至到期投资和应收款项，采用实际利率法，按摊余成本计量。</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84" w:firstLine="360"/>
        <w:jc w:val="left"/>
      </w:pPr>
      <w:r>
        <w:rPr/>
        <w:t>（</w:t>
      </w:r>
      <w:r>
        <w:rPr>
          <w:rFonts w:ascii="Times New Roman" w:hAnsi="Times New Roman" w:cs="Times New Roman" w:eastAsia="Times New Roman" w:hint="default"/>
        </w:rPr>
        <w:t>2</w:t>
      </w:r>
      <w:r>
        <w:rPr/>
        <w:t>）在活跃市场中没有报价且其公允价值不能可靠计量的权益工具投资，以及与该权益工具挂钩并须通过交付该权益 工具结算的衍生金融资产，按照成本计量。</w:t>
      </w:r>
    </w:p>
    <w:p>
      <w:pPr>
        <w:pStyle w:val="BodyText"/>
        <w:spacing w:line="300" w:lineRule="auto" w:before="31"/>
        <w:ind w:left="513" w:right="94"/>
        <w:jc w:val="left"/>
      </w:pPr>
      <w:r>
        <w:rPr/>
        <w:t>（</w:t>
      </w:r>
      <w:r>
        <w:rPr>
          <w:rFonts w:ascii="Times New Roman" w:hAnsi="Times New Roman" w:cs="Times New Roman" w:eastAsia="Times New Roman" w:hint="default"/>
        </w:rPr>
        <w:t>3</w:t>
      </w:r>
      <w:r>
        <w:rPr/>
        <w:t>）除此之外的金融资产按照公允价值进行后续计量，且不扣除将来处置该金融资产时可能发生的交易费用。 </w:t>
      </w:r>
      <w:r>
        <w:rPr>
          <w:spacing w:val="-2"/>
        </w:rPr>
        <w:t>公司因持有意图或能力发生改变，使某项投资不再适合划分为持有至到期投资的，将其重分类为可供出售金融资产，并</w:t>
      </w:r>
    </w:p>
    <w:p>
      <w:pPr>
        <w:pStyle w:val="BodyText"/>
        <w:spacing w:line="316" w:lineRule="auto" w:before="31"/>
        <w:ind w:right="94"/>
        <w:jc w:val="left"/>
      </w:pPr>
      <w:r>
        <w:rPr>
          <w:spacing w:val="-2"/>
        </w:rPr>
        <w:t>以公允价值进行后续计量。重分类日，该投资的账面价值与公允价值之间的差额计入所有者权益，在该可供出售金融资产发</w:t>
      </w:r>
      <w:r>
        <w:rPr>
          <w:spacing w:val="-62"/>
        </w:rPr>
        <w:t> </w:t>
      </w:r>
      <w:r>
        <w:rPr>
          <w:spacing w:val="-62"/>
        </w:rPr>
      </w:r>
      <w:r>
        <w:rPr/>
        <w:t>生减值或终止确认时转出，计入当期损益。</w:t>
      </w:r>
    </w:p>
    <w:p>
      <w:pPr>
        <w:pStyle w:val="BodyText"/>
        <w:spacing w:line="240" w:lineRule="auto" w:before="19"/>
        <w:ind w:left="513" w:right="94"/>
        <w:jc w:val="left"/>
      </w:pPr>
      <w:r>
        <w:rPr/>
        <w:t>存在下列情况之一的，表明公司没有明确意图将金融资产投资持有至到期：</w:t>
      </w:r>
    </w:p>
    <w:p>
      <w:pPr>
        <w:pStyle w:val="BodyText"/>
        <w:spacing w:line="240" w:lineRule="auto" w:before="76"/>
        <w:ind w:left="513" w:right="94"/>
        <w:jc w:val="left"/>
      </w:pPr>
      <w:r>
        <w:rPr/>
        <w:t>①持有该金融资产的期限不确定。</w:t>
      </w:r>
    </w:p>
    <w:p>
      <w:pPr>
        <w:pStyle w:val="BodyText"/>
        <w:spacing w:line="316" w:lineRule="auto" w:before="76"/>
        <w:ind w:right="94" w:firstLine="360"/>
        <w:jc w:val="left"/>
      </w:pPr>
      <w:r>
        <w:rPr>
          <w:spacing w:val="-2"/>
        </w:rPr>
        <w:t>②发生市场利率变化、流动性需要变化、替代投资机会及其投资收益率变化、融资来源和条件变化、外汇风险变化等情</w:t>
      </w:r>
      <w:r>
        <w:rPr/>
        <w:t> 况时，将出售该金融资产。</w:t>
      </w:r>
    </w:p>
    <w:p>
      <w:pPr>
        <w:pStyle w:val="BodyText"/>
        <w:spacing w:line="240" w:lineRule="auto" w:before="19"/>
        <w:ind w:left="513" w:right="94"/>
        <w:jc w:val="left"/>
      </w:pPr>
      <w:r>
        <w:rPr/>
        <w:t>③该金融资产的发行方可以按照明显低于其摊余成本的金额清偿。</w:t>
      </w:r>
    </w:p>
    <w:p>
      <w:pPr>
        <w:pStyle w:val="BodyText"/>
        <w:spacing w:line="240" w:lineRule="auto" w:before="77"/>
        <w:ind w:left="513" w:right="94"/>
        <w:jc w:val="left"/>
      </w:pPr>
      <w:r>
        <w:rPr/>
        <w:t>④其他表明公司没有明确意图将该金融资产持有至到期的情况。</w:t>
      </w:r>
    </w:p>
    <w:p>
      <w:pPr>
        <w:pStyle w:val="Heading5"/>
        <w:spacing w:line="240" w:lineRule="auto" w:before="56"/>
        <w:ind w:left="419" w:right="94"/>
        <w:jc w:val="left"/>
        <w:rPr>
          <w:b w:val="0"/>
          <w:bCs w:val="0"/>
        </w:rPr>
      </w:pPr>
      <w:r>
        <w:rPr>
          <w:rFonts w:ascii="Times New Roman" w:hAnsi="Times New Roman" w:cs="Times New Roman" w:eastAsia="Times New Roman" w:hint="default"/>
        </w:rPr>
        <w:t>5</w:t>
      </w:r>
      <w:r>
        <w:rPr/>
        <w:t>、金融负债的后续计量</w:t>
      </w:r>
      <w:r>
        <w:rPr>
          <w:b w:val="0"/>
          <w:bCs w:val="0"/>
        </w:rPr>
      </w:r>
    </w:p>
    <w:p>
      <w:pPr>
        <w:pStyle w:val="BodyText"/>
        <w:spacing w:line="300" w:lineRule="auto" w:before="42"/>
        <w:ind w:right="184" w:firstLine="360"/>
        <w:jc w:val="left"/>
      </w:pPr>
      <w:r>
        <w:rPr/>
        <w:t>（</w:t>
      </w:r>
      <w:r>
        <w:rPr>
          <w:rFonts w:ascii="Times New Roman" w:hAnsi="Times New Roman" w:cs="Times New Roman" w:eastAsia="Times New Roman" w:hint="default"/>
        </w:rPr>
        <w:t>1</w:t>
      </w:r>
      <w:r>
        <w:rPr/>
        <w:t>）以公允价值计量且其变动计入当期损益的金融负债按照公允价值计量，且不扣除将来结清金融负债时可能发生的 交易费用。</w:t>
      </w:r>
    </w:p>
    <w:p>
      <w:pPr>
        <w:pStyle w:val="BodyText"/>
        <w:spacing w:line="300" w:lineRule="auto" w:before="31"/>
        <w:ind w:right="94" w:firstLine="360"/>
        <w:jc w:val="left"/>
      </w:pPr>
      <w:r>
        <w:rPr>
          <w:spacing w:val="-2"/>
        </w:rPr>
        <w:t>（</w:t>
      </w:r>
      <w:r>
        <w:rPr>
          <w:rFonts w:ascii="Times New Roman" w:hAnsi="Times New Roman" w:cs="Times New Roman" w:eastAsia="Times New Roman" w:hint="default"/>
          <w:spacing w:val="-2"/>
        </w:rPr>
        <w:t>2</w:t>
      </w:r>
      <w:r>
        <w:rPr>
          <w:spacing w:val="-2"/>
        </w:rPr>
        <w:t>）与在活跃市场中没有报价，公允价值不能可靠计量的权益工具挂钩并须通过交付该权益工具结算的衍生金融负债，</w:t>
      </w:r>
      <w:r>
        <w:rPr/>
        <w:t> 按照成本计量。</w:t>
      </w:r>
    </w:p>
    <w:p>
      <w:pPr>
        <w:pStyle w:val="BodyText"/>
        <w:spacing w:line="309" w:lineRule="auto" w:before="31"/>
        <w:ind w:right="193" w:firstLine="360"/>
        <w:jc w:val="both"/>
      </w:pPr>
      <w:r>
        <w:rPr/>
        <w:t>（</w:t>
      </w:r>
      <w:r>
        <w:rPr>
          <w:rFonts w:ascii="Times New Roman" w:hAnsi="Times New Roman" w:cs="Times New Roman" w:eastAsia="Times New Roman" w:hint="default"/>
        </w:rPr>
        <w:t>3</w:t>
      </w:r>
      <w:r>
        <w:rPr/>
        <w:t>）不属于指定为以公允价值计量且其变动计入当期损益的金融负债的财务担保合同，或没有指定为以公允价值计量 </w:t>
      </w:r>
      <w:r>
        <w:rPr>
          <w:spacing w:val="-2"/>
        </w:rPr>
        <w:t>且其变动计入当期损益并将以低于市场利率贷款的贷款承诺，按照履行相关现时义务所需支出的最佳估计数与初始确认金额</w:t>
      </w:r>
      <w:r>
        <w:rPr>
          <w:spacing w:val="-64"/>
        </w:rPr>
        <w:t> </w:t>
      </w:r>
      <w:r>
        <w:rPr>
          <w:spacing w:val="-64"/>
        </w:rPr>
      </w:r>
      <w:r>
        <w:rPr/>
        <w:t>扣除按照实际利率法摊销的累计摊销额后的余额两项金额之中的较高者进行后续计量。</w:t>
      </w:r>
    </w:p>
    <w:p>
      <w:pPr>
        <w:pStyle w:val="BodyText"/>
        <w:spacing w:line="240" w:lineRule="auto" w:before="24"/>
        <w:ind w:left="513" w:right="94"/>
        <w:jc w:val="left"/>
      </w:pPr>
      <w:r>
        <w:rPr/>
        <w:t>（</w:t>
      </w:r>
      <w:r>
        <w:rPr>
          <w:rFonts w:ascii="Times New Roman" w:hAnsi="Times New Roman" w:cs="Times New Roman" w:eastAsia="Times New Roman" w:hint="default"/>
        </w:rPr>
        <w:t>4</w:t>
      </w:r>
      <w:r>
        <w:rPr/>
        <w:t>）除此之外的金融负债，采用实际利率法，按摊余成本计量。</w:t>
      </w:r>
    </w:p>
    <w:p>
      <w:pPr>
        <w:pStyle w:val="Heading5"/>
        <w:spacing w:line="240" w:lineRule="auto" w:before="42"/>
        <w:ind w:left="419" w:right="94"/>
        <w:jc w:val="left"/>
        <w:rPr>
          <w:b w:val="0"/>
          <w:bCs w:val="0"/>
        </w:rPr>
      </w:pPr>
      <w:r>
        <w:rPr>
          <w:rFonts w:ascii="Times New Roman" w:hAnsi="Times New Roman" w:cs="Times New Roman" w:eastAsia="Times New Roman" w:hint="default"/>
        </w:rPr>
        <w:t>6</w:t>
      </w:r>
      <w:r>
        <w:rPr/>
        <w:t>、金融资产转移确认依据</w:t>
      </w:r>
      <w:r>
        <w:rPr>
          <w:b w:val="0"/>
          <w:bCs w:val="0"/>
        </w:rPr>
      </w:r>
    </w:p>
    <w:p>
      <w:pPr>
        <w:pStyle w:val="BodyText"/>
        <w:spacing w:line="316" w:lineRule="auto" w:before="42"/>
        <w:ind w:right="190" w:firstLine="360"/>
        <w:jc w:val="both"/>
      </w:pPr>
      <w:r>
        <w:rPr>
          <w:spacing w:val="-2"/>
        </w:rPr>
        <w:t>公司已将金融资产所有权上几乎所有的风险和报酬转移给了转入方的，终止确认该金融资产；保留了金融资产所有权上</w:t>
      </w:r>
      <w:r>
        <w:rPr/>
        <w:t> </w:t>
      </w:r>
      <w:r>
        <w:rPr>
          <w:spacing w:val="-2"/>
        </w:rPr>
        <w:t>几乎所有的风险和报酬的，继续确认所转移的金融资产，并将收到的对价确认为一项金融负债。公司既没有转移也没有保留</w:t>
      </w:r>
      <w:r>
        <w:rPr>
          <w:spacing w:val="-63"/>
        </w:rPr>
        <w:t> </w:t>
      </w:r>
      <w:r>
        <w:rPr>
          <w:spacing w:val="-63"/>
        </w:rPr>
      </w:r>
      <w:r>
        <w:rPr/>
        <w:t>金融资产所有权上几乎所有的风险和报酬的，分别下列情况处理：</w:t>
      </w:r>
    </w:p>
    <w:p>
      <w:pPr>
        <w:pStyle w:val="BodyText"/>
        <w:spacing w:line="240" w:lineRule="auto" w:before="19"/>
        <w:ind w:left="513" w:right="94"/>
        <w:jc w:val="left"/>
      </w:pPr>
      <w:r>
        <w:rPr/>
        <w:t>（</w:t>
      </w:r>
      <w:r>
        <w:rPr>
          <w:rFonts w:ascii="Times New Roman" w:hAnsi="Times New Roman" w:cs="Times New Roman" w:eastAsia="Times New Roman" w:hint="default"/>
        </w:rPr>
        <w:t>1</w:t>
      </w:r>
      <w:r>
        <w:rPr/>
        <w:t>）放弃了对该金融资产控制的，终止确认该金融资产；</w:t>
      </w:r>
    </w:p>
    <w:p>
      <w:pPr>
        <w:pStyle w:val="BodyText"/>
        <w:spacing w:line="240" w:lineRule="auto" w:before="63"/>
        <w:ind w:left="513" w:right="94"/>
        <w:jc w:val="left"/>
      </w:pPr>
      <w:r>
        <w:rPr/>
        <w:t>（</w:t>
      </w:r>
      <w:r>
        <w:rPr>
          <w:rFonts w:ascii="Times New Roman" w:hAnsi="Times New Roman" w:cs="Times New Roman" w:eastAsia="Times New Roman" w:hint="default"/>
        </w:rPr>
        <w:t>2</w:t>
      </w:r>
      <w:r>
        <w:rPr/>
        <w:t>）未放弃对该金融资产控制的，按照继续涉入所转移金融资产的程度确认有关金融资产，并相应确认有关负债。</w:t>
      </w:r>
    </w:p>
    <w:p>
      <w:pPr>
        <w:pStyle w:val="Heading5"/>
        <w:spacing w:line="240" w:lineRule="auto" w:before="42"/>
        <w:ind w:left="419" w:right="94"/>
        <w:jc w:val="left"/>
        <w:rPr>
          <w:b w:val="0"/>
          <w:bCs w:val="0"/>
        </w:rPr>
      </w:pPr>
      <w:r>
        <w:rPr>
          <w:rFonts w:ascii="Times New Roman" w:hAnsi="Times New Roman" w:cs="Times New Roman" w:eastAsia="Times New Roman" w:hint="default"/>
        </w:rPr>
        <w:t>7</w:t>
      </w:r>
      <w:r>
        <w:rPr/>
        <w:t>、金融资产转移的确认和计量</w:t>
      </w:r>
      <w:r>
        <w:rPr>
          <w:b w:val="0"/>
          <w:bCs w:val="0"/>
        </w:rPr>
      </w:r>
    </w:p>
    <w:p>
      <w:pPr>
        <w:pStyle w:val="BodyText"/>
        <w:spacing w:line="240" w:lineRule="auto" w:before="42"/>
        <w:ind w:left="513" w:right="94"/>
        <w:jc w:val="left"/>
      </w:pPr>
      <w:r>
        <w:rPr/>
        <w:t>金融资产整体转移满足终止确认条件的，将下列两项金额的差额计入当期损益：</w:t>
      </w:r>
    </w:p>
    <w:p>
      <w:pPr>
        <w:pStyle w:val="BodyText"/>
        <w:spacing w:line="240" w:lineRule="auto" w:before="76"/>
        <w:ind w:left="513" w:right="94"/>
        <w:jc w:val="left"/>
      </w:pPr>
      <w:r>
        <w:rPr/>
        <w:t>（</w:t>
      </w:r>
      <w:r>
        <w:rPr>
          <w:rFonts w:ascii="Times New Roman" w:hAnsi="Times New Roman" w:cs="Times New Roman" w:eastAsia="Times New Roman" w:hint="default"/>
        </w:rPr>
        <w:t>1</w:t>
      </w:r>
      <w:r>
        <w:rPr/>
        <w:t>）所转移金融资产的账面价值；</w:t>
      </w:r>
    </w:p>
    <w:p>
      <w:pPr>
        <w:pStyle w:val="BodyText"/>
        <w:spacing w:line="300" w:lineRule="auto" w:before="63"/>
        <w:ind w:right="184" w:firstLine="36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 产的情形）之和。</w:t>
      </w:r>
    </w:p>
    <w:p>
      <w:pPr>
        <w:pStyle w:val="BodyText"/>
        <w:spacing w:line="316" w:lineRule="auto" w:before="32"/>
        <w:ind w:right="94" w:firstLine="360"/>
        <w:jc w:val="left"/>
      </w:pPr>
      <w:r>
        <w:rPr/>
        <w:t>金融资产部分转移满足终止确认条件的，将所转移金融资产整体的账面价值，在终止确认部分和未终止确认部分之间， </w:t>
      </w:r>
      <w:r>
        <w:rPr>
          <w:spacing w:val="-2"/>
        </w:rPr>
        <w:t>按照各自的相对公允价值进行分摊，并将下列两项金额的差额计入当期损益：①终止确认部分的账面价值；②终止确认部分</w:t>
      </w:r>
      <w:r>
        <w:rPr>
          <w:spacing w:val="-63"/>
        </w:rPr>
        <w:t> </w:t>
      </w:r>
      <w:r>
        <w:rPr>
          <w:spacing w:val="-63"/>
        </w:rPr>
      </w:r>
      <w:r>
        <w:rPr/>
        <w:t>的对价，与原直接计入所有者权益的公允价值变动累计额中对应终止确认部分的金额之和。</w:t>
      </w:r>
    </w:p>
    <w:p>
      <w:pPr>
        <w:pStyle w:val="Heading5"/>
        <w:spacing w:line="289" w:lineRule="exact"/>
        <w:ind w:left="419" w:right="94"/>
        <w:jc w:val="left"/>
        <w:rPr>
          <w:b w:val="0"/>
          <w:bCs w:val="0"/>
        </w:rPr>
      </w:pPr>
      <w:r>
        <w:rPr>
          <w:rFonts w:ascii="Times New Roman" w:hAnsi="Times New Roman" w:cs="Times New Roman" w:eastAsia="Times New Roman" w:hint="default"/>
        </w:rPr>
        <w:t>8</w:t>
      </w:r>
      <w:r>
        <w:rPr/>
        <w:t>、金融负债终止确认条件</w:t>
      </w:r>
      <w:r>
        <w:rPr>
          <w:b w:val="0"/>
          <w:bCs w:val="0"/>
        </w:rPr>
      </w:r>
    </w:p>
    <w:p>
      <w:pPr>
        <w:pStyle w:val="BodyText"/>
        <w:spacing w:line="316" w:lineRule="auto" w:before="42"/>
        <w:ind w:right="94" w:firstLine="360"/>
        <w:jc w:val="left"/>
      </w:pPr>
      <w:r>
        <w:rPr>
          <w:spacing w:val="-2"/>
        </w:rPr>
        <w:t>金融负债的现时义务全部或部分已解除时才能终止确认该金融负债或其一部分。公司将用于偿付金融负债的资产转入某</w:t>
      </w:r>
      <w:r>
        <w:rPr/>
        <w:t> 个机构或设立信托，偿付债务的现时义务仍存在的，不终止确认该金融负债，也不能终止确认转出的资产。</w:t>
      </w:r>
    </w:p>
    <w:p>
      <w:pPr>
        <w:pStyle w:val="BodyText"/>
        <w:spacing w:line="316" w:lineRule="auto" w:before="19"/>
        <w:ind w:right="94" w:firstLine="360"/>
        <w:jc w:val="left"/>
      </w:pPr>
      <w:r>
        <w:rPr>
          <w:spacing w:val="-2"/>
        </w:rPr>
        <w:t>公司（债务人）与债权人之间签订协议，以承担新金融负债方式替换现存金融负债，且新金融负债与现存金融负债的合</w:t>
      </w:r>
      <w:r>
        <w:rPr/>
        <w:t> 同条款实质上不同的，终止确认现存金融负债，并同时确认新金融负债。</w:t>
      </w:r>
    </w:p>
    <w:p>
      <w:pPr>
        <w:pStyle w:val="BodyText"/>
        <w:spacing w:line="316" w:lineRule="auto" w:before="19"/>
        <w:ind w:right="94" w:firstLine="360"/>
        <w:jc w:val="left"/>
      </w:pPr>
      <w:r>
        <w:rPr>
          <w:spacing w:val="-2"/>
        </w:rPr>
        <w:t>公司对现存金融负债全部或部分的合同条款作出实质性修改的，终止确认现存金融负债或其一部分，同时将修改条款后</w:t>
      </w:r>
      <w:r>
        <w:rPr/>
        <w:t> 的金融负债确认为一项新金融负债。</w:t>
      </w:r>
    </w:p>
    <w:p>
      <w:pPr>
        <w:pStyle w:val="BodyText"/>
        <w:spacing w:line="316" w:lineRule="auto" w:before="19"/>
        <w:ind w:right="94" w:firstLine="360"/>
        <w:jc w:val="left"/>
      </w:pPr>
      <w:r>
        <w:rPr>
          <w:spacing w:val="-2"/>
        </w:rPr>
        <w:t>金融负债全部或部分终止确认的，公司将终止确认部分的账面价值与支付的对价（包括转出的非现金资产或承担的新金</w:t>
      </w:r>
      <w:r>
        <w:rPr/>
        <w:t> 融负债）之间的差额，计入当期损益。</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151" w:firstLine="360"/>
        <w:jc w:val="both"/>
      </w:pPr>
      <w:r>
        <w:rPr>
          <w:spacing w:val="-2"/>
        </w:rPr>
        <w:t>公司回购金融负债一部分的，在回购日按照继续确认部分和终止确认部分的相对公允价值，将该金融负债整体的账面价</w:t>
      </w:r>
      <w:r>
        <w:rPr/>
        <w:t> </w:t>
      </w:r>
      <w:r>
        <w:rPr>
          <w:spacing w:val="-2"/>
        </w:rPr>
        <w:t>值进行分配。分配给终止确认部分的账面价值与支付的对价（包括转出的非现金资产或承担的新金融负债）之间的差额，计</w:t>
      </w:r>
      <w:r>
        <w:rPr>
          <w:spacing w:val="-64"/>
        </w:rPr>
        <w:t> </w:t>
      </w:r>
      <w:r>
        <w:rPr>
          <w:spacing w:val="-64"/>
        </w:rPr>
      </w:r>
      <w:r>
        <w:rPr/>
        <w:t>入当期损益。</w:t>
      </w:r>
    </w:p>
    <w:p>
      <w:pPr>
        <w:pStyle w:val="Heading5"/>
        <w:spacing w:line="289" w:lineRule="exact"/>
        <w:ind w:left="419" w:right="0"/>
        <w:jc w:val="left"/>
        <w:rPr>
          <w:b w:val="0"/>
          <w:bCs w:val="0"/>
        </w:rPr>
      </w:pPr>
      <w:r>
        <w:rPr>
          <w:rFonts w:ascii="Times New Roman" w:hAnsi="Times New Roman" w:cs="Times New Roman" w:eastAsia="Times New Roman" w:hint="default"/>
        </w:rPr>
        <w:t>9</w:t>
      </w:r>
      <w:r>
        <w:rPr/>
        <w:t>、金融资产和金融负债的公允价值确认方法</w:t>
      </w:r>
      <w:r>
        <w:rPr>
          <w:b w:val="0"/>
          <w:bCs w:val="0"/>
        </w:rPr>
      </w:r>
    </w:p>
    <w:p>
      <w:pPr>
        <w:pStyle w:val="BodyText"/>
        <w:spacing w:line="240" w:lineRule="auto" w:before="42"/>
        <w:ind w:left="513" w:right="0"/>
        <w:jc w:val="left"/>
      </w:pPr>
      <w:r>
        <w:rPr/>
        <w:t>（</w:t>
      </w:r>
      <w:r>
        <w:rPr>
          <w:rFonts w:ascii="Times New Roman" w:hAnsi="Times New Roman" w:cs="Times New Roman" w:eastAsia="Times New Roman" w:hint="default"/>
        </w:rPr>
        <w:t>1</w:t>
      </w:r>
      <w:r>
        <w:rPr/>
        <w:t>）存在活跃市场的金融资产或金融负债，以活跃市场中的报价确定其公允价值。</w:t>
      </w:r>
    </w:p>
    <w:p>
      <w:pPr>
        <w:pStyle w:val="BodyText"/>
        <w:spacing w:line="300" w:lineRule="auto" w:before="63"/>
        <w:ind w:right="159" w:firstLine="360"/>
        <w:jc w:val="both"/>
      </w:pPr>
      <w:r>
        <w:rPr/>
        <w:t>（</w:t>
      </w:r>
      <w:r>
        <w:rPr>
          <w:rFonts w:ascii="Times New Roman" w:hAnsi="Times New Roman" w:cs="Times New Roman" w:eastAsia="Times New Roman" w:hint="default"/>
        </w:rPr>
        <w:t>2</w:t>
      </w:r>
      <w:r>
        <w:rPr/>
        <w:t>）金融工具不存在活跃市场的，公司采用估值技术（包括参考熟悉情况并自愿交易的各方最近进行的市场交易中使 用的价格、参照实质上相同的其他金融工具的当前公允价值、现金流量折现法和期权定价模型等）确定其公允价值。</w:t>
      </w:r>
    </w:p>
    <w:p>
      <w:pPr>
        <w:pStyle w:val="BodyText"/>
        <w:spacing w:line="278" w:lineRule="auto" w:before="31"/>
        <w:ind w:left="419" w:right="0" w:firstLine="93"/>
        <w:jc w:val="left"/>
      </w:pPr>
      <w:r>
        <w:rPr/>
        <w:t>（</w:t>
      </w:r>
      <w:r>
        <w:rPr>
          <w:rFonts w:ascii="Times New Roman" w:hAnsi="Times New Roman" w:cs="Times New Roman" w:eastAsia="Times New Roman" w:hint="default"/>
        </w:rPr>
        <w:t>3</w:t>
      </w:r>
      <w:r>
        <w:rPr/>
        <w:t>）初始取得或源生的金融资产或承担的金融负债，以市场交易价格作为确定其公允价值的基础。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、金融资产减值</w:t>
      </w:r>
      <w:r>
        <w:rPr>
          <w:rFonts w:ascii="宋体" w:hAnsi="宋体" w:cs="宋体" w:eastAsia="宋体" w:hint="default"/>
          <w:b/>
          <w:bCs/>
          <w:spacing w:val="-102"/>
          <w:sz w:val="21"/>
          <w:szCs w:val="21"/>
        </w:rPr>
        <w:t> </w:t>
      </w:r>
      <w:r>
        <w:rPr>
          <w:spacing w:val="-2"/>
        </w:rPr>
        <w:t>公司在资产负债表日对以公允价值计量且其变动计入当期损益以外的金融资产的账面价值进行检查，有客观证据表明该</w:t>
      </w:r>
    </w:p>
    <w:p>
      <w:pPr>
        <w:pStyle w:val="BodyText"/>
        <w:spacing w:line="240" w:lineRule="auto" w:before="47"/>
        <w:ind w:right="0"/>
        <w:jc w:val="left"/>
      </w:pPr>
      <w:r>
        <w:rPr/>
        <w:t>金融资产发生减值的，确认减值损失，计提减值准备。</w:t>
      </w:r>
    </w:p>
    <w:p>
      <w:pPr>
        <w:pStyle w:val="BodyText"/>
        <w:spacing w:line="309" w:lineRule="auto" w:before="77"/>
        <w:ind w:right="151" w:firstLine="360"/>
        <w:jc w:val="both"/>
      </w:pPr>
      <w:r>
        <w:rPr/>
        <w:t>（</w:t>
      </w:r>
      <w:r>
        <w:rPr>
          <w:rFonts w:ascii="Times New Roman" w:hAnsi="Times New Roman" w:cs="Times New Roman" w:eastAsia="Times New Roman" w:hint="default"/>
        </w:rPr>
        <w:t>1</w:t>
      </w:r>
      <w:r>
        <w:rPr/>
        <w:t>）对单项金额重大的金融资产单独进行减值测试；对单项金额不重大的金融资产，包括在具有类似信用风险特征的 </w:t>
      </w:r>
      <w:r>
        <w:rPr>
          <w:spacing w:val="-2"/>
        </w:rPr>
        <w:t>金融资产组合中进行减值测试；单独测试未发生减值的金融资产（包括单项金额重大和不重大的金融资产），包括在具有类</w:t>
      </w:r>
      <w:r>
        <w:rPr>
          <w:spacing w:val="-64"/>
        </w:rPr>
        <w:t> </w:t>
      </w:r>
      <w:r>
        <w:rPr>
          <w:spacing w:val="-64"/>
        </w:rPr>
      </w:r>
      <w:r>
        <w:rPr/>
        <w:t>似信用风险特征的金融资产组合中进行减值测试。</w:t>
      </w:r>
    </w:p>
    <w:p>
      <w:pPr>
        <w:pStyle w:val="BodyText"/>
        <w:spacing w:line="312" w:lineRule="auto" w:before="24"/>
        <w:ind w:right="153" w:firstLine="360"/>
        <w:jc w:val="both"/>
      </w:pPr>
      <w:r>
        <w:rPr/>
        <w:t>（</w:t>
      </w:r>
      <w:r>
        <w:rPr>
          <w:rFonts w:ascii="Times New Roman" w:hAnsi="Times New Roman" w:cs="Times New Roman" w:eastAsia="Times New Roman" w:hint="default"/>
        </w:rPr>
        <w:t>2</w:t>
      </w:r>
      <w:r>
        <w:rPr/>
        <w:t>）按摊余成本计量的金融资产，期末有客观证据表明其发生了减值的，根据其账面价值与预计未来现金流量现值之 </w:t>
      </w:r>
      <w:r>
        <w:rPr>
          <w:spacing w:val="-2"/>
        </w:rPr>
        <w:t>间的差额确认减值损失。在活跃市场中没有报价且其公允价值不能可靠计量的权益工具投资，或与该权益工具挂钩并须通过</w:t>
      </w:r>
      <w:r>
        <w:rPr>
          <w:spacing w:val="-64"/>
        </w:rPr>
        <w:t> </w:t>
      </w:r>
      <w:r>
        <w:rPr>
          <w:spacing w:val="-64"/>
        </w:rPr>
      </w:r>
      <w:r>
        <w:rPr>
          <w:spacing w:val="-2"/>
        </w:rPr>
        <w:t>交付该权益工具结算的衍生金融资产发生减值时，将该权益工具投资或衍生金融资产的账面价值，与按照类似金融资产当时</w:t>
      </w:r>
      <w:r>
        <w:rPr>
          <w:spacing w:val="-64"/>
        </w:rPr>
        <w:t> </w:t>
      </w:r>
      <w:r>
        <w:rPr>
          <w:spacing w:val="-64"/>
        </w:rPr>
      </w:r>
      <w:r>
        <w:rPr/>
        <w:t>市场收益率对未来现金流量折现确定的现值之间的差额，确认为减值损失。</w:t>
      </w:r>
    </w:p>
    <w:p>
      <w:pPr>
        <w:pStyle w:val="BodyText"/>
        <w:spacing w:line="309" w:lineRule="auto" w:before="22"/>
        <w:ind w:right="150" w:firstLine="360"/>
        <w:jc w:val="both"/>
      </w:pPr>
      <w:r>
        <w:rPr>
          <w:spacing w:val="-2"/>
        </w:rPr>
        <w:t>可供出售金融资产：在资产负债表日本公司对可供出售金融资产的减值情况进行分析，判断该项金融资产公允价值是否</w:t>
      </w:r>
      <w:r>
        <w:rPr/>
        <w:t> </w:t>
      </w:r>
      <w:r>
        <w:rPr>
          <w:spacing w:val="-1"/>
        </w:rPr>
        <w:t>持续下降。通常情况下，如果可供出售金融资产的期末公允价值相对于成本的下跌幅度已达到或超过</w:t>
      </w:r>
      <w:r>
        <w:rPr>
          <w:rFonts w:ascii="Times New Roman" w:hAnsi="Times New Roman" w:cs="Times New Roman" w:eastAsia="Times New Roman" w:hint="default"/>
          <w:spacing w:val="-1"/>
        </w:rPr>
        <w:t>50%</w:t>
      </w:r>
      <w:r>
        <w:rPr>
          <w:spacing w:val="-1"/>
        </w:rPr>
        <w:t>，或者持续下跌时</w:t>
      </w:r>
      <w:r>
        <w:rPr>
          <w:spacing w:val="-88"/>
        </w:rPr>
        <w:t> </w:t>
      </w:r>
      <w:r>
        <w:rPr>
          <w:spacing w:val="-88"/>
        </w:rPr>
      </w:r>
      <w:r>
        <w:rPr>
          <w:spacing w:val="-2"/>
        </w:rPr>
        <w:t>间已达到或超过</w:t>
      </w:r>
      <w:r>
        <w:rPr>
          <w:rFonts w:ascii="Times New Roman" w:hAnsi="Times New Roman" w:cs="Times New Roman" w:eastAsia="Times New Roman" w:hint="default"/>
          <w:spacing w:val="-2"/>
        </w:rPr>
        <w:t>12</w:t>
      </w:r>
      <w:r>
        <w:rPr>
          <w:spacing w:val="-2"/>
        </w:rPr>
        <w:t>个月，在综合考虑各种相关因素后，预期这种下降趋势属于非暂时性的，可以认定该可供出售金融资产已</w:t>
      </w:r>
      <w:r>
        <w:rPr>
          <w:spacing w:val="-62"/>
        </w:rPr>
        <w:t> </w:t>
      </w:r>
      <w:r>
        <w:rPr>
          <w:spacing w:val="-62"/>
        </w:rPr>
      </w:r>
      <w:r>
        <w:rPr>
          <w:spacing w:val="-2"/>
        </w:rPr>
        <w:t>发生减值，确认减值损失。可供出售金融资产发生减值的，在确认减值损失时，将原直接计入所有者权益的公允价值下降形</w:t>
      </w:r>
      <w:r>
        <w:rPr>
          <w:spacing w:val="-64"/>
        </w:rPr>
        <w:t> </w:t>
      </w:r>
      <w:r>
        <w:rPr>
          <w:spacing w:val="-64"/>
        </w:rPr>
      </w:r>
      <w:r>
        <w:rPr/>
        <w:t>成的累计损失一并转出，计入资产减值损失。</w:t>
      </w:r>
    </w:p>
    <w:p>
      <w:pPr>
        <w:spacing w:line="240" w:lineRule="auto" w:before="3"/>
        <w:rPr>
          <w:rFonts w:ascii="宋体" w:hAnsi="宋体" w:cs="宋体" w:eastAsia="宋体" w:hint="default"/>
          <w:sz w:val="23"/>
          <w:szCs w:val="23"/>
        </w:rPr>
      </w:pPr>
    </w:p>
    <w:p>
      <w:pPr>
        <w:pStyle w:val="Heading5"/>
        <w:spacing w:line="240" w:lineRule="auto"/>
        <w:ind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before="44"/>
        <w:ind w:left="0" w:right="161"/>
        <w:jc w:val="right"/>
      </w:pPr>
      <w:r>
        <w:rPr/>
        <w:pict>
          <v:shape style="position:absolute;margin-left:56.459999pt;margin-top:-98.798264pt;width:479.2pt;height:134.3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2"/>
                          <w:jc w:val="both"/>
                          <w:rPr>
                            <w:rFonts w:ascii="宋体" w:hAnsi="宋体" w:cs="宋体" w:eastAsia="宋体" w:hint="default"/>
                            <w:sz w:val="18"/>
                            <w:szCs w:val="18"/>
                          </w:rPr>
                        </w:pPr>
                        <w:r>
                          <w:rPr>
                            <w:rFonts w:ascii="宋体" w:hAnsi="宋体" w:cs="宋体" w:eastAsia="宋体" w:hint="default"/>
                            <w:sz w:val="18"/>
                            <w:szCs w:val="18"/>
                          </w:rPr>
                          <w:t>单项金额重大的应收账款、其他应收款是指单个客户金额在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万元以上（含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万元）且占全部应收账款、其他应收款</w:t>
                        </w:r>
                        <w:r>
                          <w:rPr>
                            <w:rFonts w:ascii="宋体" w:hAnsi="宋体" w:cs="宋体" w:eastAsia="宋体" w:hint="default"/>
                            <w:sz w:val="18"/>
                            <w:szCs w:val="18"/>
                          </w:rPr>
                          <w:t> 余额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以上（含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）的应收款项。</w:t>
                        </w:r>
                      </w:p>
                    </w:tc>
                  </w:tr>
                  <w:tr>
                    <w:trPr>
                      <w:trHeight w:val="164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对于单项金额重大的应收账款、其他应收款，单独进行减值 测试，根据未来现金流量现值低于其账面价值的差额，计提 坏账准备。以后如有客观证据表明价值已恢复，且客观上与 </w:t>
                        </w:r>
                        <w:r>
                          <w:rPr>
                            <w:rFonts w:ascii="宋体" w:hAnsi="宋体" w:cs="宋体" w:eastAsia="宋体" w:hint="default"/>
                            <w:spacing w:val="-2"/>
                            <w:sz w:val="18"/>
                            <w:szCs w:val="18"/>
                          </w:rPr>
                          <w:t>确认该损失后发生的事项有关，原确认的坏账准备予以转回</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计入当期损益。</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94"/>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t>√ 适用 □</w:t>
      </w:r>
      <w:r>
        <w:rPr>
          <w:spacing w:val="3"/>
        </w:rPr>
        <w:t> </w:t>
      </w:r>
      <w:r>
        <w:rPr/>
        <w:t>不适用</w:t>
      </w:r>
    </w:p>
    <w:p>
      <w:pPr>
        <w:spacing w:after="0" w:line="240" w:lineRule="auto"/>
        <w:jc w:val="left"/>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60" w:lineRule="auto" w:before="115"/>
        <w:ind w:right="6534"/>
        <w:jc w:val="left"/>
      </w:pPr>
      <w:r>
        <w:rPr/>
        <w:t>□ 适用 √</w:t>
      </w:r>
      <w:r>
        <w:rPr>
          <w:spacing w:val="3"/>
        </w:rPr>
        <w:t> </w:t>
      </w:r>
      <w:r>
        <w:rPr/>
        <w:t>不适用</w:t>
      </w:r>
      <w:r>
        <w:rPr/>
        <w:t> 组合中，采用其他方法计提坏账准备的：</w:t>
      </w:r>
    </w:p>
    <w:p>
      <w:pPr>
        <w:pStyle w:val="BodyText"/>
        <w:spacing w:line="240" w:lineRule="auto" w:before="27"/>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2"/>
              <w:jc w:val="both"/>
              <w:rPr>
                <w:rFonts w:ascii="宋体" w:hAnsi="宋体" w:cs="宋体" w:eastAsia="宋体" w:hint="default"/>
                <w:sz w:val="18"/>
                <w:szCs w:val="18"/>
              </w:rPr>
            </w:pPr>
            <w:r>
              <w:rPr>
                <w:rFonts w:ascii="宋体" w:hAnsi="宋体" w:cs="宋体" w:eastAsia="宋体" w:hint="default"/>
                <w:sz w:val="18"/>
                <w:szCs w:val="18"/>
              </w:rPr>
              <w:t>单项金额不重大但按客户的以往信用记录、正常付款周期、 合同违约情况、客户的财务状况等信用风险特征组合后风险 较大的应收款项。</w:t>
            </w:r>
          </w:p>
        </w:tc>
      </w:tr>
      <w:tr>
        <w:trPr>
          <w:trHeight w:val="1340"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根据该组合的未来现金流量现值低于其账面价值的差额，计 提坏账准备。以后如有客观证据表明该组合价值已恢复，且 客观上与确认该损失后发生的事项有关，原确认的坏账准备 予以转回，计入当期损益。</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spacing w:line="285" w:lineRule="auto" w:before="0"/>
        <w:ind w:left="573" w:right="161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b/>
          <w:bCs/>
          <w:spacing w:val="-104"/>
          <w:sz w:val="21"/>
          <w:szCs w:val="21"/>
        </w:rPr>
        <w:t> </w:t>
      </w:r>
      <w:r>
        <w:rPr>
          <w:rFonts w:ascii="宋体" w:hAnsi="宋体" w:cs="宋体" w:eastAsia="宋体" w:hint="default"/>
          <w:sz w:val="18"/>
          <w:szCs w:val="18"/>
        </w:rPr>
        <w:t>公司存货包括生产经营过程中为销售或耗用而持有的原材料、低值易耗品、在产品、库存商品等。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、存货取得和发出的计价方法</w:t>
      </w:r>
      <w:r>
        <w:rPr>
          <w:rFonts w:ascii="宋体" w:hAnsi="宋体" w:cs="宋体" w:eastAsia="宋体" w:hint="default"/>
          <w:sz w:val="21"/>
          <w:szCs w:val="21"/>
        </w:rPr>
      </w:r>
    </w:p>
    <w:p>
      <w:pPr>
        <w:pStyle w:val="BodyText"/>
        <w:spacing w:line="247" w:lineRule="exact"/>
        <w:ind w:left="573" w:right="0"/>
        <w:jc w:val="left"/>
      </w:pPr>
      <w:r>
        <w:rPr/>
        <w:t>（</w:t>
      </w:r>
      <w:r>
        <w:rPr>
          <w:rFonts w:ascii="Times New Roman" w:hAnsi="Times New Roman" w:cs="Times New Roman" w:eastAsia="Times New Roman" w:hint="default"/>
        </w:rPr>
        <w:t>1</w:t>
      </w:r>
      <w:r>
        <w:rPr/>
        <w:t>）库存商品入库时按实际成本记账，发出时采用个别认定法核算。</w:t>
      </w:r>
    </w:p>
    <w:p>
      <w:pPr>
        <w:pStyle w:val="BodyText"/>
        <w:spacing w:line="240" w:lineRule="auto" w:before="63"/>
        <w:ind w:left="573" w:right="0"/>
        <w:jc w:val="left"/>
      </w:pPr>
      <w:r>
        <w:rPr/>
        <w:t>（</w:t>
      </w:r>
      <w:r>
        <w:rPr>
          <w:rFonts w:ascii="Times New Roman" w:hAnsi="Times New Roman" w:cs="Times New Roman" w:eastAsia="Times New Roman" w:hint="default"/>
        </w:rPr>
        <w:t>2</w:t>
      </w:r>
      <w:r>
        <w:rPr/>
        <w:t>）除库存商品外的其他存货按实际成本记账，发出时采用加权平均法核算。</w:t>
      </w:r>
    </w:p>
    <w:p>
      <w:pPr>
        <w:spacing w:line="283" w:lineRule="auto" w:before="63"/>
        <w:ind w:left="573" w:right="5933" w:firstLine="0"/>
        <w:jc w:val="left"/>
        <w:rPr>
          <w:rFonts w:ascii="宋体" w:hAnsi="宋体" w:cs="宋体" w:eastAsia="宋体" w:hint="default"/>
          <w:sz w:val="21"/>
          <w:szCs w:val="21"/>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）低值易耗品采用一次摊销法核算。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、存货数量的盘存方法</w:t>
      </w:r>
      <w:r>
        <w:rPr>
          <w:rFonts w:ascii="宋体" w:hAnsi="宋体" w:cs="宋体" w:eastAsia="宋体" w:hint="default"/>
          <w:b/>
          <w:bCs/>
          <w:w w:val="100"/>
          <w:sz w:val="21"/>
          <w:szCs w:val="21"/>
        </w:rPr>
        <w:t> </w:t>
      </w:r>
      <w:r>
        <w:rPr>
          <w:rFonts w:ascii="宋体" w:hAnsi="宋体" w:cs="宋体" w:eastAsia="宋体" w:hint="default"/>
          <w:sz w:val="18"/>
          <w:szCs w:val="18"/>
        </w:rPr>
        <w:t>公司存货数量的盘存方法采用永续盘存制。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、存货跌价准备</w:t>
      </w:r>
      <w:r>
        <w:rPr>
          <w:rFonts w:ascii="宋体" w:hAnsi="宋体" w:cs="宋体" w:eastAsia="宋体" w:hint="default"/>
          <w:sz w:val="21"/>
          <w:szCs w:val="21"/>
        </w:rPr>
      </w:r>
    </w:p>
    <w:p>
      <w:pPr>
        <w:pStyle w:val="BodyText"/>
        <w:spacing w:line="316" w:lineRule="auto"/>
        <w:ind w:right="151" w:firstLine="420"/>
        <w:jc w:val="both"/>
      </w:pPr>
      <w:r>
        <w:rPr/>
        <w:t>资产负债表日，公司存货按照成本与可变现净值孰低计量，并按单个存货项目的可变现净值低于存货成本的差额，计 </w:t>
      </w:r>
      <w:r>
        <w:rPr>
          <w:spacing w:val="-2"/>
        </w:rPr>
        <w:t>提存货跌价准备，计入当期损益；以前减记存货价值的影响因素已经消失的，减记的金额予以恢复，并在原已计提的存货跌</w:t>
      </w:r>
      <w:r>
        <w:rPr>
          <w:spacing w:val="-65"/>
        </w:rPr>
        <w:t> </w:t>
      </w:r>
      <w:r>
        <w:rPr>
          <w:spacing w:val="-65"/>
        </w:rPr>
      </w:r>
      <w:r>
        <w:rPr/>
        <w:t>价准备金额内转回，转回的金额计入当期损益。</w:t>
      </w:r>
    </w:p>
    <w:p>
      <w:pPr>
        <w:pStyle w:val="BodyText"/>
        <w:spacing w:line="316" w:lineRule="auto" w:before="59"/>
        <w:ind w:left="352" w:right="178" w:firstLine="216"/>
        <w:jc w:val="left"/>
      </w:pPr>
      <w:r>
        <w:rPr/>
        <w:t>存货可变现净值是指在日常活动中，存货的估计售价减去至完工时估计将要发生的成本、估计的销售费用以及相关税 费后的金额。</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94"/>
        <w:jc w:val="left"/>
        <w:rPr>
          <w:b w:val="0"/>
          <w:bCs w:val="0"/>
        </w:rPr>
      </w:pPr>
      <w:r>
        <w:rPr>
          <w:rFonts w:ascii="Times New Roman" w:hAnsi="Times New Roman" w:cs="Times New Roman" w:eastAsia="Times New Roman" w:hint="default"/>
        </w:rPr>
        <w:t>13</w:t>
      </w:r>
      <w:r>
        <w:rPr/>
        <w:t>、划分为持有待售资产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419" w:right="94"/>
        <w:jc w:val="left"/>
        <w:rPr>
          <w:b w:val="0"/>
          <w:bCs w:val="0"/>
        </w:rPr>
      </w:pPr>
      <w:r>
        <w:rPr>
          <w:rFonts w:ascii="Times New Roman" w:hAnsi="Times New Roman" w:cs="Times New Roman" w:eastAsia="Times New Roman" w:hint="default"/>
        </w:rPr>
        <w:t>1</w:t>
      </w:r>
      <w:r>
        <w:rPr/>
        <w:t>、划分为持有待售的资产确认标准</w:t>
      </w:r>
      <w:r>
        <w:rPr>
          <w:b w:val="0"/>
          <w:bCs w:val="0"/>
        </w:rPr>
      </w:r>
    </w:p>
    <w:p>
      <w:pPr>
        <w:pStyle w:val="BodyText"/>
        <w:spacing w:line="300" w:lineRule="auto" w:before="42"/>
        <w:ind w:right="224" w:firstLine="360"/>
        <w:jc w:val="left"/>
      </w:pPr>
      <w:r>
        <w:rPr/>
        <w:t>同时满足下列条件</w:t>
      </w:r>
      <w:r>
        <w:rPr>
          <w:rFonts w:ascii="Times New Roman" w:hAnsi="Times New Roman" w:cs="Times New Roman" w:eastAsia="Times New Roman" w:hint="default"/>
        </w:rPr>
        <w:t>:</w:t>
      </w:r>
      <w:r>
        <w:rPr/>
        <w:t>公司已经就处置该资产作出决议；公司已经与受让方签订了不可撤消的转让协议；该项资产转让将 在一年内完成。</w:t>
      </w:r>
    </w:p>
    <w:p>
      <w:pPr>
        <w:pStyle w:val="Heading5"/>
        <w:spacing w:line="240" w:lineRule="auto" w:before="11"/>
        <w:ind w:left="419" w:right="94"/>
        <w:jc w:val="left"/>
        <w:rPr>
          <w:b w:val="0"/>
          <w:bCs w:val="0"/>
        </w:rPr>
      </w:pPr>
      <w:r>
        <w:rPr>
          <w:rFonts w:ascii="Times New Roman" w:hAnsi="Times New Roman" w:cs="Times New Roman" w:eastAsia="Times New Roman" w:hint="default"/>
        </w:rPr>
        <w:t>2</w:t>
      </w:r>
      <w:r>
        <w:rPr/>
        <w:t>、划分为持有待售的资产会计处理</w:t>
      </w:r>
      <w:r>
        <w:rPr>
          <w:b w:val="0"/>
          <w:bCs w:val="0"/>
        </w:rPr>
      </w:r>
    </w:p>
    <w:p>
      <w:pPr>
        <w:pStyle w:val="BodyText"/>
        <w:spacing w:line="309" w:lineRule="auto" w:before="42"/>
        <w:ind w:right="189" w:firstLine="360"/>
        <w:jc w:val="both"/>
      </w:pPr>
      <w:r>
        <w:rPr/>
        <w:t>对于持有待售的固定资产</w:t>
      </w:r>
      <w:r>
        <w:rPr>
          <w:rFonts w:ascii="Times New Roman" w:hAnsi="Times New Roman" w:cs="Times New Roman" w:eastAsia="Times New Roman" w:hint="default"/>
        </w:rPr>
        <w:t>,</w:t>
      </w:r>
      <w:r>
        <w:rPr/>
        <w:t>应当调整该项固定资产的预计净残值，使该固定资产的预计净残值反映其公允价值减去处置 </w:t>
      </w:r>
      <w:r>
        <w:rPr>
          <w:spacing w:val="-2"/>
        </w:rPr>
        <w:t>费用后的金额，但不得超过符合持有待售条件时该项固定资产的原账面价值，原账面价值高于调整后预计净残值的差额，应</w:t>
      </w:r>
      <w:r>
        <w:rPr>
          <w:spacing w:val="-62"/>
        </w:rPr>
        <w:t> </w:t>
      </w:r>
      <w:r>
        <w:rPr>
          <w:spacing w:val="-62"/>
        </w:rPr>
      </w:r>
      <w:r>
        <w:rPr/>
        <w:t>作为资产减值损失计入当期损益。</w:t>
      </w:r>
    </w:p>
    <w:p>
      <w:pPr>
        <w:pStyle w:val="BodyText"/>
        <w:spacing w:line="316" w:lineRule="auto" w:before="24"/>
        <w:ind w:right="94" w:firstLine="360"/>
        <w:jc w:val="left"/>
      </w:pPr>
      <w:r>
        <w:rPr>
          <w:spacing w:val="-2"/>
        </w:rPr>
        <w:t>对于持有待售其他非流动资产，比照上述原则处理，持有待售的非流动资产包括单项资产和处置组，处置组是指作为整</w:t>
      </w:r>
      <w:r>
        <w:rPr/>
        <w:t> 体出售或其他方式一并处置的一组资产以及在该交易中转让的与这些资产直接相关的负债。</w:t>
      </w:r>
    </w:p>
    <w:p>
      <w:pPr>
        <w:spacing w:line="240" w:lineRule="auto" w:before="11"/>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419" w:right="94"/>
        <w:jc w:val="left"/>
        <w:rPr>
          <w:b w:val="0"/>
          <w:bCs w:val="0"/>
        </w:rPr>
      </w:pPr>
      <w:r>
        <w:rPr>
          <w:rFonts w:ascii="Times New Roman" w:hAnsi="Times New Roman" w:cs="Times New Roman" w:eastAsia="Times New Roman" w:hint="default"/>
        </w:rPr>
        <w:t>1</w:t>
      </w:r>
      <w:r>
        <w:rPr/>
        <w:t>、初始投资成本确定</w:t>
      </w:r>
      <w:r>
        <w:rPr>
          <w:b w:val="0"/>
          <w:bCs w:val="0"/>
        </w:rPr>
      </w:r>
    </w:p>
    <w:p>
      <w:pPr>
        <w:pStyle w:val="BodyText"/>
        <w:spacing w:line="300" w:lineRule="auto" w:before="42"/>
        <w:ind w:right="184" w:firstLine="360"/>
        <w:jc w:val="left"/>
      </w:pPr>
      <w:r>
        <w:rPr/>
        <w:t>（</w:t>
      </w:r>
      <w:r>
        <w:rPr>
          <w:rFonts w:ascii="Times New Roman" w:hAnsi="Times New Roman" w:cs="Times New Roman" w:eastAsia="Times New Roman" w:hint="default"/>
        </w:rPr>
        <w:t>1</w:t>
      </w:r>
      <w:r>
        <w:rPr/>
        <w:t>）对于企业合并取得的长期股权投资，如为同一控制下的企业合并，应当按照取得被合并方所有者权益账面价值的 份额确认为初始成本；非同一控制下的企业合并，应当按购买日确定的合并成本确认为初始成本；</w:t>
      </w:r>
    </w:p>
    <w:p>
      <w:pPr>
        <w:pStyle w:val="BodyText"/>
        <w:spacing w:line="240" w:lineRule="auto" w:before="31"/>
        <w:ind w:left="513" w:right="94"/>
        <w:jc w:val="left"/>
      </w:pPr>
      <w:r>
        <w:rPr/>
        <w:t>（</w:t>
      </w:r>
      <w:r>
        <w:rPr>
          <w:rFonts w:ascii="Times New Roman" w:hAnsi="Times New Roman" w:cs="Times New Roman" w:eastAsia="Times New Roman" w:hint="default"/>
        </w:rPr>
        <w:t>2</w:t>
      </w:r>
      <w:r>
        <w:rPr/>
        <w:t>）以支付现金取得的长期股权投资，初始投资成本为实际支付的购买价款；</w:t>
      </w:r>
    </w:p>
    <w:p>
      <w:pPr>
        <w:pStyle w:val="BodyText"/>
        <w:spacing w:line="240" w:lineRule="auto" w:before="63"/>
        <w:ind w:left="513" w:right="94"/>
        <w:jc w:val="left"/>
      </w:pPr>
      <w:r>
        <w:rPr/>
        <w:t>（</w:t>
      </w:r>
      <w:r>
        <w:rPr>
          <w:rFonts w:ascii="Times New Roman" w:hAnsi="Times New Roman" w:cs="Times New Roman" w:eastAsia="Times New Roman" w:hint="default"/>
        </w:rPr>
        <w:t>3</w:t>
      </w:r>
      <w:r>
        <w:rPr/>
        <w:t>）以发行权益性证券取得的长期股权投资，初始投资成本为发行权益性证券的公允价值；</w:t>
      </w:r>
    </w:p>
    <w:p>
      <w:pPr>
        <w:pStyle w:val="BodyText"/>
        <w:spacing w:line="300" w:lineRule="auto" w:before="63"/>
        <w:ind w:right="184" w:firstLine="360"/>
        <w:jc w:val="left"/>
      </w:pPr>
      <w:r>
        <w:rPr/>
        <w:t>（</w:t>
      </w:r>
      <w:r>
        <w:rPr>
          <w:rFonts w:ascii="Times New Roman" w:hAnsi="Times New Roman" w:cs="Times New Roman" w:eastAsia="Times New Roman" w:hint="default"/>
        </w:rPr>
        <w:t>4</w:t>
      </w:r>
      <w:r>
        <w:rPr/>
        <w:t>）通过债务重组取得的长期股权投资，其初始投资成本应当按照《企业会计准则第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债务重组》的有关规定 确定；</w:t>
      </w:r>
    </w:p>
    <w:p>
      <w:pPr>
        <w:pStyle w:val="BodyText"/>
        <w:spacing w:line="240" w:lineRule="auto" w:before="32"/>
        <w:ind w:left="513" w:right="94"/>
        <w:jc w:val="left"/>
      </w:pPr>
      <w:r>
        <w:rPr/>
        <w:t>（</w:t>
      </w:r>
      <w:r>
        <w:rPr>
          <w:rFonts w:ascii="Times New Roman" w:hAnsi="Times New Roman" w:cs="Times New Roman" w:eastAsia="Times New Roman" w:hint="default"/>
        </w:rPr>
        <w:t>5</w:t>
      </w:r>
      <w:r>
        <w:rPr/>
        <w:t>）非货币性资产交换取得，初始投资成本根据准则相关规定确定。</w:t>
      </w:r>
    </w:p>
    <w:p>
      <w:pPr>
        <w:pStyle w:val="Heading5"/>
        <w:spacing w:line="240" w:lineRule="auto" w:before="42"/>
        <w:ind w:left="419" w:right="94"/>
        <w:jc w:val="left"/>
        <w:rPr>
          <w:b w:val="0"/>
          <w:bCs w:val="0"/>
        </w:rPr>
      </w:pPr>
      <w:r>
        <w:rPr>
          <w:rFonts w:ascii="Times New Roman" w:hAnsi="Times New Roman" w:cs="Times New Roman" w:eastAsia="Times New Roman" w:hint="default"/>
        </w:rPr>
        <w:t>2</w:t>
      </w:r>
      <w:r>
        <w:rPr/>
        <w:t>、后续计量及损益确认方法</w:t>
      </w:r>
      <w:r>
        <w:rPr>
          <w:b w:val="0"/>
          <w:bCs w:val="0"/>
        </w:rPr>
      </w:r>
    </w:p>
    <w:p>
      <w:pPr>
        <w:pStyle w:val="BodyText"/>
        <w:spacing w:line="316" w:lineRule="auto" w:before="42"/>
        <w:ind w:right="94" w:firstLine="360"/>
        <w:jc w:val="left"/>
      </w:pPr>
      <w:r>
        <w:rPr>
          <w:spacing w:val="-2"/>
        </w:rPr>
        <w:t>投资方能够对被投资单位实施控制的长期股权投资应当采用成本法核算。采用成本法核算的长期股权投资，除追加或收</w:t>
      </w:r>
      <w:r>
        <w:rPr/>
        <w:t> 回投资外，账面价值一般不变。当宣告分派的利润或现金股利计算应分得的部分，确认投资收益。</w:t>
      </w:r>
    </w:p>
    <w:p>
      <w:pPr>
        <w:pStyle w:val="BodyText"/>
        <w:spacing w:line="314" w:lineRule="auto" w:before="19"/>
        <w:ind w:right="189" w:firstLine="360"/>
        <w:jc w:val="both"/>
      </w:pPr>
      <w:r>
        <w:rPr>
          <w:spacing w:val="-2"/>
        </w:rPr>
        <w:t>投资方对联营企业和合营企业的长期股权投资采用权益法核算。投资方对联营企业的权益性投资，其中一部分通过风险</w:t>
      </w:r>
      <w:r>
        <w:rPr/>
        <w:t> </w:t>
      </w:r>
      <w:r>
        <w:rPr>
          <w:spacing w:val="-2"/>
        </w:rPr>
        <w:t>投资机构、共同基金、信托公司或包括投连险基金在内的类似主体间接持有的，无论以上主体是否对这部分投资具有重大影</w:t>
      </w:r>
      <w:r>
        <w:rPr>
          <w:spacing w:val="-66"/>
        </w:rPr>
        <w:t> </w:t>
      </w:r>
      <w:r>
        <w:rPr>
          <w:spacing w:val="-66"/>
        </w:rPr>
      </w:r>
      <w:r>
        <w:rPr>
          <w:spacing w:val="-2"/>
        </w:rPr>
        <w:t>响，投资方都可以按照《企业会计准则第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金融工具确认和计量》的有关规定，对间接持有的该部分投资选择以公允</w:t>
      </w:r>
      <w:r>
        <w:rPr>
          <w:spacing w:val="-64"/>
        </w:rPr>
        <w:t> </w:t>
      </w:r>
      <w:r>
        <w:rPr>
          <w:spacing w:val="-64"/>
        </w:rPr>
      </w:r>
      <w:r>
        <w:rPr>
          <w:spacing w:val="-2"/>
        </w:rPr>
        <w:t>价值计量且其变动计入损益，并对其余部分采用权益法核算。采用权益法核算的长期股权投资，按照应享有或应分担的被投</w:t>
      </w:r>
      <w:r>
        <w:rPr>
          <w:spacing w:val="-62"/>
        </w:rPr>
        <w:t> </w:t>
      </w:r>
      <w:r>
        <w:rPr>
          <w:spacing w:val="-62"/>
        </w:rPr>
      </w:r>
      <w:r>
        <w:rPr>
          <w:spacing w:val="-2"/>
        </w:rPr>
        <w:t>资单位实现的净损益的份额，确认投资收益并调整长期股权投资。当宣告分派的利润或现金股利计算应分得的部分，相应减</w:t>
      </w:r>
      <w:r>
        <w:rPr>
          <w:spacing w:val="-63"/>
        </w:rPr>
        <w:t> </w:t>
      </w:r>
      <w:r>
        <w:rPr>
          <w:spacing w:val="-63"/>
        </w:rPr>
      </w:r>
      <w:r>
        <w:rPr/>
        <w:t>少长期股权投资的账面价值。</w:t>
      </w:r>
    </w:p>
    <w:p>
      <w:pPr>
        <w:pStyle w:val="Heading5"/>
        <w:spacing w:line="240" w:lineRule="auto"/>
        <w:ind w:left="419" w:right="94"/>
        <w:jc w:val="left"/>
        <w:rPr>
          <w:b w:val="0"/>
          <w:bCs w:val="0"/>
        </w:rPr>
      </w:pPr>
      <w:r>
        <w:rPr>
          <w:rFonts w:ascii="Times New Roman" w:hAnsi="Times New Roman" w:cs="Times New Roman" w:eastAsia="Times New Roman" w:hint="default"/>
        </w:rPr>
        <w:t>3</w:t>
      </w:r>
      <w:r>
        <w:rPr/>
        <w:t>、长期股权投资核算方法的转换</w:t>
      </w:r>
      <w:r>
        <w:rPr>
          <w:b w:val="0"/>
          <w:bCs w:val="0"/>
        </w:rPr>
      </w:r>
    </w:p>
    <w:p>
      <w:pPr>
        <w:pStyle w:val="BodyText"/>
        <w:spacing w:line="316" w:lineRule="auto" w:before="42"/>
        <w:ind w:right="94" w:firstLine="360"/>
        <w:jc w:val="left"/>
      </w:pPr>
      <w:r>
        <w:rPr>
          <w:spacing w:val="-2"/>
        </w:rPr>
        <w:t>公允价值计量转权益法核算：原持有的对被投资单位的股权投资（不具有控制、共同控制或重大影响的），按照金融工</w:t>
      </w:r>
      <w:r>
        <w:rPr/>
        <w:t> 具确认和计量准则进行会计处理的，因追加投资等原因导致持股比例上升，能够对被投资单位施加共同控制或重大影响的， </w:t>
      </w:r>
      <w:r>
        <w:rPr>
          <w:spacing w:val="-2"/>
        </w:rPr>
        <w:t>在转按权益法核算时，投资方应当按照金融工具确认和计量准则确定的原股权投资的公允价值加上为取得新增投资而应支付</w:t>
      </w:r>
      <w:r>
        <w:rPr>
          <w:spacing w:val="-64"/>
        </w:rPr>
        <w:t> </w:t>
      </w:r>
      <w:r>
        <w:rPr>
          <w:spacing w:val="-64"/>
        </w:rPr>
      </w:r>
      <w:r>
        <w:rPr/>
        <w:t>对价的公允价值，作为改按权益法核算的初始投资成本。</w:t>
      </w:r>
    </w:p>
    <w:p>
      <w:pPr>
        <w:pStyle w:val="BodyText"/>
        <w:spacing w:line="316" w:lineRule="auto" w:before="19"/>
        <w:ind w:right="94" w:firstLine="360"/>
        <w:jc w:val="left"/>
      </w:pPr>
      <w:r>
        <w:rPr>
          <w:spacing w:val="-2"/>
        </w:rPr>
        <w:t>公允价值计量或权益法核算转成本法核算：投资方原持有的对被投资单位不具有控制、共同控制或重大影响的按照金融</w:t>
      </w:r>
      <w:r>
        <w:rPr/>
        <w:t> 工具确认和计量准则进行会计处理的权益性投资，或者原持有对联营企业、合营企业的长期股权投资，因追加投资等原因， 能够对被投资单位实施控制的，按有关企业合并形成的长期股权投资进行会计处理。</w:t>
      </w:r>
    </w:p>
    <w:p>
      <w:pPr>
        <w:pStyle w:val="BodyText"/>
        <w:spacing w:line="316" w:lineRule="auto" w:before="19"/>
        <w:ind w:right="191" w:firstLine="360"/>
        <w:jc w:val="both"/>
      </w:pPr>
      <w:r>
        <w:rPr>
          <w:spacing w:val="-2"/>
        </w:rPr>
        <w:t>权益法核算转公允价值计量：原持有的对被投资单位具有共同控制或重大影响的长期股权投资，因部分处置等原因导致</w:t>
      </w:r>
      <w:r>
        <w:rPr/>
        <w:t> </w:t>
      </w:r>
      <w:r>
        <w:rPr>
          <w:spacing w:val="-2"/>
        </w:rPr>
        <w:t>持股比例下降，不能再对被投资单位实施共同控制或重大影响的，应改按金融工具确认和计量准则对剩余股权投资进行会计</w:t>
      </w:r>
      <w:r>
        <w:rPr>
          <w:spacing w:val="-64"/>
        </w:rPr>
        <w:t> </w:t>
      </w:r>
      <w:r>
        <w:rPr>
          <w:spacing w:val="-64"/>
        </w:rPr>
      </w:r>
      <w:r>
        <w:rPr/>
        <w:t>处理，其在丧失共同控制或重大影响之目的公允价值与账面价值之间的差额计入当期损益。</w:t>
      </w:r>
    </w:p>
    <w:p>
      <w:pPr>
        <w:pStyle w:val="BodyText"/>
        <w:spacing w:line="316" w:lineRule="auto" w:before="19"/>
        <w:ind w:right="94" w:firstLine="360"/>
        <w:jc w:val="left"/>
      </w:pPr>
      <w:r>
        <w:rPr>
          <w:spacing w:val="-2"/>
        </w:rPr>
        <w:t>成本法转权益法：因处置投资等原因导致对被投资单位由能够实施控制转为具有重大影响或者与其他投资方一起实施共</w:t>
      </w:r>
      <w:r>
        <w:rPr/>
        <w:t> </w:t>
      </w:r>
      <w:r>
        <w:rPr>
          <w:spacing w:val="-2"/>
        </w:rPr>
        <w:t>同控制的，首先应按处置投资的比例结转应终止确认的长期股权投资成本。然后比较剩余长期股权投资的成本与按照剩余持</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t>股比例计算原投资时应享有被投资单位可辨认净资产公允价值的份额，前者大于后者的，属于投资作价中体现的商誉部分， 不调整长期股权投资的账面价值；前者小于后者的，在调整长期股权投资成本的同时，调整留存收益。</w:t>
      </w:r>
    </w:p>
    <w:p>
      <w:pPr>
        <w:pStyle w:val="Heading5"/>
        <w:spacing w:line="289" w:lineRule="exact"/>
        <w:ind w:left="419" w:right="94"/>
        <w:jc w:val="left"/>
        <w:rPr>
          <w:b w:val="0"/>
          <w:bCs w:val="0"/>
        </w:rPr>
      </w:pPr>
      <w:r>
        <w:rPr>
          <w:rFonts w:ascii="Times New Roman" w:hAnsi="Times New Roman" w:cs="Times New Roman" w:eastAsia="Times New Roman" w:hint="default"/>
        </w:rPr>
        <w:t>4</w:t>
      </w:r>
      <w:r>
        <w:rPr/>
        <w:t>、确定对被投资单位具有共同控制、重大影响的依据</w:t>
      </w:r>
      <w:r>
        <w:rPr>
          <w:b w:val="0"/>
          <w:bCs w:val="0"/>
        </w:rPr>
      </w:r>
    </w:p>
    <w:p>
      <w:pPr>
        <w:pStyle w:val="BodyText"/>
        <w:spacing w:line="309" w:lineRule="auto" w:before="42"/>
        <w:ind w:right="191" w:firstLine="360"/>
        <w:jc w:val="both"/>
      </w:pPr>
      <w:r>
        <w:rPr/>
        <w:t>（</w:t>
      </w:r>
      <w:r>
        <w:rPr>
          <w:rFonts w:ascii="Times New Roman" w:hAnsi="Times New Roman" w:cs="Times New Roman" w:eastAsia="Times New Roman" w:hint="default"/>
        </w:rPr>
        <w:t>1</w:t>
      </w:r>
      <w:r>
        <w:rPr/>
        <w:t>）确定对被投资单位具有共同控制的依据：是指对某项安排的回报产生重大影响的活动必须经过分享控制权的参与 </w:t>
      </w:r>
      <w:r>
        <w:rPr>
          <w:spacing w:val="-2"/>
        </w:rPr>
        <w:t>方一致同意后才能决策。包括商品或劳务的销售和购买、金融资产的管理、资产的购买和处置、研究与开发活动以及融资活</w:t>
      </w:r>
      <w:r>
        <w:rPr>
          <w:spacing w:val="-65"/>
        </w:rPr>
        <w:t> </w:t>
      </w:r>
      <w:r>
        <w:rPr>
          <w:spacing w:val="-65"/>
        </w:rPr>
      </w:r>
      <w:r>
        <w:rPr/>
        <w:t>动等。</w:t>
      </w:r>
    </w:p>
    <w:p>
      <w:pPr>
        <w:pStyle w:val="BodyText"/>
        <w:spacing w:line="300" w:lineRule="auto" w:before="24"/>
        <w:ind w:right="244" w:firstLine="360"/>
        <w:jc w:val="left"/>
      </w:pPr>
      <w:r>
        <w:rPr/>
        <w:t>（</w:t>
      </w:r>
      <w:r>
        <w:rPr>
          <w:rFonts w:ascii="Times New Roman" w:hAnsi="Times New Roman" w:cs="Times New Roman" w:eastAsia="Times New Roman" w:hint="default"/>
        </w:rPr>
        <w:t>2</w:t>
      </w:r>
      <w:r>
        <w:rPr/>
        <w:t>）确定对被投资单位具有重大影响的依据：当持有被投资单位</w:t>
      </w:r>
      <w:r>
        <w:rPr>
          <w:rFonts w:ascii="Times New Roman" w:hAnsi="Times New Roman" w:cs="Times New Roman" w:eastAsia="Times New Roman" w:hint="default"/>
        </w:rPr>
        <w:t>20%</w:t>
      </w:r>
      <w:r>
        <w:rPr/>
        <w:t>以上至</w:t>
      </w:r>
      <w:r>
        <w:rPr>
          <w:rFonts w:ascii="Times New Roman" w:hAnsi="Times New Roman" w:cs="Times New Roman" w:eastAsia="Times New Roman" w:hint="default"/>
        </w:rPr>
        <w:t>50%</w:t>
      </w:r>
      <w:r>
        <w:rPr/>
        <w:t>的表决权资本时，具有重大影响。或 虽不足</w:t>
      </w:r>
      <w:r>
        <w:rPr>
          <w:rFonts w:ascii="Times New Roman" w:hAnsi="Times New Roman" w:cs="Times New Roman" w:eastAsia="Times New Roman" w:hint="default"/>
        </w:rPr>
        <w:t>20%</w:t>
      </w:r>
      <w:r>
        <w:rPr/>
        <w:t>，但符合下列条件之一时，具有重大影响：</w:t>
      </w:r>
    </w:p>
    <w:p>
      <w:pPr>
        <w:pStyle w:val="BodyText"/>
        <w:spacing w:line="240" w:lineRule="auto" w:before="13"/>
        <w:ind w:left="513" w:right="94"/>
        <w:jc w:val="left"/>
      </w:pPr>
      <w:r>
        <w:rPr/>
        <w:t>①在被投资单位的董事会或类似的权力机构中派有代表；</w:t>
      </w:r>
    </w:p>
    <w:p>
      <w:pPr>
        <w:pStyle w:val="BodyText"/>
        <w:spacing w:line="240" w:lineRule="auto" w:before="76"/>
        <w:ind w:left="513" w:right="94"/>
        <w:jc w:val="left"/>
      </w:pPr>
      <w:r>
        <w:rPr/>
        <w:t>②参与被投资单位的政策制定过程；</w:t>
      </w:r>
    </w:p>
    <w:p>
      <w:pPr>
        <w:pStyle w:val="BodyText"/>
        <w:spacing w:line="240" w:lineRule="auto" w:before="76"/>
        <w:ind w:left="513" w:right="94"/>
        <w:jc w:val="left"/>
      </w:pPr>
      <w:r>
        <w:rPr/>
        <w:t>③向被投资单位派出管理人员；</w:t>
      </w:r>
    </w:p>
    <w:p>
      <w:pPr>
        <w:pStyle w:val="BodyText"/>
        <w:spacing w:line="240" w:lineRule="auto" w:before="77"/>
        <w:ind w:left="513" w:right="94"/>
        <w:jc w:val="left"/>
      </w:pPr>
      <w:r>
        <w:rPr/>
        <w:t>④被投资单位依赖投资公司的技术或技术资料；</w:t>
      </w:r>
    </w:p>
    <w:p>
      <w:pPr>
        <w:pStyle w:val="BodyText"/>
        <w:spacing w:line="240" w:lineRule="auto" w:before="76"/>
        <w:ind w:left="513" w:right="94"/>
        <w:jc w:val="left"/>
      </w:pPr>
      <w:r>
        <w:rPr/>
        <w:t>⑤与被投资单位之间发生重要交易。</w:t>
      </w:r>
    </w:p>
    <w:p>
      <w:pPr>
        <w:pStyle w:val="Heading5"/>
        <w:spacing w:line="240" w:lineRule="auto" w:before="56"/>
        <w:ind w:left="419" w:right="94"/>
        <w:jc w:val="left"/>
        <w:rPr>
          <w:b w:val="0"/>
          <w:bCs w:val="0"/>
        </w:rPr>
      </w:pPr>
      <w:r>
        <w:rPr>
          <w:rFonts w:ascii="Times New Roman" w:hAnsi="Times New Roman" w:cs="Times New Roman" w:eastAsia="Times New Roman" w:hint="default"/>
        </w:rPr>
        <w:t>5</w:t>
      </w:r>
      <w:r>
        <w:rPr/>
        <w:t>、减值测试方法及减值准备计提方法</w:t>
      </w:r>
      <w:r>
        <w:rPr>
          <w:b w:val="0"/>
          <w:bCs w:val="0"/>
        </w:rPr>
      </w:r>
    </w:p>
    <w:p>
      <w:pPr>
        <w:pStyle w:val="BodyText"/>
        <w:spacing w:line="316" w:lineRule="auto" w:before="42"/>
        <w:ind w:right="94" w:firstLine="360"/>
        <w:jc w:val="left"/>
      </w:pPr>
      <w:r>
        <w:rPr>
          <w:spacing w:val="-2"/>
        </w:rPr>
        <w:t>资产负债表日，本公司对长期股权投资检查是否存在可能发生减值的迹象，当存在减值迹象时应进行减值测试确认其可</w:t>
      </w:r>
      <w:r>
        <w:rPr/>
        <w:t> 收回金额，按可收回金额低于账面价值部分计提减值准备，减值损失一经计提，在以后会计期间不再转回。</w:t>
      </w:r>
    </w:p>
    <w:p>
      <w:pPr>
        <w:pStyle w:val="BodyText"/>
        <w:spacing w:line="240" w:lineRule="auto" w:before="19"/>
        <w:ind w:left="513" w:right="94"/>
        <w:jc w:val="left"/>
      </w:pPr>
      <w:r>
        <w:rPr/>
        <w:t>可收回金额按照长期股权投资出售的公允价值净额与预计未来现金流量的现值之间孰高确定。</w:t>
      </w:r>
    </w:p>
    <w:p>
      <w:pPr>
        <w:spacing w:line="240" w:lineRule="auto" w:before="0"/>
        <w:rPr>
          <w:rFonts w:ascii="宋体" w:hAnsi="宋体" w:cs="宋体" w:eastAsia="宋体" w:hint="default"/>
          <w:sz w:val="18"/>
          <w:szCs w:val="18"/>
        </w:rPr>
      </w:pPr>
    </w:p>
    <w:p>
      <w:pPr>
        <w:pStyle w:val="Heading5"/>
        <w:spacing w:line="240" w:lineRule="auto" w:before="120"/>
        <w:ind w:right="94"/>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014"/>
        <w:jc w:val="left"/>
      </w:pPr>
      <w:r>
        <w:rPr/>
        <w:t>投资性房地产计量模式 不适用</w:t>
      </w:r>
    </w:p>
    <w:p>
      <w:pPr>
        <w:spacing w:line="240" w:lineRule="auto" w:before="6"/>
        <w:rPr>
          <w:rFonts w:ascii="宋体" w:hAnsi="宋体" w:cs="宋体" w:eastAsia="宋体" w:hint="default"/>
          <w:sz w:val="20"/>
          <w:szCs w:val="20"/>
        </w:rPr>
      </w:pPr>
    </w:p>
    <w:p>
      <w:pPr>
        <w:pStyle w:val="Heading5"/>
        <w:spacing w:line="240" w:lineRule="auto"/>
        <w:ind w:right="94"/>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606" w:right="94"/>
        <w:jc w:val="left"/>
      </w:pPr>
      <w:r>
        <w:rPr/>
        <w:t>为生产商品、提供劳务、出租或经营管理而持有且使用寿命超过一个会计年度且未列入存货的有形资产。</w:t>
      </w:r>
    </w:p>
    <w:p>
      <w:pPr>
        <w:spacing w:line="240" w:lineRule="auto" w:before="0"/>
        <w:rPr>
          <w:rFonts w:ascii="宋体" w:hAnsi="宋体" w:cs="宋体" w:eastAsia="宋体" w:hint="default"/>
          <w:sz w:val="18"/>
          <w:szCs w:val="18"/>
        </w:rPr>
      </w:pPr>
    </w:p>
    <w:p>
      <w:pPr>
        <w:pStyle w:val="Heading5"/>
        <w:spacing w:line="240" w:lineRule="auto" w:before="120"/>
        <w:ind w:right="94"/>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2.71%-12.13%</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7.92%-19.40%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9.50%-24.25%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9.50%-16.17%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节能资产</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按节能效益分摊</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3"/>
        <w:rPr>
          <w:rFonts w:ascii="宋体" w:hAnsi="宋体" w:cs="宋体" w:eastAsia="宋体" w:hint="default"/>
          <w:b/>
          <w:bCs/>
          <w:sz w:val="19"/>
          <w:szCs w:val="19"/>
        </w:rPr>
      </w:pPr>
    </w:p>
    <w:p>
      <w:pPr>
        <w:pStyle w:val="Heading5"/>
        <w:spacing w:line="240" w:lineRule="auto" w:before="36"/>
        <w:ind w:right="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94"/>
        <w:jc w:val="left"/>
      </w:pPr>
      <w:r>
        <w:rPr/>
        <w:t>（</w:t>
      </w:r>
      <w:r>
        <w:rPr>
          <w:rFonts w:ascii="Times New Roman" w:hAnsi="Times New Roman" w:cs="Times New Roman" w:eastAsia="Times New Roman" w:hint="default"/>
        </w:rPr>
        <w:t>1</w:t>
      </w:r>
      <w:r>
        <w:rPr/>
        <w:t>）融资租赁租入的固定资产，按租赁开始日租赁资产公允价值与最低租赁付款额的现值两者中较低者，作为入账价值。 承租人在租赁谈判和签订租赁合同过程中发生的，可归属于租赁项目的手续费、律师费、差旅费、印花税等初始直接费用， 计入租入资产价值。</w:t>
      </w:r>
      <w:r>
        <w:rPr>
          <w:spacing w:val="7"/>
        </w:rPr>
        <w:t> </w:t>
      </w:r>
      <w:r>
        <w:rPr>
          <w:spacing w:val="-2"/>
        </w:rPr>
        <w:t>（</w:t>
      </w:r>
      <w:r>
        <w:rPr>
          <w:rFonts w:ascii="Times New Roman" w:hAnsi="Times New Roman" w:cs="Times New Roman" w:eastAsia="Times New Roman" w:hint="default"/>
          <w:spacing w:val="-2"/>
        </w:rPr>
        <w:t>2</w:t>
      </w:r>
      <w:r>
        <w:rPr>
          <w:spacing w:val="-2"/>
        </w:rPr>
        <w:t>）承租人采用与自有固定资产相一致的折旧政策计提租赁资产折旧。能够合理确定租赁期届满时取</w:t>
      </w:r>
    </w:p>
    <w:p>
      <w:pPr>
        <w:spacing w:after="0" w:line="307"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得租赁资产所有权的，在租赁资产使用寿命内计提折旧；无法合理确定租赁期届满时能够取得租赁资产所有权的，在租赁期</w:t>
      </w:r>
      <w:r>
        <w:rPr>
          <w:spacing w:val="-63"/>
        </w:rPr>
        <w:t> </w:t>
      </w:r>
      <w:r>
        <w:rPr>
          <w:spacing w:val="-63"/>
        </w:rPr>
      </w:r>
      <w:r>
        <w:rPr/>
        <w:t>与租赁资产使用寿命两者中较短的期间内计提折旧。</w:t>
      </w:r>
    </w:p>
    <w:p>
      <w:pPr>
        <w:spacing w:line="240" w:lineRule="auto" w:before="10"/>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2"/>
        </w:rPr>
        <w:t>在建工程是指正在施工中尚未完工或虽已完工但尚未达到预定可使用状态的工程。在建工程按实际发生的支出确定其工</w:t>
      </w:r>
      <w:r>
        <w:rPr/>
        <w:t> 程成本。</w:t>
      </w:r>
    </w:p>
    <w:p>
      <w:pPr>
        <w:pStyle w:val="BodyText"/>
        <w:spacing w:line="316" w:lineRule="auto" w:before="19"/>
        <w:ind w:right="94" w:firstLine="360"/>
        <w:jc w:val="left"/>
      </w:pPr>
      <w:r>
        <w:rPr>
          <w:spacing w:val="-2"/>
        </w:rPr>
        <w:t>所建造的固定资产已达到预定可使用状态，但尚未办理竣工决算的，自达到预定可使用状态之日起，根据工程预算、造</w:t>
      </w:r>
      <w:r>
        <w:rPr/>
        <w:t> 价或者工程实际成本等，按估计的价值转入固定资产，待办理了竣工决算手续后再作调整。</w:t>
      </w:r>
    </w:p>
    <w:p>
      <w:pPr>
        <w:pStyle w:val="BodyText"/>
        <w:spacing w:line="240" w:lineRule="auto" w:before="19"/>
        <w:ind w:left="513" w:right="94"/>
        <w:jc w:val="left"/>
      </w:pPr>
      <w:r>
        <w:rPr/>
        <w:t>在建工程减值准备的计提按照资产减值核算方法处理。在建工程减值损失一经确认，在以后会计期间不再转回。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Heading5"/>
        <w:spacing w:line="240" w:lineRule="auto"/>
        <w:ind w:right="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t>借款费用包括借款利息、折价或者溢价的摊销、辅助费用以及因外币借款而发生的汇兑差额等。公司发生的借款费用， </w:t>
      </w:r>
      <w:r>
        <w:rPr>
          <w:spacing w:val="-2"/>
        </w:rPr>
        <w:t>可直接归属于符合资本化条件的资产的购建，予以资本化，计入相关资产成本；其他借款费用，在发生时根据其发生额确认</w:t>
      </w:r>
      <w:r>
        <w:rPr>
          <w:spacing w:val="-64"/>
        </w:rPr>
        <w:t> </w:t>
      </w:r>
      <w:r>
        <w:rPr>
          <w:spacing w:val="-64"/>
        </w:rPr>
      </w:r>
      <w:r>
        <w:rPr/>
        <w:t>为费用，计入当期损益。</w:t>
      </w:r>
    </w:p>
    <w:p>
      <w:pPr>
        <w:pStyle w:val="BodyText"/>
        <w:spacing w:line="240" w:lineRule="auto" w:before="19"/>
        <w:ind w:left="513" w:right="94"/>
        <w:jc w:val="left"/>
      </w:pPr>
      <w:r>
        <w:rPr/>
        <w:t>借款费用同时满足下列条件的，才能开始资本化：</w:t>
      </w:r>
    </w:p>
    <w:p>
      <w:pPr>
        <w:pStyle w:val="BodyText"/>
        <w:spacing w:line="300" w:lineRule="auto" w:before="76"/>
        <w:ind w:right="184" w:firstLine="360"/>
        <w:jc w:val="left"/>
      </w:pPr>
      <w:r>
        <w:rPr/>
        <w:t>（</w:t>
      </w:r>
      <w:r>
        <w:rPr>
          <w:rFonts w:ascii="Times New Roman" w:hAnsi="Times New Roman" w:cs="Times New Roman" w:eastAsia="Times New Roman" w:hint="default"/>
        </w:rPr>
        <w:t>1</w:t>
      </w:r>
      <w:r>
        <w:rPr/>
        <w:t>）资产支出已经发生，资产支出包括为购建符合资本化条件的资产而以支付现金、转移非现金资产或者承担带息债 务形式发生的支出；</w:t>
      </w:r>
    </w:p>
    <w:p>
      <w:pPr>
        <w:pStyle w:val="BodyText"/>
        <w:spacing w:line="240" w:lineRule="auto" w:before="31"/>
        <w:ind w:left="513" w:right="94"/>
        <w:jc w:val="left"/>
      </w:pPr>
      <w:r>
        <w:rPr/>
        <w:t>（</w:t>
      </w:r>
      <w:r>
        <w:rPr>
          <w:rFonts w:ascii="Times New Roman" w:hAnsi="Times New Roman" w:cs="Times New Roman" w:eastAsia="Times New Roman" w:hint="default"/>
        </w:rPr>
        <w:t>2</w:t>
      </w:r>
      <w:r>
        <w:rPr/>
        <w:t>）借款费用已经发生；</w:t>
      </w:r>
    </w:p>
    <w:p>
      <w:pPr>
        <w:pStyle w:val="BodyText"/>
        <w:spacing w:line="300" w:lineRule="auto" w:before="63"/>
        <w:ind w:left="513" w:right="94"/>
        <w:jc w:val="left"/>
      </w:pPr>
      <w:r>
        <w:rPr/>
        <w:t>（</w:t>
      </w:r>
      <w:r>
        <w:rPr>
          <w:rFonts w:ascii="Times New Roman" w:hAnsi="Times New Roman" w:cs="Times New Roman" w:eastAsia="Times New Roman" w:hint="default"/>
        </w:rPr>
        <w:t>3</w:t>
      </w:r>
      <w:r>
        <w:rPr/>
        <w:t>）为使资产达到预定可使用状态所必要的购建活动已经开始。 </w:t>
      </w:r>
      <w:r>
        <w:rPr>
          <w:spacing w:val="-2"/>
        </w:rPr>
        <w:t>为购建符合资本化条件的资产而借入专门借款的，以专门借款当期实际发生的利息费用，减去将尚未动用的借款资金存</w:t>
      </w:r>
    </w:p>
    <w:p>
      <w:pPr>
        <w:pStyle w:val="BodyText"/>
        <w:spacing w:line="316" w:lineRule="auto" w:before="31"/>
        <w:ind w:left="513" w:right="94" w:hanging="361"/>
        <w:jc w:val="left"/>
      </w:pPr>
      <w:r>
        <w:rPr/>
        <w:t>入银行取得的利息收入或进行暂时性投资取得的投资收益后的金额确定。 </w:t>
      </w:r>
      <w:r>
        <w:rPr>
          <w:spacing w:val="-2"/>
        </w:rPr>
        <w:t>为购建符合资本化条件的资产而占用了一般借款的，根据累计资产支出超过专门借款部分的资产支出加权平均数乘以所</w:t>
      </w:r>
    </w:p>
    <w:p>
      <w:pPr>
        <w:pStyle w:val="BodyText"/>
        <w:spacing w:line="316" w:lineRule="auto" w:before="19"/>
        <w:ind w:left="513" w:right="183" w:hanging="361"/>
        <w:jc w:val="left"/>
      </w:pPr>
      <w:r>
        <w:rPr/>
        <w:t>占用一般借款的资本化率，计算确定一般借款应予资本化的利息金额。资本化率根据一般借款加权平均利率计算确认。 符合资本化条件的资产在购建过程中发生非正常中断、且中断时间连续超过</w:t>
      </w:r>
      <w:r>
        <w:rPr>
          <w:rFonts w:ascii="Times New Roman" w:hAnsi="Times New Roman" w:cs="Times New Roman" w:eastAsia="Times New Roman" w:hint="default"/>
        </w:rPr>
        <w:t>3</w:t>
      </w:r>
      <w:r>
        <w:rPr/>
        <w:t>个月的，暂停借款费用的资本化，在中断</w:t>
      </w:r>
    </w:p>
    <w:p>
      <w:pPr>
        <w:pStyle w:val="BodyText"/>
        <w:spacing w:line="316" w:lineRule="auto"/>
        <w:ind w:left="513" w:right="273" w:hanging="361"/>
        <w:jc w:val="left"/>
      </w:pPr>
      <w:r>
        <w:rPr/>
        <w:t>期间发生的借款费用，计入当期损益。 购建符合资本化条件的资产达到预定可使用状态之后所发生的借款费用，根据其发生额确认为费用，计入当期损益。</w:t>
      </w:r>
    </w:p>
    <w:p>
      <w:pPr>
        <w:spacing w:line="240" w:lineRule="auto" w:before="10"/>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19</w:t>
      </w:r>
      <w:r>
        <w:rPr/>
        <w:t>、生物资产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5"/>
        <w:spacing w:line="240" w:lineRule="auto" w:before="120"/>
        <w:ind w:right="94"/>
        <w:jc w:val="left"/>
        <w:rPr>
          <w:b w:val="0"/>
          <w:bCs w:val="0"/>
        </w:rPr>
      </w:pPr>
      <w:r>
        <w:rPr>
          <w:rFonts w:ascii="Times New Roman" w:hAnsi="Times New Roman" w:cs="Times New Roman" w:eastAsia="Times New Roman" w:hint="default"/>
        </w:rPr>
        <w:t>20</w:t>
      </w:r>
      <w:r>
        <w:rPr/>
        <w:t>、油气资产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不适用</w:t>
      </w:r>
    </w:p>
    <w:p>
      <w:pPr>
        <w:spacing w:line="240" w:lineRule="auto" w:before="0"/>
        <w:rPr>
          <w:rFonts w:ascii="宋体" w:hAnsi="宋体" w:cs="宋体" w:eastAsia="宋体" w:hint="default"/>
          <w:sz w:val="18"/>
          <w:szCs w:val="18"/>
        </w:rPr>
      </w:pPr>
    </w:p>
    <w:p>
      <w:pPr>
        <w:pStyle w:val="Heading5"/>
        <w:spacing w:line="240" w:lineRule="auto" w:before="120"/>
        <w:ind w:right="94"/>
        <w:jc w:val="left"/>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84" w:firstLine="360"/>
        <w:jc w:val="left"/>
      </w:pPr>
      <w:r>
        <w:rPr>
          <w:rFonts w:ascii="Times New Roman" w:hAnsi="Times New Roman" w:cs="Times New Roman" w:eastAsia="Times New Roman" w:hint="default"/>
        </w:rPr>
        <w:t>1</w:t>
      </w:r>
      <w:r>
        <w:rPr/>
        <w:t>、无形资产是指公司拥有或实际控制的没有实物形态的可辨认非货币性资产，只有与无形资产有关的经济利益很可能 流入公司，同时该无形资产的成本能够可靠计量时，无形资产才予以确认。</w:t>
      </w:r>
    </w:p>
    <w:p>
      <w:pPr>
        <w:pStyle w:val="BodyText"/>
        <w:spacing w:line="240" w:lineRule="auto" w:before="31"/>
        <w:ind w:left="513" w:right="94"/>
        <w:jc w:val="left"/>
      </w:pPr>
      <w:r>
        <w:rPr/>
        <w:t>根据其使用寿命分为使用寿命有限的无形资产和使用寿命不确定的无形资产。无形资产按照成本作进行初始计量。</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144" w:firstLine="360"/>
        <w:jc w:val="left"/>
      </w:pPr>
      <w:r>
        <w:rPr>
          <w:rFonts w:ascii="Times New Roman" w:hAnsi="Times New Roman" w:cs="Times New Roman" w:eastAsia="Times New Roman" w:hint="default"/>
        </w:rPr>
        <w:t>2</w:t>
      </w:r>
      <w:r>
        <w:rPr/>
        <w:t>、公司取得的土地使用权按取得时的实际成本进行初始计量；企业取得的非专利技术按照双方协议确定的价格进行初 始计量。</w:t>
      </w:r>
    </w:p>
    <w:p>
      <w:pPr>
        <w:pStyle w:val="BodyText"/>
        <w:spacing w:line="240" w:lineRule="auto" w:before="31"/>
        <w:ind w:left="513" w:right="0"/>
        <w:jc w:val="left"/>
      </w:pPr>
      <w:r>
        <w:rPr>
          <w:rFonts w:ascii="Times New Roman" w:hAnsi="Times New Roman" w:cs="Times New Roman" w:eastAsia="Times New Roman" w:hint="default"/>
        </w:rPr>
        <w:t>3</w:t>
      </w:r>
      <w:r>
        <w:rPr/>
        <w:t>、无形资产使用寿命的确定及复核</w:t>
      </w:r>
    </w:p>
    <w:p>
      <w:pPr>
        <w:pStyle w:val="BodyText"/>
        <w:spacing w:line="300" w:lineRule="auto" w:before="63"/>
        <w:ind w:right="207" w:firstLine="360"/>
        <w:jc w:val="left"/>
      </w:pPr>
      <w:r>
        <w:rPr/>
        <w:t>（</w:t>
      </w:r>
      <w:r>
        <w:rPr>
          <w:rFonts w:ascii="Times New Roman" w:hAnsi="Times New Roman" w:cs="Times New Roman" w:eastAsia="Times New Roman" w:hint="default"/>
        </w:rPr>
        <w:t>1</w:t>
      </w:r>
      <w:r>
        <w:rPr/>
        <w:t>）公司无形资产源自合同性权利或其他法定权利</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且合同规定或法律规定有明确的使用年限，其使用寿命按照合同 性权利或其他法定权利的期限确定。</w:t>
      </w:r>
    </w:p>
    <w:p>
      <w:pPr>
        <w:pStyle w:val="BodyText"/>
        <w:spacing w:line="240" w:lineRule="auto" w:before="31"/>
        <w:ind w:left="513" w:right="0"/>
        <w:jc w:val="left"/>
      </w:pPr>
      <w:r>
        <w:rPr/>
        <w:t>（</w:t>
      </w:r>
      <w:r>
        <w:rPr>
          <w:rFonts w:ascii="Times New Roman" w:hAnsi="Times New Roman" w:cs="Times New Roman" w:eastAsia="Times New Roman" w:hint="default"/>
        </w:rPr>
        <w:t>2</w:t>
      </w:r>
      <w:r>
        <w:rPr/>
        <w:t>）没有明确的合同或法律规定的无形资产</w:t>
      </w:r>
      <w:r>
        <w:rPr>
          <w:rFonts w:ascii="Times New Roman" w:hAnsi="Times New Roman" w:cs="Times New Roman" w:eastAsia="Times New Roman" w:hint="default"/>
        </w:rPr>
        <w:t>,</w:t>
      </w:r>
      <w:r>
        <w:rPr/>
        <w:t>公司综合以下各方面情况</w:t>
      </w:r>
      <w:r>
        <w:rPr>
          <w:rFonts w:ascii="Times New Roman" w:hAnsi="Times New Roman" w:cs="Times New Roman" w:eastAsia="Times New Roman" w:hint="default"/>
        </w:rPr>
        <w:t>,</w:t>
      </w:r>
      <w:r>
        <w:rPr/>
        <w:t>来确定无形资产为公司带来未来经济利益的期</w:t>
      </w:r>
    </w:p>
    <w:p>
      <w:pPr>
        <w:pStyle w:val="BodyText"/>
        <w:spacing w:line="240" w:lineRule="auto" w:before="63"/>
        <w:ind w:right="0"/>
        <w:jc w:val="left"/>
      </w:pPr>
      <w:r>
        <w:rPr/>
        <w:t>限。</w:t>
      </w:r>
    </w:p>
    <w:p>
      <w:pPr>
        <w:pStyle w:val="BodyText"/>
        <w:spacing w:line="240" w:lineRule="auto" w:before="76"/>
        <w:ind w:left="513" w:right="0"/>
        <w:jc w:val="left"/>
      </w:pPr>
      <w:r>
        <w:rPr/>
        <w:t>①运用该资产生产的产品通常的寿命周期、可获得的类似资产使用寿命的信息；</w:t>
      </w:r>
    </w:p>
    <w:p>
      <w:pPr>
        <w:pStyle w:val="BodyText"/>
        <w:spacing w:line="240" w:lineRule="auto" w:before="76"/>
        <w:ind w:left="513" w:right="0"/>
        <w:jc w:val="left"/>
      </w:pPr>
      <w:r>
        <w:rPr/>
        <w:t>②技术、工艺等方面的现阶段情况及对未来发展趋势的估计；</w:t>
      </w:r>
    </w:p>
    <w:p>
      <w:pPr>
        <w:pStyle w:val="BodyText"/>
        <w:spacing w:line="240" w:lineRule="auto" w:before="76"/>
        <w:ind w:left="513" w:right="0"/>
        <w:jc w:val="left"/>
      </w:pPr>
      <w:r>
        <w:rPr/>
        <w:t>③以该资产生产的产品或提供劳务的市场需求情况；</w:t>
      </w:r>
    </w:p>
    <w:p>
      <w:pPr>
        <w:pStyle w:val="BodyText"/>
        <w:spacing w:line="240" w:lineRule="auto" w:before="76"/>
        <w:ind w:left="513" w:right="0"/>
        <w:jc w:val="left"/>
      </w:pPr>
      <w:r>
        <w:rPr/>
        <w:t>④现在或潜在的竞争者预期采取的行动；</w:t>
      </w:r>
    </w:p>
    <w:p>
      <w:pPr>
        <w:pStyle w:val="BodyText"/>
        <w:spacing w:line="240" w:lineRule="auto" w:before="77"/>
        <w:ind w:left="513" w:right="0"/>
        <w:jc w:val="left"/>
      </w:pPr>
      <w:r>
        <w:rPr/>
        <w:t>⑤为维持该资产带来经济利益能力的预期维护支出，以及公司预计支付有关支出的能力；</w:t>
      </w:r>
    </w:p>
    <w:p>
      <w:pPr>
        <w:pStyle w:val="BodyText"/>
        <w:spacing w:line="240" w:lineRule="auto" w:before="76"/>
        <w:ind w:left="513" w:right="0"/>
        <w:jc w:val="left"/>
      </w:pPr>
      <w:r>
        <w:rPr/>
        <w:t>⑥与公司持有其他资产使用寿命的关联性等。</w:t>
      </w:r>
    </w:p>
    <w:p>
      <w:pPr>
        <w:pStyle w:val="BodyText"/>
        <w:spacing w:line="240" w:lineRule="auto" w:before="76"/>
        <w:ind w:right="0"/>
        <w:jc w:val="left"/>
      </w:pPr>
      <w:r>
        <w:rPr/>
        <w:t>如果经过上述努力确实无法合理确定无形资产为公司带来经济利益的期限</w:t>
      </w:r>
      <w:r>
        <w:rPr>
          <w:rFonts w:ascii="Times New Roman" w:hAnsi="Times New Roman" w:cs="Times New Roman" w:eastAsia="Times New Roman" w:hint="default"/>
        </w:rPr>
        <w:t>,</w:t>
      </w:r>
      <w:r>
        <w:rPr/>
        <w:t>则将其作为使用寿命不确定的无形资产。</w:t>
      </w:r>
    </w:p>
    <w:p>
      <w:pPr>
        <w:pStyle w:val="BodyText"/>
        <w:spacing w:line="300" w:lineRule="auto" w:before="63"/>
        <w:ind w:right="149" w:firstLine="360"/>
        <w:jc w:val="both"/>
      </w:pPr>
      <w:r>
        <w:rPr>
          <w:spacing w:val="-2"/>
        </w:rPr>
        <w:t>（</w:t>
      </w:r>
      <w:r>
        <w:rPr>
          <w:rFonts w:ascii="Times New Roman" w:hAnsi="Times New Roman" w:cs="Times New Roman" w:eastAsia="Times New Roman" w:hint="default"/>
          <w:spacing w:val="-2"/>
        </w:rPr>
        <w:t>3</w:t>
      </w:r>
      <w:r>
        <w:rPr>
          <w:spacing w:val="-2"/>
        </w:rPr>
        <w:t>）根据可获得的情况判断</w:t>
      </w:r>
      <w:r>
        <w:rPr>
          <w:rFonts w:ascii="Times New Roman" w:hAnsi="Times New Roman" w:cs="Times New Roman" w:eastAsia="Times New Roman" w:hint="default"/>
          <w:spacing w:val="-2"/>
        </w:rPr>
        <w:t>,</w:t>
      </w:r>
      <w:r>
        <w:rPr>
          <w:spacing w:val="-2"/>
        </w:rPr>
        <w:t>有确凿证据表明无法合理估计其使用寿命的无形资产</w:t>
      </w:r>
      <w:r>
        <w:rPr>
          <w:rFonts w:ascii="Times New Roman" w:hAnsi="Times New Roman" w:cs="Times New Roman" w:eastAsia="Times New Roman" w:hint="default"/>
          <w:spacing w:val="-2"/>
        </w:rPr>
        <w:t>,</w:t>
      </w:r>
      <w:r>
        <w:rPr>
          <w:spacing w:val="-2"/>
        </w:rPr>
        <w:t>作为使用寿命不确定的无形资产。如</w:t>
      </w:r>
      <w:r>
        <w:rPr/>
        <w:t> 果期末重新复核后仍为不确定的</w:t>
      </w:r>
      <w:r>
        <w:rPr>
          <w:rFonts w:ascii="Times New Roman" w:hAnsi="Times New Roman" w:cs="Times New Roman" w:eastAsia="Times New Roman" w:hint="default"/>
        </w:rPr>
        <w:t>,</w:t>
      </w:r>
      <w:r>
        <w:rPr/>
        <w:t>公司在每个会计期间进行减值测试，严格按照计提资产减值核算方法的规定处理</w:t>
      </w:r>
      <w:r>
        <w:rPr>
          <w:rFonts w:ascii="Times New Roman" w:hAnsi="Times New Roman" w:cs="Times New Roman" w:eastAsia="Times New Roman" w:hint="default"/>
        </w:rPr>
        <w:t>,</w:t>
      </w:r>
      <w:r>
        <w:rPr/>
        <w:t>需要计提 减值准备的</w:t>
      </w:r>
      <w:r>
        <w:rPr>
          <w:rFonts w:ascii="Times New Roman" w:hAnsi="Times New Roman" w:cs="Times New Roman" w:eastAsia="Times New Roman" w:hint="default"/>
        </w:rPr>
        <w:t>,</w:t>
      </w:r>
      <w:r>
        <w:rPr/>
        <w:t>相应计提有关的减值准备。</w:t>
      </w:r>
    </w:p>
    <w:p>
      <w:pPr>
        <w:pStyle w:val="BodyText"/>
        <w:spacing w:line="300" w:lineRule="auto" w:before="13"/>
        <w:ind w:right="144" w:firstLine="360"/>
        <w:jc w:val="left"/>
      </w:pPr>
      <w:r>
        <w:rPr/>
        <w:t>（</w:t>
      </w:r>
      <w:r>
        <w:rPr>
          <w:rFonts w:ascii="Times New Roman" w:hAnsi="Times New Roman" w:cs="Times New Roman" w:eastAsia="Times New Roman" w:hint="default"/>
        </w:rPr>
        <w:t>4</w:t>
      </w:r>
      <w:r>
        <w:rPr/>
        <w:t>）公司于每年年度终了，对使用寿命有限的无形资产的使用寿命及未来经济利益消耗方式进行复核。无形资产的预 计使用寿命及未来经济利益的预期消耗方式与以前估计不同的，相应改变摊销期限和摊销方法。</w:t>
      </w:r>
    </w:p>
    <w:p>
      <w:pPr>
        <w:pStyle w:val="BodyText"/>
        <w:spacing w:line="316" w:lineRule="auto" w:before="31"/>
        <w:ind w:right="234" w:firstLine="360"/>
        <w:jc w:val="left"/>
      </w:pPr>
      <w:r>
        <w:rPr/>
        <w:t>公司在每个会计期间对使用寿命不确定的无形资产的使用寿命进行复核。如果有证据表明无形资产的使用寿命是有限 的，估计其使用寿命，并按其估计使用寿命进行摊销。</w:t>
      </w:r>
    </w:p>
    <w:p>
      <w:pPr>
        <w:pStyle w:val="BodyText"/>
        <w:spacing w:line="240" w:lineRule="auto" w:before="19"/>
        <w:ind w:left="513" w:right="0"/>
        <w:jc w:val="left"/>
      </w:pPr>
      <w:r>
        <w:rPr>
          <w:rFonts w:ascii="Times New Roman" w:hAnsi="Times New Roman" w:cs="Times New Roman" w:eastAsia="Times New Roman" w:hint="default"/>
        </w:rPr>
        <w:t>4</w:t>
      </w:r>
      <w:r>
        <w:rPr/>
        <w:t>、无形资产摊销方法</w:t>
      </w:r>
    </w:p>
    <w:p>
      <w:pPr>
        <w:pStyle w:val="BodyText"/>
        <w:spacing w:line="300" w:lineRule="auto" w:before="63"/>
        <w:ind w:right="144" w:firstLine="360"/>
        <w:jc w:val="left"/>
      </w:pPr>
      <w:r>
        <w:rPr/>
        <w:t>（</w:t>
      </w:r>
      <w:r>
        <w:rPr>
          <w:rFonts w:ascii="Times New Roman" w:hAnsi="Times New Roman" w:cs="Times New Roman" w:eastAsia="Times New Roman" w:hint="default"/>
        </w:rPr>
        <w:t>1</w:t>
      </w:r>
      <w:r>
        <w:rPr/>
        <w:t>）使用寿命有限的无形资产，公司根据其有关的经济利益的预期实现方式，确定无形资产摊销方法；无法可靠确定 其预期经济利益实现方式的，采用直线法摊销。</w:t>
      </w:r>
    </w:p>
    <w:p>
      <w:pPr>
        <w:pStyle w:val="BodyText"/>
        <w:spacing w:line="300" w:lineRule="auto" w:before="31"/>
        <w:ind w:left="513" w:right="0"/>
        <w:jc w:val="left"/>
      </w:pPr>
      <w:r>
        <w:rPr/>
        <w:t>（</w:t>
      </w:r>
      <w:r>
        <w:rPr>
          <w:rFonts w:ascii="Times New Roman" w:hAnsi="Times New Roman" w:cs="Times New Roman" w:eastAsia="Times New Roman" w:hint="default"/>
        </w:rPr>
        <w:t>2</w:t>
      </w:r>
      <w:r>
        <w:rPr/>
        <w:t>）对于使用寿命不确定的无形资产，不摊销。 </w:t>
      </w:r>
      <w:r>
        <w:rPr>
          <w:spacing w:val="-2"/>
        </w:rPr>
        <w:t>土地使用权摊销期限，直接取得的土地使用权按照土地使用权证标明的使用年限在使用期内采用直线法摊销；间接取得</w:t>
      </w:r>
    </w:p>
    <w:p>
      <w:pPr>
        <w:pStyle w:val="BodyText"/>
        <w:spacing w:line="316" w:lineRule="auto" w:before="31"/>
        <w:ind w:left="513" w:right="1674" w:hanging="361"/>
        <w:jc w:val="left"/>
      </w:pPr>
      <w:r>
        <w:rPr/>
        <w:t>的土地使用权根据土地使用权证标明的使用年限在取得后的使用期内按尚可使用年限采用直线法摊销。 采矿权摊销期限，按照探明经济可采储量与年开采能力计算预计使用年限。</w:t>
      </w:r>
    </w:p>
    <w:p>
      <w:pPr>
        <w:pStyle w:val="BodyText"/>
        <w:spacing w:line="300" w:lineRule="auto" w:before="19"/>
        <w:ind w:left="513" w:right="0"/>
        <w:jc w:val="left"/>
      </w:pPr>
      <w:r>
        <w:rPr>
          <w:rFonts w:ascii="Times New Roman" w:hAnsi="Times New Roman" w:cs="Times New Roman" w:eastAsia="Times New Roman" w:hint="default"/>
        </w:rPr>
        <w:t>5</w:t>
      </w:r>
      <w:r>
        <w:rPr/>
        <w:t>、无形资产减值准备 </w:t>
      </w:r>
      <w:r>
        <w:rPr>
          <w:spacing w:val="-2"/>
        </w:rPr>
        <w:t>无形资产减值准备的计提按照资产减值核算方法处理。无形资产减值损失一经确认在以后会计期间不再转回，当该项资</w:t>
      </w:r>
    </w:p>
    <w:p>
      <w:pPr>
        <w:pStyle w:val="BodyText"/>
        <w:spacing w:line="240" w:lineRule="auto" w:before="31"/>
        <w:ind w:right="0"/>
        <w:jc w:val="left"/>
      </w:pPr>
      <w:r>
        <w:rPr/>
        <w:t>产处置时予以转出。</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公司内部研究开发项目开发阶段的支出，同时满足下列条件的，才能确认为无形资产：</w:t>
      </w:r>
    </w:p>
    <w:p>
      <w:pPr>
        <w:pStyle w:val="BodyText"/>
        <w:spacing w:line="240" w:lineRule="auto" w:before="76"/>
        <w:ind w:left="513" w:right="0"/>
        <w:jc w:val="left"/>
      </w:pPr>
      <w:r>
        <w:rPr/>
        <w:t>①完成该无形资产以使其能够使用或出售在技术上具有可行性；</w:t>
      </w:r>
    </w:p>
    <w:p>
      <w:pPr>
        <w:pStyle w:val="BodyText"/>
        <w:spacing w:line="240" w:lineRule="auto" w:before="74"/>
        <w:ind w:left="513" w:right="0"/>
        <w:jc w:val="left"/>
      </w:pPr>
      <w:r>
        <w:rPr/>
        <w:t>②具有完成该无形资产并使用或出售的意图；</w:t>
      </w:r>
    </w:p>
    <w:p>
      <w:pPr>
        <w:pStyle w:val="BodyText"/>
        <w:spacing w:line="316" w:lineRule="auto" w:before="76"/>
        <w:ind w:right="0" w:firstLine="360"/>
        <w:jc w:val="left"/>
      </w:pPr>
      <w:r>
        <w:rPr>
          <w:spacing w:val="-2"/>
        </w:rPr>
        <w:t>③无形资产产生经济利益的方式，包括能够证明运用该无形资产生产的产品存在市场或无形资产自身存在市场，无形资</w:t>
      </w:r>
      <w:r>
        <w:rPr/>
        <w:t> 产将在内部使用的，应当证明其有用性；</w:t>
      </w:r>
    </w:p>
    <w:p>
      <w:pPr>
        <w:pStyle w:val="BodyText"/>
        <w:spacing w:line="240" w:lineRule="auto" w:before="19"/>
        <w:ind w:left="513" w:right="0"/>
        <w:jc w:val="left"/>
      </w:pPr>
      <w:r>
        <w:rPr/>
        <w:t>④有足够的技术、财务资源和其他资源支持，以完成该无形资产的开发，并有能力使用或出售该无形资产；</w:t>
      </w:r>
    </w:p>
    <w:p>
      <w:pPr>
        <w:pStyle w:val="BodyText"/>
        <w:spacing w:line="316" w:lineRule="auto" w:before="76"/>
        <w:ind w:left="513" w:right="2573"/>
        <w:jc w:val="left"/>
      </w:pPr>
      <w:r>
        <w:rPr/>
        <w:t>⑤归属于该无形资产开发阶段的支出能够可靠地计量。 除满足上述条件的开发阶段的支出外，其他研究、开发支出均于发生时计入当期损益。</w:t>
      </w:r>
    </w:p>
    <w:p>
      <w:pPr>
        <w:spacing w:after="0" w:line="316"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94"/>
        <w:jc w:val="left"/>
      </w:pPr>
      <w:r>
        <w:rPr/>
        <w:t>（</w:t>
      </w:r>
      <w:r>
        <w:rPr>
          <w:rFonts w:ascii="Times New Roman" w:hAnsi="Times New Roman" w:cs="Times New Roman" w:eastAsia="Times New Roman" w:hint="default"/>
        </w:rPr>
        <w:t>1</w:t>
      </w:r>
      <w:r>
        <w:rPr/>
        <w:t>）资产减值是指资产的可收回金额低于其账面价值。 </w:t>
      </w:r>
      <w:r>
        <w:rPr>
          <w:spacing w:val="-2"/>
        </w:rPr>
        <w:t>在财务报表中单独列示的商誉和使用寿命不确定的无形资产，无论是否存在减值迹象，至少每年进行减值测试。固定资</w:t>
      </w:r>
    </w:p>
    <w:p>
      <w:pPr>
        <w:pStyle w:val="BodyText"/>
        <w:spacing w:line="316" w:lineRule="auto" w:before="31"/>
        <w:ind w:right="193"/>
        <w:jc w:val="both"/>
      </w:pPr>
      <w:r>
        <w:rPr>
          <w:spacing w:val="-2"/>
        </w:rPr>
        <w:t>产、无形资产及长期投资等，公司在资产负债表日判断资产是否存在可能发生减值的迹象，资产存在减值迹象的，以单项资</w:t>
      </w:r>
      <w:r>
        <w:rPr>
          <w:spacing w:val="-66"/>
        </w:rPr>
        <w:t> </w:t>
      </w:r>
      <w:r>
        <w:rPr>
          <w:spacing w:val="-66"/>
        </w:rPr>
      </w:r>
      <w:r>
        <w:rPr>
          <w:spacing w:val="-2"/>
        </w:rPr>
        <w:t>产为基础估计其可收回金额；难以对单项资产的可收回金额进行估计的，以该资产所属的资产组为基础确定资产组的可收回</w:t>
      </w:r>
      <w:r>
        <w:rPr>
          <w:spacing w:val="-64"/>
        </w:rPr>
        <w:t> </w:t>
      </w:r>
      <w:r>
        <w:rPr>
          <w:spacing w:val="-64"/>
        </w:rPr>
      </w:r>
      <w:r>
        <w:rPr/>
        <w:t>金额。按照可收回金额低于账面价值的差额，计提减值准备。</w:t>
      </w:r>
    </w:p>
    <w:p>
      <w:pPr>
        <w:pStyle w:val="BodyText"/>
        <w:spacing w:line="312" w:lineRule="auto" w:before="19"/>
        <w:ind w:right="190" w:firstLine="360"/>
        <w:jc w:val="both"/>
      </w:pPr>
      <w:r>
        <w:rPr/>
        <w:t>（</w:t>
      </w:r>
      <w:r>
        <w:rPr>
          <w:rFonts w:ascii="Times New Roman" w:hAnsi="Times New Roman" w:cs="Times New Roman" w:eastAsia="Times New Roman" w:hint="default"/>
        </w:rPr>
        <w:t>2</w:t>
      </w:r>
      <w:r>
        <w:rPr/>
        <w:t>）资产组是公司可以认定的最小资产组合，其产生的现金流入基本上独立于其他资产或资产组。能够独立于其他部 </w:t>
      </w:r>
      <w:r>
        <w:rPr>
          <w:spacing w:val="-2"/>
        </w:rPr>
        <w:t>门或单位等形成收入、产生现金流入，或者其形成的收入和现金流入绝大部分独立于其他部门或单位、且属于可认定的最小</w:t>
      </w:r>
      <w:r>
        <w:rPr>
          <w:spacing w:val="-63"/>
        </w:rPr>
        <w:t> </w:t>
      </w:r>
      <w:r>
        <w:rPr>
          <w:spacing w:val="-63"/>
        </w:rPr>
      </w:r>
      <w:r>
        <w:rPr>
          <w:spacing w:val="-2"/>
        </w:rPr>
        <w:t>资产组合的公司的生产线、营业网点、业务部门通常被认定为一个资产组；几项资产组合生产产品存在活跃市场的，这些资</w:t>
      </w:r>
      <w:r>
        <w:rPr>
          <w:spacing w:val="-65"/>
        </w:rPr>
        <w:t> </w:t>
      </w:r>
      <w:r>
        <w:rPr>
          <w:spacing w:val="-65"/>
        </w:rPr>
      </w:r>
      <w:r>
        <w:rPr/>
        <w:t>产的组合也被认定为资产组。</w:t>
      </w:r>
    </w:p>
    <w:p>
      <w:pPr>
        <w:pStyle w:val="BodyText"/>
        <w:spacing w:line="240" w:lineRule="auto" w:before="23"/>
        <w:ind w:left="513" w:right="94"/>
        <w:jc w:val="left"/>
      </w:pPr>
      <w:r>
        <w:rPr/>
        <w:t>（</w:t>
      </w:r>
      <w:r>
        <w:rPr>
          <w:rFonts w:ascii="Times New Roman" w:hAnsi="Times New Roman" w:cs="Times New Roman" w:eastAsia="Times New Roman" w:hint="default"/>
        </w:rPr>
        <w:t>3</w:t>
      </w:r>
      <w:r>
        <w:rPr/>
        <w:t>）可收回金额根据资产的公允价值减去处置费用后的净额与资产预计未来现金流量的现值两者之间较高者确定。</w:t>
      </w:r>
    </w:p>
    <w:p>
      <w:pPr>
        <w:pStyle w:val="BodyText"/>
        <w:spacing w:line="240" w:lineRule="auto" w:before="63"/>
        <w:ind w:left="513" w:right="94"/>
        <w:jc w:val="left"/>
      </w:pPr>
      <w:r>
        <w:rPr/>
        <w:t>（</w:t>
      </w:r>
      <w:r>
        <w:rPr>
          <w:rFonts w:ascii="Times New Roman" w:hAnsi="Times New Roman" w:cs="Times New Roman" w:eastAsia="Times New Roman" w:hint="default"/>
        </w:rPr>
        <w:t>4</w:t>
      </w:r>
      <w:r>
        <w:rPr/>
        <w:t>）上述资产减值损失一经确认，如果以后期间价值得以恢复，也不予转回。</w:t>
      </w: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0" w:firstLine="360"/>
        <w:jc w:val="both"/>
      </w:pPr>
      <w:r>
        <w:rPr>
          <w:spacing w:val="-2"/>
        </w:rPr>
        <w:t>长期待摊费用按实际发生额核算，在项目受益期内平均摊销。如果长期摊销的费用项目不能使以后会计期间受益的，应</w:t>
      </w:r>
      <w:r>
        <w:rPr/>
        <w:t> </w:t>
      </w:r>
      <w:r>
        <w:rPr>
          <w:spacing w:val="-2"/>
        </w:rPr>
        <w:t>当将尚未摊销的该项目的摊余价值全部转入当期损益。长期待摊费用包括主要为租入固定资产的改良支出等。租入固定资产</w:t>
      </w:r>
      <w:r>
        <w:rPr>
          <w:spacing w:val="-64"/>
        </w:rPr>
        <w:t> </w:t>
      </w:r>
      <w:r>
        <w:rPr>
          <w:spacing w:val="-64"/>
        </w:rPr>
      </w:r>
      <w:r>
        <w:rPr/>
        <w:t>改良支出，在租赁使用年限与租赁资产尚可使用年限孰短的期限内平均摊销；其他长期待摊费用在受益期内平均摊销。</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firstLine="360"/>
        <w:jc w:val="both"/>
      </w:pPr>
      <w:r>
        <w:rPr>
          <w:spacing w:val="-2"/>
        </w:rPr>
        <w:t>短期薪酬，是指企业预期在职工提供相关服务的年度报告期间结束后十二个月内将全部予以支付的职工薪酬，因解除与</w:t>
      </w:r>
      <w:r>
        <w:rPr/>
        <w:t> 职工的劳动关系给予的补偿除外。</w:t>
      </w:r>
    </w:p>
    <w:p>
      <w:pPr>
        <w:pStyle w:val="BodyText"/>
        <w:spacing w:line="240" w:lineRule="auto" w:before="19"/>
        <w:ind w:left="513" w:right="94"/>
        <w:jc w:val="left"/>
      </w:pPr>
      <w:r>
        <w:rPr/>
        <w:t>公司在职工提供服务的会计期间，将实际发生的职工短期薪酬确认为负债，并计入当期损益或者相关资产的成本。</w:t>
      </w:r>
    </w:p>
    <w:p>
      <w:pPr>
        <w:spacing w:line="240" w:lineRule="auto" w:before="0"/>
        <w:rPr>
          <w:rFonts w:ascii="宋体" w:hAnsi="宋体" w:cs="宋体" w:eastAsia="宋体" w:hint="default"/>
          <w:sz w:val="18"/>
          <w:szCs w:val="18"/>
        </w:rPr>
      </w:pPr>
    </w:p>
    <w:p>
      <w:pPr>
        <w:pStyle w:val="Heading5"/>
        <w:spacing w:line="240" w:lineRule="auto" w:before="120"/>
        <w:ind w:right="0"/>
        <w:jc w:val="both"/>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 w:firstLine="360"/>
        <w:jc w:val="both"/>
      </w:pPr>
      <w:r>
        <w:rPr/>
        <w:t>离职后福利，是指企业为获得职工提供的服务而在职工退休或与企业解除劳动关系后，提供的各种形式的报酬和福利， 属于短期薪酬和辞退福利的除外。</w:t>
      </w:r>
    </w:p>
    <w:p>
      <w:pPr>
        <w:pStyle w:val="BodyText"/>
        <w:spacing w:line="316" w:lineRule="auto" w:before="19"/>
        <w:ind w:right="188" w:firstLine="360"/>
        <w:jc w:val="both"/>
      </w:pPr>
      <w:r>
        <w:rPr>
          <w:spacing w:val="-2"/>
        </w:rPr>
        <w:t>离职后福利计划分类为设定提存计划和设定受益计划。对于设定提存计划，企业应当在职工为其提供的会计期间，将根</w:t>
      </w:r>
      <w:r>
        <w:rPr/>
        <w:t> </w:t>
      </w:r>
      <w:r>
        <w:rPr>
          <w:spacing w:val="-2"/>
        </w:rPr>
        <w:t>据设定提存计划计算的应缴存金额确认为负债，并计入当期损益或者相关资产成本。对于设定受益计划，企业应当根据预期</w:t>
      </w:r>
      <w:r>
        <w:rPr>
          <w:spacing w:val="-63"/>
        </w:rPr>
        <w:t> </w:t>
      </w:r>
      <w:r>
        <w:rPr>
          <w:spacing w:val="-63"/>
        </w:rPr>
      </w:r>
      <w:r>
        <w:rPr>
          <w:spacing w:val="-2"/>
        </w:rPr>
        <w:t>累计福利单位法确认设定受益计划的福利义务，按照归属于职工提供服务的期间，因设定受益计划所产生的服务成本、设定</w:t>
      </w:r>
      <w:r>
        <w:rPr>
          <w:spacing w:val="-63"/>
        </w:rPr>
        <w:t> </w:t>
      </w:r>
      <w:r>
        <w:rPr>
          <w:spacing w:val="-63"/>
        </w:rPr>
      </w:r>
      <w:r>
        <w:rPr>
          <w:spacing w:val="-2"/>
        </w:rPr>
        <w:t>受益计划净负债或净资产的利息净额，一次性计入当期损益或者相关资产成本；因重新计量设定受益计划净负债或净资产所</w:t>
      </w:r>
      <w:r>
        <w:rPr>
          <w:spacing w:val="-64"/>
        </w:rPr>
        <w:t> </w:t>
      </w:r>
      <w:r>
        <w:rPr>
          <w:spacing w:val="-64"/>
        </w:rPr>
      </w:r>
      <w:r>
        <w:rPr/>
        <w:t>产生的变动，应当计入其他综合收益，并且在后续会计期间不允许转回至损益。</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93"/>
        <w:jc w:val="left"/>
      </w:pPr>
      <w:r>
        <w:rPr>
          <w:spacing w:val="-4"/>
        </w:rPr>
        <w:t>辞退福利，是指企业在职工劳动合同到期之前解除与职工的劳动关系，或者为鼓励职工自愿接受裁减而给予职工的补偿。</w:t>
      </w:r>
      <w:r>
        <w:rPr>
          <w:spacing w:val="-52"/>
        </w:rPr>
        <w:t> </w:t>
      </w:r>
      <w:r>
        <w:rPr>
          <w:spacing w:val="-52"/>
        </w:rPr>
      </w:r>
      <w:r>
        <w:rPr/>
        <w:t>对于辞退福利，同时满足下列条件的，确认因解除与职工的劳动关系给予补偿而产生的预计负债，同时计入当期损益：</w:t>
      </w:r>
    </w:p>
    <w:p>
      <w:pPr>
        <w:pStyle w:val="BodyText"/>
        <w:spacing w:line="240" w:lineRule="auto" w:before="19"/>
        <w:ind w:left="513" w:right="94"/>
        <w:jc w:val="left"/>
      </w:pPr>
      <w:r>
        <w:rPr/>
        <w:t>①公司已经制定正式的解除劳动关系计划或提出自愿裁减建议，并即将实施；</w:t>
      </w:r>
    </w:p>
    <w:p>
      <w:pPr>
        <w:pStyle w:val="BodyText"/>
        <w:spacing w:line="316" w:lineRule="auto" w:before="77"/>
        <w:ind w:left="513" w:right="94"/>
        <w:jc w:val="left"/>
      </w:pPr>
      <w:r>
        <w:rPr/>
        <w:t>②公司不能单方面撤回解除劳动关系计划或裁减建议。 </w:t>
      </w:r>
      <w:r>
        <w:rPr>
          <w:spacing w:val="-2"/>
        </w:rPr>
        <w:t>职工内部退休计划采用上述辞退福利相同的原则处理。公司将自职工停止提供服务日至正常退休日的期间、公司拟支付</w:t>
      </w:r>
    </w:p>
    <w:p>
      <w:pPr>
        <w:spacing w:after="0" w:line="316"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的内退人员工资和缴纳的社会保险费等确认为预计负债，一次计入当期管理费用，不在职工内退后各期分期确认因支付内退</w:t>
      </w:r>
      <w:r>
        <w:rPr>
          <w:spacing w:val="-62"/>
        </w:rPr>
        <w:t> </w:t>
      </w:r>
      <w:r>
        <w:rPr>
          <w:spacing w:val="-62"/>
        </w:rPr>
      </w:r>
      <w:r>
        <w:rPr/>
        <w:t>职工工资和为其缴纳社会保险费而产生的义务。</w:t>
      </w:r>
    </w:p>
    <w:p>
      <w:pPr>
        <w:spacing w:line="240" w:lineRule="auto" w:before="10"/>
        <w:rPr>
          <w:rFonts w:ascii="宋体" w:hAnsi="宋体" w:cs="宋体" w:eastAsia="宋体" w:hint="default"/>
          <w:sz w:val="22"/>
          <w:szCs w:val="22"/>
        </w:rPr>
      </w:pPr>
    </w:p>
    <w:p>
      <w:pPr>
        <w:pStyle w:val="Heading5"/>
        <w:spacing w:line="240" w:lineRule="auto"/>
        <w:ind w:right="9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firstLine="360"/>
        <w:jc w:val="left"/>
      </w:pPr>
      <w:r>
        <w:rPr>
          <w:spacing w:val="-4"/>
        </w:rPr>
        <w:t>其他长期职工福利，是指除短期薪酬、离职后福利、辞退福利之外所有的职工薪酬，包括长期带薪缺勤、长期残疾福利、</w:t>
      </w:r>
      <w:r>
        <w:rPr/>
        <w:t> 长期利润分享计划等。</w:t>
      </w:r>
    </w:p>
    <w:p>
      <w:pPr>
        <w:pStyle w:val="BodyText"/>
        <w:spacing w:line="316" w:lineRule="auto" w:before="19"/>
        <w:ind w:right="190" w:firstLine="360"/>
        <w:jc w:val="both"/>
      </w:pPr>
      <w:r>
        <w:rPr>
          <w:spacing w:val="-2"/>
        </w:rPr>
        <w:t>企业向职工提供的其他长期职工福利，符合设定提存计划条件的，应当按照设定提存计划的有关规定进行会计处理。企</w:t>
      </w:r>
      <w:r>
        <w:rPr/>
        <w:t> </w:t>
      </w:r>
      <w:r>
        <w:rPr>
          <w:spacing w:val="-2"/>
        </w:rPr>
        <w:t>业向职工提供的其他长期职工福利，符合设定受益计划条件的，企业应当设定受益计划的有关规定，确认和计量其他长期职</w:t>
      </w:r>
      <w:r>
        <w:rPr>
          <w:spacing w:val="-63"/>
        </w:rPr>
        <w:t> </w:t>
      </w:r>
      <w:r>
        <w:rPr>
          <w:spacing w:val="-63"/>
        </w:rPr>
      </w:r>
      <w:r>
        <w:rPr/>
        <w:t>工净负债或资产。在报告期末，企业应当将其他长期职工福利产生的职工薪酬成本确认为下列组成部分：</w:t>
      </w:r>
    </w:p>
    <w:p>
      <w:pPr>
        <w:pStyle w:val="BodyText"/>
        <w:spacing w:line="240" w:lineRule="auto" w:before="19"/>
        <w:ind w:left="513" w:right="94"/>
        <w:jc w:val="left"/>
      </w:pPr>
      <w:r>
        <w:rPr/>
        <w:t>（</w:t>
      </w:r>
      <w:r>
        <w:rPr>
          <w:rFonts w:ascii="Times New Roman" w:hAnsi="Times New Roman" w:cs="Times New Roman" w:eastAsia="Times New Roman" w:hint="default"/>
        </w:rPr>
        <w:t>1</w:t>
      </w:r>
      <w:r>
        <w:rPr/>
        <w:t>）服务成本。</w:t>
      </w:r>
    </w:p>
    <w:p>
      <w:pPr>
        <w:pStyle w:val="BodyText"/>
        <w:spacing w:line="240" w:lineRule="auto" w:before="63"/>
        <w:ind w:left="513" w:right="94"/>
        <w:jc w:val="left"/>
      </w:pPr>
      <w:r>
        <w:rPr/>
        <w:t>（</w:t>
      </w:r>
      <w:r>
        <w:rPr>
          <w:rFonts w:ascii="Times New Roman" w:hAnsi="Times New Roman" w:cs="Times New Roman" w:eastAsia="Times New Roman" w:hint="default"/>
        </w:rPr>
        <w:t>2</w:t>
      </w:r>
      <w:r>
        <w:rPr/>
        <w:t>）其他长期职工福利净负债或净资产的利息净额。</w:t>
      </w:r>
    </w:p>
    <w:p>
      <w:pPr>
        <w:pStyle w:val="BodyText"/>
        <w:spacing w:line="309" w:lineRule="auto" w:before="63"/>
        <w:ind w:left="513" w:right="94"/>
        <w:jc w:val="left"/>
      </w:pPr>
      <w:r>
        <w:rPr/>
        <w:t>（</w:t>
      </w:r>
      <w:r>
        <w:rPr>
          <w:rFonts w:ascii="Times New Roman" w:hAnsi="Times New Roman" w:cs="Times New Roman" w:eastAsia="Times New Roman" w:hint="default"/>
        </w:rPr>
        <w:t>3</w:t>
      </w:r>
      <w:r>
        <w:rPr/>
        <w:t>）重新计量跟其他长期职工福利净负债或净资产所产生的变动。 上述项目的总净额应计入当期损益或相关资产成本。 </w:t>
      </w:r>
      <w:r>
        <w:rPr>
          <w:spacing w:val="-2"/>
        </w:rPr>
        <w:t>长期残疾福利水平取决于职工提供服务期间长短的，企业应在职工提供服务的期间确认应付长期残疾福利义务，计量时</w:t>
      </w:r>
    </w:p>
    <w:p>
      <w:pPr>
        <w:pStyle w:val="BodyText"/>
        <w:spacing w:line="316" w:lineRule="auto" w:before="24"/>
        <w:ind w:right="94"/>
        <w:jc w:val="left"/>
      </w:pPr>
      <w:r>
        <w:rPr>
          <w:spacing w:val="-2"/>
        </w:rPr>
        <w:t>应当考虑长期残疾福利支付的可能性和预期支付的期限；与职工提供服务期间长短无关的，企业应当在导致职工长期残疾的</w:t>
      </w:r>
      <w:r>
        <w:rPr>
          <w:spacing w:val="-64"/>
        </w:rPr>
        <w:t> </w:t>
      </w:r>
      <w:r>
        <w:rPr>
          <w:spacing w:val="-64"/>
        </w:rPr>
      </w:r>
      <w:r>
        <w:rPr/>
        <w:t>事件的当期确认应付长期残疾福利义务。</w:t>
      </w:r>
    </w:p>
    <w:p>
      <w:pPr>
        <w:spacing w:line="240" w:lineRule="auto" w:before="10"/>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419" w:right="94"/>
        <w:jc w:val="left"/>
        <w:rPr>
          <w:b w:val="0"/>
          <w:bCs w:val="0"/>
        </w:rPr>
      </w:pPr>
      <w:r>
        <w:rPr>
          <w:rFonts w:ascii="Times New Roman" w:hAnsi="Times New Roman" w:cs="Times New Roman" w:eastAsia="Times New Roman" w:hint="default"/>
        </w:rPr>
        <w:t>1</w:t>
      </w:r>
      <w:r>
        <w:rPr/>
        <w:t>、确认原则</w:t>
      </w:r>
      <w:r>
        <w:rPr>
          <w:b w:val="0"/>
          <w:bCs w:val="0"/>
        </w:rPr>
      </w:r>
    </w:p>
    <w:p>
      <w:pPr>
        <w:pStyle w:val="BodyText"/>
        <w:spacing w:line="319" w:lineRule="auto" w:before="42"/>
        <w:ind w:right="94" w:firstLine="360"/>
        <w:jc w:val="left"/>
      </w:pPr>
      <w:r>
        <w:rPr>
          <w:spacing w:val="-2"/>
        </w:rPr>
        <w:t>当与对外担保、未决诉讼或仲裁、产品质量保证、裁员计划、亏损合同、重组义务等或有事项相关的业务同时符合以下</w:t>
      </w:r>
      <w:r>
        <w:rPr/>
        <w:t> 条件时，确认为预计负债：</w:t>
      </w:r>
    </w:p>
    <w:p>
      <w:pPr>
        <w:pStyle w:val="BodyText"/>
        <w:spacing w:line="240" w:lineRule="auto" w:before="17"/>
        <w:ind w:left="513" w:right="94"/>
        <w:jc w:val="left"/>
      </w:pPr>
      <w:r>
        <w:rPr/>
        <w:t>（</w:t>
      </w:r>
      <w:r>
        <w:rPr>
          <w:rFonts w:ascii="Times New Roman" w:hAnsi="Times New Roman" w:cs="Times New Roman" w:eastAsia="Times New Roman" w:hint="default"/>
        </w:rPr>
        <w:t>1</w:t>
      </w:r>
      <w:r>
        <w:rPr/>
        <w:t>）该义务是企业承担的现时义务；</w:t>
      </w:r>
    </w:p>
    <w:p>
      <w:pPr>
        <w:pStyle w:val="BodyText"/>
        <w:spacing w:line="240" w:lineRule="auto" w:before="63"/>
        <w:ind w:left="513" w:right="94"/>
        <w:jc w:val="left"/>
      </w:pPr>
      <w:r>
        <w:rPr/>
        <w:t>（</w:t>
      </w:r>
      <w:r>
        <w:rPr>
          <w:rFonts w:ascii="Times New Roman" w:hAnsi="Times New Roman" w:cs="Times New Roman" w:eastAsia="Times New Roman" w:hint="default"/>
        </w:rPr>
        <w:t>2</w:t>
      </w:r>
      <w:r>
        <w:rPr/>
        <w:t>）履行该义务很可能导致经济利益流出企业；</w:t>
      </w:r>
    </w:p>
    <w:p>
      <w:pPr>
        <w:pStyle w:val="BodyText"/>
        <w:spacing w:line="240" w:lineRule="auto" w:before="63"/>
        <w:ind w:left="513" w:right="94"/>
        <w:jc w:val="left"/>
      </w:pPr>
      <w:r>
        <w:rPr/>
        <w:t>（</w:t>
      </w:r>
      <w:r>
        <w:rPr>
          <w:rFonts w:ascii="Times New Roman" w:hAnsi="Times New Roman" w:cs="Times New Roman" w:eastAsia="Times New Roman" w:hint="default"/>
        </w:rPr>
        <w:t>3</w:t>
      </w:r>
      <w:r>
        <w:rPr/>
        <w:t>）该义务的金额能够可靠地计量。</w:t>
      </w:r>
    </w:p>
    <w:p>
      <w:pPr>
        <w:pStyle w:val="Heading5"/>
        <w:spacing w:line="240" w:lineRule="auto" w:before="42"/>
        <w:ind w:left="575" w:right="94"/>
        <w:jc w:val="left"/>
        <w:rPr>
          <w:b w:val="0"/>
          <w:bCs w:val="0"/>
        </w:rPr>
      </w:pPr>
      <w:r>
        <w:rPr>
          <w:rFonts w:ascii="Times New Roman" w:hAnsi="Times New Roman" w:cs="Times New Roman" w:eastAsia="Times New Roman" w:hint="default"/>
        </w:rPr>
        <w:t>2</w:t>
      </w:r>
      <w:r>
        <w:rPr/>
        <w:t>、计量方法</w:t>
      </w:r>
      <w:r>
        <w:rPr>
          <w:b w:val="0"/>
          <w:bCs w:val="0"/>
        </w:rPr>
      </w:r>
    </w:p>
    <w:p>
      <w:pPr>
        <w:pStyle w:val="BodyText"/>
        <w:spacing w:line="240" w:lineRule="auto" w:before="42"/>
        <w:ind w:left="513" w:right="94"/>
        <w:jc w:val="left"/>
      </w:pPr>
      <w:r>
        <w:rPr/>
        <w:t>预计负债按照履行相关现实义务所需支出的最佳估计数进行初始计量</w:t>
      </w:r>
      <w:r>
        <w:rPr>
          <w:spacing w:val="-82"/>
        </w:rPr>
        <w:t>，</w:t>
      </w:r>
      <w:r>
        <w:rPr/>
        <w:t>并在资产负债表日对预计负债的账面价值进行复</w:t>
      </w:r>
    </w:p>
    <w:p>
      <w:pPr>
        <w:pStyle w:val="BodyText"/>
        <w:spacing w:line="240" w:lineRule="auto" w:before="76"/>
        <w:ind w:right="94"/>
        <w:jc w:val="left"/>
      </w:pPr>
      <w:r>
        <w:rPr/>
        <w:t>核。</w:t>
      </w:r>
    </w:p>
    <w:p>
      <w:pPr>
        <w:spacing w:line="240" w:lineRule="auto" w:before="0"/>
        <w:rPr>
          <w:rFonts w:ascii="宋体" w:hAnsi="宋体" w:cs="宋体" w:eastAsia="宋体" w:hint="default"/>
          <w:sz w:val="18"/>
          <w:szCs w:val="18"/>
        </w:rPr>
      </w:pPr>
    </w:p>
    <w:p>
      <w:pPr>
        <w:pStyle w:val="Heading5"/>
        <w:spacing w:line="240" w:lineRule="auto" w:before="120"/>
        <w:ind w:right="94"/>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94"/>
        <w:jc w:val="left"/>
      </w:pPr>
      <w:r>
        <w:rPr/>
        <w:t>公司的股份支付分为以权益结算的股份支付和以现金结算的股份支付。</w:t>
      </w:r>
    </w:p>
    <w:p>
      <w:pPr>
        <w:pStyle w:val="Heading5"/>
        <w:spacing w:line="240" w:lineRule="auto" w:before="56"/>
        <w:ind w:left="419" w:right="94"/>
        <w:jc w:val="left"/>
        <w:rPr>
          <w:b w:val="0"/>
          <w:bCs w:val="0"/>
        </w:rPr>
      </w:pPr>
      <w:r>
        <w:rPr>
          <w:rFonts w:ascii="Times New Roman" w:hAnsi="Times New Roman" w:cs="Times New Roman" w:eastAsia="Times New Roman" w:hint="default"/>
        </w:rPr>
        <w:t>1</w:t>
      </w:r>
      <w:r>
        <w:rPr/>
        <w:t>、权益工具公允价值的确定</w:t>
      </w:r>
      <w:r>
        <w:rPr>
          <w:b w:val="0"/>
          <w:bCs w:val="0"/>
        </w:rPr>
      </w:r>
    </w:p>
    <w:p>
      <w:pPr>
        <w:pStyle w:val="BodyText"/>
        <w:spacing w:line="316" w:lineRule="auto" w:before="42"/>
        <w:ind w:right="94" w:firstLine="360"/>
        <w:jc w:val="left"/>
      </w:pPr>
      <w:r>
        <w:rPr>
          <w:spacing w:val="-2"/>
        </w:rPr>
        <w:t>以权益结算的股份支付，以授予职工权益工具的公允价值计量。以现金结算的股份支付，按照公司承担的以股份或其他</w:t>
      </w:r>
      <w:r>
        <w:rPr/>
        <w:t> 权益工具为基础计算确定的负债的公允价值计量。</w:t>
      </w:r>
    </w:p>
    <w:p>
      <w:pPr>
        <w:pStyle w:val="BodyText"/>
        <w:spacing w:line="316" w:lineRule="auto" w:before="19"/>
        <w:ind w:right="94" w:firstLine="360"/>
        <w:jc w:val="left"/>
      </w:pPr>
      <w:r>
        <w:rPr>
          <w:spacing w:val="-2"/>
        </w:rPr>
        <w:t>对于授予的存在活跃市场的期权等权益工具，按照活跃市场中的报价确定其公允价值。对于授予的不存在活跃市场的期</w:t>
      </w:r>
      <w:r>
        <w:rPr/>
        <w:t> 权等权益工具，采用期权定价模型等确定其公允价值，选用的期权定价模型考虑以下因素：</w:t>
      </w:r>
    </w:p>
    <w:p>
      <w:pPr>
        <w:pStyle w:val="BodyText"/>
        <w:spacing w:line="240" w:lineRule="auto" w:before="19"/>
        <w:ind w:left="513" w:right="0"/>
        <w:jc w:val="left"/>
      </w:pPr>
      <w:r>
        <w:rPr/>
        <w:t>期权的行权价格、期权的有效期、标的股份的现行价格、股价预计波动率、股份的预计股利、期权有效期内的无风险利</w:t>
      </w:r>
    </w:p>
    <w:p>
      <w:pPr>
        <w:pStyle w:val="BodyText"/>
        <w:spacing w:line="240" w:lineRule="auto" w:before="76"/>
        <w:ind w:right="94"/>
        <w:jc w:val="left"/>
      </w:pPr>
      <w:r>
        <w:rPr/>
        <w:t>率。</w:t>
      </w:r>
    </w:p>
    <w:p>
      <w:pPr>
        <w:pStyle w:val="Heading5"/>
        <w:spacing w:line="240" w:lineRule="auto" w:before="56"/>
        <w:ind w:left="419" w:right="94"/>
        <w:jc w:val="left"/>
        <w:rPr>
          <w:b w:val="0"/>
          <w:bCs w:val="0"/>
        </w:rPr>
      </w:pPr>
      <w:r>
        <w:rPr>
          <w:rFonts w:ascii="Times New Roman" w:hAnsi="Times New Roman" w:cs="Times New Roman" w:eastAsia="Times New Roman" w:hint="default"/>
        </w:rPr>
        <w:t>2</w:t>
      </w:r>
      <w:r>
        <w:rPr/>
        <w:t>、以权益工具结算的股份支付会计处理</w:t>
      </w:r>
      <w:r>
        <w:rPr>
          <w:b w:val="0"/>
          <w:bCs w:val="0"/>
        </w:rPr>
      </w:r>
    </w:p>
    <w:p>
      <w:pPr>
        <w:pStyle w:val="BodyText"/>
        <w:spacing w:line="300" w:lineRule="auto" w:before="42"/>
        <w:ind w:right="184" w:firstLine="360"/>
        <w:jc w:val="left"/>
      </w:pPr>
      <w:r>
        <w:rPr/>
        <w:t>（</w:t>
      </w:r>
      <w:r>
        <w:rPr>
          <w:rFonts w:ascii="Times New Roman" w:hAnsi="Times New Roman" w:cs="Times New Roman" w:eastAsia="Times New Roman" w:hint="default"/>
        </w:rPr>
        <w:t>1</w:t>
      </w:r>
      <w:r>
        <w:rPr/>
        <w:t>）授予后立即可行权的以权益结算的股份支付，在授予日以权益工具的公允价值计入相关成本或费用，相应增加资 本公积。</w:t>
      </w:r>
    </w:p>
    <w:p>
      <w:pPr>
        <w:pStyle w:val="BodyText"/>
        <w:spacing w:line="240" w:lineRule="auto" w:before="32"/>
        <w:ind w:left="513" w:right="94"/>
        <w:jc w:val="left"/>
      </w:pPr>
      <w:r>
        <w:rPr/>
        <w:t>授予日，是指股份支付协议获得批准的日期。</w:t>
      </w:r>
    </w:p>
    <w:p>
      <w:pPr>
        <w:pStyle w:val="BodyText"/>
        <w:spacing w:line="240" w:lineRule="auto" w:before="76"/>
        <w:ind w:left="513" w:right="94"/>
        <w:jc w:val="left"/>
      </w:pPr>
      <w:r>
        <w:rPr/>
        <w:t>（</w:t>
      </w:r>
      <w:r>
        <w:rPr>
          <w:rFonts w:ascii="Times New Roman" w:hAnsi="Times New Roman" w:cs="Times New Roman" w:eastAsia="Times New Roman" w:hint="default"/>
        </w:rPr>
        <w:t>2</w:t>
      </w:r>
      <w:r>
        <w:rPr/>
        <w:t>）完成等待期内的服务或达到规定业绩条件才可行权的换取职工服务的以权益结算的股份支付，在等待期内的每个</w:t>
      </w:r>
    </w:p>
    <w:p>
      <w:pPr>
        <w:spacing w:after="0" w:line="240" w:lineRule="auto"/>
        <w:jc w:val="left"/>
        <w:sectPr>
          <w:footerReference w:type="default" r:id="rId14"/>
          <w:pgSz w:w="11910" w:h="16840"/>
          <w:pgMar w:footer="979" w:header="745" w:top="1060" w:bottom="1160" w:left="980" w:right="940"/>
          <w:pgNumType w:start="100"/>
        </w:sectPr>
      </w:pPr>
    </w:p>
    <w:p>
      <w:pPr>
        <w:spacing w:line="240" w:lineRule="auto" w:before="10"/>
        <w:rPr>
          <w:rFonts w:ascii="宋体" w:hAnsi="宋体" w:cs="宋体" w:eastAsia="宋体" w:hint="default"/>
          <w:sz w:val="25"/>
          <w:szCs w:val="25"/>
        </w:rPr>
      </w:pPr>
    </w:p>
    <w:p>
      <w:pPr>
        <w:pStyle w:val="BodyText"/>
        <w:spacing w:line="316" w:lineRule="auto" w:before="44"/>
        <w:ind w:right="94"/>
        <w:jc w:val="left"/>
      </w:pPr>
      <w:r>
        <w:rPr>
          <w:spacing w:val="-2"/>
        </w:rPr>
        <w:t>资产负债表日，以对可行权权益工具数量的最佳估计为基础，按照权益工具授予日的公允价值，将当期取得的服务计入相关</w:t>
      </w:r>
      <w:r>
        <w:rPr>
          <w:spacing w:val="-63"/>
        </w:rPr>
        <w:t> </w:t>
      </w:r>
      <w:r>
        <w:rPr>
          <w:spacing w:val="-63"/>
        </w:rPr>
      </w:r>
      <w:r>
        <w:rPr/>
        <w:t>成本或费用和资本公积，不确认后续公允价值变动。</w:t>
      </w:r>
    </w:p>
    <w:p>
      <w:pPr>
        <w:pStyle w:val="BodyText"/>
        <w:spacing w:line="316" w:lineRule="auto" w:before="19"/>
        <w:ind w:right="192" w:firstLine="360"/>
        <w:jc w:val="both"/>
      </w:pPr>
      <w:r>
        <w:rPr>
          <w:spacing w:val="-2"/>
        </w:rPr>
        <w:t>等待期内每个资产负债表日，公司根据最新取得的可行权职工人数变动等后续信息作出最佳估计，修正预计可行权的权</w:t>
      </w:r>
      <w:r>
        <w:rPr/>
        <w:t> 益工具数量。在可行权日，最终预计可行权权益工具的数量与实际可行权工具的数量一致。</w:t>
      </w:r>
    </w:p>
    <w:p>
      <w:pPr>
        <w:pStyle w:val="BodyText"/>
        <w:spacing w:line="300" w:lineRule="auto" w:before="19"/>
        <w:ind w:right="199" w:firstLine="360"/>
        <w:jc w:val="both"/>
      </w:pPr>
      <w:r>
        <w:rPr/>
        <w:t>（</w:t>
      </w:r>
      <w:r>
        <w:rPr>
          <w:rFonts w:ascii="Times New Roman" w:hAnsi="Times New Roman" w:cs="Times New Roman" w:eastAsia="Times New Roman" w:hint="default"/>
        </w:rPr>
        <w:t>3</w:t>
      </w:r>
      <w:r>
        <w:rPr/>
        <w:t>）对于权益结算的股份支付，在可行权日之后不再对已确认的成本费用和所有者权益总额进行调整。公司在行权日 根据行权情况，确认股本和股本溢价，同时结转等待期内确认的资本公积。</w:t>
      </w:r>
    </w:p>
    <w:p>
      <w:pPr>
        <w:pStyle w:val="Heading5"/>
        <w:spacing w:line="240" w:lineRule="auto" w:before="11"/>
        <w:ind w:left="419" w:right="94"/>
        <w:jc w:val="left"/>
        <w:rPr>
          <w:b w:val="0"/>
          <w:bCs w:val="0"/>
        </w:rPr>
      </w:pPr>
      <w:r>
        <w:rPr>
          <w:rFonts w:ascii="Times New Roman" w:hAnsi="Times New Roman" w:cs="Times New Roman" w:eastAsia="Times New Roman" w:hint="default"/>
        </w:rPr>
        <w:t>3</w:t>
      </w:r>
      <w:r>
        <w:rPr/>
        <w:t>、以现金结算的股份支付的会计处理</w:t>
      </w:r>
      <w:r>
        <w:rPr>
          <w:b w:val="0"/>
          <w:bCs w:val="0"/>
        </w:rPr>
      </w:r>
    </w:p>
    <w:p>
      <w:pPr>
        <w:pStyle w:val="BodyText"/>
        <w:spacing w:line="300" w:lineRule="auto" w:before="42"/>
        <w:ind w:right="200" w:firstLine="360"/>
        <w:jc w:val="both"/>
      </w:pPr>
      <w:r>
        <w:rPr/>
        <w:t>（</w:t>
      </w:r>
      <w:r>
        <w:rPr>
          <w:rFonts w:ascii="Times New Roman" w:hAnsi="Times New Roman" w:cs="Times New Roman" w:eastAsia="Times New Roman" w:hint="default"/>
        </w:rPr>
        <w:t>1</w:t>
      </w:r>
      <w:r>
        <w:rPr/>
        <w:t>）授予后立即可行权的以现金结算的股份支付，在授予日以本公司承担负债的公允价值计入相关成本或费用，相应 增加应付职工薪酬。</w:t>
      </w:r>
    </w:p>
    <w:p>
      <w:pPr>
        <w:pStyle w:val="BodyText"/>
        <w:spacing w:line="309" w:lineRule="auto" w:before="31"/>
        <w:ind w:right="190" w:firstLine="360"/>
        <w:jc w:val="both"/>
      </w:pPr>
      <w:r>
        <w:rPr/>
        <w:t>（</w:t>
      </w:r>
      <w:r>
        <w:rPr>
          <w:rFonts w:ascii="Times New Roman" w:hAnsi="Times New Roman" w:cs="Times New Roman" w:eastAsia="Times New Roman" w:hint="default"/>
        </w:rPr>
        <w:t>2</w:t>
      </w:r>
      <w:r>
        <w:rPr/>
        <w:t>）完成等待期内的服务或达到规定业绩条件以后才可行权的以现金结算的股份支付，在等待期内的每个资产负债表 </w:t>
      </w:r>
      <w:r>
        <w:rPr>
          <w:spacing w:val="-2"/>
        </w:rPr>
        <w:t>日，以对可行权情况的最佳估计为基础，按照公司承担负债的公允价值金额，将当期取得的服务计入成本或费用和相应的负</w:t>
      </w:r>
      <w:r>
        <w:rPr>
          <w:spacing w:val="-63"/>
        </w:rPr>
        <w:t> </w:t>
      </w:r>
      <w:r>
        <w:rPr>
          <w:spacing w:val="-63"/>
        </w:rPr>
      </w:r>
      <w:r>
        <w:rPr/>
        <w:t>债。</w:t>
      </w:r>
    </w:p>
    <w:p>
      <w:pPr>
        <w:pStyle w:val="BodyText"/>
        <w:spacing w:line="300" w:lineRule="auto" w:before="24"/>
        <w:ind w:right="244" w:firstLine="360"/>
        <w:jc w:val="left"/>
      </w:pPr>
      <w:r>
        <w:rPr/>
        <w:t>（</w:t>
      </w:r>
      <w:r>
        <w:rPr>
          <w:rFonts w:ascii="Times New Roman" w:hAnsi="Times New Roman" w:cs="Times New Roman" w:eastAsia="Times New Roman" w:hint="default"/>
        </w:rPr>
        <w:t>3</w:t>
      </w:r>
      <w:r>
        <w:rPr/>
        <w:t>）对于现金结算的股份支付，公司在可行权日之后不再确认成本费用，负债</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公允价值的变动计入当 期损益</w:t>
      </w:r>
      <w:r>
        <w:rPr>
          <w:rFonts w:ascii="Times New Roman" w:hAnsi="Times New Roman" w:cs="Times New Roman" w:eastAsia="Times New Roman" w:hint="default"/>
        </w:rPr>
        <w:t>(</w:t>
      </w:r>
      <w:r>
        <w:rPr/>
        <w:t>公允价值变动损益</w:t>
      </w:r>
      <w:r>
        <w:rPr>
          <w:rFonts w:ascii="Times New Roman" w:hAnsi="Times New Roman" w:cs="Times New Roman" w:eastAsia="Times New Roman" w:hint="default"/>
        </w:rPr>
        <w:t>)</w:t>
      </w:r>
      <w:r>
        <w:rPr/>
        <w:t>。</w:t>
      </w:r>
    </w:p>
    <w:p>
      <w:pPr>
        <w:pStyle w:val="Heading5"/>
        <w:spacing w:line="283" w:lineRule="exact"/>
        <w:ind w:left="419" w:right="94"/>
        <w:jc w:val="left"/>
        <w:rPr>
          <w:b w:val="0"/>
          <w:bCs w:val="0"/>
        </w:rPr>
      </w:pPr>
      <w:r>
        <w:rPr>
          <w:rFonts w:ascii="Times New Roman" w:hAnsi="Times New Roman" w:cs="Times New Roman" w:eastAsia="Times New Roman" w:hint="default"/>
        </w:rPr>
        <w:t>4</w:t>
      </w:r>
      <w:r>
        <w:rPr/>
        <w:t>、股份支付计划的修改、终止</w:t>
      </w:r>
      <w:r>
        <w:rPr>
          <w:b w:val="0"/>
          <w:bCs w:val="0"/>
        </w:rPr>
      </w:r>
    </w:p>
    <w:p>
      <w:pPr>
        <w:pStyle w:val="BodyText"/>
        <w:spacing w:line="316" w:lineRule="auto" w:before="42"/>
        <w:ind w:right="192" w:firstLine="360"/>
        <w:jc w:val="both"/>
      </w:pPr>
      <w:r>
        <w:rPr>
          <w:spacing w:val="-2"/>
        </w:rPr>
        <w:t>无论已授予的权益工具的条款和条件如何修改，或者取消权益工具的授予或结算该权益工具，公司确认按照所授予的权</w:t>
      </w:r>
      <w:r>
        <w:rPr/>
        <w:t> </w:t>
      </w:r>
      <w:r>
        <w:rPr>
          <w:spacing w:val="-2"/>
        </w:rPr>
        <w:t>益工具在授予日的公允价值来计量获取的相应的服务，除非因不能满足权益工具的可行权条件（除市场条件外）而无法可行</w:t>
      </w:r>
      <w:r>
        <w:rPr>
          <w:spacing w:val="-66"/>
        </w:rPr>
        <w:t> </w:t>
      </w:r>
      <w:r>
        <w:rPr>
          <w:spacing w:val="-66"/>
        </w:rPr>
      </w:r>
      <w:r>
        <w:rPr/>
        <w:t>权。</w:t>
      </w:r>
    </w:p>
    <w:p>
      <w:pPr>
        <w:spacing w:line="240" w:lineRule="auto" w:before="10"/>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27</w:t>
      </w:r>
      <w:r>
        <w:rPr/>
        <w:t>、收入</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578" w:right="94"/>
        <w:jc w:val="left"/>
        <w:rPr>
          <w:b w:val="0"/>
          <w:bCs w:val="0"/>
        </w:rPr>
      </w:pPr>
      <w:r>
        <w:rPr/>
        <w:t>（</w:t>
      </w:r>
      <w:r>
        <w:rPr>
          <w:rFonts w:ascii="Times New Roman" w:hAnsi="Times New Roman" w:cs="Times New Roman" w:eastAsia="Times New Roman" w:hint="default"/>
        </w:rPr>
        <w:t>1</w:t>
      </w:r>
      <w:r>
        <w:rPr/>
        <w:t>）销售商品收入的确认原则</w:t>
      </w:r>
      <w:r>
        <w:rPr>
          <w:b w:val="0"/>
          <w:bCs w:val="0"/>
        </w:rPr>
      </w:r>
    </w:p>
    <w:p>
      <w:pPr>
        <w:pStyle w:val="BodyText"/>
        <w:spacing w:line="240" w:lineRule="auto" w:before="42"/>
        <w:ind w:left="578" w:right="94"/>
        <w:jc w:val="left"/>
      </w:pPr>
      <w:r>
        <w:rPr/>
        <w:t>①公司已将商品所有权上的主要风险和报酬转移给购货方；</w:t>
      </w:r>
    </w:p>
    <w:p>
      <w:pPr>
        <w:pStyle w:val="BodyText"/>
        <w:spacing w:line="240" w:lineRule="auto" w:before="76"/>
        <w:ind w:left="578" w:right="94"/>
        <w:jc w:val="left"/>
      </w:pPr>
      <w:r>
        <w:rPr/>
        <w:t>②公司既没有保留通常与所有权相联系的继续管理权，也没有对已售出的商品实施有效控制；</w:t>
      </w:r>
    </w:p>
    <w:p>
      <w:pPr>
        <w:pStyle w:val="BodyText"/>
        <w:spacing w:line="240" w:lineRule="auto" w:before="76"/>
        <w:ind w:left="578" w:right="94"/>
        <w:jc w:val="left"/>
      </w:pPr>
      <w:r>
        <w:rPr/>
        <w:t>③收入的金额能够可靠地计量；</w:t>
      </w:r>
    </w:p>
    <w:p>
      <w:pPr>
        <w:pStyle w:val="BodyText"/>
        <w:spacing w:line="240" w:lineRule="auto" w:before="76"/>
        <w:ind w:left="578" w:right="94"/>
        <w:jc w:val="left"/>
      </w:pPr>
      <w:r>
        <w:rPr/>
        <w:t>④相关的经济利益很可能流入公司；</w:t>
      </w:r>
    </w:p>
    <w:p>
      <w:pPr>
        <w:pStyle w:val="BodyText"/>
        <w:spacing w:line="316" w:lineRule="auto" w:before="76"/>
        <w:ind w:left="578" w:right="94"/>
        <w:jc w:val="left"/>
      </w:pPr>
      <w:r>
        <w:rPr/>
        <w:t>⑤相关的已发生或将发生的成本能够可靠地计量。 在具体业务中，公司根据合同内容的不同，对于一般销售项目，根据合同约定公司只负指导安装的职责，在货物运至</w:t>
      </w:r>
    </w:p>
    <w:p>
      <w:pPr>
        <w:pStyle w:val="BodyText"/>
        <w:spacing w:line="316" w:lineRule="auto" w:before="19"/>
        <w:ind w:right="94"/>
        <w:jc w:val="left"/>
      </w:pPr>
      <w:r>
        <w:rPr/>
        <w:t>合同规定的交货地点，并得到对方的验收后，开具销售发票，确认销售收入；对大包项目（公司负责安装并完成试运行）， 在货物发出且运至合同规定的交货地点，验收合格后安装且试运行结束后，开具销售发票，确认销售收入。</w:t>
      </w:r>
    </w:p>
    <w:p>
      <w:pPr>
        <w:pStyle w:val="BodyText"/>
        <w:spacing w:line="316" w:lineRule="auto" w:before="19"/>
        <w:ind w:left="578" w:right="94"/>
        <w:jc w:val="left"/>
      </w:pPr>
      <w:r>
        <w:rPr/>
        <w:t>⑥分期收款销售商品收入的确认原则 对于实质上具有融资性质的分期收款商品销售，按照合同或协议应收价款的现值或同样商品的现销价格确定销售收入</w:t>
      </w:r>
    </w:p>
    <w:p>
      <w:pPr>
        <w:pStyle w:val="BodyText"/>
        <w:spacing w:line="316" w:lineRule="auto" w:before="19"/>
        <w:ind w:right="94"/>
        <w:jc w:val="left"/>
      </w:pPr>
      <w:r>
        <w:rPr>
          <w:spacing w:val="-2"/>
        </w:rPr>
        <w:t>额，在销售商品符合收入确认的条件时确认销售收入；按应收的合同或协议价款与其公允价值之间的差额，在合同或协议期</w:t>
      </w:r>
      <w:r>
        <w:rPr>
          <w:spacing w:val="-61"/>
        </w:rPr>
        <w:t> </w:t>
      </w:r>
      <w:r>
        <w:rPr>
          <w:spacing w:val="-61"/>
        </w:rPr>
      </w:r>
      <w:r>
        <w:rPr/>
        <w:t>间内，按照应收款项摊余成本和实际利率计算确定的摊销金额，递减财务费用。</w:t>
      </w:r>
    </w:p>
    <w:p>
      <w:pPr>
        <w:pStyle w:val="Heading5"/>
        <w:spacing w:line="289" w:lineRule="exact"/>
        <w:ind w:left="578" w:right="94"/>
        <w:jc w:val="left"/>
        <w:rPr>
          <w:b w:val="0"/>
          <w:bCs w:val="0"/>
        </w:rPr>
      </w:pPr>
      <w:r>
        <w:rPr/>
        <w:t>（</w:t>
      </w:r>
      <w:r>
        <w:rPr>
          <w:rFonts w:ascii="Times New Roman" w:hAnsi="Times New Roman" w:cs="Times New Roman" w:eastAsia="Times New Roman" w:hint="default"/>
        </w:rPr>
        <w:t>2</w:t>
      </w:r>
      <w:r>
        <w:rPr/>
        <w:t>）提供劳务收入的确认</w:t>
      </w:r>
      <w:r>
        <w:rPr>
          <w:b w:val="0"/>
          <w:bCs w:val="0"/>
        </w:rPr>
      </w:r>
    </w:p>
    <w:p>
      <w:pPr>
        <w:pStyle w:val="BodyText"/>
        <w:spacing w:line="240" w:lineRule="auto" w:before="42"/>
        <w:ind w:left="578" w:right="94"/>
        <w:jc w:val="left"/>
      </w:pPr>
      <w:r>
        <w:rPr/>
        <w:t>①公司在资产负债表日提供劳务交易的结果能够可靠估计的，采用完工百分比法确认提供劳务收入。</w:t>
      </w:r>
    </w:p>
    <w:p>
      <w:pPr>
        <w:pStyle w:val="BodyText"/>
        <w:spacing w:line="316" w:lineRule="auto" w:before="74"/>
        <w:ind w:left="578" w:right="94"/>
        <w:jc w:val="left"/>
      </w:pPr>
      <w:r>
        <w:rPr/>
        <w:t>②公司在资产负债表日提供劳务交易结果不能够可靠估计的，分别下列情况处理： 已经发生的劳务成本预计能够得到补偿的，按照已经发生的劳务成本金额确认提供劳务收入，并按相同金额结转劳务</w:t>
      </w:r>
    </w:p>
    <w:p>
      <w:pPr>
        <w:pStyle w:val="BodyText"/>
        <w:spacing w:line="240" w:lineRule="auto" w:before="19"/>
        <w:ind w:right="94"/>
        <w:jc w:val="left"/>
      </w:pPr>
      <w:r>
        <w:rPr/>
        <w:t>成本。</w:t>
      </w:r>
    </w:p>
    <w:p>
      <w:pPr>
        <w:pStyle w:val="BodyText"/>
        <w:spacing w:line="240" w:lineRule="auto" w:before="76"/>
        <w:ind w:left="578" w:right="94"/>
        <w:jc w:val="left"/>
      </w:pPr>
      <w:r>
        <w:rPr/>
        <w:t>已经发生的劳务成本预计不能够得到补偿的，将已经发生的劳务成本计入当期损益，不确认提供劳务收入。</w:t>
      </w:r>
    </w:p>
    <w:p>
      <w:pPr>
        <w:pStyle w:val="Heading5"/>
        <w:spacing w:line="240" w:lineRule="auto" w:before="56"/>
        <w:ind w:left="578" w:right="94"/>
        <w:jc w:val="left"/>
        <w:rPr>
          <w:b w:val="0"/>
          <w:bCs w:val="0"/>
        </w:rPr>
      </w:pPr>
      <w:r>
        <w:rPr/>
        <w:t>（</w:t>
      </w:r>
      <w:r>
        <w:rPr>
          <w:rFonts w:ascii="Times New Roman" w:hAnsi="Times New Roman" w:cs="Times New Roman" w:eastAsia="Times New Roman" w:hint="default"/>
        </w:rPr>
        <w:t>3</w:t>
      </w:r>
      <w:r>
        <w:rPr/>
        <w:t>）让渡资产使用权收入的确认</w:t>
      </w:r>
      <w:r>
        <w:rPr>
          <w:b w:val="0"/>
          <w:bCs w:val="0"/>
        </w:rPr>
      </w:r>
    </w:p>
    <w:p>
      <w:pPr>
        <w:pStyle w:val="BodyText"/>
        <w:spacing w:line="319" w:lineRule="auto" w:before="42"/>
        <w:ind w:right="94" w:firstLine="425"/>
        <w:jc w:val="left"/>
      </w:pPr>
      <w:r>
        <w:rPr>
          <w:spacing w:val="-2"/>
        </w:rPr>
        <w:t>让渡资产使用权收入包括利息收入、使用费收入。同时满足下列条件时，予以确认：相关的经济利益很可能流入公司；</w:t>
      </w:r>
      <w:r>
        <w:rPr/>
        <w:t> 收入的金额能够可靠计量。</w:t>
      </w:r>
    </w:p>
    <w:p>
      <w:pPr>
        <w:pStyle w:val="BodyText"/>
        <w:spacing w:line="240" w:lineRule="auto" w:before="17"/>
        <w:ind w:left="578" w:right="94"/>
        <w:jc w:val="left"/>
      </w:pPr>
      <w:r>
        <w:rPr/>
        <w:t>公司对于拥有产权的办公房屋出租等租赁收入确认的具体条件：</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left="597" w:right="94"/>
        <w:jc w:val="left"/>
      </w:pPr>
      <w:r>
        <w:rPr/>
        <w:t>（</w:t>
      </w:r>
      <w:r>
        <w:rPr>
          <w:rFonts w:ascii="Times New Roman" w:hAnsi="Times New Roman" w:cs="Times New Roman" w:eastAsia="Times New Roman" w:hint="default"/>
        </w:rPr>
        <w:t>1</w:t>
      </w:r>
      <w:r>
        <w:rPr/>
        <w:t>）根据合同，约定的义务已经履行；</w:t>
      </w:r>
    </w:p>
    <w:p>
      <w:pPr>
        <w:pStyle w:val="BodyText"/>
        <w:spacing w:line="240" w:lineRule="auto" w:before="63"/>
        <w:ind w:left="597" w:right="94"/>
        <w:jc w:val="left"/>
      </w:pPr>
      <w:r>
        <w:rPr/>
        <w:t>（</w:t>
      </w:r>
      <w:r>
        <w:rPr>
          <w:rFonts w:ascii="Times New Roman" w:hAnsi="Times New Roman" w:cs="Times New Roman" w:eastAsia="Times New Roman" w:hint="default"/>
        </w:rPr>
        <w:t>2</w:t>
      </w:r>
      <w:r>
        <w:rPr/>
        <w:t>）房屋出租相应的租赁款项已收到或按合同约定取得收款的权利。</w:t>
      </w:r>
    </w:p>
    <w:p>
      <w:pPr>
        <w:pStyle w:val="Heading5"/>
        <w:spacing w:line="240" w:lineRule="auto" w:before="42"/>
        <w:ind w:left="578" w:right="94"/>
        <w:jc w:val="left"/>
        <w:rPr>
          <w:b w:val="0"/>
          <w:bCs w:val="0"/>
        </w:rPr>
      </w:pPr>
      <w:r>
        <w:rPr/>
        <w:t>（</w:t>
      </w:r>
      <w:r>
        <w:rPr>
          <w:rFonts w:ascii="Times New Roman" w:hAnsi="Times New Roman" w:cs="Times New Roman" w:eastAsia="Times New Roman" w:hint="default"/>
        </w:rPr>
        <w:t>4</w:t>
      </w:r>
      <w:r>
        <w:rPr/>
        <w:t>）建造合同收入</w:t>
      </w:r>
      <w:r>
        <w:rPr>
          <w:b w:val="0"/>
          <w:bCs w:val="0"/>
        </w:rPr>
      </w:r>
    </w:p>
    <w:p>
      <w:pPr>
        <w:pStyle w:val="BodyText"/>
        <w:spacing w:line="316" w:lineRule="auto" w:before="42"/>
        <w:ind w:right="191" w:firstLine="425"/>
        <w:jc w:val="both"/>
      </w:pPr>
      <w:r>
        <w:rPr/>
        <w:t>本公司在资产负债表日，建造合同的结果能够可靠估计的，根据完工百分比法确认合同收入和费用。完工百分比法， </w:t>
      </w:r>
      <w:r>
        <w:rPr>
          <w:spacing w:val="-2"/>
        </w:rPr>
        <w:t>是指根据合同完工进度确认收入与费用的方法。本公司采用累计实际发生的合同成本占合同预计总成本的比例确定合同完工</w:t>
      </w:r>
      <w:r>
        <w:rPr>
          <w:spacing w:val="-63"/>
        </w:rPr>
        <w:t> </w:t>
      </w:r>
      <w:r>
        <w:rPr>
          <w:spacing w:val="-63"/>
        </w:rPr>
      </w:r>
      <w:r>
        <w:rPr/>
        <w:t>进度根据累计实际发生的合同成本占合同预计总成本的比例确定。</w:t>
      </w:r>
    </w:p>
    <w:p>
      <w:pPr>
        <w:pStyle w:val="BodyText"/>
        <w:spacing w:line="240" w:lineRule="auto" w:before="19"/>
        <w:ind w:left="578" w:right="94"/>
        <w:jc w:val="left"/>
      </w:pPr>
      <w:r>
        <w:rPr/>
        <w:t>固定造价合同的结果能够可靠估计确定依据为：</w:t>
      </w:r>
    </w:p>
    <w:p>
      <w:pPr>
        <w:pStyle w:val="BodyText"/>
        <w:spacing w:line="240" w:lineRule="auto" w:before="76"/>
        <w:ind w:left="578" w:right="94"/>
        <w:jc w:val="left"/>
      </w:pPr>
      <w:r>
        <w:rPr/>
        <w:t>①合同总收入能够可靠地计量；</w:t>
      </w:r>
    </w:p>
    <w:p>
      <w:pPr>
        <w:pStyle w:val="BodyText"/>
        <w:spacing w:line="240" w:lineRule="auto" w:before="76"/>
        <w:ind w:left="578" w:right="94"/>
        <w:jc w:val="left"/>
      </w:pPr>
      <w:r>
        <w:rPr/>
        <w:t>②与合同相关的经济利益很可能流入本公司；</w:t>
      </w:r>
    </w:p>
    <w:p>
      <w:pPr>
        <w:pStyle w:val="BodyText"/>
        <w:spacing w:line="240" w:lineRule="auto" w:before="76"/>
        <w:ind w:left="578" w:right="94"/>
        <w:jc w:val="left"/>
      </w:pPr>
      <w:r>
        <w:rPr/>
        <w:t>③实际发生的合同成本能够清楚地区分和可靠地计量；</w:t>
      </w:r>
    </w:p>
    <w:p>
      <w:pPr>
        <w:pStyle w:val="BodyText"/>
        <w:spacing w:line="319" w:lineRule="auto" w:before="76"/>
        <w:ind w:left="578" w:right="4348"/>
        <w:jc w:val="left"/>
      </w:pPr>
      <w:r>
        <w:rPr/>
        <w:t>④合同完工进度和为完成合同尚需发生的成本能够可靠地确定。 成本加成合同的结果能够可靠估计，确定依据为：</w:t>
      </w:r>
    </w:p>
    <w:p>
      <w:pPr>
        <w:pStyle w:val="BodyText"/>
        <w:spacing w:line="240" w:lineRule="auto" w:before="17"/>
        <w:ind w:left="578" w:right="94"/>
        <w:jc w:val="left"/>
      </w:pPr>
      <w:r>
        <w:rPr/>
        <w:t>①与合同相关的经济利益很可能流入本公司；</w:t>
      </w:r>
    </w:p>
    <w:p>
      <w:pPr>
        <w:pStyle w:val="BodyText"/>
        <w:spacing w:line="316" w:lineRule="auto" w:before="76"/>
        <w:ind w:left="578" w:right="5068"/>
        <w:jc w:val="left"/>
      </w:pPr>
      <w:r>
        <w:rPr/>
        <w:t>②实际发生的合同成本能够清楚地区分和可靠地计量。 建造合同的结果不能可靠估计的，分别情况进行处理：</w:t>
      </w:r>
    </w:p>
    <w:p>
      <w:pPr>
        <w:pStyle w:val="BodyText"/>
        <w:spacing w:line="240" w:lineRule="auto" w:before="19"/>
        <w:ind w:left="578" w:right="0"/>
        <w:jc w:val="left"/>
      </w:pPr>
      <w:r>
        <w:rPr/>
        <w:t>①合同成本能够收回的，合同收入根据能够收回的实际合同成本予以确认，合同成本在其发生的当期确认为合同费用；</w:t>
      </w:r>
    </w:p>
    <w:p>
      <w:pPr>
        <w:pStyle w:val="BodyText"/>
        <w:spacing w:line="316" w:lineRule="auto" w:before="76"/>
        <w:ind w:left="578" w:right="3268"/>
        <w:jc w:val="left"/>
      </w:pPr>
      <w:r>
        <w:rPr/>
        <w:t>②合同成本不可能收回的，在发生时立即确认为合同费用，不确认合同收入。 公司机械成套装备按照完工百分比法确认收入。</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28</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94"/>
        <w:jc w:val="left"/>
      </w:pPr>
      <w:r>
        <w:rPr/>
        <w:t>企业取得的政府补助，用于补助长期资产购置、建造等直接相关支出，为与资产相关的政府补助。 </w:t>
      </w:r>
      <w:r>
        <w:rPr>
          <w:spacing w:val="-4"/>
        </w:rPr>
        <w:t>公司取得与资产相关的政府补助，确认为递延收益，递延收益自相关资产可供使用时起，在该资产使用寿命内平均分配，</w:t>
      </w:r>
    </w:p>
    <w:p>
      <w:pPr>
        <w:pStyle w:val="BodyText"/>
        <w:spacing w:line="300" w:lineRule="auto" w:before="19"/>
        <w:ind w:right="213"/>
        <w:jc w:val="both"/>
      </w:pPr>
      <w:r>
        <w:rPr/>
        <w:t>分次计入以后各期的损益（营业外收入）。递延收益摊销期限的起点是</w:t>
      </w:r>
      <w:r>
        <w:rPr>
          <w:rFonts w:ascii="Times New Roman" w:hAnsi="Times New Roman" w:cs="Times New Roman" w:eastAsia="Times New Roman" w:hint="default"/>
        </w:rPr>
        <w:t>“</w:t>
      </w:r>
      <w:r>
        <w:rPr/>
        <w:t>相关资产可供使用时</w:t>
      </w:r>
      <w:r>
        <w:rPr>
          <w:rFonts w:ascii="Times New Roman" w:hAnsi="Times New Roman" w:cs="Times New Roman" w:eastAsia="Times New Roman" w:hint="default"/>
        </w:rPr>
        <w:t>”</w:t>
      </w:r>
      <w:r>
        <w:rPr/>
        <w:t>，摊销的终点是</w:t>
      </w:r>
      <w:r>
        <w:rPr>
          <w:rFonts w:ascii="Times New Roman" w:hAnsi="Times New Roman" w:cs="Times New Roman" w:eastAsia="Times New Roman" w:hint="default"/>
        </w:rPr>
        <w:t>“</w:t>
      </w:r>
      <w:r>
        <w:rPr/>
        <w:t>资产使用寿 命结束或资产被处置时（孰早）</w:t>
      </w:r>
      <w:r>
        <w:rPr>
          <w:rFonts w:ascii="Times New Roman" w:hAnsi="Times New Roman" w:cs="Times New Roman" w:eastAsia="Times New Roman" w:hint="default"/>
        </w:rPr>
        <w:t>”</w:t>
      </w:r>
      <w:r>
        <w:rPr/>
        <w:t>，相关资产在使用寿命结束时或结束前被处置（出售、转让、报废）的，尚未分摊的递延 收益余额一次性转入资产处置当期的收益，不再递延。</w:t>
      </w:r>
    </w:p>
    <w:p>
      <w:pPr>
        <w:spacing w:line="240" w:lineRule="auto" w:before="10"/>
        <w:rPr>
          <w:rFonts w:ascii="宋体" w:hAnsi="宋体" w:cs="宋体" w:eastAsia="宋体" w:hint="default"/>
          <w:sz w:val="23"/>
          <w:szCs w:val="23"/>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94"/>
        <w:jc w:val="left"/>
      </w:pPr>
      <w:r>
        <w:rPr/>
        <w:t>企业取得的政府补助，用于补助补偿的期间费用或损失的，为与收益相关的政府补助。 </w:t>
      </w:r>
      <w:r>
        <w:rPr>
          <w:spacing w:val="-2"/>
        </w:rPr>
        <w:t>公司取得与收益相关的政府补助，用于补偿公司以后期间的相关费用或损失的，取得时确认为递延收益，在确认相关费</w:t>
      </w:r>
    </w:p>
    <w:p>
      <w:pPr>
        <w:pStyle w:val="BodyText"/>
        <w:spacing w:line="316" w:lineRule="auto" w:before="17"/>
        <w:ind w:left="513" w:right="94" w:hanging="361"/>
        <w:jc w:val="left"/>
      </w:pPr>
      <w:r>
        <w:rPr>
          <w:spacing w:val="-7"/>
        </w:rPr>
        <w:t>用的期间计入当期损益（营业外收入）。用于补偿企业已发生的相关费用或损失的，取得时直接计入当期损益（营业外收入）。</w:t>
      </w:r>
      <w:r>
        <w:rPr>
          <w:spacing w:val="-48"/>
        </w:rPr>
        <w:t> </w:t>
      </w:r>
      <w:r>
        <w:rPr>
          <w:spacing w:val="-48"/>
        </w:rPr>
      </w:r>
      <w:r>
        <w:rPr/>
        <w:t>公司取得与收益相关的政府补助，难以区分的，视情况不同，计入当期损益或者在项目期内分期确认为当期收益。</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93" w:firstLine="360"/>
        <w:jc w:val="both"/>
      </w:pPr>
      <w:r>
        <w:rPr>
          <w:rFonts w:ascii="Times New Roman" w:hAnsi="Times New Roman" w:cs="Times New Roman" w:eastAsia="Times New Roman" w:hint="default"/>
        </w:rPr>
        <w:t>1</w:t>
      </w:r>
      <w:r>
        <w:rPr/>
        <w:t>、公司根据资产、负债的账面价值与其计税基础之间的差额（未作为资产和负债确认的项目按照税法规定可以确定其 </w:t>
      </w:r>
      <w:r>
        <w:rPr>
          <w:spacing w:val="-2"/>
        </w:rPr>
        <w:t>计税基础的，该计税基础与其账面数之间的差额），按照预期收回该资产或清偿该负债期间的适用税率计算确认递延所得税</w:t>
      </w:r>
      <w:r>
        <w:rPr>
          <w:spacing w:val="-66"/>
        </w:rPr>
        <w:t> </w:t>
      </w:r>
      <w:r>
        <w:rPr>
          <w:spacing w:val="-66"/>
        </w:rPr>
      </w:r>
      <w:r>
        <w:rPr/>
        <w:t>资产或递延所得税负债。</w:t>
      </w:r>
    </w:p>
    <w:p>
      <w:pPr>
        <w:pStyle w:val="BodyText"/>
        <w:spacing w:line="300" w:lineRule="auto" w:before="24"/>
        <w:ind w:right="184" w:firstLine="360"/>
        <w:jc w:val="left"/>
      </w:pPr>
      <w:r>
        <w:rPr>
          <w:rFonts w:ascii="Times New Roman" w:hAnsi="Times New Roman" w:cs="Times New Roman" w:eastAsia="Times New Roman" w:hint="default"/>
        </w:rPr>
        <w:t>2</w:t>
      </w:r>
      <w:r>
        <w:rPr/>
        <w:t>、确认递延所得税资产以很可能取得用来抵扣可抵扣暂时性差异的应纳税所得额为限。资产负债表日，有确凿证据表 明未来期间很可能获得足够的应纳税所得额用来抵扣可抵扣暂时性差异的，确认以前会计期间未确认的递延所得税资产。</w:t>
      </w:r>
    </w:p>
    <w:p>
      <w:pPr>
        <w:pStyle w:val="BodyText"/>
        <w:spacing w:line="300" w:lineRule="auto" w:before="32"/>
        <w:ind w:right="184" w:firstLine="360"/>
        <w:jc w:val="left"/>
      </w:pPr>
      <w:r>
        <w:rPr>
          <w:rFonts w:ascii="Times New Roman" w:hAnsi="Times New Roman" w:cs="Times New Roman" w:eastAsia="Times New Roman" w:hint="default"/>
        </w:rPr>
        <w:t>3</w:t>
      </w:r>
      <w:r>
        <w:rPr/>
        <w:t>、资产负债表日，对已确认的递延所得税资产账面价值进行复核，如果未来期间很可能无法获得足够的应纳税所得额 </w:t>
      </w:r>
      <w:r>
        <w:rPr>
          <w:spacing w:val="-2"/>
        </w:rPr>
        <w:t>用以抵扣递延所得税资产时，则减记递延所得税资产的账面价值。在很可能获得足够的应纳税所得额时，减记的金额予以转</w:t>
      </w:r>
    </w:p>
    <w:p>
      <w:pPr>
        <w:spacing w:after="0" w:line="30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94"/>
        <w:jc w:val="left"/>
      </w:pPr>
      <w:r>
        <w:rPr/>
        <w:t>回。公司未来期间很可能获得足够的应纳税所得额的金额是依据管理层批准的经营计划（或盈利预测）确定。</w:t>
      </w:r>
    </w:p>
    <w:p>
      <w:pPr>
        <w:pStyle w:val="BodyText"/>
        <w:spacing w:line="240" w:lineRule="auto" w:before="76"/>
        <w:ind w:left="513" w:right="94"/>
        <w:jc w:val="left"/>
      </w:pPr>
      <w:r>
        <w:rPr>
          <w:rFonts w:ascii="Times New Roman" w:hAnsi="Times New Roman" w:cs="Times New Roman" w:eastAsia="Times New Roman" w:hint="default"/>
        </w:rPr>
        <w:t>4</w:t>
      </w:r>
      <w:r>
        <w:rPr/>
        <w:t>、公司当期所得税和递延所得税作为所得税费用或收益计入当期损益，但不包括下列情况产生的所得税：</w:t>
      </w:r>
    </w:p>
    <w:p>
      <w:pPr>
        <w:pStyle w:val="BodyText"/>
        <w:spacing w:line="240" w:lineRule="auto" w:before="63"/>
        <w:ind w:left="513" w:right="94"/>
        <w:jc w:val="left"/>
      </w:pPr>
      <w:r>
        <w:rPr/>
        <w:t>（</w:t>
      </w:r>
      <w:r>
        <w:rPr>
          <w:rFonts w:ascii="Times New Roman" w:hAnsi="Times New Roman" w:cs="Times New Roman" w:eastAsia="Times New Roman" w:hint="default"/>
        </w:rPr>
        <w:t>1</w:t>
      </w:r>
      <w:r>
        <w:rPr/>
        <w:t>）企业合并；</w:t>
      </w:r>
    </w:p>
    <w:p>
      <w:pPr>
        <w:pStyle w:val="BodyText"/>
        <w:spacing w:line="240" w:lineRule="auto" w:before="63"/>
        <w:ind w:left="513" w:right="94"/>
        <w:jc w:val="left"/>
      </w:pPr>
      <w:r>
        <w:rPr/>
        <w:t>（</w:t>
      </w:r>
      <w:r>
        <w:rPr>
          <w:rFonts w:ascii="Times New Roman" w:hAnsi="Times New Roman" w:cs="Times New Roman" w:eastAsia="Times New Roman" w:hint="default"/>
        </w:rPr>
        <w:t>2</w:t>
      </w:r>
      <w:r>
        <w:rPr/>
        <w:t>）直接在所有者权益中确认的交易或者事项。</w:t>
      </w:r>
    </w:p>
    <w:p>
      <w:pPr>
        <w:spacing w:line="240" w:lineRule="auto" w:before="2"/>
        <w:rPr>
          <w:rFonts w:ascii="宋体" w:hAnsi="宋体" w:cs="宋体" w:eastAsia="宋体" w:hint="default"/>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30</w:t>
      </w:r>
      <w:r>
        <w:rPr/>
        <w:t>、租赁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99" w:firstLine="360"/>
        <w:jc w:val="both"/>
      </w:pPr>
      <w:r>
        <w:rPr/>
        <w:t>（</w:t>
      </w:r>
      <w:r>
        <w:rPr>
          <w:rFonts w:ascii="Times New Roman" w:hAnsi="Times New Roman" w:cs="Times New Roman" w:eastAsia="Times New Roman" w:hint="default"/>
        </w:rPr>
        <w:t>1</w:t>
      </w:r>
      <w:r>
        <w:rPr/>
        <w:t>）对于经营租赁的租金，承租人（公司）在租赁期内各个期间按照直线法确认为当期损益；其他方法更为系统合理 的，可以采用其他方法。</w:t>
      </w:r>
    </w:p>
    <w:p>
      <w:pPr>
        <w:pStyle w:val="BodyText"/>
        <w:spacing w:line="240" w:lineRule="auto" w:before="32"/>
        <w:ind w:right="94"/>
        <w:jc w:val="left"/>
      </w:pPr>
      <w:r>
        <w:rPr/>
        <w:t>承租人（公司）发生的初始直接费用，计入当期损益。或有租金在实际发生时计入当期损益。</w:t>
      </w:r>
    </w:p>
    <w:p>
      <w:pPr>
        <w:pStyle w:val="BodyText"/>
        <w:spacing w:line="300" w:lineRule="auto" w:before="76"/>
        <w:ind w:right="200" w:firstLine="360"/>
        <w:jc w:val="both"/>
      </w:pPr>
      <w:r>
        <w:rPr/>
        <w:t>（</w:t>
      </w:r>
      <w:r>
        <w:rPr>
          <w:rFonts w:ascii="Times New Roman" w:hAnsi="Times New Roman" w:cs="Times New Roman" w:eastAsia="Times New Roman" w:hint="default"/>
        </w:rPr>
        <w:t>2</w:t>
      </w:r>
      <w:r>
        <w:rPr/>
        <w:t>）对于经营租赁的租金，出租人（公司）在租赁期内各个期间按照直线法确认为当期损益；其他方法更为系统合理 的，可以采用其他方法。</w:t>
      </w:r>
    </w:p>
    <w:p>
      <w:pPr>
        <w:pStyle w:val="BodyText"/>
        <w:spacing w:line="316" w:lineRule="auto" w:before="31"/>
        <w:ind w:left="513" w:right="94"/>
        <w:jc w:val="left"/>
      </w:pPr>
      <w:r>
        <w:rPr/>
        <w:t>出租人（公司）发生的初始直接费用，计入当期损益。 </w:t>
      </w:r>
      <w:r>
        <w:rPr>
          <w:spacing w:val="-2"/>
        </w:rPr>
        <w:t>对于经营租赁资产中的固定资产，出租人（公司）采用类似资产的折旧政策计提折旧；对于其它经营租赁资产，采用系</w:t>
      </w:r>
    </w:p>
    <w:p>
      <w:pPr>
        <w:pStyle w:val="BodyText"/>
        <w:spacing w:line="316" w:lineRule="auto" w:before="19"/>
        <w:ind w:left="513" w:right="5133" w:hanging="361"/>
        <w:jc w:val="left"/>
      </w:pPr>
      <w:r>
        <w:rPr/>
        <w:t>统合理的方法进行摊销。 出租人（公司）或有租金在实际发生时计入当期损益。</w:t>
      </w:r>
    </w:p>
    <w:p>
      <w:pPr>
        <w:spacing w:line="240" w:lineRule="auto" w:before="10"/>
        <w:rPr>
          <w:rFonts w:ascii="宋体" w:hAnsi="宋体" w:cs="宋体" w:eastAsia="宋体" w:hint="default"/>
          <w:sz w:val="22"/>
          <w:szCs w:val="22"/>
        </w:rPr>
      </w:pPr>
    </w:p>
    <w:p>
      <w:pPr>
        <w:pStyle w:val="Heading5"/>
        <w:spacing w:line="240" w:lineRule="auto"/>
        <w:ind w:right="9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99" w:firstLine="360"/>
        <w:jc w:val="both"/>
      </w:pPr>
      <w:r>
        <w:rPr/>
        <w:t>（</w:t>
      </w:r>
      <w:r>
        <w:rPr>
          <w:rFonts w:ascii="Times New Roman" w:hAnsi="Times New Roman" w:cs="Times New Roman" w:eastAsia="Times New Roman" w:hint="default"/>
        </w:rPr>
        <w:t>1</w:t>
      </w:r>
      <w:r>
        <w:rPr/>
        <w:t>）在租赁期开始日，承租人（公司）将租赁开始日租赁资产公允价值与最低租赁付款额现值两者中较低者作为租入 资产的入账价值，将最低租赁付款额作为长期应付款的入账价值，其差额作为未确认融资费用。</w:t>
      </w:r>
    </w:p>
    <w:p>
      <w:pPr>
        <w:pStyle w:val="BodyText"/>
        <w:spacing w:line="309" w:lineRule="auto" w:before="31"/>
        <w:ind w:right="193" w:firstLine="360"/>
        <w:jc w:val="both"/>
      </w:pPr>
      <w:r>
        <w:rPr/>
        <w:t>（</w:t>
      </w:r>
      <w:r>
        <w:rPr>
          <w:rFonts w:ascii="Times New Roman" w:hAnsi="Times New Roman" w:cs="Times New Roman" w:eastAsia="Times New Roman" w:hint="default"/>
        </w:rPr>
        <w:t>2</w:t>
      </w:r>
      <w:r>
        <w:rPr/>
        <w:t>）在租赁期开始日，出租人（公司）将租赁开始日最低租赁收款额与初始直接费用之和作为应收融资租赁款的入账 </w:t>
      </w:r>
      <w:r>
        <w:rPr>
          <w:spacing w:val="-2"/>
        </w:rPr>
        <w:t>价值，同时记录未担保余值；将最低租赁收款额、初始直接费用及未担保余值之和与其现值之和的差额确认为未实现融资收</w:t>
      </w:r>
      <w:r>
        <w:rPr>
          <w:spacing w:val="-65"/>
        </w:rPr>
        <w:t> </w:t>
      </w:r>
      <w:r>
        <w:rPr>
          <w:spacing w:val="-65"/>
        </w:rPr>
      </w:r>
      <w:r>
        <w:rPr/>
        <w:t>益。</w:t>
      </w:r>
    </w:p>
    <w:p>
      <w:pPr>
        <w:pStyle w:val="BodyText"/>
        <w:spacing w:line="316" w:lineRule="auto" w:before="24"/>
        <w:ind w:right="94" w:firstLine="360"/>
        <w:jc w:val="left"/>
      </w:pPr>
      <w:r>
        <w:rPr>
          <w:spacing w:val="-2"/>
        </w:rPr>
        <w:t>融资租入的固定资产按同类固定资产的折旧政策采用直线法计提折旧。对能够合理确定租赁期届满时取得租入资产所有</w:t>
      </w:r>
      <w:r>
        <w:rPr/>
        <w:t> 权的租入资产在使用寿命内计提折旧。否则，租赁资产在租赁期与租赁资产使用寿命两者中较短的期间内计提折旧。</w:t>
      </w:r>
    </w:p>
    <w:p>
      <w:pPr>
        <w:pStyle w:val="BodyText"/>
        <w:spacing w:line="316" w:lineRule="auto" w:before="19"/>
        <w:ind w:left="513" w:right="94"/>
        <w:jc w:val="left"/>
      </w:pPr>
      <w:r>
        <w:rPr/>
        <w:t>本公司对未确认融资费用采用实际利率法在租赁期内各个期间进行分摊，并按照借款费用的原则处理。 </w:t>
      </w:r>
      <w:r>
        <w:rPr>
          <w:spacing w:val="-2"/>
        </w:rPr>
        <w:t>资产负债表日，本公司将与融资租赁相关的长期应付款减去未确认融资费用的差额，分别以长期负债和一年内到期的长</w:t>
      </w:r>
    </w:p>
    <w:p>
      <w:pPr>
        <w:pStyle w:val="BodyText"/>
        <w:spacing w:line="240" w:lineRule="auto" w:before="19"/>
        <w:ind w:right="94"/>
        <w:jc w:val="left"/>
      </w:pPr>
      <w:r>
        <w:rPr/>
        <w:t>期负债列示。</w:t>
      </w:r>
    </w:p>
    <w:p>
      <w:pPr>
        <w:spacing w:line="240" w:lineRule="auto" w:before="0"/>
        <w:rPr>
          <w:rFonts w:ascii="宋体" w:hAnsi="宋体" w:cs="宋体" w:eastAsia="宋体" w:hint="default"/>
          <w:sz w:val="18"/>
          <w:szCs w:val="18"/>
        </w:rPr>
      </w:pPr>
    </w:p>
    <w:p>
      <w:pPr>
        <w:pStyle w:val="Heading5"/>
        <w:spacing w:line="240" w:lineRule="auto" w:before="121"/>
        <w:ind w:right="94"/>
        <w:jc w:val="left"/>
        <w:rPr>
          <w:b w:val="0"/>
          <w:bCs w:val="0"/>
        </w:rPr>
      </w:pPr>
      <w:r>
        <w:rPr>
          <w:rFonts w:ascii="Times New Roman" w:hAnsi="Times New Roman" w:cs="Times New Roman" w:eastAsia="Times New Roman" w:hint="default"/>
        </w:rPr>
        <w:t>31</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94" w:firstLine="360"/>
        <w:jc w:val="left"/>
      </w:pPr>
      <w:r>
        <w:rPr>
          <w:spacing w:val="-2"/>
        </w:rPr>
        <w:t>本公司在运用会计政策过程中，由于经营活动内在的不确定性，本公司需要对无法准确计量的报表项目的账面价值进行</w:t>
      </w:r>
      <w:r>
        <w:rPr/>
        <w:t> 判断、估计和假设。这些判断、估计和假设是基于本公司管理层过去的历史经验，并在考虑其他相关因素的基础上做出的。 </w:t>
      </w:r>
      <w:r>
        <w:rPr>
          <w:spacing w:val="-2"/>
        </w:rPr>
        <w:t>这些判断、估计和假设会影响收入、费用、资产和负债的报告金额以及资产负债表日或有负债的披露。然而，这些估计的不</w:t>
      </w:r>
      <w:r>
        <w:rPr>
          <w:spacing w:val="-67"/>
        </w:rPr>
        <w:t> </w:t>
      </w:r>
      <w:r>
        <w:rPr>
          <w:spacing w:val="-67"/>
        </w:rPr>
      </w:r>
      <w:r>
        <w:rPr>
          <w:spacing w:val="-2"/>
        </w:rPr>
        <w:t>确定性所导致的实际结果可能与本公司管理层当前的估计存在差异，进而造成对未来受影响的资产或负债的账面金额进行重</w:t>
      </w:r>
      <w:r>
        <w:rPr>
          <w:spacing w:val="-64"/>
        </w:rPr>
        <w:t> </w:t>
      </w:r>
      <w:r>
        <w:rPr>
          <w:spacing w:val="-64"/>
        </w:rPr>
      </w:r>
      <w:r>
        <w:rPr/>
        <w:t>大调整。</w:t>
      </w:r>
    </w:p>
    <w:p>
      <w:pPr>
        <w:pStyle w:val="BodyText"/>
        <w:spacing w:line="316" w:lineRule="auto" w:before="19"/>
        <w:ind w:right="94" w:firstLine="360"/>
        <w:jc w:val="left"/>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19"/>
        <w:ind w:left="513" w:right="94"/>
        <w:jc w:val="left"/>
      </w:pPr>
      <w:r>
        <w:rPr/>
        <w:t>于资产负债表日，本公司需对财务报表项目金额进行判断、估计和假设的重要领域如下：</w:t>
      </w:r>
    </w:p>
    <w:p>
      <w:pPr>
        <w:pStyle w:val="BodyText"/>
        <w:spacing w:line="300" w:lineRule="auto" w:before="76"/>
        <w:ind w:left="513" w:right="94"/>
        <w:jc w:val="left"/>
      </w:pPr>
      <w:r>
        <w:rPr>
          <w:rFonts w:ascii="Times New Roman" w:hAnsi="Times New Roman" w:cs="Times New Roman" w:eastAsia="Times New Roman" w:hint="default"/>
        </w:rPr>
        <w:t>1</w:t>
      </w:r>
      <w:r>
        <w:rPr/>
        <w:t>、坏账准备计提 </w:t>
      </w:r>
      <w:r>
        <w:rPr>
          <w:spacing w:val="-2"/>
        </w:rPr>
        <w:t>本公司根据应收款项的会计政策，采用备抵法核算坏账损失。应收账款减值是基于评估应收账款的可收回性。鉴定应收</w:t>
      </w:r>
    </w:p>
    <w:p>
      <w:pPr>
        <w:pStyle w:val="BodyText"/>
        <w:spacing w:line="240" w:lineRule="auto" w:before="31"/>
        <w:ind w:right="94"/>
        <w:jc w:val="left"/>
      </w:pPr>
      <w:r>
        <w:rPr/>
        <w:t>账款减值要求管理层的判断和估计</w:t>
      </w:r>
      <w:r>
        <w:rPr>
          <w:spacing w:val="-82"/>
        </w:rPr>
        <w:t>。</w:t>
      </w:r>
      <w:r>
        <w:rPr/>
        <w:t>实际的结果与原先估计的差异将在估计被改变的期间影响应收账款的账面价值及应收账</w:t>
      </w:r>
    </w:p>
    <w:p>
      <w:pPr>
        <w:spacing w:after="0" w:line="240" w:lineRule="auto"/>
        <w:jc w:val="left"/>
        <w:sectPr>
          <w:footerReference w:type="default" r:id="rId15"/>
          <w:pgSz w:w="11910" w:h="16840"/>
          <w:pgMar w:footer="979" w:header="745" w:top="1060" w:bottom="1160" w:left="980" w:right="940"/>
          <w:pgNumType w:start="103"/>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款坏账准备的计提或转回。</w:t>
      </w:r>
    </w:p>
    <w:p>
      <w:pPr>
        <w:pStyle w:val="BodyText"/>
        <w:spacing w:line="300" w:lineRule="auto" w:before="76"/>
        <w:ind w:left="513" w:right="94"/>
        <w:jc w:val="left"/>
      </w:pPr>
      <w:r>
        <w:rPr>
          <w:rFonts w:ascii="Times New Roman" w:hAnsi="Times New Roman" w:cs="Times New Roman" w:eastAsia="Times New Roman" w:hint="default"/>
        </w:rPr>
        <w:t>2</w:t>
      </w:r>
      <w:r>
        <w:rPr/>
        <w:t>、存货跌价准备 </w:t>
      </w:r>
      <w:r>
        <w:rPr>
          <w:spacing w:val="-2"/>
        </w:rPr>
        <w:t>本公司根据存货会计政策，按照成本与可变现净值孰低计量，对成本高于可变现净值及陈旧和滞销的存货，计提存货跌</w:t>
      </w:r>
    </w:p>
    <w:p>
      <w:pPr>
        <w:pStyle w:val="BodyText"/>
        <w:spacing w:line="316" w:lineRule="auto" w:before="31"/>
        <w:ind w:right="190"/>
        <w:jc w:val="both"/>
      </w:pPr>
      <w:r>
        <w:rPr>
          <w:spacing w:val="-2"/>
        </w:rPr>
        <w:t>价准备。存货减值至可变现净值是基于评估存货的可售性及其可变现净值。鉴定存货减值要求管理层在取得确凿证据，并且</w:t>
      </w:r>
      <w:r>
        <w:rPr>
          <w:spacing w:val="-63"/>
        </w:rPr>
        <w:t> </w:t>
      </w:r>
      <w:r>
        <w:rPr>
          <w:spacing w:val="-63"/>
        </w:rPr>
      </w: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300" w:lineRule="auto" w:before="19"/>
        <w:ind w:left="513" w:right="273"/>
        <w:jc w:val="left"/>
      </w:pPr>
      <w:r>
        <w:rPr>
          <w:rFonts w:ascii="Times New Roman" w:hAnsi="Times New Roman" w:cs="Times New Roman" w:eastAsia="Times New Roman" w:hint="default"/>
        </w:rPr>
        <w:t>3</w:t>
      </w:r>
      <w:r>
        <w:rPr/>
        <w:t>、持有至到期投资 本公司将符合条件的有固定或可确定还款金额和固定到期日且本公司有明确意图和能力持有至到期的非衍生金融资产</w:t>
      </w:r>
    </w:p>
    <w:p>
      <w:pPr>
        <w:pStyle w:val="BodyText"/>
        <w:spacing w:line="319" w:lineRule="auto" w:before="31"/>
        <w:ind w:right="190"/>
        <w:jc w:val="both"/>
      </w:pPr>
      <w:r>
        <w:rPr>
          <w:spacing w:val="-2"/>
        </w:rPr>
        <w:t>归类为持有至到期投资。进行此项归类工作需涉及大量的判断。在进行判断的过程中，本公司会对其持有该类投资至到期日</w:t>
      </w:r>
      <w:r>
        <w:rPr>
          <w:spacing w:val="-66"/>
        </w:rPr>
        <w:t> </w:t>
      </w:r>
      <w:r>
        <w:rPr>
          <w:spacing w:val="-66"/>
        </w:rPr>
      </w:r>
      <w:r>
        <w:rPr>
          <w:spacing w:val="-2"/>
        </w:rPr>
        <w:t>的意愿和能力进行评估。除特定情况外（例如在接近到期日时出售金额不重大的投资），如果本公司未能将这些投资持有至</w:t>
      </w:r>
      <w:r>
        <w:rPr>
          <w:spacing w:val="-64"/>
        </w:rPr>
        <w:t> </w:t>
      </w:r>
      <w:r>
        <w:rPr>
          <w:spacing w:val="-64"/>
        </w:rPr>
      </w:r>
      <w:r>
        <w:rPr>
          <w:spacing w:val="-2"/>
        </w:rPr>
        <w:t>到期日，则须将全部该类投资重分类至可供出售金融资产，且在本会计年度及以后两个完整的会计年度内不得再将该金融资</w:t>
      </w:r>
      <w:r>
        <w:rPr>
          <w:spacing w:val="-64"/>
        </w:rPr>
        <w:t> </w:t>
      </w:r>
      <w:r>
        <w:rPr>
          <w:spacing w:val="-64"/>
        </w:rPr>
      </w:r>
      <w:r>
        <w:rPr>
          <w:spacing w:val="-2"/>
        </w:rPr>
        <w:t>产划分为持有至到期投资。如出现此类情况，可能对财务报表上所列报的相关金融资产价值产生重大的影响，并且可能影响</w:t>
      </w:r>
      <w:r>
        <w:rPr>
          <w:spacing w:val="-63"/>
        </w:rPr>
        <w:t> </w:t>
      </w:r>
      <w:r>
        <w:rPr>
          <w:spacing w:val="-63"/>
        </w:rPr>
      </w:r>
      <w:r>
        <w:rPr/>
        <w:t>本公司的金融工具风险管理策略。</w:t>
      </w:r>
    </w:p>
    <w:p>
      <w:pPr>
        <w:pStyle w:val="BodyText"/>
        <w:spacing w:line="300" w:lineRule="auto" w:before="17"/>
        <w:ind w:left="513" w:right="94"/>
        <w:jc w:val="left"/>
      </w:pPr>
      <w:r>
        <w:rPr>
          <w:rFonts w:ascii="Times New Roman" w:hAnsi="Times New Roman" w:cs="Times New Roman" w:eastAsia="Times New Roman" w:hint="default"/>
        </w:rPr>
        <w:t>4</w:t>
      </w:r>
      <w:r>
        <w:rPr/>
        <w:t>、持有至到期投资减值 </w:t>
      </w:r>
      <w:r>
        <w:rPr>
          <w:spacing w:val="-2"/>
        </w:rPr>
        <w:t>本公司确定持有至到期投资是否减值在很大程度上依赖于管理层的判断。发生减值的客观证据包括发行方发生严重财务</w:t>
      </w:r>
    </w:p>
    <w:p>
      <w:pPr>
        <w:pStyle w:val="BodyText"/>
        <w:spacing w:line="316" w:lineRule="auto" w:before="31"/>
        <w:ind w:right="195"/>
        <w:jc w:val="both"/>
      </w:pPr>
      <w:r>
        <w:rPr>
          <w:spacing w:val="-2"/>
        </w:rPr>
        <w:t>困难使该金融资产无法在活跃市场继续交易、无法履行合同条款（例如，偿付利息或本金发生违约）等。在进行判断的过程</w:t>
      </w:r>
      <w:r>
        <w:rPr>
          <w:spacing w:val="-67"/>
        </w:rPr>
        <w:t> </w:t>
      </w:r>
      <w:r>
        <w:rPr>
          <w:spacing w:val="-67"/>
        </w:rPr>
      </w:r>
      <w:r>
        <w:rPr/>
        <w:t>中，本公司需评估发生减值的客观证据对该项投资预计未来现金流的影响。</w:t>
      </w:r>
    </w:p>
    <w:p>
      <w:pPr>
        <w:pStyle w:val="BodyText"/>
        <w:spacing w:line="300" w:lineRule="auto" w:before="19"/>
        <w:ind w:left="513" w:right="94"/>
        <w:jc w:val="left"/>
      </w:pPr>
      <w:r>
        <w:rPr>
          <w:rFonts w:ascii="Times New Roman" w:hAnsi="Times New Roman" w:cs="Times New Roman" w:eastAsia="Times New Roman" w:hint="default"/>
        </w:rPr>
        <w:t>5</w:t>
      </w:r>
      <w:r>
        <w:rPr/>
        <w:t>、可供出售金融资产减值 </w:t>
      </w:r>
      <w:r>
        <w:rPr>
          <w:spacing w:val="-2"/>
        </w:rPr>
        <w:t>本公司确定可供出售金融资产是否减值在很大程度上依赖于管理层的判断和假设，以确定是否需要在利润表中确认其减</w:t>
      </w:r>
    </w:p>
    <w:p>
      <w:pPr>
        <w:pStyle w:val="BodyText"/>
        <w:spacing w:line="316" w:lineRule="auto" w:before="31"/>
        <w:ind w:right="190"/>
        <w:jc w:val="both"/>
      </w:pPr>
      <w:r>
        <w:rPr>
          <w:spacing w:val="-2"/>
        </w:rPr>
        <w:t>值损失。在进行判断和作出假设的过程中，本公司需评估该项投资的公允价值低于成本的程度和持续期间，以及被投资对象</w:t>
      </w:r>
      <w:r>
        <w:rPr>
          <w:spacing w:val="-63"/>
        </w:rPr>
        <w:t> </w:t>
      </w:r>
      <w:r>
        <w:rPr>
          <w:spacing w:val="-63"/>
        </w:rPr>
      </w:r>
      <w:r>
        <w:rPr/>
        <w:t>的财务状况和短期业务展望，包括行业状况、技术变革、信用评级、违约率和对手方的风险。</w:t>
      </w:r>
    </w:p>
    <w:p>
      <w:pPr>
        <w:pStyle w:val="BodyText"/>
        <w:spacing w:line="300" w:lineRule="auto" w:before="19"/>
        <w:ind w:left="513" w:right="94"/>
        <w:jc w:val="left"/>
      </w:pPr>
      <w:r>
        <w:rPr>
          <w:rFonts w:ascii="Times New Roman" w:hAnsi="Times New Roman" w:cs="Times New Roman" w:eastAsia="Times New Roman" w:hint="default"/>
        </w:rPr>
        <w:t>6</w:t>
      </w:r>
      <w:r>
        <w:rPr/>
        <w:t>、非金融非流动资产减值准备 </w:t>
      </w:r>
      <w:r>
        <w:rPr>
          <w:spacing w:val="-2"/>
        </w:rPr>
        <w:t>本公司于资产负债表日对除金融资产之外的非流动资产判断是否存在可能发生减值的迹象。对使用寿命不确定的无形资</w:t>
      </w:r>
    </w:p>
    <w:p>
      <w:pPr>
        <w:pStyle w:val="BodyText"/>
        <w:spacing w:line="316" w:lineRule="auto" w:before="31"/>
        <w:ind w:right="195"/>
        <w:jc w:val="both"/>
      </w:pPr>
      <w:r>
        <w:rPr>
          <w:spacing w:val="-2"/>
        </w:rPr>
        <w:t>产，除每年进行的减值测试外，当其存在减值迹象时，也进行减值测试。其他除金融资产之外的非流动资产，当存在迹象表</w:t>
      </w:r>
      <w:r>
        <w:rPr>
          <w:spacing w:val="-67"/>
        </w:rPr>
        <w:t> </w:t>
      </w:r>
      <w:r>
        <w:rPr>
          <w:spacing w:val="-67"/>
        </w:rPr>
      </w:r>
      <w:r>
        <w:rPr/>
        <w:t>明其账面金额不可收回时，进行减值测试。</w:t>
      </w:r>
    </w:p>
    <w:p>
      <w:pPr>
        <w:pStyle w:val="BodyText"/>
        <w:spacing w:line="316" w:lineRule="auto" w:before="19"/>
        <w:ind w:right="274" w:firstLine="360"/>
        <w:jc w:val="left"/>
      </w:pPr>
      <w:r>
        <w:rPr/>
        <w:t>当资产或资产组的账面价值高于可收回金额，即公允价值减去处置费用后的净额和预计未来现金流量的现值中的较高 者，表明发生了减值。</w:t>
      </w:r>
    </w:p>
    <w:p>
      <w:pPr>
        <w:pStyle w:val="BodyText"/>
        <w:spacing w:line="316" w:lineRule="auto" w:before="19"/>
        <w:ind w:right="94" w:firstLine="360"/>
        <w:jc w:val="left"/>
      </w:pPr>
      <w:r>
        <w:rPr>
          <w:spacing w:val="-2"/>
        </w:rPr>
        <w:t>公允价值减去处置费用后的净额，参考公平交易中类似资产的销售协议价格或可观察到的市场价格，减去可直接归属于</w:t>
      </w:r>
      <w:r>
        <w:rPr/>
        <w:t> 该资产处置的增量成本确定。</w:t>
      </w:r>
    </w:p>
    <w:p>
      <w:pPr>
        <w:pStyle w:val="BodyText"/>
        <w:spacing w:line="316" w:lineRule="auto" w:before="19"/>
        <w:ind w:right="94" w:firstLine="360"/>
        <w:jc w:val="left"/>
      </w:pPr>
      <w:r>
        <w:rPr>
          <w:spacing w:val="-2"/>
        </w:rPr>
        <w:t>在预计未来现金流量现值时，需要对该资产（或资产组）的产量、售价、相关经营成本以及计算现值时使用的折现率等</w:t>
      </w:r>
      <w:r>
        <w:rPr/>
        <w:t> </w:t>
      </w:r>
      <w:r>
        <w:rPr>
          <w:spacing w:val="-4"/>
        </w:rPr>
        <w:t>作出重大判断。本公司在估计可收回金额时会采用所有能够获得的相关资料，包括根据合理和可支持的假设所作出有关产量、</w:t>
      </w:r>
      <w:r>
        <w:rPr>
          <w:spacing w:val="-44"/>
        </w:rPr>
        <w:t> </w:t>
      </w:r>
      <w:r>
        <w:rPr>
          <w:spacing w:val="-44"/>
        </w:rPr>
      </w:r>
      <w:r>
        <w:rPr/>
        <w:t>售价和相关经营成本的预测。</w:t>
      </w:r>
    </w:p>
    <w:p>
      <w:pPr>
        <w:pStyle w:val="BodyText"/>
        <w:spacing w:line="316" w:lineRule="auto" w:before="19"/>
        <w:ind w:right="94" w:firstLine="360"/>
        <w:jc w:val="left"/>
      </w:pPr>
      <w:r>
        <w:rPr/>
        <w:t>本公司至少每年测试商誉是否发生减值。这要求对分配了商誉的资产组或者资产组组合的未来现金流量的现值进行预 </w:t>
      </w:r>
      <w:r>
        <w:rPr>
          <w:spacing w:val="-2"/>
        </w:rPr>
        <w:t>计。对未来现金流量的现值进行预计时，本公司需要预计未来资产组或者资产组组合产生的现金流量，同时选择恰当的折现</w:t>
      </w:r>
      <w:r>
        <w:rPr>
          <w:spacing w:val="-63"/>
        </w:rPr>
        <w:t> </w:t>
      </w:r>
      <w:r>
        <w:rPr>
          <w:spacing w:val="-63"/>
        </w:rPr>
      </w:r>
      <w:r>
        <w:rPr/>
        <w:t>率确定未来现金流量的现值。</w:t>
      </w:r>
    </w:p>
    <w:p>
      <w:pPr>
        <w:pStyle w:val="BodyText"/>
        <w:spacing w:line="300" w:lineRule="auto" w:before="19"/>
        <w:ind w:left="513" w:right="94"/>
        <w:jc w:val="left"/>
      </w:pPr>
      <w:r>
        <w:rPr>
          <w:rFonts w:ascii="Times New Roman" w:hAnsi="Times New Roman" w:cs="Times New Roman" w:eastAsia="Times New Roman" w:hint="default"/>
        </w:rPr>
        <w:t>7</w:t>
      </w:r>
      <w:r>
        <w:rPr/>
        <w:t>、折旧和摊销 </w:t>
      </w:r>
      <w:r>
        <w:rPr>
          <w:spacing w:val="-2"/>
        </w:rPr>
        <w:t>本公司对投资性房地产、固定资产和无形资产在考虑其残值后，在使用寿命内按直线法计提折旧和摊销。本公司定期复</w:t>
      </w:r>
    </w:p>
    <w:p>
      <w:pPr>
        <w:pStyle w:val="BodyText"/>
        <w:spacing w:line="316" w:lineRule="auto" w:before="31"/>
        <w:ind w:right="193"/>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300" w:lineRule="auto" w:before="19"/>
        <w:ind w:left="513" w:right="94"/>
        <w:jc w:val="left"/>
      </w:pPr>
      <w:r>
        <w:rPr>
          <w:rFonts w:ascii="Times New Roman" w:hAnsi="Times New Roman" w:cs="Times New Roman" w:eastAsia="Times New Roman" w:hint="default"/>
        </w:rPr>
        <w:t>8</w:t>
      </w:r>
      <w:r>
        <w:rPr/>
        <w:t>、所得税 </w:t>
      </w:r>
      <w:r>
        <w:rPr>
          <w:spacing w:val="-2"/>
        </w:rPr>
        <w:t>本公司在正常的经营活动中，有部分交易其最终的税务处理和计算存在一定的不确定性。部分项目是否能够在税前列支</w:t>
      </w:r>
    </w:p>
    <w:p>
      <w:pPr>
        <w:pStyle w:val="BodyText"/>
        <w:spacing w:line="319" w:lineRule="auto" w:before="31"/>
        <w:ind w:right="191"/>
        <w:jc w:val="both"/>
      </w:pPr>
      <w:r>
        <w:rPr>
          <w:spacing w:val="-2"/>
        </w:rPr>
        <w:t>需要税收主管机关的审批。如果这些税务事项的最终认定结果同最初估计的金额存在差异，则该差异将对其最终认定期间的</w:t>
      </w:r>
      <w:r>
        <w:rPr>
          <w:spacing w:val="-62"/>
        </w:rPr>
        <w:t> </w:t>
      </w:r>
      <w:r>
        <w:rPr>
          <w:spacing w:val="-62"/>
        </w:rPr>
      </w:r>
      <w:r>
        <w:rPr/>
        <w:t>当期所得税和递延所得税产生影响。</w:t>
      </w:r>
    </w:p>
    <w:p>
      <w:pPr>
        <w:pStyle w:val="BodyText"/>
        <w:spacing w:line="240" w:lineRule="auto" w:before="17"/>
        <w:ind w:left="513" w:right="94"/>
        <w:jc w:val="left"/>
      </w:pPr>
      <w:r>
        <w:rPr>
          <w:rFonts w:ascii="Times New Roman" w:hAnsi="Times New Roman" w:cs="Times New Roman" w:eastAsia="Times New Roman" w:hint="default"/>
        </w:rPr>
        <w:t>9</w:t>
      </w:r>
      <w:r>
        <w:rPr/>
        <w:t>、内部退养福利及补充退休福利</w:t>
      </w:r>
    </w:p>
    <w:p>
      <w:pPr>
        <w:spacing w:after="0" w:line="240" w:lineRule="auto"/>
        <w:jc w:val="left"/>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16" w:lineRule="auto" w:before="44"/>
        <w:ind w:right="94" w:firstLine="360"/>
        <w:jc w:val="left"/>
      </w:pPr>
      <w:r>
        <w:rPr>
          <w:spacing w:val="-2"/>
        </w:rPr>
        <w:t>本公司内部退养福利和补充退休福利费用支出及负债的金额依据各种假设条件确定。这些假设条件包括折现率、平均医</w:t>
      </w:r>
      <w:r>
        <w:rPr/>
        <w:t> 疗费用增长率、内退人员及离退人员补贴增长率和其他因素。实际结果和假设的差异将在发生时立即确认并计入当年费用。 </w:t>
      </w:r>
      <w:r>
        <w:rPr>
          <w:spacing w:val="-2"/>
        </w:rPr>
        <w:t>尽管管理层认为已采用了合理假设，但实际经验值及假设条件的变化仍将影响本公司内部退养福利和补充退休福利的费用及</w:t>
      </w:r>
      <w:r>
        <w:rPr>
          <w:spacing w:val="-64"/>
        </w:rPr>
        <w:t> </w:t>
      </w:r>
      <w:r>
        <w:rPr>
          <w:spacing w:val="-64"/>
        </w:rPr>
      </w:r>
      <w:r>
        <w:rPr/>
        <w:t>负债余额。</w:t>
      </w:r>
    </w:p>
    <w:p>
      <w:pPr>
        <w:spacing w:line="240" w:lineRule="auto" w:before="10"/>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32</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1"/>
        <w:ind w:right="9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18"/>
        <w:ind w:right="94"/>
        <w:jc w:val="left"/>
        <w:rPr>
          <w:b w:val="0"/>
          <w:bCs w:val="0"/>
        </w:rPr>
      </w:pPr>
      <w:r>
        <w:rPr>
          <w:rFonts w:ascii="Times New Roman" w:hAnsi="Times New Roman" w:cs="Times New Roman" w:eastAsia="Times New Roman" w:hint="default"/>
        </w:rPr>
        <w:t>33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65" w:right="94" w:hanging="313"/>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）非货币性资产交换</w:t>
      </w:r>
      <w:r>
        <w:rPr>
          <w:rFonts w:ascii="宋体" w:hAnsi="宋体" w:cs="宋体" w:eastAsia="宋体" w:hint="default"/>
          <w:b/>
          <w:bCs/>
          <w:w w:val="99"/>
        </w:rPr>
        <w:t> </w:t>
      </w:r>
      <w:r>
        <w:rPr>
          <w:spacing w:val="-2"/>
        </w:rPr>
        <w:t>公司发生的非货币性资产交换同时满足下述条件的</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w:t>
      </w:r>
      <w:r>
        <w:rPr>
          <w:spacing w:val="-2"/>
        </w:rPr>
        <w:t>）该项交换具有商业实质；（</w:t>
      </w:r>
      <w:r>
        <w:rPr>
          <w:rFonts w:ascii="Times New Roman" w:hAnsi="Times New Roman" w:cs="Times New Roman" w:eastAsia="Times New Roman" w:hint="default"/>
          <w:spacing w:val="-2"/>
        </w:rPr>
        <w:t>2</w:t>
      </w:r>
      <w:r>
        <w:rPr>
          <w:spacing w:val="-2"/>
        </w:rPr>
        <w:t>）换入资产或换出资产的公允价值</w:t>
      </w:r>
    </w:p>
    <w:p>
      <w:pPr>
        <w:pStyle w:val="BodyText"/>
        <w:spacing w:line="215" w:lineRule="exact"/>
        <w:ind w:right="0"/>
        <w:jc w:val="left"/>
      </w:pPr>
      <w:r>
        <w:rPr/>
        <w:t>能够可靠地计量，则以公允价值和应支付的相关税费作为换入资产的成本，公允价值与换出资产账面价值的差额计入当期损</w:t>
      </w:r>
    </w:p>
    <w:p>
      <w:pPr>
        <w:pStyle w:val="BodyText"/>
        <w:spacing w:line="319" w:lineRule="auto" w:before="76"/>
        <w:ind w:right="94"/>
        <w:jc w:val="left"/>
      </w:pPr>
      <w:r>
        <w:rPr>
          <w:spacing w:val="-2"/>
        </w:rPr>
        <w:t>益；换入资产和换出资产公允价值均能够可靠计量的，以换出资产的公允价值作为确定换入资产成本的基础，但有确凿证据</w:t>
      </w:r>
      <w:r>
        <w:rPr>
          <w:spacing w:val="-63"/>
        </w:rPr>
        <w:t> </w:t>
      </w:r>
      <w:r>
        <w:rPr>
          <w:spacing w:val="-63"/>
        </w:rPr>
      </w:r>
      <w:r>
        <w:rPr/>
        <w:t>表明换入资产的公允价值更加可靠的除外。</w:t>
      </w:r>
    </w:p>
    <w:p>
      <w:pPr>
        <w:pStyle w:val="Heading6"/>
        <w:spacing w:line="240" w:lineRule="auto" w:before="55"/>
        <w:ind w:right="94"/>
        <w:jc w:val="left"/>
        <w:rPr>
          <w:b w:val="0"/>
          <w:bCs w:val="0"/>
        </w:rPr>
      </w:pPr>
      <w:r>
        <w:rPr/>
        <w:t>（</w:t>
      </w:r>
      <w:r>
        <w:rPr>
          <w:rFonts w:ascii="宋体" w:hAnsi="宋体" w:cs="宋体" w:eastAsia="宋体" w:hint="default"/>
        </w:rPr>
        <w:t>2</w:t>
      </w:r>
      <w:r>
        <w:rPr/>
        <w:t>）回购公司股份</w:t>
      </w:r>
      <w:r>
        <w:rPr>
          <w:b w:val="0"/>
          <w:bCs w:val="0"/>
        </w:rPr>
      </w:r>
    </w:p>
    <w:p>
      <w:pPr>
        <w:pStyle w:val="BodyText"/>
        <w:spacing w:line="360" w:lineRule="auto" w:before="117"/>
        <w:ind w:left="467" w:right="191" w:hanging="80"/>
        <w:jc w:val="left"/>
      </w:pPr>
      <w:r>
        <w:rPr/>
        <w:t>①减少注册资本而回购公司股份时的会计处理 </w:t>
      </w:r>
      <w:r>
        <w:rPr>
          <w:spacing w:val="-1"/>
        </w:rPr>
        <w:t>公司因减少注册资本而回购公司股份的，按实际支付的金额计入库存股；注销库存股时，按股票面值和注销股数计算的</w:t>
      </w:r>
    </w:p>
    <w:p>
      <w:pPr>
        <w:pStyle w:val="BodyText"/>
        <w:spacing w:line="222" w:lineRule="exact"/>
        <w:ind w:right="0"/>
        <w:jc w:val="left"/>
      </w:pPr>
      <w:r>
        <w:rPr/>
        <w:t>股票面值总额，计入股本和库存股，按实际支付的金额与股票面值总额的差额计入资本公积，股本溢价不足冲减的，依次冲</w:t>
      </w:r>
    </w:p>
    <w:p>
      <w:pPr>
        <w:pStyle w:val="BodyText"/>
        <w:spacing w:line="240" w:lineRule="auto" w:before="76"/>
        <w:ind w:right="94"/>
        <w:jc w:val="left"/>
      </w:pPr>
      <w:r>
        <w:rPr/>
        <w:t>减盈余公积和未分配利润。</w:t>
      </w:r>
    </w:p>
    <w:p>
      <w:pPr>
        <w:pStyle w:val="BodyText"/>
        <w:spacing w:line="338" w:lineRule="auto" w:before="115"/>
        <w:ind w:right="94" w:firstLine="235"/>
        <w:jc w:val="left"/>
      </w:pPr>
      <w:r>
        <w:rPr/>
        <w:t>②回购公司股份进行职工期权激励时的会计处理 </w:t>
      </w:r>
      <w:r>
        <w:rPr>
          <w:spacing w:val="-2"/>
        </w:rPr>
        <w:t>公司以回购股份形式奖励公司职工的，属于权益结算的股份支付，进行以下处理：回购股份时，按照回购股份的全部支出作</w:t>
      </w:r>
      <w:r>
        <w:rPr>
          <w:spacing w:val="-64"/>
        </w:rPr>
        <w:t> </w:t>
      </w:r>
      <w:r>
        <w:rPr>
          <w:spacing w:val="-64"/>
        </w:rPr>
      </w:r>
      <w:r>
        <w:rPr>
          <w:spacing w:val="-2"/>
        </w:rPr>
        <w:t>为库存股处理，同时进行备查登记；按照对职工权益结算股份支付的规定，公司在等待期内每个资产负债表日按照权益工具</w:t>
      </w:r>
    </w:p>
    <w:p>
      <w:pPr>
        <w:pStyle w:val="BodyText"/>
        <w:spacing w:line="300" w:lineRule="auto" w:before="2"/>
        <w:ind w:right="94"/>
        <w:jc w:val="left"/>
      </w:pPr>
      <w:r>
        <w:rPr>
          <w:spacing w:val="-1"/>
        </w:rPr>
        <w:t>在授予日的公允价值，将取得的职工服务计入成本费用，同时增加资本公积</w:t>
      </w:r>
      <w:r>
        <w:rPr>
          <w:rFonts w:ascii="Times New Roman" w:hAnsi="Times New Roman" w:cs="Times New Roman" w:eastAsia="Times New Roman" w:hint="default"/>
          <w:spacing w:val="-1"/>
        </w:rPr>
        <w:t>(</w:t>
      </w:r>
      <w:r>
        <w:rPr>
          <w:spacing w:val="-1"/>
        </w:rPr>
        <w:t>其他资本公积</w:t>
      </w:r>
      <w:r>
        <w:rPr>
          <w:rFonts w:ascii="Times New Roman" w:hAnsi="Times New Roman" w:cs="Times New Roman" w:eastAsia="Times New Roman" w:hint="default"/>
          <w:spacing w:val="-1"/>
        </w:rPr>
        <w:t>)</w:t>
      </w:r>
      <w:r>
        <w:rPr>
          <w:spacing w:val="-1"/>
        </w:rPr>
        <w:t>；公司于职工行权购买公司股份</w:t>
      </w:r>
      <w:r>
        <w:rPr>
          <w:spacing w:val="-58"/>
        </w:rPr>
        <w:t> </w:t>
      </w:r>
      <w:r>
        <w:rPr>
          <w:spacing w:val="-58"/>
        </w:rPr>
      </w:r>
      <w:r>
        <w:rPr>
          <w:spacing w:val="-2"/>
        </w:rPr>
        <w:t>收到价款时，转销交付职工的库存股成本和等待期内资本公积（其他资本公积）累计金额，同时，按照其差额调整资本公积</w:t>
      </w:r>
    </w:p>
    <w:p>
      <w:pPr>
        <w:pStyle w:val="BodyText"/>
        <w:spacing w:line="240" w:lineRule="auto" w:before="31"/>
        <w:ind w:right="94"/>
        <w:jc w:val="left"/>
      </w:pPr>
      <w:r>
        <w:rPr/>
        <w:t>（股本溢价）。</w:t>
      </w:r>
    </w:p>
    <w:p>
      <w:pPr>
        <w:spacing w:line="240" w:lineRule="auto" w:before="3"/>
        <w:rPr>
          <w:rFonts w:ascii="宋体" w:hAnsi="宋体" w:cs="宋体" w:eastAsia="宋体" w:hint="default"/>
          <w:sz w:val="25"/>
          <w:szCs w:val="25"/>
        </w:rPr>
      </w:pPr>
    </w:p>
    <w:p>
      <w:pPr>
        <w:pStyle w:val="Heading3"/>
        <w:spacing w:line="240" w:lineRule="auto"/>
        <w:ind w:right="94"/>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9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应纳税销售收入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r>
              <w:rPr>
                <w:rFonts w:ascii="宋体" w:hAnsi="宋体" w:cs="宋体" w:eastAsia="宋体" w:hint="default"/>
                <w:sz w:val="18"/>
                <w:szCs w:val="18"/>
              </w:rPr>
              <w:t>、</w:t>
            </w:r>
            <w:r>
              <w:rPr>
                <w:rFonts w:ascii="Times New Roman" w:hAnsi="Times New Roman" w:cs="Times New Roman" w:eastAsia="Times New Roman" w:hint="default"/>
                <w:sz w:val="18"/>
                <w:szCs w:val="18"/>
              </w:rPr>
              <w:t>0-25%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4"/>
        <w:jc w:val="left"/>
      </w:pPr>
      <w:r>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中国境内公司和印度尼西亚境内公司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新加坡境内公司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南非境内公司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津巴布韦境内公司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0-25%</w:t>
            </w:r>
          </w:p>
        </w:tc>
      </w:tr>
    </w:tbl>
    <w:p>
      <w:pPr>
        <w:spacing w:line="240" w:lineRule="auto" w:before="3"/>
        <w:rPr>
          <w:rFonts w:ascii="宋体" w:hAnsi="宋体" w:cs="宋体" w:eastAsia="宋体" w:hint="default"/>
          <w:sz w:val="19"/>
          <w:szCs w:val="19"/>
        </w:rPr>
      </w:pPr>
    </w:p>
    <w:p>
      <w:pPr>
        <w:pStyle w:val="Heading5"/>
        <w:spacing w:line="240" w:lineRule="auto" w:before="36"/>
        <w:ind w:right="9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192" w:firstLine="360"/>
        <w:jc w:val="both"/>
      </w:pPr>
      <w:r>
        <w:rPr/>
        <w:t>青岛市科学技术局、青岛市财政局、青岛市国家税务局、青岛市地方税务局于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日联合向公司颁发编号为 </w:t>
      </w:r>
      <w:r>
        <w:rPr>
          <w:rFonts w:ascii="Times New Roman" w:hAnsi="Times New Roman" w:cs="Times New Roman" w:eastAsia="Times New Roman" w:hint="default"/>
        </w:rPr>
        <w:t>GF201537100028</w:t>
      </w:r>
      <w:r>
        <w:rPr/>
        <w:t>的《高新技术企业证书》，按照《中华人民共和国企业所得税法》的规定，公司可以自</w:t>
      </w:r>
      <w:r>
        <w:rPr>
          <w:rFonts w:ascii="Times New Roman" w:hAnsi="Times New Roman" w:cs="Times New Roman" w:eastAsia="Times New Roman" w:hint="default"/>
        </w:rPr>
        <w:t>2015</w:t>
      </w:r>
      <w:r>
        <w:rPr/>
        <w:t>年度起连续三 </w:t>
      </w:r>
      <w:r>
        <w:rPr>
          <w:spacing w:val="-1"/>
        </w:rPr>
        <w:t>年执行</w:t>
      </w:r>
      <w:r>
        <w:rPr>
          <w:rFonts w:ascii="Times New Roman" w:hAnsi="Times New Roman" w:cs="Times New Roman" w:eastAsia="Times New Roman" w:hint="default"/>
          <w:spacing w:val="-1"/>
        </w:rPr>
        <w:t>15%</w:t>
      </w:r>
      <w:r>
        <w:rPr>
          <w:spacing w:val="-1"/>
        </w:rPr>
        <w:t>的所得税优惠税率。根据《中华人民共和国企业所得税法》以及《中华人民共和国企业所得税法实施条例》，公</w:t>
      </w:r>
      <w:r>
        <w:rPr/>
        <w:t> </w:t>
      </w:r>
      <w:r>
        <w:rPr>
          <w:spacing w:val="-2"/>
        </w:rPr>
        <w:t>司为开发新技术、新产品、新工艺发生的研究开发费，未形成无形资产计入当期损益的，在按照规定据实扣除的基础上，按</w:t>
      </w:r>
      <w:r>
        <w:rPr>
          <w:spacing w:val="-67"/>
        </w:rPr>
        <w:t> </w:t>
      </w:r>
      <w:r>
        <w:rPr>
          <w:spacing w:val="-67"/>
        </w:rPr>
      </w:r>
      <w:r>
        <w:rPr/>
        <w:t>照研究开发费用的</w:t>
      </w:r>
      <w:r>
        <w:rPr>
          <w:rFonts w:ascii="Times New Roman" w:hAnsi="Times New Roman" w:cs="Times New Roman" w:eastAsia="Times New Roman" w:hint="default"/>
        </w:rPr>
        <w:t>50%</w:t>
      </w:r>
      <w:r>
        <w:rPr/>
        <w:t>加计扣除。</w:t>
      </w:r>
    </w:p>
    <w:p>
      <w:pPr>
        <w:pStyle w:val="BodyText"/>
        <w:spacing w:line="304" w:lineRule="auto" w:before="9"/>
        <w:ind w:right="94" w:firstLine="360"/>
        <w:jc w:val="left"/>
      </w:pPr>
      <w:r>
        <w:rPr>
          <w:spacing w:val="-2"/>
        </w:rPr>
        <w:t>根据财政部、国家税务总局根据税收法律法规有关规定和《国务院办公厅转发发展改革委等部门关于加快推进合同能源</w:t>
      </w:r>
      <w:r>
        <w:rPr/>
        <w:t> 管理促进节能服务产业发展意见的通知》</w:t>
      </w:r>
      <w:r>
        <w:rPr>
          <w:rFonts w:ascii="Times New Roman" w:hAnsi="Times New Roman" w:cs="Times New Roman" w:eastAsia="Times New Roman" w:hint="default"/>
        </w:rPr>
        <w:t>(</w:t>
      </w:r>
      <w:r>
        <w:rPr/>
        <w:t>国办发</w:t>
      </w:r>
      <w:r>
        <w:rPr>
          <w:rFonts w:ascii="Times New Roman" w:hAnsi="Times New Roman" w:cs="Times New Roman" w:eastAsia="Times New Roman" w:hint="default"/>
        </w:rPr>
        <w:t>[2010]25</w:t>
      </w:r>
      <w:r>
        <w:rPr/>
        <w:t>号</w:t>
      </w:r>
      <w:r>
        <w:rPr>
          <w:rFonts w:ascii="Times New Roman" w:hAnsi="Times New Roman" w:cs="Times New Roman" w:eastAsia="Times New Roman" w:hint="default"/>
        </w:rPr>
        <w:t>)</w:t>
      </w:r>
      <w:r>
        <w:rPr/>
        <w:t>下发的《关于促进节能服务产业发展增值税</w:t>
      </w:r>
      <w:r>
        <w:rPr>
          <w:rFonts w:ascii="MS Gothic" w:hAnsi="MS Gothic" w:cs="MS Gothic" w:eastAsia="MS Gothic" w:hint="default"/>
        </w:rPr>
        <w:t>､</w:t>
      </w:r>
      <w:r>
        <w:rPr/>
        <w:t>营业税和企业所得 税政策问题的通知》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[2010]110</w:t>
      </w:r>
      <w:r>
        <w:rPr/>
        <w:t>号文件</w:t>
      </w:r>
      <w:r>
        <w:rPr>
          <w:rFonts w:ascii="Times New Roman" w:hAnsi="Times New Roman" w:cs="Times New Roman" w:eastAsia="Times New Roman" w:hint="default"/>
        </w:rPr>
        <w:t>)</w:t>
      </w:r>
      <w:r>
        <w:rPr/>
        <w:t>，子公司青岛恒顺节能科技有限公司享受免征营业税以及企业所得税三免三减半 </w:t>
      </w:r>
      <w:r>
        <w:rPr>
          <w:spacing w:val="-2"/>
        </w:rPr>
        <w:t>的政策。</w:t>
      </w:r>
      <w:r>
        <w:rPr>
          <w:rFonts w:ascii="Times New Roman" w:hAnsi="Times New Roman" w:cs="Times New Roman" w:eastAsia="Times New Roman" w:hint="default"/>
          <w:spacing w:val="-2"/>
        </w:rPr>
        <w:t>2015</w:t>
      </w:r>
      <w:r>
        <w:rPr>
          <w:spacing w:val="-2"/>
        </w:rPr>
        <w:t>年起，青岛恒顺节能科技有限公司开始由免征企业所得税转变为减半征收所得税的优惠政策。根据财政部、国</w:t>
      </w:r>
      <w:r>
        <w:rPr>
          <w:spacing w:val="-63"/>
        </w:rPr>
        <w:t> </w:t>
      </w:r>
      <w:r>
        <w:rPr>
          <w:spacing w:val="-63"/>
        </w:rPr>
      </w:r>
      <w:r>
        <w:rPr/>
        <w:t>家税务总局《关于在全国开展交通运输业和部分现代服务业营业税改征增值税试点税收政策的通知》（财税【</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37</w:t>
      </w:r>
      <w:r>
        <w:rPr/>
        <w:t>号） 的规定，子公司青岛恒顺节能科技有限公司自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w:t>
      </w:r>
      <w:r>
        <w:rPr/>
        <w:t>日起，开始计缴增值税并享受免征增值税的政策。</w:t>
      </w:r>
    </w:p>
    <w:p>
      <w:pPr>
        <w:pStyle w:val="BodyText"/>
        <w:spacing w:line="300" w:lineRule="auto" w:before="9"/>
        <w:ind w:right="94" w:firstLine="360"/>
        <w:jc w:val="left"/>
      </w:pPr>
      <w:r>
        <w:rPr>
          <w:spacing w:val="-2"/>
        </w:rPr>
        <w:t>青岛市恒顺众昇集团股份有限公司出口产品实行</w:t>
      </w:r>
      <w:r>
        <w:rPr>
          <w:rFonts w:ascii="Times New Roman" w:hAnsi="Times New Roman" w:cs="Times New Roman" w:eastAsia="Times New Roman" w:hint="default"/>
          <w:spacing w:val="-2"/>
        </w:rPr>
        <w:t>“</w:t>
      </w:r>
      <w:r>
        <w:rPr>
          <w:spacing w:val="-2"/>
        </w:rPr>
        <w:t>免、抵、退</w:t>
      </w:r>
      <w:r>
        <w:rPr>
          <w:rFonts w:ascii="Times New Roman" w:hAnsi="Times New Roman" w:cs="Times New Roman" w:eastAsia="Times New Roman" w:hint="default"/>
          <w:spacing w:val="-2"/>
        </w:rPr>
        <w:t>”</w:t>
      </w:r>
      <w:r>
        <w:rPr>
          <w:spacing w:val="-2"/>
        </w:rPr>
        <w:t>税政策。子公司青岛恒顺众昇进出口有限公司出口产品实</w:t>
      </w:r>
      <w:r>
        <w:rPr/>
        <w:t> 行</w:t>
      </w:r>
      <w:r>
        <w:rPr>
          <w:rFonts w:ascii="Times New Roman" w:hAnsi="Times New Roman" w:cs="Times New Roman" w:eastAsia="Times New Roman" w:hint="default"/>
        </w:rPr>
        <w:t>“</w:t>
      </w:r>
      <w:r>
        <w:rPr/>
        <w:t>免、退</w:t>
      </w:r>
      <w:r>
        <w:rPr>
          <w:rFonts w:ascii="Times New Roman" w:hAnsi="Times New Roman" w:cs="Times New Roman" w:eastAsia="Times New Roman" w:hint="default"/>
        </w:rPr>
        <w:t>”</w:t>
      </w:r>
      <w:r>
        <w:rPr/>
        <w:t>税政策。</w:t>
      </w:r>
    </w:p>
    <w:p>
      <w:pPr>
        <w:spacing w:line="240" w:lineRule="auto" w:before="4"/>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94"/>
        <w:jc w:val="left"/>
      </w:pPr>
      <w:r>
        <w:rPr/>
        <w:t>增值税税率说明：</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增值税税率</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中国境内公司（除研发和技术服务业务）</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17%</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中国境内公司（研发和技术服务业务）</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6%</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印度尼西亚境内公司</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10%</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南非境内公司</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14%</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津巴布韦境内公司</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94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106,897.93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52,891.69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315,595,607.25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105,207,336.56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97,891,710.00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6,571,170.46</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413,594,215.18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111,831,398.71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2,323,000.00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5"/>
        <w:ind w:right="0"/>
        <w:jc w:val="left"/>
      </w:pPr>
      <w:r>
        <w:rPr/>
        <w:t>①期末公司无已质押的应收票据。</w:t>
      </w:r>
    </w:p>
    <w:p>
      <w:pPr>
        <w:pStyle w:val="BodyText"/>
        <w:spacing w:line="240" w:lineRule="auto" w:before="77"/>
        <w:ind w:right="0"/>
        <w:jc w:val="left"/>
      </w:pPr>
      <w:r>
        <w:rPr/>
        <w:t>②报告期内公司无因出票人无力履约而将票据转为应收账款的应收票据。</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522,089,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176.99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33,673,8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12.74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488,415,3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64.25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278,095</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,637.56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99.41%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19,875,05</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258,220,58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6.48</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2"/>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2"/>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1,658,1</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90.00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1,658,190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523,747,</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366.99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35,332,0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02.74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488,415,3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64.25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279,753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,827.56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21,533,24</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1.08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258,220,58</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6.48</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464,188,601.69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23,209,430.08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464,188,601.69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23,209,430.08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36,846,298.58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3,684,629.87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13,876,940.15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2,775,388.03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7,177,336.57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4,004,364.76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55.79%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3,622,240.00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1,811,120.00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2,723,703.63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1,361,851.82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831,392.94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831,392.94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522,089,176.99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33,673,812.74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6.45%</w:t>
            </w:r>
          </w:p>
        </w:tc>
      </w:tr>
    </w:tbl>
    <w:p>
      <w:pPr>
        <w:pStyle w:val="BodyText"/>
        <w:spacing w:line="357" w:lineRule="auto" w:before="49"/>
        <w:ind w:right="3654"/>
        <w:jc w:val="left"/>
      </w:pPr>
      <w:r>
        <w:rPr/>
        <w:t>确定该组合依据的说明： 单项金额不重大但按信用风险特征组合后该组合的风险较大的应收账款包括：</w:t>
      </w:r>
    </w:p>
    <w:p>
      <w:pPr>
        <w:pStyle w:val="BodyText"/>
        <w:spacing w:line="237" w:lineRule="exact"/>
        <w:ind w:right="0"/>
        <w:jc w:val="left"/>
      </w:pPr>
      <w:r>
        <w:rPr/>
        <w:t>①</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spacing w:val="1"/>
        </w:rPr>
        <w:t>5</w:t>
      </w:r>
      <w:r>
        <w:rPr/>
        <w:t>月销售给青岛青波</w:t>
      </w:r>
      <w:r>
        <w:rPr>
          <w:spacing w:val="-3"/>
        </w:rPr>
        <w:t>变</w:t>
      </w:r>
      <w:r>
        <w:rPr/>
        <w:t>压器股份有限公司产品货款</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t>万元</w:t>
      </w:r>
      <w:r>
        <w:rPr>
          <w:spacing w:val="-82"/>
        </w:rPr>
        <w:t>，</w:t>
      </w:r>
      <w:r>
        <w:rPr/>
        <w:t>因对方对欠款余额不确认</w:t>
      </w:r>
      <w:r>
        <w:rPr>
          <w:spacing w:val="-82"/>
        </w:rPr>
        <w:t>，</w:t>
      </w:r>
      <w:r>
        <w:rPr/>
        <w:t>造成款项无法收回的风险</w:t>
      </w:r>
      <w:r>
        <w:rPr>
          <w:spacing w:val="-9"/>
        </w:rPr>
        <w:t>，</w:t>
      </w:r>
      <w:r>
        <w:rPr/>
        <w:t>故</w:t>
      </w:r>
    </w:p>
    <w:p>
      <w:pPr>
        <w:pStyle w:val="BodyText"/>
        <w:spacing w:line="240" w:lineRule="auto" w:before="63"/>
        <w:ind w:right="0"/>
        <w:jc w:val="left"/>
      </w:pPr>
      <w:r>
        <w:rPr/>
        <w:t>公司在</w:t>
      </w:r>
      <w:r>
        <w:rPr>
          <w:rFonts w:ascii="Times New Roman" w:hAnsi="Times New Roman" w:cs="Times New Roman" w:eastAsia="Times New Roman" w:hint="default"/>
        </w:rPr>
        <w:t>2010</w:t>
      </w:r>
      <w:r>
        <w:rPr/>
        <w:t>年全额计提坏账准备。</w:t>
      </w:r>
    </w:p>
    <w:p>
      <w:pPr>
        <w:pStyle w:val="BodyText"/>
        <w:spacing w:line="300" w:lineRule="auto" w:before="63"/>
        <w:ind w:right="144"/>
        <w:jc w:val="left"/>
      </w:pPr>
      <w:r>
        <w:rPr/>
        <w:t>②应收沁阳沁澳铝业有限公司货款</w:t>
      </w:r>
      <w:r>
        <w:rPr>
          <w:rFonts w:ascii="Times New Roman" w:hAnsi="Times New Roman" w:cs="Times New Roman" w:eastAsia="Times New Roman" w:hint="default"/>
        </w:rPr>
        <w:t>184</w:t>
      </w:r>
      <w:r>
        <w:rPr/>
        <w:t>万元，</w:t>
      </w:r>
      <w:r>
        <w:rPr>
          <w:rFonts w:ascii="Times New Roman" w:hAnsi="Times New Roman" w:cs="Times New Roman" w:eastAsia="Times New Roman" w:hint="default"/>
        </w:rPr>
        <w:t>2010</w:t>
      </w:r>
      <w:r>
        <w:rPr/>
        <w:t>年已收回</w:t>
      </w:r>
      <w:r>
        <w:rPr>
          <w:rFonts w:ascii="Times New Roman" w:hAnsi="Times New Roman" w:cs="Times New Roman" w:eastAsia="Times New Roman" w:hint="default"/>
        </w:rPr>
        <w:t>981,810.00</w:t>
      </w:r>
      <w:r>
        <w:rPr/>
        <w:t>元，余额</w:t>
      </w:r>
      <w:r>
        <w:rPr>
          <w:rFonts w:ascii="Times New Roman" w:hAnsi="Times New Roman" w:cs="Times New Roman" w:eastAsia="Times New Roman" w:hint="default"/>
        </w:rPr>
        <w:t>858,190.00</w:t>
      </w:r>
      <w:r>
        <w:rPr/>
        <w:t>元在</w:t>
      </w:r>
      <w:r>
        <w:rPr>
          <w:rFonts w:ascii="Times New Roman" w:hAnsi="Times New Roman" w:cs="Times New Roman" w:eastAsia="Times New Roman" w:hint="default"/>
        </w:rPr>
        <w:t>2010</w:t>
      </w:r>
      <w:r>
        <w:rPr/>
        <w:t>年末重新划分为单项金额 不重大但按信用风险特征组合后该组合的风险较大的应收账款种类，已全额计提了坏账准备。</w:t>
      </w:r>
    </w:p>
    <w:p>
      <w:pPr>
        <w:pStyle w:val="BodyText"/>
        <w:spacing w:line="240" w:lineRule="auto" w:before="72"/>
        <w:ind w:right="0"/>
        <w:jc w:val="left"/>
      </w:pPr>
      <w:r>
        <w:rPr/>
        <w:t>组合中，采用余额百分比法计提坏账准备的应收账款：</w:t>
      </w:r>
    </w:p>
    <w:p>
      <w:pPr>
        <w:pStyle w:val="BodyText"/>
        <w:spacing w:line="360" w:lineRule="auto" w:before="115"/>
        <w:ind w:right="5814"/>
        <w:jc w:val="left"/>
      </w:pPr>
      <w:r>
        <w:rPr/>
        <w:t>□ 适用 √</w:t>
      </w:r>
      <w:r>
        <w:rPr>
          <w:spacing w:val="3"/>
        </w:rPr>
        <w:t> </w:t>
      </w:r>
      <w:r>
        <w:rPr/>
        <w:t>不适用</w:t>
      </w:r>
      <w:r>
        <w:rPr/>
        <w:t> 组合中，采用其他方法计提坏账准备的应收账款：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13,798,761.66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74"/>
        <w:jc w:val="left"/>
      </w:pPr>
      <w:r>
        <w:rPr/>
        <w:t>本报告期按欠款方归集的年末余额前五名应收账款汇总金额</w:t>
      </w:r>
      <w:r>
        <w:rPr>
          <w:rFonts w:ascii="Times New Roman" w:hAnsi="Times New Roman" w:cs="Times New Roman" w:eastAsia="Times New Roman" w:hint="default"/>
        </w:rPr>
        <w:t>471,928,635.48</w:t>
      </w:r>
      <w:r>
        <w:rPr/>
        <w:t>元，占应收账款年末余额合计数的比例</w:t>
      </w:r>
      <w:r>
        <w:rPr>
          <w:rFonts w:ascii="Times New Roman" w:hAnsi="Times New Roman" w:cs="Times New Roman" w:eastAsia="Times New Roman" w:hint="default"/>
        </w:rPr>
        <w:t>90.11%</w:t>
      </w:r>
      <w:r>
        <w:rPr/>
        <w:t>， 相应计提的坏账准备期末余额汇总金额</w:t>
      </w:r>
      <w:r>
        <w:rPr>
          <w:rFonts w:ascii="Times New Roman" w:hAnsi="Times New Roman" w:cs="Times New Roman" w:eastAsia="Times New Roman" w:hint="default"/>
        </w:rPr>
        <w:t>24,875,338.58</w:t>
      </w:r>
      <w:r>
        <w:rPr/>
        <w:t>元。</w:t>
      </w:r>
    </w:p>
    <w:p>
      <w:pPr>
        <w:pStyle w:val="BodyText"/>
        <w:spacing w:line="240" w:lineRule="auto" w:before="53"/>
        <w:ind w:right="0"/>
        <w:jc w:val="left"/>
      </w:pPr>
      <w:r>
        <w:rPr/>
        <w:t>其他说明：</w:t>
      </w:r>
    </w:p>
    <w:p>
      <w:pPr>
        <w:pStyle w:val="BodyText"/>
        <w:spacing w:line="240" w:lineRule="auto" w:before="115"/>
        <w:ind w:right="0"/>
        <w:jc w:val="left"/>
      </w:pPr>
      <w:r>
        <w:rPr/>
        <w:t>①</w:t>
      </w:r>
      <w:r>
        <w:rPr>
          <w:rFonts w:ascii="Times New Roman" w:hAnsi="Times New Roman" w:cs="Times New Roman" w:eastAsia="Times New Roman" w:hint="default"/>
        </w:rPr>
        <w:t>2015</w:t>
      </w:r>
      <w:r>
        <w:rPr/>
        <w:t>年度无通过重组等其他方式收回的应收账款、无实际核销的应收账款。</w:t>
      </w:r>
    </w:p>
    <w:p>
      <w:pPr>
        <w:pStyle w:val="BodyText"/>
        <w:spacing w:line="240" w:lineRule="auto" w:before="63"/>
        <w:ind w:right="0"/>
        <w:jc w:val="left"/>
      </w:pPr>
      <w:r>
        <w:rPr/>
        <w:t>②本期无应收关联方公司款项的情况。</w:t>
      </w:r>
    </w:p>
    <w:p>
      <w:pPr>
        <w:pStyle w:val="BodyText"/>
        <w:spacing w:line="240" w:lineRule="auto" w:before="76"/>
        <w:ind w:right="0"/>
        <w:jc w:val="left"/>
      </w:pPr>
      <w:r>
        <w:rPr/>
        <w:t>③报告期内公司应收账款中无持有公司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）以上表决权股份的股东单位欠款情况。</w:t>
      </w:r>
    </w:p>
    <w:p>
      <w:pPr>
        <w:pStyle w:val="BodyText"/>
        <w:spacing w:line="240" w:lineRule="auto" w:before="63"/>
        <w:ind w:right="0"/>
        <w:jc w:val="left"/>
      </w:pPr>
      <w:r>
        <w:rPr/>
        <w:t>④报告期内公司无终止确认的应收款项。</w:t>
      </w:r>
    </w:p>
    <w:p>
      <w:pPr>
        <w:pStyle w:val="BodyText"/>
        <w:spacing w:line="240" w:lineRule="auto" w:before="76"/>
        <w:ind w:right="0"/>
        <w:jc w:val="left"/>
      </w:pPr>
      <w:r>
        <w:rPr/>
        <w:t>⑤报告期内公司无以应收款项为标的进行证券化的交易情况。</w:t>
      </w:r>
    </w:p>
    <w:p>
      <w:pPr>
        <w:pStyle w:val="BodyText"/>
        <w:spacing w:line="240" w:lineRule="auto" w:before="76"/>
        <w:ind w:right="0"/>
        <w:jc w:val="left"/>
      </w:pPr>
      <w:r>
        <w:rPr/>
        <w:t>⑥报告期内公司无转移应收账款且继续涉入形成的资产、负债。</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5,492,499.69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28.97%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6,483,121.89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97.50%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13,322,203.00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70.27%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43,026.50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18,957,729.19</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6,650,148.39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BodyText"/>
        <w:spacing w:line="240" w:lineRule="auto" w:before="103"/>
        <w:ind w:right="0"/>
        <w:jc w:val="left"/>
      </w:pPr>
      <w:r>
        <w:rPr/>
        <w:t>我公司账龄为</w:t>
      </w:r>
      <w:r>
        <w:rPr>
          <w:rFonts w:ascii="Times New Roman" w:hAnsi="Times New Roman" w:cs="Times New Roman" w:eastAsia="Times New Roman" w:hint="default"/>
        </w:rPr>
        <w:t>1</w:t>
      </w:r>
      <w:r>
        <w:rPr/>
        <w:t>至</w:t>
      </w:r>
      <w:r>
        <w:rPr>
          <w:rFonts w:ascii="Times New Roman" w:hAnsi="Times New Roman" w:cs="Times New Roman" w:eastAsia="Times New Roman" w:hint="default"/>
        </w:rPr>
        <w:t>2</w:t>
      </w:r>
      <w:r>
        <w:rPr/>
        <w:t>年的预付款项中，</w:t>
      </w:r>
      <w:r>
        <w:rPr>
          <w:rFonts w:ascii="Times New Roman" w:hAnsi="Times New Roman" w:cs="Times New Roman" w:eastAsia="Times New Roman" w:hint="default"/>
        </w:rPr>
        <w:t>12,882,792.00</w:t>
      </w:r>
      <w:r>
        <w:rPr>
          <w:rFonts w:ascii="Times New Roman" w:hAnsi="Times New Roman" w:cs="Times New Roman" w:eastAsia="Times New Roman" w:hint="default"/>
          <w:spacing w:val="20"/>
        </w:rPr>
        <w:t> </w:t>
      </w:r>
      <w:r>
        <w:rPr/>
        <w:t>元为印尼境内子公司支付给承包商的煤炭开采订金，该订单尚未执行。</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84"/>
        <w:jc w:val="left"/>
      </w:pPr>
      <w:r>
        <w:rPr/>
        <w:t>本报告期按预付对象归集的年末余额前五名预付账款汇总金额</w:t>
      </w:r>
      <w:r>
        <w:rPr>
          <w:rFonts w:ascii="Times New Roman" w:hAnsi="Times New Roman" w:cs="Times New Roman" w:eastAsia="Times New Roman" w:hint="default"/>
        </w:rPr>
        <w:t>17,669,782.40</w:t>
      </w:r>
      <w:r>
        <w:rPr/>
        <w:t>元，占预付账款期末余额合计数的比例</w:t>
      </w:r>
      <w:r>
        <w:rPr>
          <w:rFonts w:ascii="Times New Roman" w:hAnsi="Times New Roman" w:cs="Times New Roman" w:eastAsia="Times New Roman" w:hint="default"/>
        </w:rPr>
        <w:t>93.21%</w:t>
      </w:r>
      <w:r>
        <w:rPr/>
        <w:t>。 其他说明：</w:t>
      </w:r>
    </w:p>
    <w:p>
      <w:pPr>
        <w:pStyle w:val="BodyText"/>
        <w:spacing w:line="240" w:lineRule="auto" w:before="39"/>
        <w:ind w:right="0"/>
        <w:jc w:val="left"/>
      </w:pPr>
      <w:r>
        <w:rPr/>
        <w:t>报告期内预付款项中无预付持公司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）以上表决权股份的股东单位的款项。</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8"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6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33,309,4</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16.13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83.51%</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33,309,41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6.13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11,629,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207.30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61.14%</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11,629,207.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5,977,85</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9.92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720,403.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12.05%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5,257,456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5,950,9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50.47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31.29%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640,810.8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10.77%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5,310,139.5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600,106.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600,106.0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1,439,2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13.80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7.57%</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1,439,213.8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39,887,3</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82.05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720,403.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1.81%</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39,166,97</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8.42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19,019,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371.57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640,810.8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3.37%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18,378,560.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5" w:top="1060" w:bottom="1160" w:left="980" w:right="980"/>
          <w:pgNumType w:start="11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33,309,416.13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应收出口退税</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33,309,416.13</w:t>
            </w:r>
          </w:p>
        </w:tc>
        <w:tc>
          <w:tcPr>
            <w:tcW w:w="1913" w:type="dxa"/>
            <w:tcBorders>
              <w:top w:val="single" w:sz="4" w:space="0" w:color="000000"/>
              <w:left w:val="single" w:sz="4" w:space="0" w:color="000000"/>
              <w:bottom w:val="single" w:sz="4" w:space="0" w:color="000000"/>
              <w:right w:val="single" w:sz="13" w:space="0" w:color="D2D2D2"/>
            </w:tcBorders>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3,776,837.51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188,841.87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3,776,837.51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188,841.87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1,192,449.43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119,244.95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522,547.66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104,509.54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486,025.32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307,807.27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63.33%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254,748.61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127,374.31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101,687.50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50,843.75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129,589.21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129,589.21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5,977,859.92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720,403.63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12.05%</w:t>
            </w:r>
          </w:p>
        </w:tc>
      </w:tr>
    </w:tbl>
    <w:p>
      <w:pPr>
        <w:pStyle w:val="BodyText"/>
        <w:spacing w:line="240" w:lineRule="auto" w:before="49"/>
        <w:ind w:right="0"/>
        <w:jc w:val="left"/>
      </w:pPr>
      <w:r>
        <w:rPr/>
        <w:t>组合中，采用余额百分比法计提坏账准备的其他应收款：</w:t>
      </w:r>
    </w:p>
    <w:p>
      <w:pPr>
        <w:pStyle w:val="BodyText"/>
        <w:spacing w:line="360" w:lineRule="auto" w:before="115"/>
        <w:ind w:right="5634"/>
        <w:jc w:val="left"/>
      </w:pPr>
      <w:r>
        <w:rPr/>
        <w:t>□ 适用 √</w:t>
      </w:r>
      <w:r>
        <w:rPr>
          <w:spacing w:val="3"/>
        </w:rPr>
        <w:t> </w:t>
      </w:r>
      <w:r>
        <w:rPr/>
        <w:t>不适用</w:t>
      </w:r>
      <w:r>
        <w:rPr/>
        <w:t> 组合中，采用其他方法计提坏账准备的其他应收款：</w:t>
      </w:r>
    </w:p>
    <w:p>
      <w:pPr>
        <w:spacing w:after="0" w:line="36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79,592.75 </w:t>
      </w:r>
      <w:r>
        <w:rPr/>
        <w:t>元；本期收回或转回坏账准备金额</w:t>
      </w:r>
      <w:r>
        <w:rPr>
          <w:spacing w:val="-46"/>
        </w:rPr>
        <w:t> </w:t>
      </w:r>
      <w:r>
        <w:rPr>
          <w:rFonts w:ascii="Times New Roman" w:hAnsi="Times New Roman" w:cs="Times New Roman" w:eastAsia="Times New Roman" w:hint="default"/>
        </w:rPr>
        <w:t>0.00 </w:t>
      </w:r>
      <w:r>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33,309,416.13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11,629,207.30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2,565,848.33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1,548,073.80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2,362,804.37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3,275,744.22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1,649,313.22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2,566,346.25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39,887,382.05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19,019,371.57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33,309,416.13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83.51%</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2"/>
              <w:jc w:val="left"/>
              <w:rPr>
                <w:rFonts w:ascii="Times New Roman" w:hAnsi="Times New Roman" w:cs="Times New Roman" w:eastAsia="Times New Roman" w:hint="default"/>
                <w:sz w:val="18"/>
                <w:szCs w:val="18"/>
              </w:rPr>
            </w:pPr>
            <w:r>
              <w:rPr>
                <w:rFonts w:ascii="Times New Roman"/>
                <w:sz w:val="18"/>
              </w:rPr>
              <w:t>Sichuan</w:t>
            </w:r>
            <w:r>
              <w:rPr>
                <w:rFonts w:ascii="Times New Roman"/>
                <w:spacing w:val="-2"/>
                <w:sz w:val="18"/>
              </w:rPr>
              <w:t> </w:t>
            </w:r>
            <w:r>
              <w:rPr>
                <w:rFonts w:ascii="Times New Roman"/>
                <w:sz w:val="18"/>
              </w:rPr>
              <w:t>Electric</w:t>
            </w:r>
            <w:r>
              <w:rPr>
                <w:rFonts w:ascii="Times New Roman"/>
                <w:sz w:val="18"/>
              </w:rPr>
              <w:t> Power Design</w:t>
            </w:r>
            <w:r>
              <w:rPr>
                <w:rFonts w:ascii="Times New Roman"/>
                <w:spacing w:val="-1"/>
                <w:sz w:val="18"/>
              </w:rPr>
              <w:t> </w:t>
            </w:r>
            <w:r>
              <w:rPr>
                <w:rFonts w:ascii="Times New Roman"/>
                <w:sz w:val="18"/>
              </w:rPr>
              <w:t>&amp;</w:t>
            </w:r>
            <w:r>
              <w:rPr>
                <w:rFonts w:ascii="Times New Roman"/>
                <w:sz w:val="18"/>
              </w:rPr>
              <w:t> Consulting</w:t>
            </w:r>
            <w:r>
              <w:rPr>
                <w:rFonts w:ascii="Times New Roman"/>
                <w:spacing w:val="-4"/>
                <w:sz w:val="18"/>
              </w:rPr>
              <w:t> </w:t>
            </w:r>
            <w:r>
              <w:rPr>
                <w:rFonts w:ascii="Times New Roman"/>
                <w:sz w:val="18"/>
              </w:rPr>
              <w:t>Company</w:t>
            </w:r>
            <w:r>
              <w:rPr>
                <w:rFonts w:ascii="Times New Roman"/>
                <w:sz w:val="18"/>
              </w:rPr>
              <w:t> Limited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1,420,391.09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104,448.09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北京东方广场有限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819,320.00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40,966.00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2"/>
              <w:jc w:val="left"/>
              <w:rPr>
                <w:rFonts w:ascii="Times New Roman" w:hAnsi="Times New Roman" w:cs="Times New Roman" w:eastAsia="Times New Roman" w:hint="default"/>
                <w:sz w:val="18"/>
                <w:szCs w:val="18"/>
              </w:rPr>
            </w:pPr>
            <w:r>
              <w:rPr>
                <w:rFonts w:ascii="Times New Roman"/>
                <w:sz w:val="18"/>
              </w:rPr>
              <w:t>PT.Ceria</w:t>
            </w:r>
            <w:r>
              <w:rPr>
                <w:rFonts w:ascii="Times New Roman"/>
                <w:spacing w:val="-14"/>
                <w:sz w:val="18"/>
              </w:rPr>
              <w:t> </w:t>
            </w:r>
            <w:r>
              <w:rPr>
                <w:rFonts w:ascii="Times New Roman"/>
                <w:sz w:val="18"/>
              </w:rPr>
              <w:t>Nugraha</w:t>
            </w:r>
            <w:r>
              <w:rPr>
                <w:rFonts w:ascii="Times New Roman"/>
                <w:sz w:val="18"/>
              </w:rPr>
              <w:t> Indotama</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698,538.06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207,969.03</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4" w:right="132"/>
              <w:jc w:val="left"/>
              <w:rPr>
                <w:rFonts w:ascii="Times New Roman" w:hAnsi="Times New Roman" w:cs="Times New Roman" w:eastAsia="Times New Roman" w:hint="default"/>
                <w:sz w:val="18"/>
                <w:szCs w:val="18"/>
              </w:rPr>
            </w:pPr>
            <w:r>
              <w:rPr>
                <w:rFonts w:ascii="Times New Roman"/>
                <w:sz w:val="18"/>
              </w:rPr>
              <w:t>Kendari</w:t>
            </w:r>
            <w:r>
              <w:rPr>
                <w:rFonts w:ascii="Times New Roman"/>
                <w:spacing w:val="-4"/>
                <w:sz w:val="18"/>
              </w:rPr>
              <w:t> </w:t>
            </w:r>
            <w:r>
              <w:rPr>
                <w:rFonts w:ascii="Times New Roman"/>
                <w:sz w:val="18"/>
              </w:rPr>
              <w:t>Purchasing</w:t>
            </w:r>
            <w:r>
              <w:rPr>
                <w:rFonts w:ascii="Times New Roman"/>
                <w:sz w:val="18"/>
              </w:rPr>
              <w:t> Department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389,776.38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19,488.81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36,637,441.66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372,871.93</w:t>
            </w:r>
          </w:p>
        </w:tc>
      </w:tr>
    </w:tbl>
    <w:p>
      <w:pPr>
        <w:pStyle w:val="BodyText"/>
        <w:spacing w:line="240" w:lineRule="auto" w:before="49"/>
        <w:ind w:right="0"/>
        <w:jc w:val="left"/>
      </w:pPr>
      <w:r>
        <w:rPr/>
        <w:t>其他说明：</w:t>
      </w:r>
    </w:p>
    <w:p>
      <w:pPr>
        <w:pStyle w:val="BodyText"/>
        <w:spacing w:line="240" w:lineRule="auto" w:before="115"/>
        <w:ind w:right="0"/>
        <w:jc w:val="left"/>
      </w:pPr>
      <w:r>
        <w:rPr/>
        <w:t>①报告期内公司无实际核销的其他应收款。</w:t>
      </w:r>
    </w:p>
    <w:p>
      <w:pPr>
        <w:pStyle w:val="BodyText"/>
        <w:spacing w:line="240" w:lineRule="auto" w:before="76"/>
        <w:ind w:right="0"/>
        <w:jc w:val="left"/>
      </w:pPr>
      <w:r>
        <w:rPr/>
        <w:t>②本期其他应收款中无持有公司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）以上表决权股份的股东单位或关联方欠款。</w:t>
      </w:r>
    </w:p>
    <w:p>
      <w:pPr>
        <w:pStyle w:val="BodyText"/>
        <w:spacing w:line="240" w:lineRule="auto" w:before="63"/>
        <w:ind w:right="0"/>
        <w:jc w:val="left"/>
      </w:pPr>
      <w:r>
        <w:rPr/>
        <w:t>③报告期内公司无终止确认的其他应收款。</w:t>
      </w:r>
    </w:p>
    <w:p>
      <w:pPr>
        <w:pStyle w:val="BodyText"/>
        <w:spacing w:line="240" w:lineRule="auto" w:before="76"/>
        <w:ind w:right="0"/>
        <w:jc w:val="left"/>
      </w:pPr>
      <w:r>
        <w:rPr/>
        <w:t>④报告期内公司无以其他应收款为标的进行证券化的交易情况。</w:t>
      </w:r>
    </w:p>
    <w:p>
      <w:pPr>
        <w:pStyle w:val="BodyText"/>
        <w:spacing w:line="240" w:lineRule="auto" w:before="117"/>
        <w:ind w:right="0"/>
        <w:jc w:val="left"/>
      </w:pPr>
      <w:r>
        <w:rPr/>
        <w:t>⑤报告期内公司无转移其他应收款且继续涉入形成的资产、负债。</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10,010,667.08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10,010,667.08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17,936,937.30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17,936,937.30</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23,147,833.44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23,147,833.44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9,881,376.10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9,881,376.10</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17,888,416.91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17,888,416.91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21,447,847.67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21,447,847.67</w:t>
            </w:r>
          </w:p>
        </w:tc>
      </w:tr>
      <w:tr>
        <w:trPr>
          <w:trHeight w:val="1027"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8,324,780.02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8,324,780.02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15,031,472.08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15,031,472.08</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59,371,697.45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59,371,697.45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64,297,633.15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64,297,633.15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14,899,594.25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17,425,185.77</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24,000,000.00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8,324,780.02</w:t>
            </w:r>
          </w:p>
        </w:tc>
      </w:tr>
    </w:tbl>
    <w:p>
      <w:pPr>
        <w:pStyle w:val="BodyText"/>
        <w:spacing w:line="240" w:lineRule="auto" w:before="49"/>
        <w:ind w:right="0"/>
        <w:jc w:val="left"/>
      </w:pPr>
      <w:r>
        <w:rPr/>
        <w:t>其他说明：</w:t>
      </w:r>
    </w:p>
    <w:p>
      <w:pPr>
        <w:pStyle w:val="BodyText"/>
        <w:spacing w:line="240" w:lineRule="auto" w:before="117"/>
        <w:ind w:right="0"/>
        <w:jc w:val="left"/>
      </w:pPr>
      <w:r>
        <w:rPr/>
        <w:t>①期末报告期公司存货不存在减值迹象，故未计提存货跌价准备。</w:t>
      </w:r>
    </w:p>
    <w:p>
      <w:pPr>
        <w:pStyle w:val="BodyText"/>
        <w:spacing w:line="240" w:lineRule="auto" w:before="76"/>
        <w:ind w:right="0"/>
        <w:jc w:val="left"/>
      </w:pPr>
      <w:r>
        <w:rPr/>
        <w:t>②存货期末余额中无利息资本化金额。</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预计一年到期的长期待摊费用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152,118.00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152,118.00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938,980.88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164,437.43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预付保险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17,228.17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33,395.29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10,885.52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44,527,689.47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1,239,401.83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被代扣所得税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1,536,540.25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1,264,761.20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办公楼设施维修费等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298,040.23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669,879.41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47,334,646.12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3,366,593.56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206" w:hRule="exact"/>
        </w:trPr>
        <w:tc>
          <w:tcPr>
            <w:tcW w:w="1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6" w:hRule="exact"/>
        </w:trPr>
        <w:tc>
          <w:tcPr>
            <w:tcW w:w="14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196" w:hRule="exact"/>
        </w:trPr>
        <w:tc>
          <w:tcPr>
            <w:tcW w:w="1404"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38,333,333.40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1,999,999.99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36,333,333.41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44,933,333.40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44,933,333.40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未实现融资收益</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-18,603.61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-18,603.61</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-1,052,668.78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-1,052,668.78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38,314,729.79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1,999,999.99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36,314,729.80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43,880,664.62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43,880,664.62</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5"/>
          <w:szCs w:val="15"/>
        </w:rPr>
      </w:pPr>
    </w:p>
    <w:p>
      <w:pPr>
        <w:pStyle w:val="BodyText"/>
        <w:spacing w:line="240" w:lineRule="auto"/>
        <w:ind w:right="0"/>
        <w:jc w:val="left"/>
      </w:pPr>
      <w:r>
        <w:rPr/>
        <w:t>①报告期内无因金融资产转移而终止确认的长期应收款。</w:t>
      </w:r>
    </w:p>
    <w:p>
      <w:pPr>
        <w:pStyle w:val="BodyText"/>
        <w:spacing w:line="240" w:lineRule="auto" w:before="74"/>
        <w:ind w:right="0"/>
        <w:jc w:val="left"/>
      </w:pPr>
      <w:r>
        <w:rPr/>
        <w:t>②报告期内无转移长期应收款且继续涉入形成的资产、负债。</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10</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节能设备</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2"/>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121,968,876.99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176,871,138.46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16,973,176.73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3,796,406.46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98,011,500.00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417,621,098.64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2,140,501.10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2,364,358.38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10,145,461.57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580,855.44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15,231,176.49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1,865,169.75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2,364,358.38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10,145,461.57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580,855.44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14,955,845.14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271,331.71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271,331.71</w:t>
            </w:r>
          </w:p>
        </w:tc>
      </w:tr>
      <w:tr>
        <w:trPr>
          <w:trHeight w:val="713" w:hRule="exact"/>
        </w:trPr>
        <w:tc>
          <w:tcPr>
            <w:tcW w:w="1367" w:type="dxa"/>
            <w:tcBorders>
              <w:top w:val="single" w:sz="4" w:space="0" w:color="000000"/>
              <w:left w:val="single" w:sz="4" w:space="0" w:color="000000"/>
              <w:bottom w:val="single" w:sz="12" w:space="0" w:color="E0FFFF"/>
              <w:right w:val="single" w:sz="4" w:space="0" w:color="000000"/>
            </w:tcBorders>
            <w:shd w:val="clear" w:color="auto" w:fill="D2D2D2"/>
          </w:tcPr>
          <w:p>
            <w:pPr>
              <w:pStyle w:val="TableParagraph"/>
              <w:spacing w:line="300" w:lineRule="auto" w:before="49"/>
              <w:ind w:left="22"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0"/>
              <w:ind w:right="19"/>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）汇率</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3,999.64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3,999.64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变动影响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4,950,471.46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621,860.44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116,421.55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5,688,753.45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74,102.57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470,936.00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85,428.24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630,466.81</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69" w:firstLine="45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）汇率 变动影响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4,876,368.89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150,924.44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30,993.31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5,058,286.64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124,109,378.09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174,285,025.38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26,496,777.86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4,260,840.35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98,011,500.00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427,163,521.68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22,675,838.09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74,180,978.85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4,698,073.03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1,833,972.28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58,806,900.00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162,195,762.25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4,788,663.07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18,122,891.15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1,764,735.43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528,487.21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19,602,300.00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44,807,076.86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4,788,556.44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18,122,891.15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1,764,735.43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528,487.21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19,602,300.00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44,806,970.23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firstLine="54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）汇率</w:t>
            </w:r>
            <w:r>
              <w:rPr>
                <w:rFonts w:ascii="宋体" w:hAnsi="宋体" w:cs="宋体" w:eastAsia="宋体" w:hint="default"/>
                <w:sz w:val="18"/>
                <w:szCs w:val="18"/>
              </w:rPr>
              <w:t> 变动影响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106.63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1,524,270.55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326,493.49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88,211.24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1,938,975.28</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8,130.92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304,928.29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80,421.84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393,481.05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4" w:right="19" w:firstLine="542"/>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）汇率</w:t>
            </w:r>
            <w:r>
              <w:rPr>
                <w:rFonts w:ascii="宋体" w:hAnsi="宋体" w:cs="宋体" w:eastAsia="宋体" w:hint="default"/>
                <w:sz w:val="18"/>
                <w:szCs w:val="18"/>
              </w:rPr>
              <w:t> 变动影响</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1,516,139.63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21,565.20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7,789.40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1,545,494.23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27,464,501.16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90,779,599.45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6,136,314.97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2,274,248.25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78,409,200.00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205,063,863.83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34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96,644,876.93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83,505,425.93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20,360,462.89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1,986,592.10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19,602,300.00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222,099,657.85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99,293,038.90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102,690,159.61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12,275,103.70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1,962,434.18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39,204,600.00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255,425,336.39</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6,753,505.00</w:t>
            </w:r>
          </w:p>
        </w:tc>
      </w:tr>
    </w:tbl>
    <w:p>
      <w:pPr>
        <w:pStyle w:val="BodyText"/>
        <w:spacing w:line="240" w:lineRule="auto" w:before="49"/>
        <w:ind w:right="0"/>
        <w:jc w:val="left"/>
      </w:pPr>
      <w:r>
        <w:rPr/>
        <w:t>其他说明</w:t>
      </w:r>
    </w:p>
    <w:p>
      <w:pPr>
        <w:pStyle w:val="BodyText"/>
        <w:spacing w:line="240" w:lineRule="auto" w:before="115"/>
        <w:ind w:right="0"/>
        <w:jc w:val="left"/>
      </w:pPr>
      <w:r>
        <w:rPr/>
        <w:t>①固定资产不存在明显减值迹象，故未计提减值准备。</w:t>
      </w:r>
    </w:p>
    <w:p>
      <w:pPr>
        <w:pStyle w:val="BodyText"/>
        <w:spacing w:line="240" w:lineRule="auto" w:before="76"/>
        <w:ind w:right="0"/>
        <w:jc w:val="left"/>
      </w:pPr>
      <w:r>
        <w:rPr/>
        <w:t>②本期无暂时闲置的固定资产情况。</w:t>
      </w:r>
    </w:p>
    <w:p>
      <w:pPr>
        <w:pStyle w:val="BodyText"/>
        <w:spacing w:line="240" w:lineRule="auto" w:before="76"/>
        <w:ind w:right="0"/>
        <w:jc w:val="left"/>
      </w:pPr>
      <w:r>
        <w:rPr/>
        <w:t>③本期无未办妥产权证书的固定资产情况。</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11</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码头工程项目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2,431,950.80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2,431,950.80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2,319,152.28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2,319,152.28</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印尼苏拉威西镍 铁工业园项目一 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214,037,345.07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214,037,345.07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135,265,327.79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135,265,327.79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216,469,295.87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216,469,295.87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137,584,480.07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137,584,480.07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厂区中 心湖改 造工程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217,873.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217,873.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印尼苏 拉威西 镍铁工 业园项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9" w:right="0"/>
              <w:jc w:val="center"/>
              <w:rPr>
                <w:rFonts w:ascii="Times New Roman" w:hAnsi="Times New Roman" w:cs="Times New Roman" w:eastAsia="Times New Roman" w:hint="default"/>
                <w:sz w:val="18"/>
                <w:szCs w:val="18"/>
              </w:rPr>
            </w:pPr>
            <w:r>
              <w:rPr>
                <w:rFonts w:ascii="Times New Roman"/>
                <w:sz w:val="18"/>
              </w:rPr>
              <w:t>690,000,</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51" w:right="0"/>
              <w:jc w:val="center"/>
              <w:rPr>
                <w:rFonts w:ascii="Times New Roman" w:hAnsi="Times New Roman" w:cs="Times New Roman" w:eastAsia="Times New Roman" w:hint="default"/>
                <w:sz w:val="18"/>
                <w:szCs w:val="18"/>
              </w:rPr>
            </w:pPr>
            <w:r>
              <w:rPr>
                <w:rFonts w:ascii="Times New Roman"/>
                <w:sz w:val="18"/>
              </w:rPr>
              <w:t>135,265,</w:t>
            </w:r>
          </w:p>
          <w:p>
            <w:pPr>
              <w:pStyle w:val="TableParagraph"/>
              <w:spacing w:line="240" w:lineRule="auto" w:before="103"/>
              <w:ind w:left="187" w:right="0"/>
              <w:jc w:val="center"/>
              <w:rPr>
                <w:rFonts w:ascii="Times New Roman" w:hAnsi="Times New Roman" w:cs="Times New Roman" w:eastAsia="Times New Roman" w:hint="default"/>
                <w:sz w:val="18"/>
                <w:szCs w:val="18"/>
              </w:rPr>
            </w:pPr>
            <w:r>
              <w:rPr>
                <w:rFonts w:ascii="Times New Roman"/>
                <w:sz w:val="18"/>
              </w:rPr>
              <w:t>327.79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1" w:right="0"/>
              <w:jc w:val="left"/>
              <w:rPr>
                <w:rFonts w:ascii="Times New Roman" w:hAnsi="Times New Roman" w:cs="Times New Roman" w:eastAsia="Times New Roman" w:hint="default"/>
                <w:sz w:val="18"/>
                <w:szCs w:val="18"/>
              </w:rPr>
            </w:pPr>
            <w:r>
              <w:rPr>
                <w:rFonts w:ascii="Times New Roman"/>
                <w:sz w:val="18"/>
              </w:rPr>
              <w:t>86,231,9</w:t>
            </w:r>
          </w:p>
          <w:p>
            <w:pPr>
              <w:pStyle w:val="TableParagraph"/>
              <w:spacing w:line="240" w:lineRule="auto" w:before="103"/>
              <w:ind w:left="297" w:right="0"/>
              <w:jc w:val="left"/>
              <w:rPr>
                <w:rFonts w:ascii="Times New Roman" w:hAnsi="Times New Roman" w:cs="Times New Roman" w:eastAsia="Times New Roman" w:hint="default"/>
                <w:sz w:val="18"/>
                <w:szCs w:val="18"/>
              </w:rPr>
            </w:pPr>
            <w:r>
              <w:rPr>
                <w:rFonts w:ascii="Times New Roman"/>
                <w:sz w:val="18"/>
              </w:rPr>
              <w:t>99.73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53,458.2</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72" w:right="0"/>
              <w:jc w:val="left"/>
              <w:rPr>
                <w:rFonts w:ascii="Times New Roman" w:hAnsi="Times New Roman" w:cs="Times New Roman" w:eastAsia="Times New Roman" w:hint="default"/>
                <w:sz w:val="18"/>
                <w:szCs w:val="18"/>
              </w:rPr>
            </w:pPr>
            <w:r>
              <w:rPr>
                <w:rFonts w:ascii="Times New Roman"/>
                <w:sz w:val="18"/>
              </w:rPr>
              <w:t>7,406,52</w:t>
            </w:r>
          </w:p>
          <w:p>
            <w:pPr>
              <w:pStyle w:val="TableParagraph"/>
              <w:spacing w:line="240" w:lineRule="auto" w:before="103"/>
              <w:ind w:left="388" w:right="0"/>
              <w:jc w:val="left"/>
              <w:rPr>
                <w:rFonts w:ascii="Times New Roman" w:hAnsi="Times New Roman" w:cs="Times New Roman" w:eastAsia="Times New Roman" w:hint="default"/>
                <w:sz w:val="18"/>
                <w:szCs w:val="18"/>
              </w:rPr>
            </w:pPr>
            <w:r>
              <w:rPr>
                <w:rFonts w:ascii="Times New Roman"/>
                <w:sz w:val="18"/>
              </w:rPr>
              <w:t>4.18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8" w:right="0"/>
              <w:jc w:val="center"/>
              <w:rPr>
                <w:rFonts w:ascii="Times New Roman" w:hAnsi="Times New Roman" w:cs="Times New Roman" w:eastAsia="Times New Roman" w:hint="default"/>
                <w:sz w:val="18"/>
                <w:szCs w:val="18"/>
              </w:rPr>
            </w:pPr>
            <w:r>
              <w:rPr>
                <w:rFonts w:ascii="Times New Roman"/>
                <w:sz w:val="18"/>
              </w:rPr>
              <w:t>214,037,</w:t>
            </w:r>
          </w:p>
          <w:p>
            <w:pPr>
              <w:pStyle w:val="TableParagraph"/>
              <w:spacing w:line="240" w:lineRule="auto" w:before="103"/>
              <w:ind w:left="185" w:right="0"/>
              <w:jc w:val="center"/>
              <w:rPr>
                <w:rFonts w:ascii="Times New Roman" w:hAnsi="Times New Roman" w:cs="Times New Roman" w:eastAsia="Times New Roman" w:hint="default"/>
                <w:sz w:val="18"/>
                <w:szCs w:val="18"/>
              </w:rPr>
            </w:pPr>
            <w:r>
              <w:rPr>
                <w:rFonts w:ascii="Times New Roman"/>
                <w:sz w:val="18"/>
              </w:rPr>
              <w:t>345.07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31.03%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31.03%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pacing w:val="46"/>
                <w:sz w:val="18"/>
                <w:szCs w:val="18"/>
              </w:rPr>
              <w:t>自有资</w:t>
            </w:r>
            <w:r>
              <w:rPr>
                <w:rFonts w:ascii="宋体" w:hAnsi="宋体" w:cs="宋体" w:eastAsia="宋体" w:hint="default"/>
                <w:spacing w:val="-21"/>
                <w:sz w:val="18"/>
                <w:szCs w:val="18"/>
              </w:rPr>
              <w:t> </w:t>
            </w:r>
            <w:r>
              <w:rPr>
                <w:rFonts w:ascii="宋体" w:hAnsi="宋体" w:cs="宋体" w:eastAsia="宋体" w:hint="default"/>
                <w:sz w:val="18"/>
                <w:szCs w:val="18"/>
              </w:rPr>
              <w:t>金</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36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目一期</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码头工 程项目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19,480,8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2,319,15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242,412.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129,614.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2,431,95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12.48%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7"/>
              <w:jc w:val="center"/>
              <w:rPr>
                <w:rFonts w:ascii="Times New Roman" w:hAnsi="Times New Roman" w:cs="Times New Roman" w:eastAsia="Times New Roman" w:hint="default"/>
                <w:sz w:val="18"/>
                <w:szCs w:val="18"/>
              </w:rPr>
            </w:pPr>
            <w:r>
              <w:rPr>
                <w:rFonts w:ascii="Times New Roman"/>
                <w:sz w:val="18"/>
              </w:rPr>
              <w:t>12.48%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pacing w:val="46"/>
                <w:sz w:val="18"/>
                <w:szCs w:val="18"/>
              </w:rPr>
              <w:t>自有资</w:t>
            </w:r>
            <w:r>
              <w:rPr>
                <w:rFonts w:ascii="宋体" w:hAnsi="宋体" w:cs="宋体" w:eastAsia="宋体" w:hint="default"/>
                <w:spacing w:val="-21"/>
                <w:sz w:val="18"/>
                <w:szCs w:val="18"/>
              </w:rPr>
              <w:t> </w:t>
            </w:r>
            <w:r>
              <w:rPr>
                <w:rFonts w:ascii="宋体" w:hAnsi="宋体" w:cs="宋体" w:eastAsia="宋体" w:hint="default"/>
                <w:sz w:val="18"/>
                <w:szCs w:val="18"/>
              </w:rPr>
              <w:t>金</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709,480,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800.00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137,584,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480.07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86,692,2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86.04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271,331.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7,536,13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216,469,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295.87</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240" w:lineRule="auto" w:before="127"/>
        <w:ind w:right="0"/>
        <w:jc w:val="left"/>
      </w:pPr>
      <w:r>
        <w:rPr/>
        <w:t>①其他减少金额为期初期末汇率变动的影响。</w:t>
      </w:r>
    </w:p>
    <w:p>
      <w:pPr>
        <w:pStyle w:val="BodyText"/>
        <w:spacing w:line="240" w:lineRule="auto" w:before="124"/>
        <w:ind w:right="0"/>
        <w:jc w:val="left"/>
      </w:pPr>
      <w:r>
        <w:rPr/>
        <w:t>②期末在建工程中无利息资本化金额。</w:t>
      </w:r>
    </w:p>
    <w:p>
      <w:pPr>
        <w:pStyle w:val="BodyText"/>
        <w:spacing w:line="240" w:lineRule="auto" w:before="117"/>
        <w:ind w:right="0"/>
        <w:jc w:val="left"/>
      </w:pPr>
      <w:r>
        <w:rPr/>
        <w:t>③报告期在建工程未发生减值情况，故未计提减值准备。</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369"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50"/>
              <w:jc w:val="right"/>
              <w:rPr>
                <w:rFonts w:ascii="宋体" w:hAnsi="宋体" w:cs="宋体" w:eastAsia="宋体" w:hint="default"/>
                <w:sz w:val="18"/>
                <w:szCs w:val="18"/>
              </w:rPr>
            </w:pPr>
            <w:r>
              <w:rPr>
                <w:rFonts w:ascii="宋体" w:hAnsi="宋体" w:cs="宋体" w:eastAsia="宋体" w:hint="default"/>
                <w:sz w:val="18"/>
                <w:szCs w:val="18"/>
              </w:rPr>
              <w:t>矿的特许经营权</w:t>
            </w:r>
          </w:p>
        </w:tc>
        <w:tc>
          <w:tcPr>
            <w:tcW w:w="1366"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6,946,093.00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1,975,210.73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356,185,000.00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365,106,303.73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59,929,400.00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60,279,400.00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9"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66"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59,929,400.00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59,929,400.00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204,300.00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204,300.00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204,300.00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6,946,093.00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2,120,910.73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416,114,400.00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425,181,403.73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1,111,374.74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395,355.71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6,890,582.76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8,397,313.21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138,921.84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242,525.32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381,447.16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138,921.84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242,525.32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381,447.16</w:t>
            </w:r>
          </w:p>
        </w:tc>
      </w:tr>
      <w:tr>
        <w:trPr>
          <w:trHeight w:val="401" w:hRule="exact"/>
        </w:trPr>
        <w:tc>
          <w:tcPr>
            <w:tcW w:w="1368" w:type="dxa"/>
            <w:tcBorders>
              <w:top w:val="single" w:sz="4" w:space="0" w:color="000000"/>
              <w:left w:val="single" w:sz="4" w:space="0" w:color="000000"/>
              <w:bottom w:val="single" w:sz="12" w:space="0" w:color="D2D2D2"/>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15"/>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200,525.00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200,525.00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200,525.00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200,525.00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1,250,296.58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437,356.03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6,890,582.76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8,578,235.37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5,695,796.42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1,683,554.70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409,223,817.24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416,603,168.36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5,834,718.26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1,579,855.02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349,294,417.24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356,708,990.52</w:t>
            </w:r>
          </w:p>
        </w:tc>
      </w:tr>
    </w:tbl>
    <w:p>
      <w:pPr>
        <w:pStyle w:val="BodyText"/>
        <w:spacing w:line="340" w:lineRule="auto" w:before="49"/>
        <w:ind w:right="4044"/>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 其他说明：</w:t>
      </w:r>
    </w:p>
    <w:p>
      <w:pPr>
        <w:pStyle w:val="BodyText"/>
        <w:spacing w:line="240" w:lineRule="auto" w:before="39"/>
        <w:ind w:right="0"/>
        <w:jc w:val="left"/>
      </w:pPr>
      <w:r>
        <w:rPr/>
        <w:t>①报告期无形资产未发生减值情况，故未计提减值准备。</w:t>
      </w:r>
    </w:p>
    <w:p>
      <w:pPr>
        <w:pStyle w:val="BodyText"/>
        <w:spacing w:line="240" w:lineRule="auto" w:before="76"/>
        <w:ind w:right="0"/>
        <w:jc w:val="left"/>
      </w:pPr>
      <w:r>
        <w:rPr/>
        <w:t>②期末无未办妥产权证书的土地使用权。</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13</w:t>
      </w:r>
      <w:r>
        <w:rPr/>
        <w:t>、商誉</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非同一控制下的 企业合并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24,580,800.00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24,580,800.00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24,580,800.00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24,580,800.00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6"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439" w:lineRule="auto" w:before="49"/>
        <w:ind w:right="5094"/>
        <w:jc w:val="left"/>
      </w:pPr>
      <w:r>
        <w:rPr/>
        <w:t>说明商誉减值测试过程、参数及商誉减值损失的确认方法： 年末对商誉进行减值测试，不存在减值情况。</w:t>
      </w:r>
    </w:p>
    <w:p>
      <w:pPr>
        <w:spacing w:line="240" w:lineRule="auto" w:before="10"/>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14</w:t>
      </w:r>
      <w:r>
        <w:rPr/>
        <w:t>、长期待摊费用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123,175.78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1,246,491.85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173,123.87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1,196,543.76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26,666.65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133,333.35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123,175.78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1,406,491.85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199,790.52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1,329,877.11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15</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35,580,629.69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5,375,312.93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20,344,659.76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3,310,492.86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1,872,664.92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468,166.23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1,462,374.31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219,356.15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13,807,693.89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2,071,154.08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12,358,699.76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1,853,804.96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38,915,668.92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6,062,835.31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46,511,053.41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7,235,451.90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3,001,341.18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450,201.18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29,403,172.15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4,410,475.82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3,001,341.18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450,201.18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29,403,172.15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4,410,475.82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6,062,835.31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7,235,451.90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450,201.18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4,410,475.82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16</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71,722,947.63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75,013,632.44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68,938,084.69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68,488,707.53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1,588,210.28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1,682,624.10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预付网络域名注册款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143,310,242.60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146,245,964.07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17</w:t>
      </w:r>
      <w:r>
        <w:rPr/>
        <w:t>、短期借款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73,000,000.00</w:t>
            </w:r>
          </w:p>
        </w:tc>
      </w:tr>
    </w:tbl>
    <w:p>
      <w:pPr>
        <w:pStyle w:val="BodyText"/>
        <w:spacing w:line="357" w:lineRule="auto" w:before="49"/>
        <w:ind w:right="7254"/>
        <w:jc w:val="left"/>
      </w:pPr>
      <w:r>
        <w:rPr/>
        <w:t>其他说明： 期末无到期未偿还的短期借款。</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18</w:t>
      </w:r>
      <w:r>
        <w:rPr/>
        <w:t>、应付票据</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183,849,020.00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931,064.71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183,849,020.00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931,064.71</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19</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281,814,591.55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97,671,074.21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4,564,650.68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3,581,969.31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1,260,609.01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5,110,679.82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5,426,326.03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2,566,992.15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293,066,177.27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108,930,715.49</w:t>
            </w:r>
          </w:p>
        </w:tc>
      </w:tr>
    </w:tbl>
    <w:p>
      <w:pPr>
        <w:pStyle w:val="BodyText"/>
        <w:spacing w:line="240" w:lineRule="auto" w:before="49"/>
        <w:ind w:right="0"/>
        <w:jc w:val="left"/>
      </w:pPr>
      <w:r>
        <w:rPr/>
        <w:t>其他说明：</w:t>
      </w:r>
    </w:p>
    <w:p>
      <w:pPr>
        <w:pStyle w:val="BodyText"/>
        <w:spacing w:line="240" w:lineRule="auto" w:before="115"/>
        <w:ind w:right="0"/>
        <w:jc w:val="left"/>
      </w:pPr>
      <w:r>
        <w:rPr/>
        <w:t>①期末无重要的账龄超过</w:t>
      </w:r>
      <w:r>
        <w:rPr>
          <w:rFonts w:ascii="Times New Roman" w:hAnsi="Times New Roman" w:cs="Times New Roman" w:eastAsia="Times New Roman" w:hint="default"/>
        </w:rPr>
        <w:t>1</w:t>
      </w:r>
      <w:r>
        <w:rPr/>
        <w:t>年的应付账款。</w:t>
      </w:r>
    </w:p>
    <w:p>
      <w:pPr>
        <w:pStyle w:val="BodyText"/>
        <w:spacing w:line="240" w:lineRule="auto" w:before="63"/>
        <w:ind w:right="0"/>
        <w:jc w:val="left"/>
      </w:pPr>
      <w:r>
        <w:rPr/>
        <w:t>②应付账款中无应付持有公司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）以上表决权股份的股东单位或关联方的款项。</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20</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45,789,987.49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349,257.37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268,436.94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3,080.00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216,872.00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46,158,424.43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838,409.37</w:t>
            </w:r>
          </w:p>
        </w:tc>
      </w:tr>
    </w:tbl>
    <w:p>
      <w:pPr>
        <w:pStyle w:val="BodyText"/>
        <w:spacing w:line="357" w:lineRule="auto" w:before="49"/>
        <w:ind w:right="6714"/>
        <w:jc w:val="left"/>
      </w:pPr>
      <w:r>
        <w:rPr/>
        <w:t>其他说明： 期末无账龄超过一年的重要预收款项。</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3,887,696.29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33,944,718.50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34,507,252.42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3,325,162.37</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1,606,666.51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1,606,666.51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85"/>
              <w:jc w:val="righ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379,341.00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379,341.00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5" w:top="1060" w:bottom="1160" w:left="980" w:right="980"/>
          <w:pgNumType w:start="1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3,887,696.29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35,930,726.01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36,493,259.93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3,325,162.37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2,180,543.86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26,517,149.98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27,189,739.08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1,507,954.76</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6,404,327.07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6,404,327.07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586,071.31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586,071.31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481,872.25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481,872.25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50,659.44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50,659.44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53,539.62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53,539.62</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185,508.00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185,508.00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1,707,152.43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251,662.14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141,606.96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1,817,207.61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3,887,696.29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33,944,718.50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34,507,252.42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3,325,162.37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1,553,125.65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1,553,125.65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53,540.86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53,540.86</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1,606,666.51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1,606,666.51</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074"/>
        <w:jc w:val="left"/>
      </w:pPr>
      <w:r>
        <w:rPr/>
        <w:t>其他说明： 应付职工薪酬中无拖欠职工工资。</w:t>
      </w:r>
    </w:p>
    <w:p>
      <w:pPr>
        <w:spacing w:line="240" w:lineRule="auto" w:before="5"/>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22</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51,869,318.96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22,355,988.10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75,940.51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34,065.17</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1,224,677.49</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351,443.98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351,260.59</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168,549.00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196,640.50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41,265.24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31,942.08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524,861.78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349,907.85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174,953.93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代扣代缴所得税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604,114.69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25,161.14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53,110,632.38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25,269,458.63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23</w:t>
      </w:r>
      <w:r>
        <w:rPr/>
        <w:t>、应付利息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200,427.36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17,350,000.00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92,503.13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348,247.78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17,494,684.38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17,898,675.14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24</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6,287,740.50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6,287,740.50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49"/>
        <w:ind w:right="4014"/>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期末无重要的超过</w:t>
      </w:r>
      <w:r>
        <w:rPr>
          <w:rFonts w:ascii="Times New Roman" w:hAnsi="Times New Roman" w:cs="Times New Roman" w:eastAsia="Times New Roman" w:hint="default"/>
        </w:rPr>
        <w:t>1</w:t>
      </w:r>
      <w:r>
        <w:rPr/>
        <w:t>年未支付的应付股利。</w:t>
      </w:r>
    </w:p>
    <w:p>
      <w:pPr>
        <w:spacing w:line="240" w:lineRule="auto" w:before="12"/>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1,510,400.00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16,291,692.62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3,440,175.66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113,289.61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33,450,575.66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17,915,382.23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26</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68,944,444.41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3,216,908.52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一年内摊销的递延收益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2,976,111.76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2,976,111.76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72,161,352.93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27</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一年内摊销的其他补助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1,099,232.45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1,099,232.45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28</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29</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恒顺债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198,985,770.66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198,550,559.17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198,985,770.66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198,550,559.17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49"/>
              <w:ind w:left="22" w:right="175"/>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恒顺 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2013.01.1</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198,550,5</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59.17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435,211.4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198,985,7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70.66</w:t>
            </w:r>
          </w:p>
        </w:tc>
      </w:tr>
      <w:tr>
        <w:trPr>
          <w:trHeight w:val="716"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198,550,5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59.17</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435,211.4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198,985,7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70.66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3,755,710.84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7,507,517.43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4,070,958.02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7,192,270.25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5"/>
              <w:jc w:val="center"/>
              <w:rPr>
                <w:rFonts w:ascii="宋体" w:hAnsi="宋体" w:cs="宋体" w:eastAsia="宋体" w:hint="default"/>
                <w:sz w:val="18"/>
                <w:szCs w:val="18"/>
              </w:rPr>
            </w:pPr>
            <w:r>
              <w:rPr>
                <w:rFonts w:ascii="宋体" w:hAnsi="宋体" w:cs="宋体" w:eastAsia="宋体" w:hint="default"/>
                <w:sz w:val="18"/>
                <w:szCs w:val="18"/>
              </w:rPr>
              <w:t>拆迁补助及贴息款</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3,755,710.84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7,507,517.43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4,070,958.02</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7,192,270.25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3" w:hanging="38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拆迁补助及贴息 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3,755,710.84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7,507,517.43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2,194,078.71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1,876,879.31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7,192,270.25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3,755,710.84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7,507,517.43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2,194,078.71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1,876,879.31</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7,192,270.25</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300" w:lineRule="auto" w:before="115"/>
        <w:ind w:right="144"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月收到拆迁补偿贴息款</w:t>
      </w:r>
      <w:r>
        <w:rPr>
          <w:rFonts w:ascii="Times New Roman" w:hAnsi="Times New Roman" w:cs="Times New Roman" w:eastAsia="Times New Roman" w:hint="default"/>
        </w:rPr>
        <w:t>18,700,000.00</w:t>
      </w:r>
      <w:r>
        <w:rPr/>
        <w:t>元，其中根据以前年度利息资本化情况，</w:t>
      </w:r>
      <w:r>
        <w:rPr>
          <w:rFonts w:ascii="Times New Roman" w:hAnsi="Times New Roman" w:cs="Times New Roman" w:eastAsia="Times New Roman" w:hint="default"/>
        </w:rPr>
        <w:t>7,507,517.43</w:t>
      </w:r>
      <w:r>
        <w:rPr/>
        <w:t>元是与资产相关的补 助，计入递延收益科目在剩余期间进行摊销，其他</w:t>
      </w:r>
      <w:r>
        <w:rPr>
          <w:rFonts w:ascii="Times New Roman" w:hAnsi="Times New Roman" w:cs="Times New Roman" w:eastAsia="Times New Roman" w:hint="default"/>
        </w:rPr>
        <w:t>11,192,482.57</w:t>
      </w:r>
      <w:r>
        <w:rPr/>
        <w:t>元是与收益相关的补助，直接计入营业外收入科目。</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31</w:t>
      </w:r>
      <w:r>
        <w:rPr/>
        <w:t>、其他非流动负债</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50,127,000.00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71,610,000.00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50,127,000.00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71,610,000.00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32</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301,970,000.00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153,305,000.00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306,610,000.00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4,640,000.00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464,555,000.00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766,525,000.00</w:t>
            </w:r>
          </w:p>
        </w:tc>
      </w:tr>
    </w:tbl>
    <w:p>
      <w:pPr>
        <w:pStyle w:val="BodyText"/>
        <w:spacing w:line="240" w:lineRule="auto" w:before="49"/>
        <w:ind w:right="0"/>
        <w:jc w:val="left"/>
      </w:pPr>
      <w:r>
        <w:rPr/>
        <w:t>其他说明：</w:t>
      </w:r>
    </w:p>
    <w:p>
      <w:pPr>
        <w:spacing w:line="240" w:lineRule="auto" w:before="3"/>
        <w:rPr>
          <w:rFonts w:ascii="宋体" w:hAnsi="宋体" w:cs="宋体" w:eastAsia="宋体" w:hint="default"/>
          <w:sz w:val="15"/>
          <w:szCs w:val="15"/>
        </w:rPr>
      </w:pPr>
    </w:p>
    <w:p>
      <w:pPr>
        <w:pStyle w:val="BodyText"/>
        <w:spacing w:line="297" w:lineRule="auto"/>
        <w:ind w:left="364" w:right="151" w:firstLine="208"/>
        <w:jc w:val="both"/>
      </w:pPr>
      <w:r>
        <w:rPr/>
        <w:t>（</w:t>
      </w:r>
      <w:r>
        <w:rPr>
          <w:rFonts w:ascii="Times New Roman" w:hAnsi="Times New Roman" w:cs="Times New Roman" w:eastAsia="Times New Roman" w:hint="default"/>
        </w:rPr>
        <w:t>1</w:t>
      </w:r>
      <w:r>
        <w:rPr/>
        <w:t>）根据《青岛市恒顺电气股份有限公司股权激励计划</w:t>
      </w:r>
      <w:r>
        <w:rPr>
          <w:rFonts w:ascii="Times New Roman" w:hAnsi="Times New Roman" w:cs="Times New Roman" w:eastAsia="Times New Roman" w:hint="default"/>
        </w:rPr>
        <w:t>(</w:t>
      </w:r>
      <w:r>
        <w:rPr/>
        <w:t>正式稿</w:t>
      </w:r>
      <w:r>
        <w:rPr>
          <w:rFonts w:ascii="Times New Roman" w:hAnsi="Times New Roman" w:cs="Times New Roman" w:eastAsia="Times New Roman" w:hint="default"/>
        </w:rPr>
        <w:t>)</w:t>
      </w:r>
      <w:r>
        <w:rPr/>
        <w:t>》规定和</w:t>
      </w:r>
      <w:r>
        <w:rPr>
          <w:rFonts w:ascii="Times New Roman" w:hAnsi="Times New Roman" w:cs="Times New Roman" w:eastAsia="Times New Roman" w:hint="default"/>
        </w:rPr>
        <w:t>2015</w:t>
      </w:r>
      <w:r>
        <w:rPr/>
        <w:t>年第二届董事会第二十二次会议规定， 同意</w:t>
      </w:r>
      <w:r>
        <w:rPr>
          <w:rFonts w:ascii="Times New Roman" w:hAnsi="Times New Roman" w:cs="Times New Roman" w:eastAsia="Times New Roman" w:hint="default"/>
        </w:rPr>
        <w:t>22</w:t>
      </w:r>
      <w:r>
        <w:rPr/>
        <w:t>位激励对象在第三个行权期行权，股本总额增加</w:t>
      </w:r>
      <w:r>
        <w:rPr>
          <w:rFonts w:ascii="Times New Roman" w:hAnsi="Times New Roman" w:cs="Times New Roman" w:eastAsia="Times New Roman" w:hint="default"/>
        </w:rPr>
        <w:t>464</w:t>
      </w:r>
      <w:r>
        <w:rPr/>
        <w:t>万元。</w:t>
      </w:r>
    </w:p>
    <w:p>
      <w:pPr>
        <w:pStyle w:val="BodyText"/>
        <w:spacing w:line="300" w:lineRule="auto" w:before="135"/>
        <w:ind w:left="364" w:right="146" w:firstLine="208"/>
        <w:jc w:val="both"/>
      </w:pPr>
      <w:r>
        <w:rPr>
          <w:spacing w:val="-1"/>
        </w:rPr>
        <w:t>（</w:t>
      </w:r>
      <w:r>
        <w:rPr>
          <w:rFonts w:ascii="Times New Roman" w:hAnsi="Times New Roman" w:cs="Times New Roman" w:eastAsia="Times New Roman" w:hint="default"/>
          <w:spacing w:val="-1"/>
        </w:rPr>
        <w:t>2</w:t>
      </w:r>
      <w:r>
        <w:rPr>
          <w:spacing w:val="-1"/>
        </w:rPr>
        <w:t>）根据公司</w:t>
      </w:r>
      <w:r>
        <w:rPr>
          <w:rFonts w:ascii="Times New Roman" w:hAnsi="Times New Roman" w:cs="Times New Roman" w:eastAsia="Times New Roman" w:hint="default"/>
          <w:spacing w:val="-1"/>
        </w:rPr>
        <w:t>2015</w:t>
      </w:r>
      <w:r>
        <w:rPr>
          <w:spacing w:val="-1"/>
        </w:rPr>
        <w:t>年第四次临时股东大会审议通过《关于调整</w:t>
      </w:r>
      <w:r>
        <w:rPr>
          <w:rFonts w:ascii="Times New Roman" w:hAnsi="Times New Roman" w:cs="Times New Roman" w:eastAsia="Times New Roman" w:hint="default"/>
          <w:spacing w:val="-1"/>
        </w:rPr>
        <w:t>2015</w:t>
      </w:r>
      <w:r>
        <w:rPr>
          <w:spacing w:val="-1"/>
        </w:rPr>
        <w:t>年半年度利润分配预案的议案》，公司以</w:t>
      </w:r>
      <w:r>
        <w:rPr>
          <w:rFonts w:ascii="Times New Roman" w:hAnsi="Times New Roman" w:cs="Times New Roman" w:eastAsia="Times New Roman" w:hint="default"/>
          <w:spacing w:val="-1"/>
        </w:rPr>
        <w:t>30,661</w:t>
      </w:r>
      <w:r>
        <w:rPr>
          <w:spacing w:val="-1"/>
        </w:rPr>
        <w:t>万</w:t>
      </w:r>
      <w:r>
        <w:rPr/>
        <w:t> </w:t>
      </w:r>
      <w:r>
        <w:rPr>
          <w:spacing w:val="-1"/>
        </w:rPr>
        <w:t>股为基数，向全体股东每</w:t>
      </w:r>
      <w:r>
        <w:rPr>
          <w:rFonts w:ascii="Times New Roman" w:hAnsi="Times New Roman" w:cs="Times New Roman" w:eastAsia="Times New Roman" w:hint="default"/>
          <w:spacing w:val="-1"/>
        </w:rPr>
        <w:t>10</w:t>
      </w:r>
      <w:r>
        <w:rPr>
          <w:spacing w:val="-1"/>
        </w:rPr>
        <w:t>股送红股</w:t>
      </w:r>
      <w:r>
        <w:rPr>
          <w:rFonts w:ascii="Times New Roman" w:hAnsi="Times New Roman" w:cs="Times New Roman" w:eastAsia="Times New Roman" w:hint="default"/>
          <w:spacing w:val="-1"/>
        </w:rPr>
        <w:t>5</w:t>
      </w:r>
      <w:r>
        <w:rPr>
          <w:spacing w:val="-1"/>
        </w:rPr>
        <w:t>股，股本总额增加</w:t>
      </w:r>
      <w:r>
        <w:rPr>
          <w:rFonts w:ascii="Times New Roman" w:hAnsi="Times New Roman" w:cs="Times New Roman" w:eastAsia="Times New Roman" w:hint="default"/>
          <w:spacing w:val="-1"/>
        </w:rPr>
        <w:t>15,330.50</w:t>
      </w:r>
      <w:r>
        <w:rPr>
          <w:spacing w:val="-1"/>
        </w:rPr>
        <w:t>万元，以资本公积向全体股东每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股，股本总</w:t>
      </w:r>
      <w:r>
        <w:rPr>
          <w:spacing w:val="-55"/>
        </w:rPr>
        <w:t> </w:t>
      </w:r>
      <w:r>
        <w:rPr>
          <w:spacing w:val="-55"/>
        </w:rPr>
      </w:r>
      <w:r>
        <w:rPr/>
        <w:t>额增加</w:t>
      </w:r>
      <w:r>
        <w:rPr>
          <w:rFonts w:ascii="Times New Roman" w:hAnsi="Times New Roman" w:cs="Times New Roman" w:eastAsia="Times New Roman" w:hint="default"/>
        </w:rPr>
        <w:t>30,661</w:t>
      </w:r>
      <w:r>
        <w:rPr/>
        <w:t>万元。</w:t>
      </w:r>
    </w:p>
    <w:p>
      <w:pPr>
        <w:spacing w:after="0" w:line="300" w:lineRule="auto"/>
        <w:jc w:val="both"/>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94"/>
        <w:jc w:val="left"/>
        <w:rPr>
          <w:b w:val="0"/>
          <w:bCs w:val="0"/>
        </w:rPr>
      </w:pPr>
      <w:r>
        <w:rPr>
          <w:rFonts w:ascii="Times New Roman" w:hAnsi="Times New Roman" w:cs="Times New Roman" w:eastAsia="Times New Roman" w:hint="default"/>
        </w:rPr>
        <w:t>33</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280,715,593.78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51,832,900.00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25,938,493.78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21,666,044.99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26,482,886.45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48,148,931.44</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302,381,638.77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78,315,786.45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74,087,425.22</w:t>
            </w:r>
          </w:p>
        </w:tc>
      </w:tr>
    </w:tbl>
    <w:p>
      <w:pPr>
        <w:pStyle w:val="BodyText"/>
        <w:spacing w:line="240" w:lineRule="auto" w:before="49"/>
        <w:ind w:right="94"/>
        <w:jc w:val="left"/>
      </w:pPr>
      <w:r>
        <w:rPr/>
        <w:t>其他说明，包括本期增减变动情况、变动原因说明：</w:t>
      </w:r>
    </w:p>
    <w:p>
      <w:pPr>
        <w:spacing w:line="240" w:lineRule="auto" w:before="3"/>
        <w:rPr>
          <w:rFonts w:ascii="宋体" w:hAnsi="宋体" w:cs="宋体" w:eastAsia="宋体" w:hint="default"/>
          <w:sz w:val="15"/>
          <w:szCs w:val="15"/>
        </w:rPr>
      </w:pPr>
    </w:p>
    <w:p>
      <w:pPr>
        <w:pStyle w:val="BodyText"/>
        <w:spacing w:line="297" w:lineRule="auto"/>
        <w:ind w:left="364" w:right="185" w:firstLine="208"/>
        <w:jc w:val="left"/>
      </w:pPr>
      <w:r>
        <w:rPr>
          <w:spacing w:val="-1"/>
        </w:rPr>
        <w:t>（</w:t>
      </w:r>
      <w:r>
        <w:rPr>
          <w:rFonts w:ascii="Times New Roman" w:hAnsi="Times New Roman" w:cs="Times New Roman" w:eastAsia="Times New Roman" w:hint="default"/>
          <w:spacing w:val="-1"/>
        </w:rPr>
        <w:t>1</w:t>
      </w:r>
      <w:r>
        <w:rPr>
          <w:spacing w:val="-1"/>
        </w:rPr>
        <w:t>）股本溢价本期增加</w:t>
      </w:r>
      <w:r>
        <w:rPr>
          <w:rFonts w:ascii="Times New Roman" w:hAnsi="Times New Roman" w:cs="Times New Roman" w:eastAsia="Times New Roman" w:hint="default"/>
          <w:spacing w:val="-1"/>
        </w:rPr>
        <w:t>5,183.29</w:t>
      </w:r>
      <w:r>
        <w:rPr>
          <w:spacing w:val="-1"/>
        </w:rPr>
        <w:t>万元：其中股权激励行权增加</w:t>
      </w:r>
      <w:r>
        <w:rPr>
          <w:rFonts w:ascii="Times New Roman" w:hAnsi="Times New Roman" w:cs="Times New Roman" w:eastAsia="Times New Roman" w:hint="default"/>
          <w:spacing w:val="-1"/>
        </w:rPr>
        <w:t>1,756.24</w:t>
      </w:r>
      <w:r>
        <w:rPr>
          <w:spacing w:val="-1"/>
        </w:rPr>
        <w:t>万元；第一期限制性股票解锁冲回相应的回购义</w:t>
      </w:r>
      <w:r>
        <w:rPr/>
        <w:t> 务增加</w:t>
      </w:r>
      <w:r>
        <w:rPr>
          <w:rFonts w:ascii="Times New Roman" w:hAnsi="Times New Roman" w:cs="Times New Roman" w:eastAsia="Times New Roman" w:hint="default"/>
        </w:rPr>
        <w:t>869.55</w:t>
      </w:r>
      <w:r>
        <w:rPr/>
        <w:t>万元；利润分配调整库存股增加</w:t>
      </w:r>
      <w:r>
        <w:rPr>
          <w:rFonts w:ascii="Times New Roman" w:hAnsi="Times New Roman" w:cs="Times New Roman" w:eastAsia="Times New Roman" w:hint="default"/>
        </w:rPr>
        <w:t>2,557.50</w:t>
      </w:r>
      <w:r>
        <w:rPr/>
        <w:t>万元。</w:t>
      </w:r>
    </w:p>
    <w:p>
      <w:pPr>
        <w:pStyle w:val="BodyText"/>
        <w:spacing w:line="240" w:lineRule="auto" w:before="135"/>
        <w:ind w:left="573" w:right="94"/>
        <w:jc w:val="left"/>
      </w:pPr>
      <w:r>
        <w:rPr/>
        <w:t>（</w:t>
      </w:r>
      <w:r>
        <w:rPr>
          <w:rFonts w:ascii="Times New Roman" w:hAnsi="Times New Roman" w:cs="Times New Roman" w:eastAsia="Times New Roman" w:hint="default"/>
        </w:rPr>
        <w:t>2</w:t>
      </w:r>
      <w:r>
        <w:rPr/>
        <w:t>）股本溢价本期减少</w:t>
      </w:r>
      <w:r>
        <w:rPr>
          <w:rFonts w:ascii="Times New Roman" w:hAnsi="Times New Roman" w:cs="Times New Roman" w:eastAsia="Times New Roman" w:hint="default"/>
        </w:rPr>
        <w:t>30,661</w:t>
      </w:r>
      <w:r>
        <w:rPr/>
        <w:t>万元，系公司于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日资本公积转增股本所致。</w:t>
      </w:r>
    </w:p>
    <w:p>
      <w:pPr>
        <w:spacing w:line="240" w:lineRule="auto" w:before="13"/>
        <w:rPr>
          <w:rFonts w:ascii="宋体" w:hAnsi="宋体" w:cs="宋体" w:eastAsia="宋体" w:hint="default"/>
          <w:sz w:val="13"/>
          <w:szCs w:val="13"/>
        </w:rPr>
      </w:pPr>
    </w:p>
    <w:p>
      <w:pPr>
        <w:pStyle w:val="BodyText"/>
        <w:spacing w:line="240" w:lineRule="auto"/>
        <w:ind w:left="573" w:right="0"/>
        <w:jc w:val="left"/>
      </w:pPr>
      <w:r>
        <w:rPr/>
        <w:t>（</w:t>
      </w:r>
      <w:r>
        <w:rPr>
          <w:rFonts w:ascii="Times New Roman" w:hAnsi="Times New Roman" w:cs="Times New Roman" w:eastAsia="Times New Roman" w:hint="default"/>
        </w:rPr>
        <w:t>3</w:t>
      </w:r>
      <w:r>
        <w:rPr/>
        <w:t>）其他资本公积本期增加</w:t>
      </w:r>
      <w:r>
        <w:rPr>
          <w:rFonts w:ascii="Times New Roman" w:hAnsi="Times New Roman" w:cs="Times New Roman" w:eastAsia="Times New Roman" w:hint="default"/>
        </w:rPr>
        <w:t>2,648.29</w:t>
      </w:r>
      <w:r>
        <w:rPr/>
        <w:t>万元，系公司授予股票期权与限制性股票在锁定期计提的股权激励成本增加所致。</w:t>
      </w:r>
    </w:p>
    <w:p>
      <w:pPr>
        <w:spacing w:line="240" w:lineRule="auto" w:before="2"/>
        <w:rPr>
          <w:rFonts w:ascii="宋体" w:hAnsi="宋体" w:cs="宋体" w:eastAsia="宋体" w:hint="default"/>
          <w:sz w:val="26"/>
          <w:szCs w:val="26"/>
        </w:rPr>
      </w:pPr>
    </w:p>
    <w:p>
      <w:pPr>
        <w:pStyle w:val="Heading5"/>
        <w:spacing w:line="240" w:lineRule="auto"/>
        <w:ind w:right="94"/>
        <w:jc w:val="left"/>
        <w:rPr>
          <w:b w:val="0"/>
          <w:bCs w:val="0"/>
        </w:rPr>
      </w:pPr>
      <w:r>
        <w:rPr>
          <w:rFonts w:ascii="Times New Roman" w:hAnsi="Times New Roman" w:cs="Times New Roman" w:eastAsia="Times New Roman" w:hint="default"/>
        </w:rPr>
        <w:t>34</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29,837,500.00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12,787,500.00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29,837,500.00</w:t>
            </w:r>
          </w:p>
        </w:tc>
      </w:tr>
    </w:tbl>
    <w:p>
      <w:pPr>
        <w:pStyle w:val="BodyText"/>
        <w:spacing w:line="240" w:lineRule="auto" w:before="49"/>
        <w:ind w:right="94"/>
        <w:jc w:val="left"/>
      </w:pPr>
      <w:r>
        <w:rPr/>
        <w:t>其他说明，包括本期增减变动情况、变动原因说明：</w:t>
      </w:r>
    </w:p>
    <w:p>
      <w:pPr>
        <w:spacing w:line="240" w:lineRule="auto" w:before="0"/>
        <w:rPr>
          <w:rFonts w:ascii="宋体" w:hAnsi="宋体" w:cs="宋体" w:eastAsia="宋体" w:hint="default"/>
          <w:sz w:val="15"/>
          <w:szCs w:val="15"/>
        </w:rPr>
      </w:pPr>
    </w:p>
    <w:p>
      <w:pPr>
        <w:pStyle w:val="BodyText"/>
        <w:spacing w:line="240" w:lineRule="auto"/>
        <w:ind w:left="573" w:right="94"/>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9</w:t>
      </w:r>
      <w:r>
        <w:rPr/>
        <w:t>日，公司</w:t>
      </w:r>
      <w:r>
        <w:rPr>
          <w:rFonts w:ascii="Times New Roman" w:hAnsi="Times New Roman" w:cs="Times New Roman" w:eastAsia="Times New Roman" w:hint="default"/>
        </w:rPr>
        <w:t>2014</w:t>
      </w:r>
      <w:r>
        <w:rPr/>
        <w:t>年第二次临时股东大会审议通过了《限制性股票激励计划（草案修订稿）》。</w:t>
      </w:r>
      <w:r>
        <w:rPr>
          <w:rFonts w:ascii="Times New Roman" w:hAnsi="Times New Roman" w:cs="Times New Roman" w:eastAsia="Times New Roman" w:hint="default"/>
        </w:rPr>
        <w:t>2014</w:t>
      </w:r>
      <w:r>
        <w:rPr/>
        <w:t>年</w:t>
      </w:r>
    </w:p>
    <w:p>
      <w:pPr>
        <w:pStyle w:val="BodyText"/>
        <w:spacing w:line="240" w:lineRule="auto" w:before="63"/>
        <w:ind w:left="364" w:right="94"/>
        <w:jc w:val="left"/>
      </w:pP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日公司召开第二届董事会第十二次会议，会议决定授予公司</w:t>
      </w:r>
      <w:r>
        <w:rPr>
          <w:rFonts w:ascii="Times New Roman" w:hAnsi="Times New Roman" w:cs="Times New Roman" w:eastAsia="Times New Roman" w:hint="default"/>
        </w:rPr>
        <w:t>26</w:t>
      </w:r>
      <w:r>
        <w:rPr/>
        <w:t>位激励对象合计</w:t>
      </w:r>
      <w:r>
        <w:rPr>
          <w:rFonts w:ascii="Times New Roman" w:hAnsi="Times New Roman" w:cs="Times New Roman" w:eastAsia="Times New Roman" w:hint="default"/>
        </w:rPr>
        <w:t>1,705</w:t>
      </w:r>
      <w:r>
        <w:rPr/>
        <w:t>万股限制性股票。</w:t>
      </w:r>
    </w:p>
    <w:p>
      <w:pPr>
        <w:spacing w:line="240" w:lineRule="auto" w:before="13"/>
        <w:rPr>
          <w:rFonts w:ascii="宋体" w:hAnsi="宋体" w:cs="宋体" w:eastAsia="宋体" w:hint="default"/>
          <w:sz w:val="13"/>
          <w:szCs w:val="13"/>
        </w:rPr>
      </w:pPr>
    </w:p>
    <w:p>
      <w:pPr>
        <w:pStyle w:val="BodyText"/>
        <w:spacing w:line="300" w:lineRule="auto"/>
        <w:ind w:left="364" w:right="124" w:firstLine="208"/>
        <w:jc w:val="left"/>
      </w:pPr>
      <w:r>
        <w:rPr/>
        <w:t>（</w:t>
      </w:r>
      <w:r>
        <w:rPr>
          <w:rFonts w:ascii="Times New Roman" w:hAnsi="Times New Roman" w:cs="Times New Roman" w:eastAsia="Times New Roman" w:hint="default"/>
        </w:rPr>
        <w:t>2</w:t>
      </w:r>
      <w:r>
        <w:rPr/>
        <w:t>）公司本期按照授予限制性股票取得的认购股款确认股本和资本公积（股本溢价），本期减少系限制性股票行权， 回购义务取消，转销对应的库存股</w:t>
      </w:r>
      <w:r>
        <w:rPr>
          <w:rFonts w:ascii="Times New Roman" w:hAnsi="Times New Roman" w:cs="Times New Roman" w:eastAsia="Times New Roman" w:hint="default"/>
        </w:rPr>
        <w:t>1,278.75</w:t>
      </w:r>
      <w:r>
        <w:rPr/>
        <w:t>万元。</w:t>
      </w:r>
    </w:p>
    <w:p>
      <w:pPr>
        <w:spacing w:line="240" w:lineRule="auto" w:before="4"/>
        <w:rPr>
          <w:rFonts w:ascii="宋体" w:hAnsi="宋体" w:cs="宋体" w:eastAsia="宋体" w:hint="default"/>
          <w:sz w:val="22"/>
          <w:szCs w:val="22"/>
        </w:rPr>
      </w:pPr>
    </w:p>
    <w:p>
      <w:pPr>
        <w:pStyle w:val="Heading5"/>
        <w:spacing w:line="240" w:lineRule="auto"/>
        <w:ind w:right="94"/>
        <w:jc w:val="left"/>
        <w:rPr>
          <w:b w:val="0"/>
          <w:bCs w:val="0"/>
        </w:rPr>
      </w:pPr>
      <w:r>
        <w:rPr>
          <w:rFonts w:ascii="Times New Roman" w:hAnsi="Times New Roman" w:cs="Times New Roman" w:eastAsia="Times New Roman" w:hint="default"/>
        </w:rPr>
        <w:t>35</w:t>
      </w:r>
      <w:r>
        <w:rPr/>
        <w:t>、其他综合收益</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9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396"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-28,897,363.3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-42,346,210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-45,219,554</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2,873,344.1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-74,116,9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17.84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-28,897,363.3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-42,346,210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-45,219,554</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2,873,344.1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-74,116,9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17.84</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-28,897,363.3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-42,346,210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.34</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-45,219,554</w:t>
            </w:r>
            <w:r>
              <w:rPr>
                <w:rFonts w:ascii="Times New Roman"/>
                <w:sz w:val="18"/>
              </w:rPr>
            </w:r>
          </w:p>
          <w:p>
            <w:pPr>
              <w:pStyle w:val="TableParagraph"/>
              <w:spacing w:line="240" w:lineRule="auto" w:before="105"/>
              <w:ind w:right="16"/>
              <w:jc w:val="right"/>
              <w:rPr>
                <w:rFonts w:ascii="Times New Roman" w:hAnsi="Times New Roman" w:cs="Times New Roman" w:eastAsia="Times New Roman" w:hint="default"/>
                <w:sz w:val="18"/>
                <w:szCs w:val="18"/>
              </w:rPr>
            </w:pPr>
            <w:r>
              <w:rPr>
                <w:rFonts w:ascii="Times New Roman"/>
                <w:sz w:val="18"/>
              </w:rPr>
              <w:t>.46</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2,873,344.1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-74,116,9</w:t>
            </w:r>
          </w:p>
          <w:p>
            <w:pPr>
              <w:pStyle w:val="TableParagraph"/>
              <w:spacing w:line="240" w:lineRule="auto" w:before="105"/>
              <w:ind w:left="357" w:right="0"/>
              <w:jc w:val="left"/>
              <w:rPr>
                <w:rFonts w:ascii="Times New Roman" w:hAnsi="Times New Roman" w:cs="Times New Roman" w:eastAsia="Times New Roman" w:hint="default"/>
                <w:sz w:val="18"/>
                <w:szCs w:val="18"/>
              </w:rPr>
            </w:pPr>
            <w:r>
              <w:rPr>
                <w:rFonts w:ascii="Times New Roman"/>
                <w:sz w:val="18"/>
              </w:rPr>
              <w:t>17.84</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36</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1,014,922.62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1,630,832.12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2,589,655.26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1,014,922.62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1,630,832.12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56,099.48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2,589,655.26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37</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22,356,125.94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34,339,101.40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56,695,227.34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22,356,125.94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34,339,101.40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56,695,227.34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38</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223,669,721.30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121,741,161.26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223,669,721.30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121,741,161.26</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338,648,755.97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109,530,694.55</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34,339,101.40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7,602,134.51</w:t>
            </w: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18,396,600.00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转作股本的普通股股利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153,305,000.00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356,277,775.87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223,669,721.30</w:t>
            </w:r>
          </w:p>
        </w:tc>
      </w:tr>
    </w:tbl>
    <w:p>
      <w:pPr>
        <w:pStyle w:val="BodyText"/>
        <w:spacing w:line="240" w:lineRule="auto" w:before="49"/>
        <w:ind w:right="0"/>
        <w:jc w:val="left"/>
      </w:pPr>
      <w:r>
        <w:rPr/>
        <w:t>调整期初未分配利润明细：</w:t>
      </w:r>
    </w:p>
    <w:p>
      <w:pPr>
        <w:pStyle w:val="BodyText"/>
        <w:spacing w:line="240" w:lineRule="auto" w:before="11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39</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04"/>
      </w:tblGrid>
      <w:tr>
        <w:trPr>
          <w:trHeight w:val="404"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1,150,352,270.34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634,779,130.58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648,984,666.84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443,440,614.21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12,913,966.13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3,678,852.93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21,457,894.38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5,627,806.16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1,163,266,236.47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638,457,983.51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670,442,561.22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449,068,420.37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40</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1,432,819.27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1,844,363.67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614,065.40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790,441.57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409,376.93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526,961.05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204,688.47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263,480.52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2,660,950.07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3,426,746.81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41</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883,431.72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1,569,108.71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147,637.63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223,089.61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28,978.55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17,078.05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53,459.13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2,379,136.37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1,699,893.21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768,827.59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595,922.19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1,733,007.54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运输及装卸费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4,936,940.74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2,599,636.32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39,089.94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100,391.54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47,018.00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185,362.80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537,742.48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183,353.67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11,800.00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售后安装调试费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397,983.10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444,808.90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881,396.18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932,125.59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584,668.00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152,118.00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港杂费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15,249,898.44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28,498,641.04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9,784,410.13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42</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10,474,493.33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6,974,275.43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4,954,820.38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3,075,820.91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215,636.37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123,654.92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3,203,183.45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1,463,228.18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450,594.20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337,904.30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1,844,769.53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1,189,907.19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5,592,195.69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2,055,463.47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设备车辆维修费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479,004.85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157,412.29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692,753.99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182,586.49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汽车油费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367,403.24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353,878.81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审计咨询顾问费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3,628,070.64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1,286,433.32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43,313,213.90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11,270,076.53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2,436,024.05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2,077,435.96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291,997.04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245,880.12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23,942.49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791,793.85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股权激励成本摊销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26,482,886.45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7,739,338.75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1,158,718.60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332,349.51</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106,404,257.56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38,889,996.67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43</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28,291,225.49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30,669,736.59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3,122,094.53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5,494,240.91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汇兑损益（收益按“负数”列示）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-6,382,510.35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-1,731,035.53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392,676.51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250,703.29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19,179,297.12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23,695,163.44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r>
        <w:rPr/>
        <w:pict>
          <v:group style="position:absolute;margin-left:269.690002pt;margin-top:623.979980pt;width:52.75pt;height:23.4pt;mso-position-horizontal-relative:page;mso-position-vertical-relative:page;z-index:-892792" coordorigin="5394,12480" coordsize="1055,468">
            <v:shape style="position:absolute;left:5394;top:12480;width:1055;height:468" coordorigin="5394,12480" coordsize="1055,468" path="m5394,12948l6448,12948,6448,12480,5394,12480,5394,12948xe" filled="true" fillcolor="#ffffff" stroked="false">
              <v:path arrowok="t"/>
              <v:fill type="solid"/>
            </v:shape>
            <w10:wrap type="none"/>
          </v:group>
        </w:pict>
      </w:r>
      <w:r>
        <w:rPr/>
        <w:pict>
          <v:group style="position:absolute;margin-left:269.690002pt;margin-top:690.940002pt;width:52.75pt;height:23.4pt;mso-position-horizontal-relative:page;mso-position-vertical-relative:page;z-index:-892768" coordorigin="5394,13819" coordsize="1055,468">
            <v:shape style="position:absolute;left:5394;top:13819;width:1055;height:468" coordorigin="5394,13819" coordsize="1055,468" path="m5394,14287l6448,14287,6448,13819,5394,13819,5394,14287xe" filled="true" fillcolor="#ffffff" stroked="false">
              <v:path arrowok="t"/>
              <v:fill type="solid"/>
            </v:shape>
            <w10:wrap type="none"/>
          </v:group>
        </w:pict>
      </w:r>
    </w:p>
    <w:p>
      <w:pPr>
        <w:pStyle w:val="Heading5"/>
        <w:spacing w:line="240" w:lineRule="auto" w:before="36"/>
        <w:ind w:right="0"/>
        <w:jc w:val="left"/>
        <w:rPr>
          <w:b w:val="0"/>
          <w:bCs w:val="0"/>
        </w:rPr>
      </w:pPr>
      <w:r>
        <w:rPr>
          <w:rFonts w:ascii="Times New Roman" w:hAnsi="Times New Roman" w:cs="Times New Roman" w:eastAsia="Times New Roman" w:hint="default"/>
        </w:rPr>
        <w:t>44</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16,110,142.86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10,394,948.94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16,110,142.86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10,394,948.94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45</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18,587.12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0" w:space="0" w:color="D2D2D2"/>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18,587.12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46,202,961.28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3,205,332.44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46,202,961.28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485,516.51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45,559.06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479,483.45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46,688,477.79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3,269,478.62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46,682,444.73</w:t>
            </w:r>
          </w:p>
        </w:tc>
      </w:tr>
    </w:tbl>
    <w:p>
      <w:pPr>
        <w:pStyle w:val="BodyText"/>
        <w:spacing w:line="240" w:lineRule="auto" w:before="49"/>
        <w:ind w:right="0"/>
        <w:jc w:val="left"/>
      </w:pPr>
      <w:r>
        <w:rPr/>
        <w:t>计入当期损益的政府补助：</w:t>
      </w:r>
    </w:p>
    <w:p>
      <w:pPr>
        <w:pStyle w:val="BodyText"/>
        <w:spacing w:line="240" w:lineRule="auto" w:before="117"/>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递延收益摊 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2,194,078.71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1,099,232.44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政府拆迁经 营性补偿贴 息款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11,192,482.5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130"/>
              <w:jc w:val="both"/>
              <w:rPr>
                <w:rFonts w:ascii="宋体" w:hAnsi="宋体" w:cs="宋体" w:eastAsia="宋体" w:hint="default"/>
                <w:sz w:val="18"/>
                <w:szCs w:val="18"/>
              </w:rPr>
            </w:pPr>
            <w:r>
              <w:rPr>
                <w:rFonts w:ascii="宋体" w:hAnsi="宋体" w:cs="宋体" w:eastAsia="宋体" w:hint="default"/>
                <w:sz w:val="18"/>
                <w:szCs w:val="18"/>
              </w:rPr>
              <w:t>企业上市再 融资补助资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3" w:right="19"/>
              <w:jc w:val="left"/>
              <w:rPr>
                <w:rFonts w:ascii="宋体" w:hAnsi="宋体" w:cs="宋体" w:eastAsia="宋体" w:hint="default"/>
                <w:sz w:val="18"/>
                <w:szCs w:val="18"/>
              </w:rPr>
            </w:pPr>
            <w:r>
              <w:rPr>
                <w:rFonts w:ascii="宋体" w:hAnsi="宋体" w:cs="宋体" w:eastAsia="宋体" w:hint="default"/>
                <w:sz w:val="18"/>
                <w:szCs w:val="18"/>
              </w:rPr>
              <w:t>青岛市财政 </w:t>
            </w:r>
            <w:r>
              <w:rPr>
                <w:rFonts w:ascii="宋体" w:hAnsi="宋体" w:cs="宋体" w:eastAsia="宋体" w:hint="default"/>
                <w:spacing w:val="-12"/>
                <w:sz w:val="18"/>
                <w:szCs w:val="18"/>
              </w:rPr>
              <w:t>局、青岛市城</w:t>
            </w:r>
            <w:r>
              <w:rPr>
                <w:rFonts w:ascii="宋体" w:hAnsi="宋体" w:cs="宋体" w:eastAsia="宋体" w:hint="default"/>
                <w:sz w:val="18"/>
                <w:szCs w:val="18"/>
              </w:rPr>
              <w:t> 阳区财政局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0"/>
              <w:jc w:val="left"/>
              <w:rPr>
                <w:rFonts w:ascii="宋体" w:hAnsi="宋体" w:cs="宋体" w:eastAsia="宋体" w:hint="default"/>
                <w:sz w:val="18"/>
                <w:szCs w:val="18"/>
              </w:rPr>
            </w:pPr>
            <w:r>
              <w:rPr>
                <w:rFonts w:ascii="宋体" w:hAnsi="宋体" w:cs="宋体" w:eastAsia="宋体" w:hint="default"/>
                <w:sz w:val="18"/>
                <w:szCs w:val="18"/>
              </w:rPr>
              <w:t>科技扶持资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青岛市科技 </w:t>
            </w:r>
            <w:r>
              <w:rPr>
                <w:rFonts w:ascii="宋体" w:hAnsi="宋体" w:cs="宋体" w:eastAsia="宋体" w:hint="default"/>
                <w:spacing w:val="-12"/>
                <w:sz w:val="18"/>
                <w:szCs w:val="18"/>
              </w:rPr>
              <w:t>局、青岛市财</w:t>
            </w:r>
            <w:r>
              <w:rPr>
                <w:rFonts w:ascii="宋体" w:hAnsi="宋体" w:cs="宋体" w:eastAsia="宋体" w:hint="default"/>
                <w:sz w:val="18"/>
                <w:szCs w:val="18"/>
              </w:rPr>
              <w:t> 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30"/>
              <w:jc w:val="left"/>
              <w:rPr>
                <w:rFonts w:ascii="宋体" w:hAnsi="宋体" w:cs="宋体" w:eastAsia="宋体" w:hint="default"/>
                <w:sz w:val="18"/>
                <w:szCs w:val="18"/>
              </w:rPr>
            </w:pPr>
            <w:r>
              <w:rPr>
                <w:rFonts w:ascii="宋体" w:hAnsi="宋体" w:cs="宋体" w:eastAsia="宋体" w:hint="default"/>
                <w:sz w:val="18"/>
                <w:szCs w:val="18"/>
              </w:rPr>
              <w:t>专利专项资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青岛市财政 </w:t>
            </w:r>
            <w:r>
              <w:rPr>
                <w:rFonts w:ascii="宋体" w:hAnsi="宋体" w:cs="宋体" w:eastAsia="宋体" w:hint="default"/>
                <w:spacing w:val="-12"/>
                <w:sz w:val="18"/>
                <w:szCs w:val="18"/>
              </w:rPr>
              <w:t>局、青岛市知</w:t>
            </w:r>
            <w:r>
              <w:rPr>
                <w:rFonts w:ascii="宋体" w:hAnsi="宋体" w:cs="宋体" w:eastAsia="宋体" w:hint="default"/>
                <w:sz w:val="18"/>
                <w:szCs w:val="18"/>
              </w:rPr>
              <w:t> 识产权局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69.690002pt;margin-top:360.289978pt;width:52.75pt;height:23.4pt;mso-position-horizontal-relative:page;mso-position-vertical-relative:page;z-index:-892744" coordorigin="5394,7206" coordsize="1055,468">
            <v:shape style="position:absolute;left:5394;top:7206;width:1055;height:468" coordorigin="5394,7206" coordsize="1055,468" path="m5394,7674l6448,7674,6448,7206,5394,7206,5394,7674xe" filled="true" fillcolor="#ffffff" stroked="false">
              <v:path arrowok="t"/>
              <v:fill type="solid"/>
            </v:shape>
            <w10:wrap type="none"/>
          </v:group>
        </w:pict>
      </w:r>
      <w:r>
        <w:rPr/>
        <w:pict>
          <v:group style="position:absolute;margin-left:269.690002pt;margin-top:427.149994pt;width:52.75pt;height:23.4pt;mso-position-horizontal-relative:page;mso-position-vertical-relative:page;z-index:-892720" coordorigin="5394,8543" coordsize="1055,468">
            <v:shape style="position:absolute;left:5394;top:8543;width:1055;height:468" coordorigin="5394,8543" coordsize="1055,468" path="m5394,9011l6448,9011,6448,8543,5394,8543,5394,9011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02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both"/>
              <w:rPr>
                <w:rFonts w:ascii="宋体" w:hAnsi="宋体" w:cs="宋体" w:eastAsia="宋体" w:hint="default"/>
                <w:sz w:val="18"/>
                <w:szCs w:val="18"/>
              </w:rPr>
            </w:pPr>
            <w:r>
              <w:rPr>
                <w:rFonts w:ascii="宋体" w:hAnsi="宋体" w:cs="宋体" w:eastAsia="宋体" w:hint="default"/>
                <w:sz w:val="18"/>
                <w:szCs w:val="18"/>
              </w:rPr>
              <w:t>对外经济技 术合作专项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青岛市财政 </w:t>
            </w:r>
            <w:r>
              <w:rPr>
                <w:rFonts w:ascii="宋体" w:hAnsi="宋体" w:cs="宋体" w:eastAsia="宋体" w:hint="default"/>
                <w:spacing w:val="-12"/>
                <w:sz w:val="18"/>
                <w:szCs w:val="18"/>
              </w:rPr>
              <w:t>局、青岛市商</w:t>
            </w:r>
            <w:r>
              <w:rPr>
                <w:rFonts w:ascii="宋体" w:hAnsi="宋体" w:cs="宋体" w:eastAsia="宋体" w:hint="default"/>
                <w:sz w:val="18"/>
                <w:szCs w:val="18"/>
              </w:rPr>
              <w:t> 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715,400.00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1,016,300.00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工业知名品 牌奖励资金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区工信局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区长质量奖 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30"/>
              <w:jc w:val="left"/>
              <w:rPr>
                <w:rFonts w:ascii="宋体" w:hAnsi="宋体" w:cs="宋体" w:eastAsia="宋体" w:hint="default"/>
                <w:sz w:val="18"/>
                <w:szCs w:val="18"/>
              </w:rPr>
            </w:pPr>
            <w:r>
              <w:rPr>
                <w:rFonts w:ascii="宋体" w:hAnsi="宋体" w:cs="宋体" w:eastAsia="宋体" w:hint="default"/>
                <w:sz w:val="18"/>
                <w:szCs w:val="18"/>
              </w:rPr>
              <w:t>区级工业专 项扶持资金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区工信局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both"/>
              <w:rPr>
                <w:rFonts w:ascii="宋体" w:hAnsi="宋体" w:cs="宋体" w:eastAsia="宋体" w:hint="default"/>
                <w:sz w:val="18"/>
                <w:szCs w:val="18"/>
              </w:rPr>
            </w:pPr>
            <w:r>
              <w:rPr>
                <w:rFonts w:ascii="宋体" w:hAnsi="宋体" w:cs="宋体" w:eastAsia="宋体" w:hint="default"/>
                <w:sz w:val="18"/>
                <w:szCs w:val="18"/>
              </w:rPr>
              <w:t>关于促进规 模以上工业 企业持续健 康发展奖励 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青岛市政府</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4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年度企 业研发投入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27"/>
              <w:jc w:val="left"/>
              <w:rPr>
                <w:rFonts w:ascii="宋体" w:hAnsi="宋体" w:cs="宋体" w:eastAsia="宋体" w:hint="default"/>
                <w:sz w:val="18"/>
                <w:szCs w:val="18"/>
              </w:rPr>
            </w:pPr>
            <w:r>
              <w:rPr>
                <w:rFonts w:ascii="宋体" w:hAnsi="宋体" w:cs="宋体" w:eastAsia="宋体" w:hint="default"/>
                <w:sz w:val="18"/>
                <w:szCs w:val="18"/>
              </w:rPr>
              <w:t>青岛市科技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青岛市专家 工作站扶持 奖励资金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青岛市城阳 区科技局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30"/>
              <w:jc w:val="left"/>
              <w:rPr>
                <w:rFonts w:ascii="宋体" w:hAnsi="宋体" w:cs="宋体" w:eastAsia="宋体" w:hint="default"/>
                <w:sz w:val="18"/>
                <w:szCs w:val="18"/>
              </w:rPr>
            </w:pPr>
            <w:r>
              <w:rPr>
                <w:rFonts w:ascii="宋体" w:hAnsi="宋体" w:cs="宋体" w:eastAsia="宋体" w:hint="default"/>
                <w:sz w:val="18"/>
                <w:szCs w:val="18"/>
              </w:rPr>
              <w:t>企业扶持资 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7"/>
              <w:jc w:val="both"/>
              <w:rPr>
                <w:rFonts w:ascii="宋体" w:hAnsi="宋体" w:cs="宋体" w:eastAsia="宋体" w:hint="default"/>
                <w:sz w:val="18"/>
                <w:szCs w:val="18"/>
              </w:rPr>
            </w:pPr>
            <w:r>
              <w:rPr>
                <w:rFonts w:ascii="宋体" w:hAnsi="宋体" w:cs="宋体" w:eastAsia="宋体" w:hint="default"/>
                <w:sz w:val="18"/>
                <w:szCs w:val="18"/>
              </w:rPr>
              <w:t>青岛市城阳 区流亭街道 财政所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30,810,000.0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46,202,961.2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3,205,332.44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46</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5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108,760.76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3,631.17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108,760.76</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104,985.76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3,631.17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104,985.76</w:t>
            </w: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3,775.00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3,775.00</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108,760.76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3,631.17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108,760.76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47</w:t>
      </w:r>
      <w:r>
        <w:rPr/>
        <w:t>、所得税费用</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62,617,159.64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25,501,005.58</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-2,614,566.96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-4,263,117.13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60,002,592.68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21,237,888.45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398,534,681.34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59,780,202.21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-1,679,351.56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209,493.93</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-432,297.63</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905,400.09</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3,875,388.16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研究开发费加计扣除的纳税影响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-2,656,242.52</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60,002,592.68</w:t>
            </w:r>
          </w:p>
        </w:tc>
      </w:tr>
    </w:tbl>
    <w:p>
      <w:pPr>
        <w:spacing w:line="240" w:lineRule="auto" w:before="3"/>
        <w:rPr>
          <w:rFonts w:ascii="宋体" w:hAnsi="宋体" w:cs="宋体" w:eastAsia="宋体" w:hint="default"/>
          <w:sz w:val="19"/>
          <w:szCs w:val="19"/>
        </w:rPr>
      </w:pPr>
    </w:p>
    <w:p>
      <w:pPr>
        <w:spacing w:line="547" w:lineRule="auto" w:before="36"/>
        <w:ind w:left="152" w:right="70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详见附注“合并财务报表注释</w:t>
      </w:r>
      <w:r>
        <w:rPr>
          <w:rFonts w:ascii="宋体" w:hAnsi="宋体" w:cs="宋体" w:eastAsia="宋体" w:hint="default"/>
          <w:spacing w:val="-43"/>
          <w:sz w:val="18"/>
          <w:szCs w:val="18"/>
        </w:rPr>
        <w:t> </w:t>
      </w:r>
      <w:r>
        <w:rPr>
          <w:rFonts w:ascii="Times New Roman" w:hAnsi="Times New Roman" w:cs="Times New Roman" w:eastAsia="Times New Roman" w:hint="default"/>
          <w:spacing w:val="-46"/>
          <w:sz w:val="18"/>
          <w:szCs w:val="18"/>
        </w:rPr>
        <w:t>35</w:t>
      </w:r>
      <w:r>
        <w:rPr>
          <w:rFonts w:ascii="宋体" w:hAnsi="宋体" w:cs="宋体" w:eastAsia="宋体" w:hint="default"/>
          <w:spacing w:val="-46"/>
          <w:sz w:val="18"/>
          <w:szCs w:val="18"/>
        </w:rPr>
        <w:t>”。</w:t>
      </w:r>
      <w:r>
        <w:rPr>
          <w:rFonts w:ascii="宋体" w:hAnsi="宋体" w:cs="宋体" w:eastAsia="宋体" w:hint="default"/>
          <w:spacing w:val="-92"/>
          <w:sz w:val="18"/>
          <w:szCs w:val="18"/>
        </w:rPr>
        <w:t> </w:t>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5"/>
        <w:spacing w:line="240" w:lineRule="auto" w:before="26"/>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2,079,213.80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2,355,418.92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44,008,882.57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2,106,100.00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7,753,960.67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17,211,950.86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53,842,057.04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21,673,469.78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21,256,185.37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11,332,210.96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27,428,139.49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12,505,897.51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13,131,128.42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23,762,209.40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61,815,453.28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47,600,317.87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与资产相关的财政补助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7,507,517.43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股利分派利息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8,815.56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7,516,332.99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银行承兑汇票保证金退回</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6,571,170.46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9,115,545.18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36,571,170.46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9,115,545.18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期末银行承兑保证金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97,634,510.00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6,917,673.02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派息手续费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493,588.57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98,128,098.57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6,917,673.02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r>
        <w:rPr/>
        <w:pict>
          <v:group style="position:absolute;margin-left:223.369995pt;margin-top:243.92598pt;width:151.25pt;height:20.7pt;mso-position-horizontal-relative:page;mso-position-vertical-relative:page;z-index:-892696" coordorigin="4467,4879" coordsize="3025,414">
            <v:group style="position:absolute;left:4478;top:4889;width:2;height:392" coordorigin="4478,4889" coordsize="2,392">
              <v:shape style="position:absolute;left:4478;top:4889;width:2;height:392" coordorigin="4478,4889" coordsize="0,392" path="m4478,4889l4478,5281e" filled="false" stroked="true" strokeweight="1.08pt" strokecolor="#ffffff">
                <v:path arrowok="t"/>
              </v:shape>
            </v:group>
            <v:group style="position:absolute;left:4489;top:4889;width:3003;height:392" coordorigin="4489,4889" coordsize="3003,392">
              <v:shape style="position:absolute;left:4489;top:4889;width:3003;height:392" coordorigin="4489,4889" coordsize="3003,392" path="m4489,5281l7492,5281,7492,4889,4489,4889,4489,528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338,532,088.66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117,210,833.86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16,110,142.86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10,394,948.94</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44,467,491.53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44,907,550.07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381,447.16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7,221,021.45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351,908.52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152,118.00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108,760.76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-18,587.12</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4"/>
                <w:sz w:val="18"/>
                <w:szCs w:val="18"/>
              </w:rPr>
              <w:t>固定资产报废损失（收益以“－”号填列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18" w:right="0"/>
              <w:jc w:val="left"/>
              <w:rPr>
                <w:rFonts w:ascii="宋体" w:hAnsi="宋体" w:cs="宋体" w:eastAsia="宋体" w:hint="default"/>
                <w:sz w:val="18"/>
                <w:szCs w:val="18"/>
              </w:rPr>
            </w:pPr>
            <w:r>
              <w:rPr>
                <w:rFonts w:ascii="宋体" w:hAnsi="宋体" w:cs="宋体" w:eastAsia="宋体" w:hint="default"/>
                <w:sz w:val="18"/>
                <w:szCs w:val="18"/>
              </w:rPr>
              <w:t>）</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3,631.17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24,922,078.76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29,925,394.79</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1,136,213.75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214,777.51</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 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-3,960,274.64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-4,477,894.64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4,922,236.26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-32,274,551.89</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-321,336,838.92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-128,352,556.43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2"/>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436,595,066.08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85,843,708.11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26,482,886.45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7,655,028.93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568,713,207.23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138,405,422.75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18,702,177.76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315,702,505.18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105,260,228.25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105,260,228.25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236,087,426.47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210,442,276.93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-130,827,198.22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315,702,505.18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105,260,228.25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106,897.93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52,891.69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315,595,607.25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105,207,336.56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315,702,505.18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6" w:right="0"/>
              <w:jc w:val="left"/>
              <w:rPr>
                <w:rFonts w:ascii="Times New Roman" w:hAnsi="Times New Roman" w:cs="Times New Roman" w:eastAsia="Times New Roman" w:hint="default"/>
                <w:sz w:val="18"/>
                <w:szCs w:val="18"/>
              </w:rPr>
            </w:pPr>
            <w:r>
              <w:rPr>
                <w:rFonts w:ascii="Times New Roman"/>
                <w:sz w:val="18"/>
              </w:rPr>
              <w:t>105,260,228.25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51</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36,599,093.78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237,659,875.37</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3,317.96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2,779.72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38,534.31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4.5875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176,776.15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27,656,514,380.57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13,026,218.26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1,999,519.93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0.424430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848,656.65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10"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965,571.37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6,270,034.25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31,849,709,360.00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15,001,213.11</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其中：印尼卢比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32,352,000,000.00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15,237,792.00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其中：印尼卢比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17,520,081,688.37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0.000471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8,251,958.48</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88,962.32</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印尼卢比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8,948,898,757.02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0.000471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4,214,931.31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4.5875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49,545.00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342,853.40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6.4936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2,226,352.84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6"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136,506.37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4.5875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626,222.97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0.83778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4,188.90</w:t>
            </w:r>
          </w:p>
        </w:tc>
      </w:tr>
    </w:tbl>
    <w:p>
      <w:pPr>
        <w:spacing w:line="240" w:lineRule="auto" w:before="3"/>
        <w:rPr>
          <w:rFonts w:ascii="宋体" w:hAnsi="宋体" w:cs="宋体" w:eastAsia="宋体" w:hint="default"/>
          <w:sz w:val="19"/>
          <w:szCs w:val="19"/>
        </w:rPr>
      </w:pPr>
    </w:p>
    <w:p>
      <w:pPr>
        <w:pStyle w:val="Heading5"/>
        <w:spacing w:line="256" w:lineRule="auto" w:before="36"/>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907"/>
        <w:gridCol w:w="3605"/>
        <w:gridCol w:w="2208"/>
      </w:tblGrid>
      <w:tr>
        <w:trPr>
          <w:trHeight w:val="355" w:hRule="exact"/>
        </w:trPr>
        <w:tc>
          <w:tcPr>
            <w:tcW w:w="29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企业名称</w:t>
            </w:r>
            <w:r>
              <w:rPr>
                <w:rFonts w:ascii="宋体" w:hAnsi="宋体" w:cs="宋体" w:eastAsia="宋体" w:hint="default"/>
                <w:sz w:val="18"/>
                <w:szCs w:val="18"/>
              </w:rPr>
            </w:r>
          </w:p>
        </w:tc>
        <w:tc>
          <w:tcPr>
            <w:tcW w:w="36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经营地址</w:t>
            </w:r>
            <w:r>
              <w:rPr>
                <w:rFonts w:ascii="宋体" w:hAnsi="宋体" w:cs="宋体" w:eastAsia="宋体" w:hint="default"/>
                <w:sz w:val="18"/>
                <w:szCs w:val="18"/>
              </w:rPr>
            </w:r>
          </w:p>
        </w:tc>
        <w:tc>
          <w:tcPr>
            <w:tcW w:w="220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b/>
                <w:bCs/>
                <w:sz w:val="18"/>
                <w:szCs w:val="18"/>
              </w:rPr>
              <w:t>记账本位币</w:t>
            </w:r>
            <w:r>
              <w:rPr>
                <w:rFonts w:ascii="宋体" w:hAnsi="宋体" w:cs="宋体" w:eastAsia="宋体" w:hint="default"/>
                <w:sz w:val="18"/>
                <w:szCs w:val="18"/>
              </w:rPr>
            </w:r>
          </w:p>
        </w:tc>
      </w:tr>
      <w:tr>
        <w:trPr>
          <w:trHeight w:val="665"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（恒顺印尼中加煤矿 公司）</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0"/>
              <w:ind w:left="4" w:right="359"/>
              <w:jc w:val="left"/>
              <w:rPr>
                <w:rFonts w:ascii="Times New Roman" w:hAnsi="Times New Roman" w:cs="Times New Roman" w:eastAsia="Times New Roman" w:hint="default"/>
                <w:sz w:val="18"/>
                <w:szCs w:val="18"/>
              </w:rPr>
            </w:pPr>
            <w:r>
              <w:rPr>
                <w:rFonts w:ascii="Times New Roman"/>
                <w:sz w:val="18"/>
              </w:rPr>
              <w:t>Jl. A. Yani KM 5.7, Komplek Banjar</w:t>
            </w:r>
            <w:r>
              <w:rPr>
                <w:rFonts w:ascii="Times New Roman"/>
                <w:spacing w:val="-8"/>
                <w:sz w:val="18"/>
              </w:rPr>
              <w:t> </w:t>
            </w:r>
            <w:r>
              <w:rPr>
                <w:rFonts w:ascii="Times New Roman"/>
                <w:sz w:val="18"/>
              </w:rPr>
              <w:t>Indah</w:t>
            </w:r>
            <w:r>
              <w:rPr>
                <w:rFonts w:ascii="Times New Roman"/>
                <w:sz w:val="18"/>
              </w:rPr>
              <w:t> Permai No.54 RT.064, Kel. Pemurus</w:t>
            </w:r>
            <w:r>
              <w:rPr>
                <w:rFonts w:ascii="Times New Roman"/>
                <w:spacing w:val="-17"/>
                <w:sz w:val="18"/>
              </w:rPr>
              <w:t> </w:t>
            </w:r>
            <w:r>
              <w:rPr>
                <w:rFonts w:ascii="Times New Roman"/>
                <w:sz w:val="18"/>
              </w:rPr>
              <w:t>Dalam,</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印尼卢比</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907"/>
        <w:gridCol w:w="3605"/>
        <w:gridCol w:w="2208"/>
      </w:tblGrid>
      <w:tr>
        <w:trPr>
          <w:trHeight w:val="356" w:hRule="exact"/>
        </w:trPr>
        <w:tc>
          <w:tcPr>
            <w:tcW w:w="2907" w:type="dxa"/>
            <w:tcBorders>
              <w:top w:val="single" w:sz="6" w:space="0" w:color="000000"/>
              <w:left w:val="single" w:sz="6" w:space="0" w:color="000000"/>
              <w:bottom w:val="single" w:sz="12" w:space="0" w:color="000000"/>
              <w:right w:val="single" w:sz="6" w:space="0" w:color="000000"/>
            </w:tcBorders>
          </w:tcPr>
          <w:p>
            <w:pPr/>
          </w:p>
        </w:tc>
        <w:tc>
          <w:tcPr>
            <w:tcW w:w="36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0"/>
              <w:ind w:left="4" w:right="0"/>
              <w:jc w:val="left"/>
              <w:rPr>
                <w:rFonts w:ascii="Times New Roman" w:hAnsi="Times New Roman" w:cs="Times New Roman" w:eastAsia="Times New Roman" w:hint="default"/>
                <w:sz w:val="18"/>
                <w:szCs w:val="18"/>
              </w:rPr>
            </w:pPr>
            <w:r>
              <w:rPr>
                <w:rFonts w:ascii="Times New Roman"/>
                <w:sz w:val="18"/>
              </w:rPr>
              <w:t>Banjarmasin</w:t>
            </w:r>
            <w:r>
              <w:rPr>
                <w:rFonts w:ascii="Times New Roman"/>
                <w:spacing w:val="-4"/>
                <w:sz w:val="18"/>
              </w:rPr>
              <w:t> </w:t>
            </w:r>
            <w:r>
              <w:rPr>
                <w:rFonts w:ascii="Times New Roman"/>
                <w:sz w:val="18"/>
              </w:rPr>
              <w:t>70248</w:t>
            </w:r>
          </w:p>
        </w:tc>
        <w:tc>
          <w:tcPr>
            <w:tcW w:w="2208" w:type="dxa"/>
            <w:tcBorders>
              <w:top w:val="single" w:sz="6" w:space="0" w:color="000000"/>
              <w:left w:val="single" w:sz="6" w:space="0" w:color="000000"/>
              <w:bottom w:val="single" w:sz="12" w:space="0" w:color="000000"/>
              <w:right w:val="nil" w:sz="6" w:space="0" w:color="auto"/>
            </w:tcBorders>
          </w:tcPr>
          <w:p>
            <w:pPr/>
          </w:p>
        </w:tc>
      </w:tr>
      <w:tr>
        <w:trPr>
          <w:trHeight w:val="662"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W</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H</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Brothers</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pacing w:val="-4"/>
                <w:sz w:val="18"/>
                <w:szCs w:val="18"/>
              </w:rPr>
              <w:t>Mining</w:t>
            </w:r>
            <w:r>
              <w:rPr>
                <w:rFonts w:ascii="宋体" w:hAnsi="宋体" w:cs="宋体" w:eastAsia="宋体" w:hint="default"/>
                <w:spacing w:val="-4"/>
                <w:sz w:val="18"/>
                <w:szCs w:val="18"/>
              </w:rPr>
              <w:t>（恒顺印尼</w:t>
            </w:r>
            <w:r>
              <w:rPr>
                <w:rFonts w:ascii="宋体" w:hAnsi="宋体" w:cs="宋体" w:eastAsia="宋体" w:hint="default"/>
                <w:sz w:val="18"/>
                <w:szCs w:val="18"/>
              </w:rPr>
              <w:t> 兄弟矿业公司）</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0"/>
              <w:ind w:left="4" w:right="4"/>
              <w:jc w:val="left"/>
              <w:rPr>
                <w:rFonts w:ascii="Times New Roman" w:hAnsi="Times New Roman" w:cs="Times New Roman" w:eastAsia="Times New Roman" w:hint="default"/>
                <w:sz w:val="18"/>
                <w:szCs w:val="18"/>
              </w:rPr>
            </w:pPr>
            <w:r>
              <w:rPr>
                <w:rFonts w:ascii="Times New Roman"/>
                <w:sz w:val="18"/>
              </w:rPr>
              <w:t>Menara Prima 2 Lt.20, Mega Kuningan,</w:t>
            </w:r>
            <w:r>
              <w:rPr>
                <w:rFonts w:ascii="Times New Roman"/>
                <w:spacing w:val="33"/>
                <w:sz w:val="18"/>
              </w:rPr>
              <w:t> </w:t>
            </w:r>
            <w:r>
              <w:rPr>
                <w:rFonts w:ascii="Times New Roman"/>
                <w:sz w:val="18"/>
              </w:rPr>
              <w:t>Jakarta</w:t>
            </w:r>
            <w:r>
              <w:rPr>
                <w:rFonts w:ascii="Times New Roman"/>
                <w:sz w:val="18"/>
              </w:rPr>
              <w:t> Selatan.12946</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印尼卢比</w:t>
            </w:r>
          </w:p>
        </w:tc>
      </w:tr>
      <w:tr>
        <w:trPr>
          <w:trHeight w:val="977"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10"/>
              <w:ind w:left="4"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Kutai Nyala</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（恒顺印尼 东加码头公司）</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2"/>
              <w:ind w:left="4" w:right="3"/>
              <w:jc w:val="both"/>
              <w:rPr>
                <w:rFonts w:ascii="Times New Roman" w:hAnsi="Times New Roman" w:cs="Times New Roman" w:eastAsia="Times New Roman" w:hint="default"/>
                <w:sz w:val="18"/>
                <w:szCs w:val="18"/>
              </w:rPr>
            </w:pPr>
            <w:r>
              <w:rPr>
                <w:rFonts w:ascii="Times New Roman"/>
                <w:sz w:val="18"/>
              </w:rPr>
              <w:t>Jl. HAM Rifadin, Grand Taman Sari Blok</w:t>
            </w:r>
            <w:r>
              <w:rPr>
                <w:rFonts w:ascii="Times New Roman"/>
                <w:spacing w:val="17"/>
                <w:sz w:val="18"/>
              </w:rPr>
              <w:t> </w:t>
            </w:r>
            <w:r>
              <w:rPr>
                <w:rFonts w:ascii="Times New Roman"/>
                <w:sz w:val="18"/>
              </w:rPr>
              <w:t>C2</w:t>
            </w:r>
            <w:r>
              <w:rPr>
                <w:rFonts w:ascii="Times New Roman"/>
                <w:sz w:val="18"/>
              </w:rPr>
              <w:t> No.1&amp;2, Harapan Baru, Samarinda</w:t>
            </w:r>
            <w:r>
              <w:rPr>
                <w:rFonts w:ascii="Times New Roman"/>
                <w:spacing w:val="3"/>
                <w:sz w:val="18"/>
              </w:rPr>
              <w:t> </w:t>
            </w:r>
            <w:r>
              <w:rPr>
                <w:rFonts w:ascii="Times New Roman"/>
                <w:sz w:val="18"/>
              </w:rPr>
              <w:t>Seberang,</w:t>
            </w:r>
            <w:r>
              <w:rPr>
                <w:rFonts w:ascii="Times New Roman"/>
                <w:sz w:val="18"/>
              </w:rPr>
              <w:t> Kalimantan</w:t>
            </w:r>
            <w:r>
              <w:rPr>
                <w:rFonts w:ascii="Times New Roman"/>
                <w:spacing w:val="-5"/>
                <w:sz w:val="18"/>
              </w:rPr>
              <w:t> </w:t>
            </w:r>
            <w:r>
              <w:rPr>
                <w:rFonts w:ascii="Times New Roman"/>
                <w:sz w:val="18"/>
              </w:rPr>
              <w:t>Timur</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印尼卢比</w:t>
            </w:r>
          </w:p>
        </w:tc>
      </w:tr>
      <w:tr>
        <w:trPr>
          <w:trHeight w:val="977"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16"/>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Bumindo</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 印尼资源有限公司）</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0"/>
              <w:ind w:left="4" w:right="1"/>
              <w:jc w:val="both"/>
              <w:rPr>
                <w:rFonts w:ascii="Times New Roman" w:hAnsi="Times New Roman" w:cs="Times New Roman" w:eastAsia="Times New Roman" w:hint="default"/>
                <w:sz w:val="18"/>
                <w:szCs w:val="18"/>
              </w:rPr>
            </w:pPr>
            <w:r>
              <w:rPr>
                <w:rFonts w:ascii="Times New Roman"/>
                <w:sz w:val="18"/>
              </w:rPr>
              <w:t>Menara Prima 2,Suite C-E,20th</w:t>
            </w:r>
            <w:r>
              <w:rPr>
                <w:rFonts w:ascii="Times New Roman"/>
                <w:spacing w:val="24"/>
                <w:sz w:val="18"/>
              </w:rPr>
              <w:t> </w:t>
            </w:r>
            <w:r>
              <w:rPr>
                <w:rFonts w:ascii="Times New Roman"/>
                <w:sz w:val="18"/>
              </w:rPr>
              <w:t>Floor,JI.DR.Tde</w:t>
            </w:r>
            <w:r>
              <w:rPr>
                <w:rFonts w:ascii="Times New Roman"/>
                <w:sz w:val="18"/>
              </w:rPr>
              <w:t> Anak Agung Gde Agung 6.3</w:t>
            </w:r>
            <w:r>
              <w:rPr>
                <w:rFonts w:ascii="Times New Roman"/>
                <w:spacing w:val="12"/>
                <w:sz w:val="18"/>
              </w:rPr>
              <w:t> </w:t>
            </w:r>
            <w:r>
              <w:rPr>
                <w:rFonts w:ascii="Times New Roman"/>
                <w:sz w:val="18"/>
              </w:rPr>
              <w:t>Mega</w:t>
            </w:r>
            <w:r>
              <w:rPr>
                <w:rFonts w:ascii="Times New Roman"/>
                <w:sz w:val="18"/>
              </w:rPr>
              <w:t> Kuningan,Jakarta</w:t>
            </w:r>
            <w:r>
              <w:rPr>
                <w:rFonts w:ascii="Times New Roman"/>
                <w:spacing w:val="-8"/>
                <w:sz w:val="18"/>
              </w:rPr>
              <w:t> </w:t>
            </w:r>
            <w:r>
              <w:rPr>
                <w:rFonts w:ascii="Times New Roman"/>
                <w:sz w:val="18"/>
              </w:rPr>
              <w:t>12950</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印尼卢比</w:t>
            </w:r>
          </w:p>
        </w:tc>
      </w:tr>
      <w:tr>
        <w:trPr>
          <w:trHeight w:val="663"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PT.Transon Daya</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Indomining</w:t>
            </w:r>
            <w:r>
              <w:rPr>
                <w:rFonts w:ascii="宋体" w:hAnsi="宋体" w:cs="宋体" w:eastAsia="宋体" w:hint="default"/>
                <w:sz w:val="18"/>
                <w:szCs w:val="18"/>
              </w:rPr>
              <w:t>（恒顺印 尼矿业服务有限公司）</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0"/>
              <w:ind w:left="4" w:right="4"/>
              <w:jc w:val="left"/>
              <w:rPr>
                <w:rFonts w:ascii="Times New Roman" w:hAnsi="Times New Roman" w:cs="Times New Roman" w:eastAsia="Times New Roman" w:hint="default"/>
                <w:sz w:val="18"/>
                <w:szCs w:val="18"/>
              </w:rPr>
            </w:pPr>
            <w:r>
              <w:rPr>
                <w:rFonts w:ascii="Times New Roman"/>
                <w:sz w:val="18"/>
              </w:rPr>
              <w:t>Menara Prima 2 Lt.20, Mega Kuningan,</w:t>
            </w:r>
            <w:r>
              <w:rPr>
                <w:rFonts w:ascii="Times New Roman"/>
                <w:spacing w:val="33"/>
                <w:sz w:val="18"/>
              </w:rPr>
              <w:t> </w:t>
            </w:r>
            <w:r>
              <w:rPr>
                <w:rFonts w:ascii="Times New Roman"/>
                <w:sz w:val="18"/>
              </w:rPr>
              <w:t>Jakarta</w:t>
            </w:r>
            <w:r>
              <w:rPr>
                <w:rFonts w:ascii="Times New Roman"/>
                <w:sz w:val="18"/>
              </w:rPr>
              <w:t> Selatan.12947</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印尼卢比</w:t>
            </w:r>
          </w:p>
        </w:tc>
      </w:tr>
      <w:tr>
        <w:trPr>
          <w:trHeight w:val="665"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left"/>
              <w:rPr>
                <w:rFonts w:ascii="Times New Roman" w:hAnsi="Times New Roman" w:cs="Times New Roman" w:eastAsia="Times New Roman" w:hint="default"/>
                <w:sz w:val="18"/>
                <w:szCs w:val="18"/>
              </w:rPr>
            </w:pPr>
            <w:r>
              <w:rPr>
                <w:rFonts w:ascii="Times New Roman"/>
                <w:sz w:val="18"/>
              </w:rPr>
              <w:t>Shiny Kindness International</w:t>
            </w:r>
            <w:r>
              <w:rPr>
                <w:rFonts w:ascii="Times New Roman"/>
                <w:spacing w:val="-8"/>
                <w:sz w:val="18"/>
              </w:rPr>
              <w:t> </w:t>
            </w:r>
            <w:r>
              <w:rPr>
                <w:rFonts w:ascii="Times New Roman"/>
                <w:sz w:val="18"/>
              </w:rPr>
              <w:t>Limited</w:t>
            </w:r>
          </w:p>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（恒顺香港泽善国际有限公司）</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2"/>
              <w:ind w:left="4" w:right="3"/>
              <w:jc w:val="left"/>
              <w:rPr>
                <w:rFonts w:ascii="Times New Roman" w:hAnsi="Times New Roman" w:cs="Times New Roman" w:eastAsia="Times New Roman" w:hint="default"/>
                <w:sz w:val="18"/>
                <w:szCs w:val="18"/>
              </w:rPr>
            </w:pPr>
            <w:r>
              <w:rPr>
                <w:rFonts w:ascii="Times New Roman"/>
                <w:sz w:val="18"/>
              </w:rPr>
              <w:t>Room b,10/f.,tower a,billion centre,1</w:t>
            </w:r>
            <w:r>
              <w:rPr>
                <w:rFonts w:ascii="Times New Roman"/>
                <w:spacing w:val="17"/>
                <w:sz w:val="18"/>
              </w:rPr>
              <w:t> </w:t>
            </w:r>
            <w:r>
              <w:rPr>
                <w:rFonts w:ascii="Times New Roman"/>
                <w:sz w:val="18"/>
              </w:rPr>
              <w:t>wang</w:t>
            </w:r>
            <w:r>
              <w:rPr>
                <w:rFonts w:ascii="Times New Roman"/>
                <w:sz w:val="18"/>
              </w:rPr>
              <w:t> kwong</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港币</w:t>
            </w:r>
          </w:p>
        </w:tc>
      </w:tr>
      <w:tr>
        <w:trPr>
          <w:trHeight w:val="977"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5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 International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Holdingd</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Pte.Ltd.</w:t>
            </w:r>
            <w:r>
              <w:rPr>
                <w:rFonts w:ascii="宋体" w:hAnsi="宋体" w:cs="宋体" w:eastAsia="宋体" w:hint="default"/>
                <w:spacing w:val="-2"/>
                <w:sz w:val="18"/>
                <w:szCs w:val="18"/>
              </w:rPr>
              <w:t>（恒顺新加坡国际控股有限责</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任公司）</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24 Ean kiam place singapore</w:t>
            </w:r>
            <w:r>
              <w:rPr>
                <w:rFonts w:ascii="Times New Roman"/>
                <w:spacing w:val="-10"/>
                <w:sz w:val="18"/>
              </w:rPr>
              <w:t> </w:t>
            </w:r>
            <w:r>
              <w:rPr>
                <w:rFonts w:ascii="Times New Roman"/>
                <w:sz w:val="18"/>
              </w:rPr>
              <w:t>(429115)</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新加坡元</w:t>
            </w:r>
          </w:p>
        </w:tc>
      </w:tr>
      <w:tr>
        <w:trPr>
          <w:trHeight w:val="974"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5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Hengshun zhongsheng</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z w:val="18"/>
                <w:szCs w:val="18"/>
              </w:rPr>
              <w:t> Zimbabwe(Private)</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（恒顺众昇</w:t>
            </w:r>
            <w:r>
              <w:rPr>
                <w:rFonts w:ascii="宋体" w:hAnsi="宋体" w:cs="宋体" w:eastAsia="宋体" w:hint="default"/>
                <w:w w:val="99"/>
                <w:sz w:val="18"/>
                <w:szCs w:val="18"/>
              </w:rPr>
              <w:t> </w:t>
            </w:r>
            <w:r>
              <w:rPr>
                <w:rFonts w:ascii="宋体" w:hAnsi="宋体" w:cs="宋体" w:eastAsia="宋体" w:hint="default"/>
                <w:sz w:val="18"/>
                <w:szCs w:val="18"/>
              </w:rPr>
              <w:t>集团津巴布韦有限公司）</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4" w:right="0"/>
              <w:jc w:val="left"/>
              <w:rPr>
                <w:rFonts w:ascii="Times New Roman" w:hAnsi="Times New Roman" w:cs="Times New Roman" w:eastAsia="Times New Roman" w:hint="default"/>
                <w:sz w:val="18"/>
                <w:szCs w:val="18"/>
              </w:rPr>
            </w:pPr>
            <w:r>
              <w:rPr>
                <w:rFonts w:ascii="Times New Roman"/>
                <w:sz w:val="18"/>
              </w:rPr>
              <w:t>15 Harare</w:t>
            </w:r>
            <w:r>
              <w:rPr>
                <w:rFonts w:ascii="Times New Roman"/>
                <w:spacing w:val="-9"/>
                <w:sz w:val="18"/>
              </w:rPr>
              <w:t> </w:t>
            </w:r>
            <w:r>
              <w:rPr>
                <w:rFonts w:ascii="Times New Roman"/>
                <w:sz w:val="18"/>
              </w:rPr>
              <w:t>Drive,Chisipite,Harare</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美元</w:t>
            </w:r>
          </w:p>
        </w:tc>
      </w:tr>
      <w:tr>
        <w:trPr>
          <w:trHeight w:val="977"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52"/>
              <w:ind w:left="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Qingdao Hengshun Zhongsheng</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South Africa(PTY)</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pacing w:val="-4"/>
                <w:sz w:val="18"/>
                <w:szCs w:val="18"/>
              </w:rPr>
              <w:t>Ltd</w:t>
            </w:r>
            <w:r>
              <w:rPr>
                <w:rFonts w:ascii="宋体" w:hAnsi="宋体" w:cs="宋体" w:eastAsia="宋体" w:hint="default"/>
                <w:spacing w:val="-4"/>
                <w:sz w:val="18"/>
                <w:szCs w:val="18"/>
              </w:rPr>
              <w:t>（青岛恒顺众昇</w:t>
            </w:r>
            <w:r>
              <w:rPr>
                <w:rFonts w:ascii="宋体" w:hAnsi="宋体" w:cs="宋体" w:eastAsia="宋体" w:hint="default"/>
                <w:sz w:val="18"/>
                <w:szCs w:val="18"/>
              </w:rPr>
              <w:t> 集团南非有限公司）</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2"/>
              <w:ind w:left="4" w:right="5"/>
              <w:jc w:val="left"/>
              <w:rPr>
                <w:rFonts w:ascii="Times New Roman" w:hAnsi="Times New Roman" w:cs="Times New Roman" w:eastAsia="Times New Roman" w:hint="default"/>
                <w:sz w:val="18"/>
                <w:szCs w:val="18"/>
              </w:rPr>
            </w:pPr>
            <w:r>
              <w:rPr>
                <w:rFonts w:ascii="Times New Roman"/>
                <w:sz w:val="18"/>
              </w:rPr>
              <w:t>Ist floor greystone building 4 fourways golf</w:t>
            </w:r>
            <w:r>
              <w:rPr>
                <w:rFonts w:ascii="Times New Roman"/>
                <w:spacing w:val="8"/>
                <w:sz w:val="18"/>
              </w:rPr>
              <w:t> </w:t>
            </w:r>
            <w:r>
              <w:rPr>
                <w:rFonts w:ascii="Times New Roman"/>
                <w:sz w:val="18"/>
              </w:rPr>
              <w:t>park</w:t>
            </w:r>
            <w:r>
              <w:rPr>
                <w:rFonts w:ascii="Times New Roman"/>
                <w:sz w:val="18"/>
              </w:rPr>
              <w:t> roos street fourways</w:t>
            </w:r>
            <w:r>
              <w:rPr>
                <w:rFonts w:ascii="Times New Roman"/>
                <w:spacing w:val="-8"/>
                <w:sz w:val="18"/>
              </w:rPr>
              <w:t> </w:t>
            </w:r>
            <w:r>
              <w:rPr>
                <w:rFonts w:ascii="Times New Roman"/>
                <w:sz w:val="18"/>
              </w:rPr>
              <w:t>johannesburg</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兰特</w:t>
            </w:r>
          </w:p>
        </w:tc>
      </w:tr>
      <w:tr>
        <w:trPr>
          <w:trHeight w:val="665" w:hRule="exact"/>
        </w:trPr>
        <w:tc>
          <w:tcPr>
            <w:tcW w:w="2907" w:type="dxa"/>
            <w:tcBorders>
              <w:top w:val="single" w:sz="12" w:space="0" w:color="000000"/>
              <w:left w:val="single" w:sz="6" w:space="0" w:color="000000"/>
              <w:bottom w:val="single" w:sz="12" w:space="0" w:color="000000"/>
              <w:right w:val="single" w:sz="6" w:space="0" w:color="000000"/>
            </w:tcBorders>
          </w:tcPr>
          <w:p>
            <w:pPr>
              <w:pStyle w:val="TableParagraph"/>
              <w:spacing w:line="300" w:lineRule="auto" w:before="8"/>
              <w:ind w:left="4"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 morowali utama(</w:t>
            </w:r>
            <w:r>
              <w:rPr>
                <w:rFonts w:ascii="Times New Roman" w:hAnsi="Times New Roman" w:cs="Times New Roman" w:eastAsia="Times New Roman" w:hint="default"/>
                <w:spacing w:val="-30"/>
                <w:sz w:val="18"/>
                <w:szCs w:val="18"/>
              </w:rPr>
              <w:t> </w:t>
            </w:r>
            <w:r>
              <w:rPr>
                <w:rFonts w:ascii="宋体" w:hAnsi="宋体" w:cs="宋体" w:eastAsia="宋体" w:hint="default"/>
                <w:spacing w:val="15"/>
                <w:sz w:val="18"/>
                <w:szCs w:val="18"/>
              </w:rPr>
              <w:t>恒顺印尼中</w:t>
            </w:r>
            <w:r>
              <w:rPr>
                <w:rFonts w:ascii="宋体" w:hAnsi="宋体" w:cs="宋体" w:eastAsia="宋体" w:hint="default"/>
                <w:sz w:val="18"/>
                <w:szCs w:val="18"/>
              </w:rPr>
              <w:t> 苏镍矿公司</w:t>
            </w:r>
            <w:r>
              <w:rPr>
                <w:rFonts w:ascii="Times New Roman" w:hAnsi="Times New Roman" w:cs="Times New Roman" w:eastAsia="Times New Roman" w:hint="default"/>
                <w:sz w:val="18"/>
                <w:szCs w:val="18"/>
              </w:rPr>
              <w:t>)</w:t>
            </w:r>
          </w:p>
        </w:tc>
        <w:tc>
          <w:tcPr>
            <w:tcW w:w="3605" w:type="dxa"/>
            <w:tcBorders>
              <w:top w:val="single" w:sz="12" w:space="0" w:color="000000"/>
              <w:left w:val="single" w:sz="6" w:space="0" w:color="000000"/>
              <w:bottom w:val="single" w:sz="12" w:space="0" w:color="000000"/>
              <w:right w:val="single" w:sz="6" w:space="0" w:color="000000"/>
            </w:tcBorders>
          </w:tcPr>
          <w:p>
            <w:pPr>
              <w:pStyle w:val="TableParagraph"/>
              <w:spacing w:line="362" w:lineRule="auto" w:before="50"/>
              <w:ind w:left="4" w:right="4"/>
              <w:jc w:val="left"/>
              <w:rPr>
                <w:rFonts w:ascii="Times New Roman" w:hAnsi="Times New Roman" w:cs="Times New Roman" w:eastAsia="Times New Roman" w:hint="default"/>
                <w:sz w:val="18"/>
                <w:szCs w:val="18"/>
              </w:rPr>
            </w:pPr>
            <w:r>
              <w:rPr>
                <w:rFonts w:ascii="Times New Roman"/>
                <w:sz w:val="18"/>
              </w:rPr>
              <w:t>Menara Prima 2 Lt.20, Mega Kuningan,</w:t>
            </w:r>
            <w:r>
              <w:rPr>
                <w:rFonts w:ascii="Times New Roman"/>
                <w:spacing w:val="33"/>
                <w:sz w:val="18"/>
              </w:rPr>
              <w:t> </w:t>
            </w:r>
            <w:r>
              <w:rPr>
                <w:rFonts w:ascii="Times New Roman"/>
                <w:sz w:val="18"/>
              </w:rPr>
              <w:t>Jakarta</w:t>
            </w:r>
            <w:r>
              <w:rPr>
                <w:rFonts w:ascii="Times New Roman"/>
                <w:sz w:val="18"/>
              </w:rPr>
              <w:t> Selatan.12950</w:t>
            </w:r>
          </w:p>
        </w:tc>
        <w:tc>
          <w:tcPr>
            <w:tcW w:w="220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印尼卢比</w:t>
            </w:r>
          </w:p>
        </w:tc>
      </w:tr>
    </w:tbl>
    <w:p>
      <w:pPr>
        <w:spacing w:line="240" w:lineRule="auto" w:before="1"/>
        <w:rPr>
          <w:rFonts w:ascii="宋体" w:hAnsi="宋体" w:cs="宋体" w:eastAsia="宋体" w:hint="default"/>
          <w:sz w:val="18"/>
          <w:szCs w:val="18"/>
        </w:rPr>
      </w:pPr>
    </w:p>
    <w:p>
      <w:pPr>
        <w:pStyle w:val="Heading3"/>
        <w:spacing w:line="240" w:lineRule="auto" w:before="26"/>
        <w:ind w:right="0"/>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2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z w:val="18"/>
                <w:szCs w:val="18"/>
              </w:rPr>
              <w:t> Morowali Utama(</w:t>
            </w:r>
            <w:r>
              <w:rPr>
                <w:rFonts w:ascii="宋体" w:hAnsi="宋体" w:cs="宋体" w:eastAsia="宋体" w:hint="default"/>
                <w:sz w:val="18"/>
                <w:szCs w:val="18"/>
              </w:rPr>
              <w:t>恒顺 印尼中苏镍 矿公司</w:t>
            </w:r>
            <w:r>
              <w:rPr>
                <w:rFonts w:ascii="Times New Roman" w:hAnsi="Times New Roman" w:cs="Times New Roman" w:eastAsia="Times New Roman" w:hint="default"/>
                <w:sz w:val="18"/>
                <w:szCs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29"/>
              <w:jc w:val="left"/>
              <w:rPr>
                <w:rFonts w:ascii="宋体" w:hAnsi="宋体" w:cs="宋体" w:eastAsia="宋体" w:hint="default"/>
                <w:sz w:val="18"/>
                <w:szCs w:val="18"/>
              </w:rPr>
            </w:pPr>
            <w:r>
              <w:rPr>
                <w:rFonts w:ascii="宋体" w:hAnsi="宋体" w:cs="宋体" w:eastAsia="宋体" w:hint="default"/>
                <w:sz w:val="18"/>
                <w:szCs w:val="18"/>
              </w:rPr>
              <w:t>货币资金购 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25"/>
              <w:jc w:val="both"/>
              <w:rPr>
                <w:rFonts w:ascii="宋体" w:hAnsi="宋体" w:cs="宋体" w:eastAsia="宋体" w:hint="default"/>
                <w:sz w:val="18"/>
                <w:szCs w:val="18"/>
              </w:rPr>
            </w:pPr>
            <w:r>
              <w:rPr>
                <w:rFonts w:ascii="宋体" w:hAnsi="宋体" w:cs="宋体" w:eastAsia="宋体" w:hint="default"/>
                <w:sz w:val="18"/>
                <w:szCs w:val="18"/>
              </w:rPr>
              <w:t>股权买卖合 同执行完毕 并办理好财 产交接手续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3"/>
              <w:ind w:left="24" w:right="229"/>
              <w:jc w:val="left"/>
              <w:rPr>
                <w:rFonts w:ascii="Times New Roman" w:hAnsi="Times New Roman" w:cs="Times New Roman" w:eastAsia="Times New Roman" w:hint="default"/>
                <w:sz w:val="18"/>
                <w:szCs w:val="18"/>
              </w:rPr>
            </w:pPr>
            <w:r>
              <w:rPr>
                <w:rFonts w:ascii="Times New Roman"/>
                <w:sz w:val="18"/>
              </w:rPr>
              <w:t>Holywin Investment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3" w:right="125"/>
              <w:jc w:val="left"/>
              <w:rPr>
                <w:rFonts w:ascii="宋体" w:hAnsi="宋体" w:cs="宋体" w:eastAsia="宋体" w:hint="default"/>
                <w:sz w:val="18"/>
                <w:szCs w:val="18"/>
              </w:rPr>
            </w:pPr>
            <w:r>
              <w:rPr>
                <w:rFonts w:ascii="宋体" w:hAnsi="宋体" w:cs="宋体" w:eastAsia="宋体" w:hint="default"/>
                <w:sz w:val="18"/>
                <w:szCs w:val="18"/>
              </w:rPr>
              <w:t>股权买卖合 同执行完毕</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066"/>
        <w:gridCol w:w="1063"/>
        <w:gridCol w:w="1066"/>
        <w:gridCol w:w="1063"/>
        <w:gridCol w:w="1064"/>
        <w:gridCol w:w="1066"/>
        <w:gridCol w:w="1061"/>
        <w:gridCol w:w="1064"/>
        <w:gridCol w:w="1061"/>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24" w:right="1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Pte.ltd.</w:t>
            </w:r>
            <w:r>
              <w:rPr>
                <w:rFonts w:ascii="宋体" w:hAnsi="宋体" w:cs="宋体" w:eastAsia="宋体" w:hint="default"/>
                <w:spacing w:val="-4"/>
                <w:sz w:val="18"/>
                <w:szCs w:val="18"/>
              </w:rPr>
              <w:t>（恒顺</w:t>
            </w:r>
            <w:r>
              <w:rPr>
                <w:rFonts w:ascii="宋体" w:hAnsi="宋体" w:cs="宋体" w:eastAsia="宋体" w:hint="default"/>
                <w:sz w:val="18"/>
                <w:szCs w:val="18"/>
              </w:rPr>
              <w:t> 新加坡圣赢 投资有限公 司）</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5"/>
              <w:jc w:val="left"/>
              <w:rPr>
                <w:rFonts w:ascii="宋体" w:hAnsi="宋体" w:cs="宋体" w:eastAsia="宋体" w:hint="default"/>
                <w:sz w:val="18"/>
                <w:szCs w:val="18"/>
              </w:rPr>
            </w:pPr>
            <w:r>
              <w:rPr>
                <w:rFonts w:ascii="宋体" w:hAnsi="宋体" w:cs="宋体" w:eastAsia="宋体" w:hint="default"/>
                <w:sz w:val="18"/>
                <w:szCs w:val="18"/>
              </w:rPr>
              <w:t>并办理好财 产交接手续</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1200" w:right="79" w:hanging="111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Utama(</w:t>
            </w:r>
            <w:r>
              <w:rPr>
                <w:rFonts w:ascii="宋体" w:hAnsi="宋体" w:cs="宋体" w:eastAsia="宋体" w:hint="default"/>
                <w:sz w:val="18"/>
                <w:szCs w:val="18"/>
              </w:rPr>
              <w:t>恒顺印尼中苏 镍矿公司</w:t>
            </w:r>
            <w:r>
              <w:rPr>
                <w:rFonts w:ascii="Times New Roman" w:hAnsi="Times New Roman" w:cs="Times New Roman" w:eastAsia="Times New Roman"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779" w:right="33" w:hanging="744"/>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 圣赢投资有限公司）</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 </w:t>
            </w:r>
            <w:r>
              <w:rPr>
                <w:rFonts w:ascii="宋体" w:hAnsi="宋体" w:cs="宋体" w:eastAsia="宋体" w:hint="default"/>
                <w:sz w:val="18"/>
                <w:szCs w:val="18"/>
              </w:rPr>
              <w:t>万美元</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54"/>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 </w:t>
            </w:r>
            <w:r>
              <w:rPr>
                <w:rFonts w:ascii="宋体" w:hAnsi="宋体" w:cs="宋体" w:eastAsia="宋体" w:hint="default"/>
                <w:sz w:val="18"/>
                <w:szCs w:val="18"/>
              </w:rPr>
              <w:t>万美元</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 </w:t>
            </w:r>
            <w:r>
              <w:rPr>
                <w:rFonts w:ascii="宋体" w:hAnsi="宋体" w:cs="宋体" w:eastAsia="宋体" w:hint="default"/>
                <w:sz w:val="18"/>
                <w:szCs w:val="18"/>
              </w:rPr>
              <w:t>万美元</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4"/>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204"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197" w:hRule="exact"/>
        </w:trPr>
        <w:tc>
          <w:tcPr>
            <w:tcW w:w="31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资  产：</w:t>
            </w:r>
          </w:p>
        </w:tc>
        <w:tc>
          <w:tcPr>
            <w:tcW w:w="3190" w:type="dxa"/>
            <w:vMerge/>
            <w:tcBorders>
              <w:left w:val="single" w:sz="4" w:space="0" w:color="000000"/>
              <w:bottom w:val="single" w:sz="4" w:space="0" w:color="000000"/>
              <w:right w:val="single" w:sz="4" w:space="0" w:color="000000"/>
            </w:tcBorders>
            <w:shd w:val="clear" w:color="auto" w:fill="D2D2D2"/>
          </w:tcPr>
          <w:p>
            <w:pPr/>
          </w:p>
        </w:tc>
        <w:tc>
          <w:tcPr>
            <w:tcW w:w="3193" w:type="dxa"/>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3191" w:type="dxa"/>
            <w:vMerge/>
            <w:tcBorders>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10" w:space="0" w:color="D2D2D2"/>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 </w:t>
            </w:r>
            <w:r>
              <w:rPr>
                <w:rFonts w:ascii="宋体" w:hAnsi="宋体" w:cs="宋体" w:eastAsia="宋体" w:hint="default"/>
                <w:sz w:val="18"/>
                <w:szCs w:val="18"/>
              </w:rPr>
              <w:t>万美元</w:t>
            </w:r>
          </w:p>
        </w:tc>
        <w:tc>
          <w:tcPr>
            <w:tcW w:w="3193" w:type="dxa"/>
            <w:vMerge w:val="restart"/>
            <w:tcBorders>
              <w:top w:val="single" w:sz="4" w:space="0" w:color="000000"/>
              <w:left w:val="single" w:sz="4" w:space="0" w:color="000000"/>
              <w:right w:val="single" w:sz="4" w:space="0" w:color="000000"/>
            </w:tcBorders>
          </w:tcPr>
          <w:p>
            <w:pPr/>
          </w:p>
        </w:tc>
      </w:tr>
      <w:tr>
        <w:trPr>
          <w:trHeight w:val="206"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 </w:t>
            </w:r>
            <w:r>
              <w:rPr>
                <w:rFonts w:ascii="宋体" w:hAnsi="宋体" w:cs="宋体" w:eastAsia="宋体" w:hint="default"/>
                <w:sz w:val="18"/>
                <w:szCs w:val="18"/>
              </w:rPr>
              <w:t>万美元</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 </w:t>
            </w:r>
            <w:r>
              <w:rPr>
                <w:rFonts w:ascii="宋体" w:hAnsi="宋体" w:cs="宋体" w:eastAsia="宋体" w:hint="default"/>
                <w:sz w:val="18"/>
                <w:szCs w:val="18"/>
              </w:rPr>
              <w:t>万美元</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0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980 </w:t>
            </w:r>
            <w:r>
              <w:rPr>
                <w:rFonts w:ascii="宋体" w:hAnsi="宋体" w:cs="宋体" w:eastAsia="宋体" w:hint="default"/>
                <w:sz w:val="18"/>
                <w:szCs w:val="18"/>
              </w:rPr>
              <w:t>万美元</w:t>
            </w:r>
          </w:p>
        </w:tc>
        <w:tc>
          <w:tcPr>
            <w:tcW w:w="31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41" w:lineRule="auto" w:before="49"/>
        <w:ind w:right="4734"/>
        <w:jc w:val="left"/>
      </w:pPr>
      <w:r>
        <w:rPr/>
        <w:t>可辨认资产、负债公允价值的确定方法： 交易双方在自愿、平等的前提下最终协商并达成一致的交易价格 企业合并中承担的被购买方的或有负债：</w:t>
      </w: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t>□ 是 √</w:t>
      </w:r>
      <w:r>
        <w:rPr>
          <w:spacing w:val="3"/>
        </w:rPr>
        <w:t> </w:t>
      </w:r>
      <w:r>
        <w:rPr/>
        <w:t>否</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2934"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 </w:t>
      </w:r>
      <w:r>
        <w:rPr>
          <w:rFonts w:ascii="宋体" w:hAnsi="宋体" w:cs="宋体" w:eastAsia="宋体" w:hint="default"/>
          <w:b/>
          <w:bCs/>
          <w:sz w:val="18"/>
          <w:szCs w:val="18"/>
        </w:rPr>
        <w:t>本期新纳入合并范围的子公司</w:t>
      </w:r>
      <w:r>
        <w:rPr>
          <w:rFonts w:ascii="宋体" w:hAnsi="宋体" w:cs="宋体" w:eastAsia="宋体" w:hint="default"/>
          <w:sz w:val="18"/>
          <w:szCs w:val="18"/>
        </w:rPr>
      </w:r>
    </w:p>
    <w:p>
      <w:pPr>
        <w:spacing w:line="240" w:lineRule="auto" w:before="6"/>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909"/>
        <w:gridCol w:w="2230"/>
        <w:gridCol w:w="1162"/>
        <w:gridCol w:w="1222"/>
      </w:tblGrid>
      <w:tr>
        <w:trPr>
          <w:trHeight w:val="348"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tabs>
                <w:tab w:pos="542" w:val="left" w:leader="none"/>
              </w:tabs>
              <w:spacing w:line="240" w:lineRule="auto" w:before="17"/>
              <w:ind w:right="0"/>
              <w:jc w:val="center"/>
              <w:rPr>
                <w:rFonts w:ascii="宋体" w:hAnsi="宋体" w:cs="宋体" w:eastAsia="宋体" w:hint="default"/>
                <w:sz w:val="18"/>
                <w:szCs w:val="18"/>
              </w:rPr>
            </w:pPr>
            <w:r>
              <w:rPr>
                <w:rFonts w:ascii="宋体" w:hAnsi="宋体" w:cs="宋体" w:eastAsia="宋体" w:hint="default"/>
                <w:b/>
                <w:bCs/>
                <w:w w:val="95"/>
                <w:sz w:val="18"/>
                <w:szCs w:val="18"/>
              </w:rPr>
              <w:t>名</w:t>
              <w:tab/>
            </w:r>
            <w:r>
              <w:rPr>
                <w:rFonts w:ascii="宋体" w:hAnsi="宋体" w:cs="宋体" w:eastAsia="宋体" w:hint="default"/>
                <w:b/>
                <w:bCs/>
                <w:sz w:val="18"/>
                <w:szCs w:val="18"/>
              </w:rPr>
              <w:t>称</w:t>
            </w:r>
            <w:r>
              <w:rPr>
                <w:rFonts w:ascii="宋体" w:hAnsi="宋体" w:cs="宋体" w:eastAsia="宋体" w:hint="default"/>
                <w:sz w:val="18"/>
                <w:szCs w:val="18"/>
              </w:rPr>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93"/>
              <w:jc w:val="right"/>
              <w:rPr>
                <w:rFonts w:ascii="宋体" w:hAnsi="宋体" w:cs="宋体" w:eastAsia="宋体" w:hint="default"/>
                <w:sz w:val="18"/>
                <w:szCs w:val="18"/>
              </w:rPr>
            </w:pPr>
            <w:r>
              <w:rPr>
                <w:rFonts w:ascii="宋体" w:hAnsi="宋体" w:cs="宋体" w:eastAsia="宋体" w:hint="default"/>
                <w:b/>
                <w:bCs/>
                <w:w w:val="95"/>
                <w:sz w:val="18"/>
                <w:szCs w:val="18"/>
              </w:rPr>
              <w:t>纳入合并范围的原因</w:t>
            </w:r>
            <w:r>
              <w:rPr>
                <w:rFonts w:ascii="宋体" w:hAnsi="宋体" w:cs="宋体" w:eastAsia="宋体" w:hint="default"/>
                <w:sz w:val="18"/>
                <w:szCs w:val="18"/>
              </w:rPr>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22" w:right="0"/>
              <w:jc w:val="left"/>
              <w:rPr>
                <w:rFonts w:ascii="宋体" w:hAnsi="宋体" w:cs="宋体" w:eastAsia="宋体" w:hint="default"/>
                <w:sz w:val="18"/>
                <w:szCs w:val="18"/>
              </w:rPr>
            </w:pPr>
            <w:r>
              <w:rPr>
                <w:rFonts w:ascii="宋体" w:hAnsi="宋体" w:cs="宋体" w:eastAsia="宋体" w:hint="default"/>
                <w:b/>
                <w:bCs/>
                <w:sz w:val="18"/>
                <w:szCs w:val="18"/>
              </w:rPr>
              <w:t>期末净资产</w:t>
            </w:r>
            <w:r>
              <w:rPr>
                <w:rFonts w:ascii="宋体" w:hAnsi="宋体" w:cs="宋体" w:eastAsia="宋体" w:hint="default"/>
                <w:sz w:val="18"/>
                <w:szCs w:val="18"/>
              </w:rPr>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53" w:right="0"/>
              <w:jc w:val="left"/>
              <w:rPr>
                <w:rFonts w:ascii="宋体" w:hAnsi="宋体" w:cs="宋体" w:eastAsia="宋体" w:hint="default"/>
                <w:sz w:val="18"/>
                <w:szCs w:val="18"/>
              </w:rPr>
            </w:pPr>
            <w:r>
              <w:rPr>
                <w:rFonts w:ascii="宋体" w:hAnsi="宋体" w:cs="宋体" w:eastAsia="宋体" w:hint="default"/>
                <w:b/>
                <w:bCs/>
                <w:sz w:val="18"/>
                <w:szCs w:val="18"/>
              </w:rPr>
              <w:t>本期净利润</w:t>
            </w:r>
            <w:r>
              <w:rPr>
                <w:rFonts w:ascii="宋体" w:hAnsi="宋体" w:cs="宋体" w:eastAsia="宋体" w:hint="default"/>
                <w:sz w:val="18"/>
                <w:szCs w:val="18"/>
              </w:rPr>
            </w:r>
          </w:p>
        </w:tc>
      </w:tr>
      <w:tr>
        <w:trPr>
          <w:trHeight w:val="346"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青岛恒顺众昇电气制造有限公司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1"/>
              <w:jc w:val="right"/>
              <w:rPr>
                <w:rFonts w:ascii="宋体" w:hAnsi="宋体" w:cs="宋体" w:eastAsia="宋体" w:hint="default"/>
                <w:sz w:val="18"/>
                <w:szCs w:val="18"/>
              </w:rPr>
            </w:pPr>
            <w:r>
              <w:rPr>
                <w:rFonts w:ascii="宋体" w:hAnsi="宋体" w:cs="宋体" w:eastAsia="宋体" w:hint="default"/>
                <w:sz w:val="18"/>
                <w:szCs w:val="18"/>
              </w:rPr>
              <w:t>本期新设立的控股子公司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95,149.31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-4,850.69</w:t>
            </w:r>
          </w:p>
        </w:tc>
      </w:tr>
      <w:tr>
        <w:trPr>
          <w:trHeight w:val="348"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青岛恒顺众昇进出口有限公司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1"/>
              <w:jc w:val="right"/>
              <w:rPr>
                <w:rFonts w:ascii="宋体" w:hAnsi="宋体" w:cs="宋体" w:eastAsia="宋体" w:hint="default"/>
                <w:sz w:val="18"/>
                <w:szCs w:val="18"/>
              </w:rPr>
            </w:pPr>
            <w:r>
              <w:rPr>
                <w:rFonts w:ascii="宋体" w:hAnsi="宋体" w:cs="宋体" w:eastAsia="宋体" w:hint="default"/>
                <w:sz w:val="18"/>
                <w:szCs w:val="18"/>
              </w:rPr>
              <w:t>本期新设立的控股子公司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97,374.66</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-2,625.34</w:t>
            </w:r>
          </w:p>
        </w:tc>
      </w:tr>
      <w:tr>
        <w:trPr>
          <w:trHeight w:val="346"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青岛恒顺众昇实业有限公司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1"/>
              <w:jc w:val="right"/>
              <w:rPr>
                <w:rFonts w:ascii="宋体" w:hAnsi="宋体" w:cs="宋体" w:eastAsia="宋体" w:hint="default"/>
                <w:sz w:val="18"/>
                <w:szCs w:val="18"/>
              </w:rPr>
            </w:pPr>
            <w:r>
              <w:rPr>
                <w:rFonts w:ascii="宋体" w:hAnsi="宋体" w:cs="宋体" w:eastAsia="宋体" w:hint="default"/>
                <w:sz w:val="18"/>
                <w:szCs w:val="18"/>
              </w:rPr>
              <w:t>本期新设立的控股子公司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青岛恒顺众昇矿产资源有限公司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1"/>
              <w:jc w:val="right"/>
              <w:rPr>
                <w:rFonts w:ascii="宋体" w:hAnsi="宋体" w:cs="宋体" w:eastAsia="宋体" w:hint="default"/>
                <w:sz w:val="18"/>
                <w:szCs w:val="18"/>
              </w:rPr>
            </w:pPr>
            <w:r>
              <w:rPr>
                <w:rFonts w:ascii="宋体" w:hAnsi="宋体" w:cs="宋体" w:eastAsia="宋体" w:hint="default"/>
                <w:sz w:val="18"/>
                <w:szCs w:val="18"/>
              </w:rPr>
              <w:t>本期新设立的控股子公司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-21,201.27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-121,201.27</w:t>
            </w:r>
          </w:p>
        </w:tc>
      </w:tr>
      <w:tr>
        <w:trPr>
          <w:trHeight w:val="658"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Qingdao</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Hengshun</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Zhongsheng</w:t>
            </w:r>
            <w:r>
              <w:rPr>
                <w:rFonts w:ascii="Times New Roman" w:hAnsi="Times New Roman" w:cs="Times New Roman" w:eastAsia="Times New Roman" w:hint="default"/>
                <w:spacing w:val="-10"/>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South</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Africa(PTY)</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（青</w:t>
            </w:r>
            <w:r>
              <w:rPr>
                <w:rFonts w:ascii="宋体" w:hAnsi="宋体" w:cs="宋体" w:eastAsia="宋体" w:hint="default"/>
                <w:spacing w:val="2"/>
                <w:sz w:val="18"/>
                <w:szCs w:val="18"/>
              </w:rPr>
              <w:t> </w:t>
            </w:r>
            <w:r>
              <w:rPr>
                <w:rFonts w:ascii="宋体" w:hAnsi="宋体" w:cs="宋体" w:eastAsia="宋体" w:hint="default"/>
                <w:sz w:val="18"/>
                <w:szCs w:val="18"/>
              </w:rPr>
              <w:t>岛恒顺众昇集团南非有限公司）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1"/>
              <w:jc w:val="right"/>
              <w:rPr>
                <w:rFonts w:ascii="宋体" w:hAnsi="宋体" w:cs="宋体" w:eastAsia="宋体" w:hint="default"/>
                <w:sz w:val="18"/>
                <w:szCs w:val="18"/>
              </w:rPr>
            </w:pPr>
            <w:r>
              <w:rPr>
                <w:rFonts w:ascii="宋体" w:hAnsi="宋体" w:cs="宋体" w:eastAsia="宋体" w:hint="default"/>
                <w:sz w:val="18"/>
                <w:szCs w:val="18"/>
              </w:rPr>
              <w:t>本期新设立的控股子公司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1,242,235.22</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-541,936.34</w:t>
            </w:r>
          </w:p>
        </w:tc>
      </w:tr>
      <w:tr>
        <w:trPr>
          <w:trHeight w:val="348"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 Holdings</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（恒顺新加坡普帝控股有限公司）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1"/>
              <w:jc w:val="right"/>
              <w:rPr>
                <w:rFonts w:ascii="宋体" w:hAnsi="宋体" w:cs="宋体" w:eastAsia="宋体" w:hint="default"/>
                <w:sz w:val="18"/>
                <w:szCs w:val="18"/>
              </w:rPr>
            </w:pPr>
            <w:r>
              <w:rPr>
                <w:rFonts w:ascii="宋体" w:hAnsi="宋体" w:cs="宋体" w:eastAsia="宋体" w:hint="default"/>
                <w:sz w:val="18"/>
                <w:szCs w:val="18"/>
              </w:rPr>
              <w:t>本期新设立的控股子公司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-567,518.96</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-1,203,247.55</w:t>
            </w:r>
          </w:p>
        </w:tc>
      </w:tr>
      <w:tr>
        <w:trPr>
          <w:trHeight w:val="660"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17"/>
              <w:ind w:left="4" w:right="7"/>
              <w:jc w:val="left"/>
              <w:rPr>
                <w:rFonts w:ascii="宋体" w:hAnsi="宋体" w:cs="宋体" w:eastAsia="宋体" w:hint="default"/>
                <w:sz w:val="18"/>
                <w:szCs w:val="18"/>
              </w:rPr>
            </w:pPr>
            <w:r>
              <w:rPr>
                <w:rFonts w:ascii="Times New Roman" w:hAnsi="Times New Roman" w:cs="Times New Roman" w:eastAsia="Times New Roman" w:hint="default"/>
                <w:sz w:val="18"/>
                <w:szCs w:val="18"/>
              </w:rPr>
              <w:t>Hengshun zhongsheng group Zimbabwe(Private)</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（恒顺众</w:t>
            </w:r>
            <w:r>
              <w:rPr>
                <w:rFonts w:ascii="宋体" w:hAnsi="宋体" w:cs="宋体" w:eastAsia="宋体" w:hint="default"/>
                <w:w w:val="99"/>
                <w:sz w:val="18"/>
                <w:szCs w:val="18"/>
              </w:rPr>
              <w:t> </w:t>
            </w:r>
            <w:r>
              <w:rPr>
                <w:rFonts w:ascii="宋体" w:hAnsi="宋体" w:cs="宋体" w:eastAsia="宋体" w:hint="default"/>
                <w:sz w:val="18"/>
                <w:szCs w:val="18"/>
              </w:rPr>
              <w:t>昇集团津巴布韦有限公司）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1"/>
              <w:jc w:val="right"/>
              <w:rPr>
                <w:rFonts w:ascii="宋体" w:hAnsi="宋体" w:cs="宋体" w:eastAsia="宋体" w:hint="default"/>
                <w:sz w:val="18"/>
                <w:szCs w:val="18"/>
              </w:rPr>
            </w:pPr>
            <w:r>
              <w:rPr>
                <w:rFonts w:ascii="宋体" w:hAnsi="宋体" w:cs="宋体" w:eastAsia="宋体" w:hint="default"/>
                <w:sz w:val="18"/>
                <w:szCs w:val="18"/>
              </w:rPr>
              <w:t>本期新设立的控股子公司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1,720,472.62</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-275,107.73</w:t>
            </w:r>
          </w:p>
        </w:tc>
      </w:tr>
      <w:tr>
        <w:trPr>
          <w:trHeight w:val="346"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 Morowali</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Utama(</w:t>
            </w:r>
            <w:r>
              <w:rPr>
                <w:rFonts w:ascii="宋体" w:hAnsi="宋体" w:cs="宋体" w:eastAsia="宋体" w:hint="default"/>
                <w:sz w:val="18"/>
                <w:szCs w:val="18"/>
              </w:rPr>
              <w:t>恒顺印尼中苏镍矿公司</w:t>
            </w:r>
            <w:r>
              <w:rPr>
                <w:rFonts w:ascii="Times New Roman" w:hAnsi="Times New Roman" w:cs="Times New Roman" w:eastAsia="Times New Roman" w:hint="default"/>
                <w:sz w:val="18"/>
                <w:szCs w:val="18"/>
              </w:rPr>
              <w:t>)</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0"/>
              <w:jc w:val="right"/>
              <w:rPr>
                <w:rFonts w:ascii="宋体" w:hAnsi="宋体" w:cs="宋体" w:eastAsia="宋体" w:hint="default"/>
                <w:sz w:val="18"/>
                <w:szCs w:val="18"/>
              </w:rPr>
            </w:pPr>
            <w:r>
              <w:rPr>
                <w:rFonts w:ascii="宋体" w:hAnsi="宋体" w:cs="宋体" w:eastAsia="宋体" w:hint="default"/>
                <w:sz w:val="18"/>
                <w:szCs w:val="18"/>
              </w:rPr>
              <w:t>本期新并购的控股子公司</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-57,856.11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-57,729.44</w:t>
            </w:r>
          </w:p>
        </w:tc>
      </w:tr>
      <w:tr>
        <w:trPr>
          <w:trHeight w:val="348"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Holywin investment</w:t>
            </w:r>
            <w:r>
              <w:rPr>
                <w:rFonts w:ascii="Times New Roman" w:hAnsi="Times New Roman" w:cs="Times New Roman" w:eastAsia="Times New Roman" w:hint="default"/>
                <w:spacing w:val="-9"/>
                <w:sz w:val="18"/>
                <w:szCs w:val="18"/>
              </w:rPr>
              <w:t> </w:t>
            </w:r>
            <w:r>
              <w:rPr>
                <w:rFonts w:ascii="Times New Roman" w:hAnsi="Times New Roman" w:cs="Times New Roman" w:eastAsia="Times New Roman" w:hint="default"/>
                <w:sz w:val="18"/>
                <w:szCs w:val="18"/>
              </w:rPr>
              <w:t>pte.ltd.</w:t>
            </w:r>
            <w:r>
              <w:rPr>
                <w:rFonts w:ascii="宋体" w:hAnsi="宋体" w:cs="宋体" w:eastAsia="宋体" w:hint="default"/>
                <w:sz w:val="18"/>
                <w:szCs w:val="18"/>
              </w:rPr>
              <w:t>（恒顺新加坡圣赢投资有限公司）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31"/>
              <w:jc w:val="right"/>
              <w:rPr>
                <w:rFonts w:ascii="宋体" w:hAnsi="宋体" w:cs="宋体" w:eastAsia="宋体" w:hint="default"/>
                <w:sz w:val="18"/>
                <w:szCs w:val="18"/>
              </w:rPr>
            </w:pPr>
            <w:r>
              <w:rPr>
                <w:rFonts w:ascii="宋体" w:hAnsi="宋体" w:cs="宋体" w:eastAsia="宋体" w:hint="default"/>
                <w:sz w:val="18"/>
                <w:szCs w:val="18"/>
              </w:rPr>
              <w:t>本期新并购的控股子公司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北京科程物联网技术有限公司</w:t>
            </w:r>
          </w:p>
        </w:tc>
        <w:tc>
          <w:tcPr>
            <w:tcW w:w="2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231"/>
              <w:jc w:val="right"/>
              <w:rPr>
                <w:rFonts w:ascii="宋体" w:hAnsi="宋体" w:cs="宋体" w:eastAsia="宋体" w:hint="default"/>
                <w:sz w:val="18"/>
                <w:szCs w:val="18"/>
              </w:rPr>
            </w:pPr>
            <w:r>
              <w:rPr>
                <w:rFonts w:ascii="宋体" w:hAnsi="宋体" w:cs="宋体" w:eastAsia="宋体" w:hint="default"/>
                <w:sz w:val="18"/>
                <w:szCs w:val="18"/>
              </w:rPr>
              <w:t>本期新设立的控股子公司</w:t>
            </w:r>
          </w:p>
        </w:tc>
        <w:tc>
          <w:tcPr>
            <w:tcW w:w="1162"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p>
      <w:pPr>
        <w:pStyle w:val="Heading3"/>
        <w:spacing w:line="240" w:lineRule="auto" w:before="26"/>
        <w:ind w:right="0"/>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青岛恒顺节能科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节能管理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西安恒顺电气科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西安市高新区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技术服务与电力 设备、材料的销 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青岛恒川网络科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4" w:right="414"/>
              <w:jc w:val="left"/>
              <w:rPr>
                <w:rFonts w:ascii="Times New Roman" w:hAnsi="Times New Roman" w:cs="Times New Roman" w:eastAsia="Times New Roman" w:hint="default"/>
                <w:sz w:val="18"/>
                <w:szCs w:val="18"/>
              </w:rPr>
            </w:pPr>
            <w:r>
              <w:rPr>
                <w:rFonts w:ascii="Times New Roman"/>
                <w:sz w:val="18"/>
              </w:rPr>
              <w:t>H&amp;Shun International</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3" w:right="4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4"/>
              <w:ind w:left="23" w:right="444"/>
              <w:jc w:val="left"/>
              <w:rPr>
                <w:rFonts w:ascii="Times New Roman" w:hAnsi="Times New Roman" w:cs="Times New Roman" w:eastAsia="Times New Roman" w:hint="default"/>
                <w:sz w:val="18"/>
                <w:szCs w:val="18"/>
              </w:rPr>
            </w:pPr>
            <w:r>
              <w:rPr>
                <w:rFonts w:ascii="Times New Roman"/>
                <w:sz w:val="18"/>
              </w:rPr>
              <w:t>24Ean</w:t>
            </w:r>
            <w:r>
              <w:rPr>
                <w:rFonts w:ascii="Times New Roman"/>
                <w:spacing w:val="-2"/>
                <w:sz w:val="18"/>
              </w:rPr>
              <w:t> </w:t>
            </w:r>
            <w:r>
              <w:rPr>
                <w:rFonts w:ascii="Times New Roman"/>
                <w:sz w:val="18"/>
              </w:rPr>
              <w:t>place</w:t>
            </w:r>
            <w:r>
              <w:rPr>
                <w:rFonts w:ascii="Times New Roman"/>
                <w:sz w:val="18"/>
              </w:rPr>
              <w:t> singapore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129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 w:right="0"/>
              <w:jc w:val="both"/>
              <w:rPr>
                <w:rFonts w:ascii="Times New Roman" w:hAnsi="Times New Roman" w:cs="Times New Roman" w:eastAsia="Times New Roman" w:hint="default"/>
                <w:sz w:val="18"/>
                <w:szCs w:val="18"/>
              </w:rPr>
            </w:pPr>
            <w:r>
              <w:rPr>
                <w:rFonts w:ascii="Times New Roman"/>
                <w:sz w:val="18"/>
              </w:rPr>
              <w:t>Holdingd</w:t>
            </w:r>
            <w:r>
              <w:rPr>
                <w:rFonts w:ascii="Times New Roman"/>
                <w:spacing w:val="-3"/>
                <w:sz w:val="18"/>
              </w:rPr>
              <w:t> </w:t>
            </w:r>
            <w:r>
              <w:rPr>
                <w:rFonts w:ascii="Times New Roman"/>
                <w:sz w:val="18"/>
              </w:rPr>
              <w:t>Pte.Ltd.</w:t>
            </w:r>
          </w:p>
          <w:p>
            <w:pPr>
              <w:pStyle w:val="TableParagraph"/>
              <w:spacing w:line="316" w:lineRule="auto" w:before="63"/>
              <w:ind w:left="24" w:right="75"/>
              <w:jc w:val="both"/>
              <w:rPr>
                <w:rFonts w:ascii="宋体" w:hAnsi="宋体" w:cs="宋体" w:eastAsia="宋体" w:hint="default"/>
                <w:sz w:val="18"/>
                <w:szCs w:val="18"/>
              </w:rPr>
            </w:pPr>
            <w:r>
              <w:rPr>
                <w:rFonts w:ascii="宋体" w:hAnsi="宋体" w:cs="宋体" w:eastAsia="宋体" w:hint="default"/>
                <w:sz w:val="18"/>
                <w:szCs w:val="18"/>
              </w:rPr>
              <w:t>（恒顺新加坡国 际控股有限责任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(429115)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exact" w:before="114"/>
              <w:ind w:left="24" w:right="5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Bumindo Resources</w:t>
            </w:r>
            <w:r>
              <w:rPr>
                <w:rFonts w:ascii="宋体" w:hAnsi="宋体" w:cs="宋体" w:eastAsia="宋体" w:hint="default"/>
                <w:sz w:val="18"/>
                <w:szCs w:val="18"/>
              </w:rPr>
              <w:t>（恒顺 印尼资源有限公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68"/>
              <w:jc w:val="left"/>
              <w:rPr>
                <w:rFonts w:ascii="Times New Roman" w:hAnsi="Times New Roman" w:cs="Times New Roman" w:eastAsia="Times New Roman" w:hint="default"/>
                <w:sz w:val="18"/>
                <w:szCs w:val="18"/>
              </w:rPr>
            </w:pPr>
            <w:r>
              <w:rPr>
                <w:rFonts w:ascii="Times New Roman"/>
                <w:sz w:val="18"/>
              </w:rPr>
              <w:t>Menara</w:t>
            </w:r>
            <w:r>
              <w:rPr>
                <w:rFonts w:ascii="Times New Roman"/>
                <w:spacing w:val="-2"/>
                <w:sz w:val="18"/>
              </w:rPr>
              <w:t> </w:t>
            </w:r>
            <w:r>
              <w:rPr>
                <w:rFonts w:ascii="Times New Roman"/>
                <w:sz w:val="18"/>
              </w:rPr>
              <w:t>Prima</w:t>
            </w:r>
            <w:r>
              <w:rPr>
                <w:rFonts w:ascii="Times New Roman"/>
                <w:w w:val="99"/>
                <w:sz w:val="18"/>
              </w:rPr>
              <w:t> </w:t>
            </w:r>
            <w:r>
              <w:rPr>
                <w:rFonts w:ascii="Times New Roman"/>
                <w:sz w:val="18"/>
              </w:rPr>
              <w:t>2,Suite</w:t>
            </w:r>
            <w:r>
              <w:rPr>
                <w:rFonts w:ascii="Times New Roman"/>
                <w:spacing w:val="-2"/>
                <w:sz w:val="18"/>
              </w:rPr>
              <w:t> </w:t>
            </w:r>
            <w:r>
              <w:rPr>
                <w:rFonts w:ascii="Times New Roman"/>
                <w:sz w:val="18"/>
              </w:rPr>
              <w:t>C-E,20th</w:t>
            </w:r>
            <w:r>
              <w:rPr>
                <w:rFonts w:ascii="Times New Roman"/>
                <w:sz w:val="18"/>
              </w:rPr>
              <w:t> Floor,JI.DR.Tde Anak Agung</w:t>
            </w:r>
            <w:r>
              <w:rPr>
                <w:rFonts w:ascii="Times New Roman"/>
                <w:spacing w:val="-13"/>
                <w:sz w:val="18"/>
              </w:rPr>
              <w:t> </w:t>
            </w:r>
            <w:r>
              <w:rPr>
                <w:rFonts w:ascii="Times New Roman"/>
                <w:sz w:val="18"/>
              </w:rPr>
              <w:t>Gde</w:t>
            </w:r>
            <w:r>
              <w:rPr>
                <w:rFonts w:ascii="Times New Roman"/>
                <w:sz w:val="18"/>
              </w:rPr>
              <w:t> Agung 6.3</w:t>
            </w:r>
            <w:r>
              <w:rPr>
                <w:rFonts w:ascii="Times New Roman"/>
                <w:spacing w:val="-4"/>
                <w:sz w:val="18"/>
              </w:rPr>
              <w:t> </w:t>
            </w:r>
            <w:r>
              <w:rPr>
                <w:rFonts w:ascii="Times New Roman"/>
                <w:sz w:val="18"/>
              </w:rPr>
              <w:t>Mega</w:t>
            </w:r>
            <w:r>
              <w:rPr>
                <w:rFonts w:ascii="Times New Roman"/>
                <w:sz w:val="18"/>
              </w:rPr>
              <w:t> Kuningan,Jakarta 12950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65"/>
              <w:jc w:val="left"/>
              <w:rPr>
                <w:rFonts w:ascii="Times New Roman" w:hAnsi="Times New Roman" w:cs="Times New Roman" w:eastAsia="Times New Roman" w:hint="default"/>
                <w:sz w:val="18"/>
                <w:szCs w:val="18"/>
              </w:rPr>
            </w:pPr>
            <w:r>
              <w:rPr>
                <w:rFonts w:ascii="Times New Roman"/>
                <w:sz w:val="18"/>
              </w:rPr>
              <w:t>Menara</w:t>
            </w:r>
            <w:r>
              <w:rPr>
                <w:rFonts w:ascii="Times New Roman"/>
                <w:spacing w:val="-2"/>
                <w:sz w:val="18"/>
              </w:rPr>
              <w:t> </w:t>
            </w:r>
            <w:r>
              <w:rPr>
                <w:rFonts w:ascii="Times New Roman"/>
                <w:sz w:val="18"/>
              </w:rPr>
              <w:t>Prima</w:t>
            </w:r>
            <w:r>
              <w:rPr>
                <w:rFonts w:ascii="Times New Roman"/>
                <w:w w:val="99"/>
                <w:sz w:val="18"/>
              </w:rPr>
              <w:t> </w:t>
            </w:r>
            <w:r>
              <w:rPr>
                <w:rFonts w:ascii="Times New Roman"/>
                <w:sz w:val="18"/>
              </w:rPr>
              <w:t>2,Suite</w:t>
            </w:r>
            <w:r>
              <w:rPr>
                <w:rFonts w:ascii="Times New Roman"/>
                <w:spacing w:val="-2"/>
                <w:sz w:val="18"/>
              </w:rPr>
              <w:t> </w:t>
            </w:r>
            <w:r>
              <w:rPr>
                <w:rFonts w:ascii="Times New Roman"/>
                <w:sz w:val="18"/>
              </w:rPr>
              <w:t>C-E,20th</w:t>
            </w:r>
            <w:r>
              <w:rPr>
                <w:rFonts w:ascii="Times New Roman"/>
                <w:sz w:val="18"/>
              </w:rPr>
              <w:t> Floor,JI.DR.Tde Anak Agung</w:t>
            </w:r>
            <w:r>
              <w:rPr>
                <w:rFonts w:ascii="Times New Roman"/>
                <w:spacing w:val="-13"/>
                <w:sz w:val="18"/>
              </w:rPr>
              <w:t> </w:t>
            </w:r>
            <w:r>
              <w:rPr>
                <w:rFonts w:ascii="Times New Roman"/>
                <w:sz w:val="18"/>
              </w:rPr>
              <w:t>Gde</w:t>
            </w:r>
            <w:r>
              <w:rPr>
                <w:rFonts w:ascii="Times New Roman"/>
                <w:sz w:val="18"/>
              </w:rPr>
              <w:t> Agung 6.3</w:t>
            </w:r>
            <w:r>
              <w:rPr>
                <w:rFonts w:ascii="Times New Roman"/>
                <w:spacing w:val="-4"/>
                <w:sz w:val="18"/>
              </w:rPr>
              <w:t> </w:t>
            </w:r>
            <w:r>
              <w:rPr>
                <w:rFonts w:ascii="Times New Roman"/>
                <w:sz w:val="18"/>
              </w:rPr>
              <w:t>Mega</w:t>
            </w:r>
            <w:r>
              <w:rPr>
                <w:rFonts w:ascii="Times New Roman"/>
                <w:sz w:val="18"/>
              </w:rPr>
              <w:t> Kuningan,Jakarta 12950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生产建设</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9"/>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Holding</w:t>
            </w:r>
            <w:r>
              <w:rPr>
                <w:rFonts w:ascii="Times New Roman"/>
                <w:spacing w:val="-4"/>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炭控股有限公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9"/>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5"/>
                <w:sz w:val="18"/>
              </w:rPr>
              <w:t> </w:t>
            </w:r>
            <w:r>
              <w:rPr>
                <w:rFonts w:ascii="Times New Roman"/>
                <w:sz w:val="18"/>
              </w:rPr>
              <w:t>Power</w:t>
            </w:r>
            <w:r>
              <w:rPr>
                <w:rFonts w:ascii="Times New Roman"/>
                <w:sz w:val="18"/>
              </w:rPr>
              <w:t> Holding</w:t>
            </w:r>
            <w:r>
              <w:rPr>
                <w:rFonts w:ascii="Times New Roman"/>
                <w:spacing w:val="-4"/>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（恒顺新加坡能</w:t>
            </w:r>
          </w:p>
          <w:p>
            <w:pPr>
              <w:pStyle w:val="TableParagraph"/>
              <w:spacing w:line="319"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源控股有限公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H&amp;Shun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Coal</w:t>
            </w:r>
            <w:r>
              <w:rPr>
                <w:rFonts w:ascii="Times New Roman" w:hAnsi="Times New Roman" w:cs="Times New Roman" w:eastAsia="Times New Roman" w:hint="default"/>
                <w:sz w:val="18"/>
                <w:szCs w:val="18"/>
              </w:rPr>
              <w:t> Marketing Pte.Ltd.</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（恒顺新 加坡煤炭贸易有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68"/>
              <w:jc w:val="left"/>
              <w:rPr>
                <w:rFonts w:ascii="Times New Roman" w:hAnsi="Times New Roman" w:cs="Times New Roman" w:eastAsia="Times New Roman" w:hint="default"/>
                <w:sz w:val="18"/>
                <w:szCs w:val="18"/>
              </w:rPr>
            </w:pPr>
            <w:r>
              <w:rPr>
                <w:rFonts w:ascii="Times New Roman"/>
                <w:sz w:val="18"/>
              </w:rPr>
              <w:t>An Shun</w:t>
            </w:r>
            <w:r>
              <w:rPr>
                <w:rFonts w:ascii="Times New Roman"/>
                <w:spacing w:val="-2"/>
                <w:sz w:val="18"/>
              </w:rPr>
              <w:t> </w:t>
            </w:r>
            <w:r>
              <w:rPr>
                <w:rFonts w:ascii="Times New Roman"/>
                <w:sz w:val="18"/>
              </w:rPr>
              <w:t>Coal</w:t>
            </w:r>
            <w:r>
              <w:rPr>
                <w:rFonts w:ascii="Times New Roman"/>
                <w:sz w:val="18"/>
              </w:rPr>
              <w:t> Mines</w:t>
            </w:r>
            <w:r>
              <w:rPr>
                <w:rFonts w:ascii="Times New Roman"/>
                <w:spacing w:val="-3"/>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（恒顺新加坡安</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顺煤矿有限公司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4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贸易、投资公司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0"/>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Shiny</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Kindness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International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（恒顺香</w:t>
            </w:r>
            <w:r>
              <w:rPr>
                <w:rFonts w:ascii="宋体" w:hAnsi="宋体" w:cs="宋体" w:eastAsia="宋体" w:hint="default"/>
                <w:w w:val="99"/>
                <w:sz w:val="18"/>
                <w:szCs w:val="18"/>
              </w:rPr>
              <w:t> </w:t>
            </w:r>
            <w:r>
              <w:rPr>
                <w:rFonts w:ascii="宋体" w:hAnsi="宋体" w:cs="宋体" w:eastAsia="宋体" w:hint="default"/>
                <w:sz w:val="18"/>
                <w:szCs w:val="18"/>
              </w:rPr>
              <w:t>港泽善国际有限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59"/>
              <w:jc w:val="left"/>
              <w:rPr>
                <w:rFonts w:ascii="Times New Roman" w:hAnsi="Times New Roman" w:cs="Times New Roman" w:eastAsia="Times New Roman" w:hint="default"/>
                <w:sz w:val="18"/>
                <w:szCs w:val="18"/>
              </w:rPr>
            </w:pPr>
            <w:r>
              <w:rPr>
                <w:rFonts w:ascii="Times New Roman"/>
                <w:sz w:val="18"/>
              </w:rPr>
              <w:t>ROOM</w:t>
            </w:r>
            <w:r>
              <w:rPr>
                <w:rFonts w:ascii="Times New Roman"/>
                <w:w w:val="99"/>
                <w:sz w:val="18"/>
              </w:rPr>
              <w:t> </w:t>
            </w:r>
            <w:r>
              <w:rPr>
                <w:rFonts w:ascii="Times New Roman"/>
                <w:sz w:val="18"/>
              </w:rPr>
              <w:t>B,10/F.,TOWER</w:t>
            </w:r>
            <w:r>
              <w:rPr>
                <w:rFonts w:ascii="Times New Roman"/>
                <w:sz w:val="18"/>
              </w:rPr>
              <w:t> A,BILLION</w:t>
            </w:r>
            <w:r>
              <w:rPr>
                <w:rFonts w:ascii="Times New Roman"/>
                <w:w w:val="99"/>
                <w:sz w:val="18"/>
              </w:rPr>
              <w:t> </w:t>
            </w:r>
            <w:r>
              <w:rPr>
                <w:rFonts w:ascii="Times New Roman"/>
                <w:sz w:val="18"/>
              </w:rPr>
              <w:t>CENTRE,1</w:t>
            </w:r>
            <w:r>
              <w:rPr>
                <w:rFonts w:ascii="Times New Roman"/>
                <w:w w:val="99"/>
                <w:sz w:val="18"/>
              </w:rPr>
              <w:t> </w:t>
            </w:r>
            <w:r>
              <w:rPr>
                <w:rFonts w:ascii="Times New Roman"/>
                <w:spacing w:val="-6"/>
                <w:sz w:val="18"/>
              </w:rPr>
              <w:t>WANG</w:t>
            </w:r>
            <w:r>
              <w:rPr>
                <w:rFonts w:ascii="Times New Roman"/>
                <w:spacing w:val="-1"/>
                <w:sz w:val="18"/>
              </w:rPr>
              <w:t> </w:t>
            </w:r>
            <w:r>
              <w:rPr>
                <w:rFonts w:ascii="Times New Roman"/>
                <w:sz w:val="18"/>
              </w:rPr>
              <w:t>KWONG</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56"/>
              <w:jc w:val="left"/>
              <w:rPr>
                <w:rFonts w:ascii="Times New Roman" w:hAnsi="Times New Roman" w:cs="Times New Roman" w:eastAsia="Times New Roman" w:hint="default"/>
                <w:sz w:val="18"/>
                <w:szCs w:val="18"/>
              </w:rPr>
            </w:pPr>
            <w:r>
              <w:rPr>
                <w:rFonts w:ascii="Times New Roman"/>
                <w:sz w:val="18"/>
              </w:rPr>
              <w:t>ROOM</w:t>
            </w:r>
            <w:r>
              <w:rPr>
                <w:rFonts w:ascii="Times New Roman"/>
                <w:w w:val="99"/>
                <w:sz w:val="18"/>
              </w:rPr>
              <w:t> </w:t>
            </w:r>
            <w:r>
              <w:rPr>
                <w:rFonts w:ascii="Times New Roman"/>
                <w:sz w:val="18"/>
              </w:rPr>
              <w:t>B,10/F.,TOWER</w:t>
            </w:r>
            <w:r>
              <w:rPr>
                <w:rFonts w:ascii="Times New Roman"/>
                <w:sz w:val="18"/>
              </w:rPr>
              <w:t> A,BILLION</w:t>
            </w:r>
            <w:r>
              <w:rPr>
                <w:rFonts w:ascii="Times New Roman"/>
                <w:w w:val="99"/>
                <w:sz w:val="18"/>
              </w:rPr>
              <w:t> </w:t>
            </w:r>
            <w:r>
              <w:rPr>
                <w:rFonts w:ascii="Times New Roman"/>
                <w:sz w:val="18"/>
              </w:rPr>
              <w:t>CENTRE,1</w:t>
            </w:r>
            <w:r>
              <w:rPr>
                <w:rFonts w:ascii="Times New Roman"/>
                <w:w w:val="99"/>
                <w:sz w:val="18"/>
              </w:rPr>
              <w:t> </w:t>
            </w:r>
            <w:r>
              <w:rPr>
                <w:rFonts w:ascii="Times New Roman"/>
                <w:spacing w:val="-6"/>
                <w:sz w:val="18"/>
              </w:rPr>
              <w:t>WANG</w:t>
            </w:r>
            <w:r>
              <w:rPr>
                <w:rFonts w:ascii="Times New Roman"/>
                <w:spacing w:val="-1"/>
                <w:sz w:val="18"/>
              </w:rPr>
              <w:t> </w:t>
            </w:r>
            <w:r>
              <w:rPr>
                <w:rFonts w:ascii="Times New Roman"/>
                <w:sz w:val="18"/>
              </w:rPr>
              <w:t>KWONG</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贸易、投资并购</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7"/>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Energy </w:t>
            </w:r>
            <w:r>
              <w:rPr>
                <w:rFonts w:ascii="Times New Roman" w:hAnsi="Times New Roman" w:cs="Times New Roman" w:eastAsia="Times New Roman" w:hint="default"/>
                <w:spacing w:val="-6"/>
                <w:w w:val="99"/>
                <w:sz w:val="18"/>
                <w:szCs w:val="18"/>
              </w:rPr>
              <w:t>Kapitalindo</w:t>
            </w:r>
            <w:r>
              <w:rPr>
                <w:rFonts w:ascii="宋体" w:hAnsi="宋体" w:cs="宋体" w:eastAsia="宋体" w:hint="default"/>
                <w:spacing w:val="-6"/>
                <w:w w:val="99"/>
                <w:sz w:val="18"/>
                <w:szCs w:val="18"/>
              </w:rPr>
              <w:t>（恒顺</w:t>
            </w:r>
            <w:r>
              <w:rPr>
                <w:rFonts w:ascii="宋体" w:hAnsi="宋体" w:cs="宋体" w:eastAsia="宋体" w:hint="default"/>
                <w:spacing w:val="-82"/>
                <w:w w:val="99"/>
                <w:sz w:val="18"/>
                <w:szCs w:val="18"/>
              </w:rPr>
              <w:t> </w:t>
            </w:r>
            <w:r>
              <w:rPr>
                <w:rFonts w:ascii="宋体" w:hAnsi="宋体" w:cs="宋体" w:eastAsia="宋体" w:hint="default"/>
                <w:sz w:val="18"/>
                <w:szCs w:val="18"/>
              </w:rPr>
              <w:t>印尼安能公司）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采矿业务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98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pacing w:val="-5"/>
                <w:sz w:val="18"/>
              </w:rPr>
              <w:t>PT. </w:t>
            </w:r>
            <w:r>
              <w:rPr>
                <w:rFonts w:ascii="Times New Roman"/>
                <w:sz w:val="18"/>
              </w:rPr>
              <w:t>W &amp;</w:t>
            </w:r>
            <w:r>
              <w:rPr>
                <w:rFonts w:ascii="Times New Roman"/>
                <w:spacing w:val="-3"/>
                <w:sz w:val="18"/>
              </w:rPr>
              <w:t> </w:t>
            </w:r>
            <w:r>
              <w:rPr>
                <w:rFonts w:ascii="Times New Roman"/>
                <w:sz w:val="18"/>
              </w:rPr>
              <w:t>H</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Brothers</w:t>
            </w:r>
            <w:r>
              <w:rPr>
                <w:rFonts w:ascii="Times New Roman"/>
                <w:spacing w:val="-2"/>
                <w:sz w:val="18"/>
              </w:rPr>
              <w:t> </w:t>
            </w:r>
            <w:r>
              <w:rPr>
                <w:rFonts w:ascii="Times New Roman"/>
                <w:sz w:val="18"/>
              </w:rPr>
              <w:t>Mining</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（恒顺印尼兄弟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8"/>
                <w:sz w:val="18"/>
              </w:rPr>
              <w:t> </w:t>
            </w:r>
            <w:r>
              <w:rPr>
                <w:rFonts w:ascii="Times New Roman"/>
                <w:sz w:val="18"/>
              </w:rPr>
              <w:t>Jakarta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8"/>
                <w:sz w:val="18"/>
              </w:rPr>
              <w:t> </w:t>
            </w:r>
            <w:r>
              <w:rPr>
                <w:rFonts w:ascii="Times New Roman"/>
                <w:sz w:val="18"/>
              </w:rPr>
              <w:t>Jakarta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采矿及其他挖掘 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9"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矿业公司）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Selatan.12946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sz w:val="18"/>
              </w:rPr>
              <w:t>Selatan.12946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09" w:lineRule="auto"/>
              <w:ind w:left="24"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Kutai</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z w:val="18"/>
                <w:szCs w:val="18"/>
              </w:rPr>
              <w:t> Resources</w:t>
            </w:r>
            <w:r>
              <w:rPr>
                <w:rFonts w:ascii="宋体" w:hAnsi="宋体" w:cs="宋体" w:eastAsia="宋体" w:hint="default"/>
                <w:sz w:val="18"/>
                <w:szCs w:val="18"/>
              </w:rPr>
              <w:t>（恒顺 印尼东加码头公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48"/>
              <w:jc w:val="left"/>
              <w:rPr>
                <w:rFonts w:ascii="Times New Roman" w:hAnsi="Times New Roman" w:cs="Times New Roman" w:eastAsia="Times New Roman" w:hint="default"/>
                <w:sz w:val="18"/>
                <w:szCs w:val="18"/>
              </w:rPr>
            </w:pPr>
            <w:r>
              <w:rPr>
                <w:rFonts w:ascii="Times New Roman"/>
                <w:sz w:val="18"/>
              </w:rPr>
              <w:t>Jl. HAM</w:t>
            </w:r>
            <w:r>
              <w:rPr>
                <w:rFonts w:ascii="Times New Roman"/>
                <w:spacing w:val="-4"/>
                <w:sz w:val="18"/>
              </w:rPr>
              <w:t> </w:t>
            </w:r>
            <w:r>
              <w:rPr>
                <w:rFonts w:ascii="Times New Roman"/>
                <w:sz w:val="18"/>
              </w:rPr>
              <w:t>Rifadin,</w:t>
            </w:r>
            <w:r>
              <w:rPr>
                <w:rFonts w:ascii="Times New Roman"/>
                <w:sz w:val="18"/>
              </w:rPr>
              <w:t> Grand</w:t>
            </w:r>
            <w:r>
              <w:rPr>
                <w:rFonts w:ascii="Times New Roman"/>
                <w:spacing w:val="33"/>
                <w:sz w:val="18"/>
              </w:rPr>
              <w:t> </w:t>
            </w:r>
            <w:r>
              <w:rPr>
                <w:rFonts w:ascii="Times New Roman"/>
                <w:spacing w:val="-4"/>
                <w:sz w:val="18"/>
              </w:rPr>
              <w:t>Taman</w:t>
            </w:r>
            <w:r>
              <w:rPr>
                <w:rFonts w:ascii="Times New Roman"/>
                <w:w w:val="99"/>
                <w:sz w:val="18"/>
              </w:rPr>
              <w:t> </w:t>
            </w:r>
            <w:r>
              <w:rPr>
                <w:rFonts w:ascii="Times New Roman"/>
                <w:sz w:val="18"/>
              </w:rPr>
              <w:t>Sari Blok</w:t>
            </w:r>
            <w:r>
              <w:rPr>
                <w:rFonts w:ascii="Times New Roman"/>
                <w:spacing w:val="-1"/>
                <w:sz w:val="18"/>
              </w:rPr>
              <w:t> </w:t>
            </w:r>
            <w:r>
              <w:rPr>
                <w:rFonts w:ascii="Times New Roman"/>
                <w:sz w:val="18"/>
              </w:rPr>
              <w:t>C2</w:t>
            </w:r>
            <w:r>
              <w:rPr>
                <w:rFonts w:ascii="Times New Roman"/>
                <w:sz w:val="18"/>
              </w:rPr>
              <w:t> No.1&amp;2,</w:t>
            </w:r>
            <w:r>
              <w:rPr>
                <w:rFonts w:ascii="Times New Roman"/>
                <w:spacing w:val="-4"/>
                <w:sz w:val="18"/>
              </w:rPr>
              <w:t> </w:t>
            </w:r>
            <w:r>
              <w:rPr>
                <w:rFonts w:ascii="Times New Roman"/>
                <w:sz w:val="18"/>
              </w:rPr>
              <w:t>Harapan</w:t>
            </w:r>
            <w:r>
              <w:rPr>
                <w:rFonts w:ascii="Times New Roman"/>
                <w:w w:val="99"/>
                <w:sz w:val="18"/>
              </w:rPr>
              <w:t> </w:t>
            </w:r>
            <w:r>
              <w:rPr>
                <w:rFonts w:ascii="Times New Roman"/>
                <w:sz w:val="18"/>
              </w:rPr>
              <w:t>Baru,</w:t>
            </w:r>
            <w:r>
              <w:rPr>
                <w:rFonts w:ascii="Times New Roman"/>
                <w:spacing w:val="-2"/>
                <w:sz w:val="18"/>
              </w:rPr>
              <w:t> </w:t>
            </w:r>
            <w:r>
              <w:rPr>
                <w:rFonts w:ascii="Times New Roman"/>
                <w:sz w:val="18"/>
              </w:rPr>
              <w:t>Samarinda</w:t>
            </w:r>
            <w:r>
              <w:rPr>
                <w:rFonts w:ascii="Times New Roman"/>
                <w:sz w:val="18"/>
              </w:rPr>
              <w:t> Seberang, Kalimantan </w:t>
            </w:r>
            <w:r>
              <w:rPr>
                <w:rFonts w:ascii="Times New Roman"/>
                <w:spacing w:val="-3"/>
                <w:sz w:val="18"/>
              </w:rPr>
              <w:t>Timur</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56"/>
              <w:jc w:val="left"/>
              <w:rPr>
                <w:rFonts w:ascii="Times New Roman" w:hAnsi="Times New Roman" w:cs="Times New Roman" w:eastAsia="Times New Roman" w:hint="default"/>
                <w:sz w:val="18"/>
                <w:szCs w:val="18"/>
              </w:rPr>
            </w:pPr>
            <w:r>
              <w:rPr>
                <w:rFonts w:ascii="Times New Roman"/>
                <w:sz w:val="18"/>
              </w:rPr>
              <w:t>Komplek Balikpapan</w:t>
            </w:r>
            <w:r>
              <w:rPr>
                <w:rFonts w:ascii="Times New Roman"/>
                <w:spacing w:val="-1"/>
                <w:sz w:val="18"/>
              </w:rPr>
              <w:t> </w:t>
            </w:r>
            <w:r>
              <w:rPr>
                <w:rFonts w:ascii="Times New Roman"/>
                <w:sz w:val="18"/>
              </w:rPr>
              <w:t>Baru</w:t>
            </w:r>
            <w:r>
              <w:rPr>
                <w:rFonts w:ascii="Times New Roman"/>
                <w:sz w:val="18"/>
              </w:rPr>
              <w:t> Blok U-2</w:t>
            </w:r>
            <w:r>
              <w:rPr>
                <w:rFonts w:ascii="Times New Roman"/>
                <w:spacing w:val="-2"/>
                <w:sz w:val="18"/>
              </w:rPr>
              <w:t> </w:t>
            </w:r>
            <w:r>
              <w:rPr>
                <w:rFonts w:ascii="Times New Roman"/>
                <w:sz w:val="18"/>
              </w:rPr>
              <w:t>No.23,</w:t>
            </w:r>
            <w:r>
              <w:rPr>
                <w:rFonts w:ascii="Times New Roman"/>
                <w:sz w:val="18"/>
              </w:rPr>
              <w:t> Kel. Gunung Samarinda, Balikpapan Selatan, Kalimantan</w:t>
            </w:r>
            <w:r>
              <w:rPr>
                <w:rFonts w:ascii="Times New Roman"/>
                <w:spacing w:val="-5"/>
                <w:sz w:val="18"/>
              </w:rPr>
              <w:t> </w:t>
            </w:r>
            <w:r>
              <w:rPr>
                <w:rFonts w:ascii="Times New Roman"/>
                <w:sz w:val="18"/>
              </w:rPr>
              <w:t>timur</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码头</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76.00%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58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PT Cis</w:t>
            </w:r>
            <w:r>
              <w:rPr>
                <w:rFonts w:ascii="Times New Roman"/>
                <w:spacing w:val="-7"/>
                <w:sz w:val="18"/>
              </w:rPr>
              <w:t> </w:t>
            </w:r>
            <w:r>
              <w:rPr>
                <w:rFonts w:ascii="Times New Roman"/>
                <w:sz w:val="18"/>
              </w:rPr>
              <w:t>Resources</w:t>
            </w:r>
          </w:p>
          <w:p>
            <w:pPr>
              <w:pStyle w:val="TableParagraph"/>
              <w:spacing w:line="316"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（恒顺印尼中加 煤矿公司）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4"/>
              <w:jc w:val="left"/>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w:t>
            </w:r>
            <w:r>
              <w:rPr>
                <w:rFonts w:ascii="Times New Roman"/>
                <w:spacing w:val="-19"/>
                <w:sz w:val="18"/>
              </w:rPr>
              <w:t> </w:t>
            </w:r>
            <w:r>
              <w:rPr>
                <w:rFonts w:ascii="Times New Roman"/>
                <w:sz w:val="18"/>
              </w:rPr>
              <w:t>KM</w:t>
            </w:r>
            <w:r>
              <w:rPr>
                <w:rFonts w:ascii="Times New Roman"/>
                <w:w w:val="99"/>
                <w:sz w:val="18"/>
              </w:rPr>
              <w:t> </w:t>
            </w:r>
            <w:r>
              <w:rPr>
                <w:rFonts w:ascii="Times New Roman"/>
                <w:sz w:val="18"/>
              </w:rPr>
              <w:t>5.7,</w:t>
            </w:r>
            <w:r>
              <w:rPr>
                <w:rFonts w:ascii="Times New Roman"/>
                <w:spacing w:val="-3"/>
                <w:sz w:val="18"/>
              </w:rPr>
              <w:t> </w:t>
            </w:r>
            <w:r>
              <w:rPr>
                <w:rFonts w:ascii="Times New Roman"/>
                <w:sz w:val="18"/>
              </w:rPr>
              <w:t>Komplek</w:t>
            </w:r>
            <w:r>
              <w:rPr>
                <w:rFonts w:ascii="Times New Roman"/>
                <w:sz w:val="18"/>
              </w:rPr>
              <w:t> Banjar</w:t>
            </w:r>
            <w:r>
              <w:rPr>
                <w:rFonts w:ascii="Times New Roman"/>
                <w:spacing w:val="-1"/>
                <w:sz w:val="18"/>
              </w:rPr>
              <w:t> </w:t>
            </w:r>
            <w:r>
              <w:rPr>
                <w:rFonts w:ascii="Times New Roman"/>
                <w:sz w:val="18"/>
              </w:rPr>
              <w:t>Indah</w:t>
            </w:r>
            <w:r>
              <w:rPr>
                <w:rFonts w:ascii="Times New Roman"/>
                <w:sz w:val="18"/>
              </w:rPr>
              <w:t> Permai</w:t>
            </w:r>
            <w:r>
              <w:rPr>
                <w:rFonts w:ascii="Times New Roman"/>
                <w:spacing w:val="-1"/>
                <w:sz w:val="18"/>
              </w:rPr>
              <w:t> </w:t>
            </w:r>
            <w:r>
              <w:rPr>
                <w:rFonts w:ascii="Times New Roman"/>
                <w:sz w:val="18"/>
              </w:rPr>
              <w:t>No.54</w:t>
            </w:r>
            <w:r>
              <w:rPr>
                <w:rFonts w:ascii="Times New Roman"/>
                <w:sz w:val="18"/>
              </w:rPr>
              <w:t> </w:t>
            </w:r>
            <w:r>
              <w:rPr>
                <w:rFonts w:ascii="Times New Roman"/>
                <w:spacing w:val="-4"/>
                <w:sz w:val="18"/>
              </w:rPr>
              <w:t>RT.064,</w:t>
            </w:r>
            <w:r>
              <w:rPr>
                <w:rFonts w:ascii="Times New Roman"/>
                <w:spacing w:val="1"/>
                <w:sz w:val="18"/>
              </w:rPr>
              <w:t> </w:t>
            </w:r>
            <w:r>
              <w:rPr>
                <w:rFonts w:ascii="Times New Roman"/>
                <w:sz w:val="18"/>
              </w:rPr>
              <w:t>Kel.</w:t>
            </w:r>
          </w:p>
          <w:p>
            <w:pPr>
              <w:pStyle w:val="TableParagraph"/>
              <w:spacing w:line="362" w:lineRule="auto" w:before="3"/>
              <w:ind w:left="23" w:right="136"/>
              <w:jc w:val="left"/>
              <w:rPr>
                <w:rFonts w:ascii="Times New Roman" w:hAnsi="Times New Roman" w:cs="Times New Roman" w:eastAsia="Times New Roman" w:hint="default"/>
                <w:sz w:val="18"/>
                <w:szCs w:val="18"/>
              </w:rPr>
            </w:pPr>
            <w:r>
              <w:rPr>
                <w:rFonts w:ascii="Times New Roman"/>
                <w:sz w:val="18"/>
              </w:rPr>
              <w:t>Pemurus</w:t>
            </w:r>
            <w:r>
              <w:rPr>
                <w:rFonts w:ascii="Times New Roman"/>
                <w:spacing w:val="-5"/>
                <w:sz w:val="18"/>
              </w:rPr>
              <w:t> </w:t>
            </w:r>
            <w:r>
              <w:rPr>
                <w:rFonts w:ascii="Times New Roman"/>
                <w:sz w:val="18"/>
              </w:rPr>
              <w:t>Dalam,</w:t>
            </w:r>
            <w:r>
              <w:rPr>
                <w:rFonts w:ascii="Times New Roman"/>
                <w:sz w:val="18"/>
              </w:rPr>
              <w:t> Banjarmasin</w:t>
            </w:r>
            <w:r>
              <w:rPr>
                <w:rFonts w:ascii="Times New Roman"/>
                <w:w w:val="99"/>
                <w:sz w:val="18"/>
              </w:rPr>
              <w:t> </w:t>
            </w:r>
            <w:r>
              <w:rPr>
                <w:rFonts w:ascii="Times New Roman"/>
                <w:sz w:val="18"/>
              </w:rPr>
              <w:t>70248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1"/>
              <w:jc w:val="left"/>
              <w:rPr>
                <w:rFonts w:ascii="Times New Roman" w:hAnsi="Times New Roman" w:cs="Times New Roman" w:eastAsia="Times New Roman" w:hint="default"/>
                <w:sz w:val="18"/>
                <w:szCs w:val="18"/>
              </w:rPr>
            </w:pPr>
            <w:r>
              <w:rPr>
                <w:rFonts w:ascii="Times New Roman"/>
                <w:sz w:val="18"/>
              </w:rPr>
              <w:t>Jl. A. </w:t>
            </w:r>
            <w:r>
              <w:rPr>
                <w:rFonts w:ascii="Times New Roman"/>
                <w:spacing w:val="-5"/>
                <w:sz w:val="18"/>
              </w:rPr>
              <w:t>Yani</w:t>
            </w:r>
            <w:r>
              <w:rPr>
                <w:rFonts w:ascii="Times New Roman"/>
                <w:spacing w:val="-19"/>
                <w:sz w:val="18"/>
              </w:rPr>
              <w:t> </w:t>
            </w:r>
            <w:r>
              <w:rPr>
                <w:rFonts w:ascii="Times New Roman"/>
                <w:sz w:val="18"/>
              </w:rPr>
              <w:t>KM</w:t>
            </w:r>
            <w:r>
              <w:rPr>
                <w:rFonts w:ascii="Times New Roman"/>
                <w:w w:val="99"/>
                <w:sz w:val="18"/>
              </w:rPr>
              <w:t> </w:t>
            </w:r>
            <w:r>
              <w:rPr>
                <w:rFonts w:ascii="Times New Roman"/>
                <w:sz w:val="18"/>
              </w:rPr>
              <w:t>5.7,</w:t>
            </w:r>
            <w:r>
              <w:rPr>
                <w:rFonts w:ascii="Times New Roman"/>
                <w:spacing w:val="-3"/>
                <w:sz w:val="18"/>
              </w:rPr>
              <w:t> </w:t>
            </w:r>
            <w:r>
              <w:rPr>
                <w:rFonts w:ascii="Times New Roman"/>
                <w:sz w:val="18"/>
              </w:rPr>
              <w:t>Komplek</w:t>
            </w:r>
            <w:r>
              <w:rPr>
                <w:rFonts w:ascii="Times New Roman"/>
                <w:sz w:val="18"/>
              </w:rPr>
              <w:t> Banjar</w:t>
            </w:r>
            <w:r>
              <w:rPr>
                <w:rFonts w:ascii="Times New Roman"/>
                <w:spacing w:val="-1"/>
                <w:sz w:val="18"/>
              </w:rPr>
              <w:t> </w:t>
            </w:r>
            <w:r>
              <w:rPr>
                <w:rFonts w:ascii="Times New Roman"/>
                <w:sz w:val="18"/>
              </w:rPr>
              <w:t>Indah</w:t>
            </w:r>
            <w:r>
              <w:rPr>
                <w:rFonts w:ascii="Times New Roman"/>
                <w:sz w:val="18"/>
              </w:rPr>
              <w:t> Permai</w:t>
            </w:r>
            <w:r>
              <w:rPr>
                <w:rFonts w:ascii="Times New Roman"/>
                <w:spacing w:val="-1"/>
                <w:sz w:val="18"/>
              </w:rPr>
              <w:t> </w:t>
            </w:r>
            <w:r>
              <w:rPr>
                <w:rFonts w:ascii="Times New Roman"/>
                <w:sz w:val="18"/>
              </w:rPr>
              <w:t>No.54</w:t>
            </w:r>
            <w:r>
              <w:rPr>
                <w:rFonts w:ascii="Times New Roman"/>
                <w:sz w:val="18"/>
              </w:rPr>
              <w:t> </w:t>
            </w:r>
            <w:r>
              <w:rPr>
                <w:rFonts w:ascii="Times New Roman"/>
                <w:spacing w:val="-4"/>
                <w:sz w:val="18"/>
              </w:rPr>
              <w:t>RT.064,</w:t>
            </w:r>
            <w:r>
              <w:rPr>
                <w:rFonts w:ascii="Times New Roman"/>
                <w:spacing w:val="1"/>
                <w:sz w:val="18"/>
              </w:rPr>
              <w:t> </w:t>
            </w:r>
            <w:r>
              <w:rPr>
                <w:rFonts w:ascii="Times New Roman"/>
                <w:sz w:val="18"/>
              </w:rPr>
              <w:t>Kel.</w:t>
            </w:r>
          </w:p>
          <w:p>
            <w:pPr>
              <w:pStyle w:val="TableParagraph"/>
              <w:spacing w:line="362" w:lineRule="auto" w:before="3"/>
              <w:ind w:left="23" w:right="133"/>
              <w:jc w:val="left"/>
              <w:rPr>
                <w:rFonts w:ascii="Times New Roman" w:hAnsi="Times New Roman" w:cs="Times New Roman" w:eastAsia="Times New Roman" w:hint="default"/>
                <w:sz w:val="18"/>
                <w:szCs w:val="18"/>
              </w:rPr>
            </w:pPr>
            <w:r>
              <w:rPr>
                <w:rFonts w:ascii="Times New Roman"/>
                <w:sz w:val="18"/>
              </w:rPr>
              <w:t>Pemurus</w:t>
            </w:r>
            <w:r>
              <w:rPr>
                <w:rFonts w:ascii="Times New Roman"/>
                <w:spacing w:val="-5"/>
                <w:sz w:val="18"/>
              </w:rPr>
              <w:t> </w:t>
            </w:r>
            <w:r>
              <w:rPr>
                <w:rFonts w:ascii="Times New Roman"/>
                <w:sz w:val="18"/>
              </w:rPr>
              <w:t>Dalam,</w:t>
            </w:r>
            <w:r>
              <w:rPr>
                <w:rFonts w:ascii="Times New Roman"/>
                <w:sz w:val="18"/>
              </w:rPr>
              <w:t> Banjarmasin</w:t>
            </w:r>
            <w:r>
              <w:rPr>
                <w:rFonts w:ascii="Times New Roman"/>
                <w:w w:val="99"/>
                <w:sz w:val="18"/>
              </w:rPr>
              <w:t> </w:t>
            </w:r>
            <w:r>
              <w:rPr>
                <w:rFonts w:ascii="Times New Roman"/>
                <w:sz w:val="18"/>
              </w:rPr>
              <w:t>70248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煤矿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7"/>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PT.Madani </w:t>
            </w:r>
            <w:r>
              <w:rPr>
                <w:rFonts w:ascii="Times New Roman" w:hAnsi="Times New Roman" w:cs="Times New Roman" w:eastAsia="Times New Roman" w:hint="default"/>
                <w:spacing w:val="-4"/>
                <w:sz w:val="18"/>
                <w:szCs w:val="18"/>
              </w:rPr>
              <w:t>sejahtera</w:t>
            </w:r>
            <w:r>
              <w:rPr>
                <w:rFonts w:ascii="宋体" w:hAnsi="宋体" w:cs="宋体" w:eastAsia="宋体" w:hint="default"/>
                <w:spacing w:val="-4"/>
                <w:sz w:val="18"/>
                <w:szCs w:val="18"/>
              </w:rPr>
              <w:t>（恒顺印</w:t>
            </w:r>
            <w:r>
              <w:rPr>
                <w:rFonts w:ascii="宋体" w:hAnsi="宋体" w:cs="宋体" w:eastAsia="宋体" w:hint="default"/>
                <w:spacing w:val="-87"/>
                <w:sz w:val="18"/>
                <w:szCs w:val="18"/>
              </w:rPr>
              <w:t> </w:t>
            </w:r>
            <w:r>
              <w:rPr>
                <w:rFonts w:ascii="宋体" w:hAnsi="宋体" w:cs="宋体" w:eastAsia="宋体" w:hint="default"/>
                <w:sz w:val="18"/>
                <w:szCs w:val="18"/>
              </w:rPr>
              <w:t>尼苏岛镍矿公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6" w:right="70"/>
              <w:jc w:val="left"/>
              <w:rPr>
                <w:rFonts w:ascii="宋体" w:hAnsi="宋体" w:cs="宋体" w:eastAsia="宋体" w:hint="default"/>
                <w:sz w:val="18"/>
                <w:szCs w:val="18"/>
              </w:rPr>
            </w:pPr>
            <w:r>
              <w:rPr>
                <w:rFonts w:ascii="宋体" w:hAnsi="宋体" w:cs="宋体" w:eastAsia="宋体" w:hint="default"/>
                <w:sz w:val="18"/>
                <w:szCs w:val="18"/>
              </w:rPr>
              <w:t>矿的开采及其他 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9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PT.Transon</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Daya</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sz w:val="18"/>
                <w:szCs w:val="18"/>
              </w:rPr>
              <w:t>Indomining</w:t>
            </w:r>
            <w:r>
              <w:rPr>
                <w:rFonts w:ascii="宋体" w:hAnsi="宋体" w:cs="宋体" w:eastAsia="宋体" w:hint="default"/>
                <w:spacing w:val="-6"/>
                <w:sz w:val="18"/>
                <w:szCs w:val="18"/>
              </w:rPr>
              <w:t>（恒顺</w:t>
            </w:r>
            <w:r>
              <w:rPr>
                <w:rFonts w:ascii="宋体" w:hAnsi="宋体" w:cs="宋体" w:eastAsia="宋体" w:hint="default"/>
                <w:spacing w:val="-79"/>
                <w:sz w:val="18"/>
                <w:szCs w:val="18"/>
              </w:rPr>
              <w:t> </w:t>
            </w:r>
            <w:r>
              <w:rPr>
                <w:rFonts w:ascii="宋体" w:hAnsi="宋体" w:cs="宋体" w:eastAsia="宋体" w:hint="default"/>
                <w:sz w:val="18"/>
                <w:szCs w:val="18"/>
              </w:rPr>
              <w:t>印尼矿业服务有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50"/>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Energy</w:t>
            </w:r>
            <w:r>
              <w:rPr>
                <w:rFonts w:ascii="Times New Roman"/>
                <w:spacing w:val="-9"/>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炭能源有限公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52"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96"/>
              <w:jc w:val="left"/>
              <w:rPr>
                <w:rFonts w:ascii="Times New Roman" w:hAnsi="Times New Roman" w:cs="Times New Roman" w:eastAsia="Times New Roman" w:hint="default"/>
                <w:sz w:val="18"/>
                <w:szCs w:val="18"/>
              </w:rPr>
            </w:pPr>
            <w:r>
              <w:rPr>
                <w:rFonts w:ascii="Times New Roman"/>
                <w:sz w:val="18"/>
              </w:rPr>
              <w:t>H&amp;Shun</w:t>
            </w:r>
            <w:r>
              <w:rPr>
                <w:rFonts w:ascii="Times New Roman"/>
                <w:spacing w:val="-2"/>
                <w:sz w:val="18"/>
              </w:rPr>
              <w:t> </w:t>
            </w:r>
            <w:r>
              <w:rPr>
                <w:rFonts w:ascii="Times New Roman"/>
                <w:sz w:val="18"/>
              </w:rPr>
              <w:t>Coal</w:t>
            </w:r>
            <w:r>
              <w:rPr>
                <w:rFonts w:ascii="Times New Roman"/>
                <w:sz w:val="18"/>
              </w:rPr>
              <w:t> Resource</w:t>
            </w:r>
            <w:r>
              <w:rPr>
                <w:rFonts w:ascii="Times New Roman"/>
                <w:spacing w:val="-5"/>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（恒顺新加坡煤</w:t>
            </w:r>
          </w:p>
          <w:p>
            <w:pPr>
              <w:pStyle w:val="TableParagraph"/>
              <w:spacing w:line="316" w:lineRule="auto" w:before="76"/>
              <w:ind w:left="24" w:right="255"/>
              <w:jc w:val="left"/>
              <w:rPr>
                <w:rFonts w:ascii="宋体" w:hAnsi="宋体" w:cs="宋体" w:eastAsia="宋体" w:hint="default"/>
                <w:sz w:val="18"/>
                <w:szCs w:val="18"/>
              </w:rPr>
            </w:pPr>
            <w:r>
              <w:rPr>
                <w:rFonts w:ascii="宋体" w:hAnsi="宋体" w:cs="宋体" w:eastAsia="宋体" w:hint="default"/>
                <w:sz w:val="18"/>
                <w:szCs w:val="18"/>
              </w:rPr>
              <w:t>炭资源有限公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投资控股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Transon</w:t>
            </w:r>
            <w:r>
              <w:rPr>
                <w:rFonts w:ascii="Times New Roman" w:hAnsi="Times New Roman" w:cs="Times New Roman" w:eastAsia="Times New Roman" w:hint="default"/>
                <w:sz w:val="18"/>
                <w:szCs w:val="18"/>
              </w:rPr>
              <w:t> Mining </w:t>
            </w:r>
            <w:r>
              <w:rPr>
                <w:rFonts w:ascii="Times New Roman" w:hAnsi="Times New Roman" w:cs="Times New Roman" w:eastAsia="Times New Roman" w:hint="default"/>
                <w:spacing w:val="-2"/>
                <w:sz w:val="18"/>
                <w:szCs w:val="18"/>
              </w:rPr>
              <w:t>Development</w:t>
            </w:r>
            <w:r>
              <w:rPr>
                <w:rFonts w:ascii="宋体" w:hAnsi="宋体" w:cs="宋体" w:eastAsia="宋体" w:hint="default"/>
                <w:spacing w:val="-2"/>
                <w:sz w:val="18"/>
                <w:szCs w:val="18"/>
              </w:rPr>
              <w:t>（恒</w:t>
            </w:r>
            <w:r>
              <w:rPr>
                <w:rFonts w:ascii="宋体" w:hAnsi="宋体" w:cs="宋体" w:eastAsia="宋体" w:hint="default"/>
                <w:spacing w:val="-82"/>
                <w:sz w:val="18"/>
                <w:szCs w:val="18"/>
              </w:rPr>
              <w:t> </w:t>
            </w:r>
            <w:r>
              <w:rPr>
                <w:rFonts w:ascii="宋体" w:hAnsi="宋体" w:cs="宋体" w:eastAsia="宋体" w:hint="default"/>
                <w:sz w:val="18"/>
                <w:szCs w:val="18"/>
              </w:rPr>
              <w:t>顺印尼安宁公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61"/>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3"/>
                <w:sz w:val="18"/>
              </w:rPr>
              <w:t> </w:t>
            </w:r>
            <w:r>
              <w:rPr>
                <w:rFonts w:ascii="Times New Roman"/>
                <w:sz w:val="18"/>
              </w:rPr>
              <w:t>Transon</w:t>
            </w:r>
            <w:r>
              <w:rPr>
                <w:rFonts w:ascii="Times New Roman"/>
                <w:sz w:val="18"/>
              </w:rPr>
              <w:t> Global</w:t>
            </w:r>
            <w:r>
              <w:rPr>
                <w:rFonts w:ascii="Times New Roman"/>
                <w:spacing w:val="-5"/>
                <w:sz w:val="18"/>
              </w:rPr>
              <w:t> </w:t>
            </w:r>
            <w:r>
              <w:rPr>
                <w:rFonts w:ascii="Times New Roman"/>
                <w:sz w:val="18"/>
              </w:rPr>
              <w:t>Resources</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76"/>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6"/>
                <w:sz w:val="18"/>
              </w:rPr>
              <w:t> </w:t>
            </w:r>
            <w:r>
              <w:rPr>
                <w:rFonts w:ascii="Times New Roman"/>
                <w:sz w:val="18"/>
              </w:rPr>
              <w:t>2</w:t>
            </w:r>
            <w:r>
              <w:rPr>
                <w:rFonts w:ascii="Times New Roman"/>
                <w:w w:val="99"/>
                <w:sz w:val="18"/>
              </w:rPr>
              <w:t> </w:t>
            </w:r>
            <w:r>
              <w:rPr>
                <w:rFonts w:ascii="Times New Roman"/>
                <w:sz w:val="18"/>
              </w:rPr>
              <w:t>Lt.20,</w:t>
            </w:r>
            <w:r>
              <w:rPr>
                <w:rFonts w:ascii="Times New Roman"/>
                <w:spacing w:val="-4"/>
                <w:sz w:val="18"/>
              </w:rPr>
              <w:t> </w:t>
            </w:r>
            <w:r>
              <w:rPr>
                <w:rFonts w:ascii="Times New Roman"/>
                <w:sz w:val="18"/>
              </w:rPr>
              <w:t>Mega</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173"/>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6"/>
                <w:sz w:val="18"/>
              </w:rPr>
              <w:t> </w:t>
            </w:r>
            <w:r>
              <w:rPr>
                <w:rFonts w:ascii="Times New Roman"/>
                <w:sz w:val="18"/>
              </w:rPr>
              <w:t>2</w:t>
            </w:r>
            <w:r>
              <w:rPr>
                <w:rFonts w:ascii="Times New Roman"/>
                <w:w w:val="99"/>
                <w:sz w:val="18"/>
              </w:rPr>
              <w:t> </w:t>
            </w:r>
            <w:r>
              <w:rPr>
                <w:rFonts w:ascii="Times New Roman"/>
                <w:sz w:val="18"/>
              </w:rPr>
              <w:t>Lt.20,</w:t>
            </w:r>
            <w:r>
              <w:rPr>
                <w:rFonts w:ascii="Times New Roman"/>
                <w:spacing w:val="-4"/>
                <w:sz w:val="18"/>
              </w:rPr>
              <w:t> </w:t>
            </w:r>
            <w:r>
              <w:rPr>
                <w:rFonts w:ascii="Times New Roman"/>
                <w:sz w:val="18"/>
              </w:rPr>
              <w:t>Mega</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矿山服务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间接投资</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330.670013pt;margin-top:106.219986pt;width:67.8pt;height:35.7pt;mso-position-horizontal-relative:page;mso-position-vertical-relative:page;z-index:-892672" coordorigin="6613,2124" coordsize="1356,714">
            <v:group style="position:absolute;left:6613;top:2124;width:1356;height:312" coordorigin="6613,2124" coordsize="1356,312">
              <v:shape style="position:absolute;left:6613;top:2124;width:1356;height:312" coordorigin="6613,2124" coordsize="1356,312" path="m6613,2436l7969,2436,7969,2124,6613,2124,6613,2436xe" filled="true" fillcolor="#ffffff" stroked="false">
                <v:path arrowok="t"/>
                <v:fill type="solid"/>
              </v:shape>
            </v:group>
            <v:group style="position:absolute;left:6624;top:2436;width:2;height:392" coordorigin="6624,2436" coordsize="2,392">
              <v:shape style="position:absolute;left:6624;top:2436;width:2;height:392" coordorigin="6624,2436" coordsize="0,392" path="m6624,2436l6624,2828e" filled="false" stroked="true" strokeweight="1.08pt" strokecolor="#ffffff">
                <v:path arrowok="t"/>
              </v:shape>
            </v:group>
            <v:group style="position:absolute;left:6635;top:2436;width:1311;height:392" coordorigin="6635,2436" coordsize="1311,392">
              <v:shape style="position:absolute;left:6635;top:2436;width:1311;height:392" coordorigin="6635,2436" coordsize="1311,392" path="m6635,2828l7945,2828,7945,2436,6635,2436,6635,282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75"/>
              <w:jc w:val="left"/>
              <w:rPr>
                <w:rFonts w:ascii="宋体" w:hAnsi="宋体" w:cs="宋体" w:eastAsia="宋体" w:hint="default"/>
                <w:sz w:val="18"/>
                <w:szCs w:val="18"/>
              </w:rPr>
            </w:pPr>
            <w:r>
              <w:rPr>
                <w:rFonts w:ascii="宋体" w:hAnsi="宋体" w:cs="宋体" w:eastAsia="宋体" w:hint="default"/>
                <w:sz w:val="18"/>
                <w:szCs w:val="18"/>
              </w:rPr>
              <w:t>（恒顺印尼环宇 资源公司）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25"/>
              <w:jc w:val="left"/>
              <w:rPr>
                <w:rFonts w:ascii="Times New Roman" w:hAnsi="Times New Roman" w:cs="Times New Roman" w:eastAsia="Times New Roman" w:hint="default"/>
                <w:sz w:val="18"/>
                <w:szCs w:val="18"/>
              </w:rPr>
            </w:pPr>
            <w:r>
              <w:rPr>
                <w:rFonts w:ascii="Times New Roman"/>
                <w:sz w:val="18"/>
              </w:rPr>
              <w:t>Kuningan,</w:t>
            </w:r>
            <w:r>
              <w:rPr>
                <w:rFonts w:ascii="Times New Roman"/>
                <w:spacing w:val="-6"/>
                <w:sz w:val="18"/>
              </w:rPr>
              <w:t> </w:t>
            </w:r>
            <w:r>
              <w:rPr>
                <w:rFonts w:ascii="Times New Roman"/>
                <w:sz w:val="18"/>
              </w:rPr>
              <w:t>Jakarta</w:t>
            </w:r>
            <w:r>
              <w:rPr>
                <w:rFonts w:ascii="Times New Roman"/>
                <w:sz w:val="18"/>
              </w:rPr>
              <w:t> Selatan.12951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3" w:right="22"/>
              <w:jc w:val="left"/>
              <w:rPr>
                <w:rFonts w:ascii="Times New Roman" w:hAnsi="Times New Roman" w:cs="Times New Roman" w:eastAsia="Times New Roman" w:hint="default"/>
                <w:sz w:val="18"/>
                <w:szCs w:val="18"/>
              </w:rPr>
            </w:pPr>
            <w:r>
              <w:rPr>
                <w:rFonts w:ascii="Times New Roman"/>
                <w:sz w:val="18"/>
              </w:rPr>
              <w:t>Kuningan,</w:t>
            </w:r>
            <w:r>
              <w:rPr>
                <w:rFonts w:ascii="Times New Roman"/>
                <w:spacing w:val="-6"/>
                <w:sz w:val="18"/>
              </w:rPr>
              <w:t> </w:t>
            </w:r>
            <w:r>
              <w:rPr>
                <w:rFonts w:ascii="Times New Roman"/>
                <w:sz w:val="18"/>
              </w:rPr>
              <w:t>Jakarta</w:t>
            </w:r>
            <w:r>
              <w:rPr>
                <w:rFonts w:ascii="Times New Roman"/>
                <w:sz w:val="18"/>
              </w:rPr>
              <w:t> Selatan.12951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青岛恒顺众昇实 业有限公司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08"/>
              <w:jc w:val="left"/>
              <w:rPr>
                <w:rFonts w:ascii="宋体" w:hAnsi="宋体" w:cs="宋体" w:eastAsia="宋体" w:hint="default"/>
                <w:sz w:val="18"/>
                <w:szCs w:val="18"/>
              </w:rPr>
            </w:pPr>
            <w:r>
              <w:rPr>
                <w:rFonts w:ascii="宋体" w:hAnsi="宋体" w:cs="宋体" w:eastAsia="宋体" w:hint="default"/>
                <w:spacing w:val="-6"/>
                <w:sz w:val="18"/>
                <w:szCs w:val="18"/>
              </w:rPr>
              <w:t>工程承包、施工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建筑安装</w:t>
            </w:r>
          </w:p>
        </w:tc>
        <w:tc>
          <w:tcPr>
            <w:tcW w:w="3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w:t>
            </w: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青岛恒顺众昇进 出口有限公司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货物、技术、代 理进出口</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75"/>
              <w:jc w:val="left"/>
              <w:rPr>
                <w:rFonts w:ascii="宋体" w:hAnsi="宋体" w:cs="宋体" w:eastAsia="宋体" w:hint="default"/>
                <w:sz w:val="18"/>
                <w:szCs w:val="18"/>
              </w:rPr>
            </w:pPr>
            <w:r>
              <w:rPr>
                <w:rFonts w:ascii="宋体" w:hAnsi="宋体" w:cs="宋体" w:eastAsia="宋体" w:hint="default"/>
                <w:sz w:val="18"/>
                <w:szCs w:val="18"/>
              </w:rPr>
              <w:t>青岛恒顺众昇矿 产资源有限公司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6" w:right="70"/>
              <w:jc w:val="left"/>
              <w:rPr>
                <w:rFonts w:ascii="宋体" w:hAnsi="宋体" w:cs="宋体" w:eastAsia="宋体" w:hint="default"/>
                <w:sz w:val="18"/>
                <w:szCs w:val="18"/>
              </w:rPr>
            </w:pPr>
            <w:r>
              <w:rPr>
                <w:rFonts w:ascii="宋体" w:hAnsi="宋体" w:cs="宋体" w:eastAsia="宋体" w:hint="default"/>
                <w:sz w:val="18"/>
                <w:szCs w:val="18"/>
              </w:rPr>
              <w:t>矿产资源开发、 加工</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75"/>
              <w:jc w:val="left"/>
              <w:rPr>
                <w:rFonts w:ascii="宋体" w:hAnsi="宋体" w:cs="宋体" w:eastAsia="宋体" w:hint="default"/>
                <w:sz w:val="18"/>
                <w:szCs w:val="18"/>
              </w:rPr>
            </w:pPr>
            <w:r>
              <w:rPr>
                <w:rFonts w:ascii="宋体" w:hAnsi="宋体" w:cs="宋体" w:eastAsia="宋体" w:hint="default"/>
                <w:sz w:val="18"/>
                <w:szCs w:val="18"/>
              </w:rPr>
              <w:t>青岛恒顺众昇电 气制造有限公司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青岛市城阳区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71"/>
              <w:jc w:val="both"/>
              <w:rPr>
                <w:rFonts w:ascii="宋体" w:hAnsi="宋体" w:cs="宋体" w:eastAsia="宋体" w:hint="default"/>
                <w:sz w:val="18"/>
                <w:szCs w:val="18"/>
              </w:rPr>
            </w:pPr>
            <w:r>
              <w:rPr>
                <w:rFonts w:ascii="宋体" w:hAnsi="宋体" w:cs="宋体" w:eastAsia="宋体" w:hint="default"/>
                <w:sz w:val="18"/>
                <w:szCs w:val="18"/>
              </w:rPr>
              <w:t>山东省青岛市城 阳区流亭街道空 港产业聚集区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电力设备的研 发、生产制造、 安装、调试、销 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258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22"/>
              <w:jc w:val="left"/>
              <w:rPr>
                <w:rFonts w:ascii="Times New Roman" w:hAnsi="Times New Roman" w:cs="Times New Roman" w:eastAsia="Times New Roman" w:hint="default"/>
                <w:sz w:val="18"/>
                <w:szCs w:val="18"/>
              </w:rPr>
            </w:pPr>
            <w:r>
              <w:rPr>
                <w:rFonts w:ascii="Times New Roman"/>
                <w:sz w:val="18"/>
              </w:rPr>
              <w:t>Qingdao Hengshun Zhongsheng Group South Africa(PTY)</w:t>
            </w:r>
            <w:r>
              <w:rPr>
                <w:rFonts w:ascii="Times New Roman"/>
                <w:spacing w:val="-4"/>
                <w:sz w:val="18"/>
              </w:rPr>
              <w:t> </w:t>
            </w:r>
            <w:r>
              <w:rPr>
                <w:rFonts w:ascii="Times New Roman"/>
                <w:sz w:val="18"/>
              </w:rPr>
              <w:t>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（青岛恒顺众昇</w:t>
            </w:r>
          </w:p>
          <w:p>
            <w:pPr>
              <w:pStyle w:val="TableParagraph"/>
              <w:spacing w:line="316" w:lineRule="auto" w:before="76"/>
              <w:ind w:left="24" w:right="75"/>
              <w:jc w:val="left"/>
              <w:rPr>
                <w:rFonts w:ascii="宋体" w:hAnsi="宋体" w:cs="宋体" w:eastAsia="宋体" w:hint="default"/>
                <w:sz w:val="18"/>
                <w:szCs w:val="18"/>
              </w:rPr>
            </w:pPr>
            <w:r>
              <w:rPr>
                <w:rFonts w:ascii="宋体" w:hAnsi="宋体" w:cs="宋体" w:eastAsia="宋体" w:hint="default"/>
                <w:sz w:val="18"/>
                <w:szCs w:val="18"/>
              </w:rPr>
              <w:t>集团南非有限公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24"/>
              <w:jc w:val="left"/>
              <w:rPr>
                <w:rFonts w:ascii="Times New Roman" w:hAnsi="Times New Roman" w:cs="Times New Roman" w:eastAsia="Times New Roman" w:hint="default"/>
                <w:sz w:val="18"/>
                <w:szCs w:val="18"/>
              </w:rPr>
            </w:pPr>
            <w:r>
              <w:rPr>
                <w:rFonts w:ascii="Times New Roman"/>
                <w:sz w:val="18"/>
              </w:rPr>
              <w:t>ist floor</w:t>
            </w:r>
            <w:r>
              <w:rPr>
                <w:rFonts w:ascii="Times New Roman"/>
                <w:spacing w:val="-5"/>
                <w:sz w:val="18"/>
              </w:rPr>
              <w:t> </w:t>
            </w:r>
            <w:r>
              <w:rPr>
                <w:rFonts w:ascii="Times New Roman"/>
                <w:sz w:val="18"/>
              </w:rPr>
              <w:t>greystone</w:t>
            </w:r>
            <w:r>
              <w:rPr>
                <w:rFonts w:ascii="Times New Roman"/>
                <w:sz w:val="18"/>
              </w:rPr>
              <w:t> building</w:t>
            </w:r>
            <w:r>
              <w:rPr>
                <w:rFonts w:ascii="Times New Roman"/>
                <w:spacing w:val="-4"/>
                <w:sz w:val="18"/>
              </w:rPr>
              <w:t> </w:t>
            </w:r>
            <w:r>
              <w:rPr>
                <w:rFonts w:ascii="Times New Roman"/>
                <w:sz w:val="18"/>
              </w:rPr>
              <w:t>4</w:t>
            </w:r>
            <w:r>
              <w:rPr>
                <w:rFonts w:ascii="Times New Roman"/>
                <w:sz w:val="18"/>
              </w:rPr>
              <w:t> fourways</w:t>
            </w:r>
            <w:r>
              <w:rPr>
                <w:rFonts w:ascii="Times New Roman"/>
                <w:spacing w:val="-1"/>
                <w:sz w:val="18"/>
              </w:rPr>
              <w:t> </w:t>
            </w:r>
            <w:r>
              <w:rPr>
                <w:rFonts w:ascii="Times New Roman"/>
                <w:sz w:val="18"/>
              </w:rPr>
              <w:t>golf</w:t>
            </w:r>
            <w:r>
              <w:rPr>
                <w:rFonts w:ascii="Times New Roman"/>
                <w:sz w:val="18"/>
              </w:rPr>
              <w:t> park roos</w:t>
            </w:r>
            <w:r>
              <w:rPr>
                <w:rFonts w:ascii="Times New Roman"/>
                <w:spacing w:val="-1"/>
                <w:sz w:val="18"/>
              </w:rPr>
              <w:t> </w:t>
            </w:r>
            <w:r>
              <w:rPr>
                <w:rFonts w:ascii="Times New Roman"/>
                <w:sz w:val="18"/>
              </w:rPr>
              <w:t>street</w:t>
            </w:r>
            <w:r>
              <w:rPr>
                <w:rFonts w:ascii="Times New Roman"/>
                <w:sz w:val="18"/>
              </w:rPr>
              <w:t> fourways</w:t>
            </w:r>
            <w:r>
              <w:rPr>
                <w:rFonts w:ascii="Times New Roman"/>
                <w:w w:val="99"/>
                <w:sz w:val="18"/>
              </w:rPr>
              <w:t> </w:t>
            </w:r>
            <w:r>
              <w:rPr>
                <w:rFonts w:ascii="Times New Roman"/>
                <w:sz w:val="18"/>
              </w:rPr>
              <w:t>johannesburg</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3" w:right="21"/>
              <w:jc w:val="left"/>
              <w:rPr>
                <w:rFonts w:ascii="Times New Roman" w:hAnsi="Times New Roman" w:cs="Times New Roman" w:eastAsia="Times New Roman" w:hint="default"/>
                <w:sz w:val="18"/>
                <w:szCs w:val="18"/>
              </w:rPr>
            </w:pPr>
            <w:r>
              <w:rPr>
                <w:rFonts w:ascii="Times New Roman"/>
                <w:sz w:val="18"/>
              </w:rPr>
              <w:t>ist floor</w:t>
            </w:r>
            <w:r>
              <w:rPr>
                <w:rFonts w:ascii="Times New Roman"/>
                <w:spacing w:val="-5"/>
                <w:sz w:val="18"/>
              </w:rPr>
              <w:t> </w:t>
            </w:r>
            <w:r>
              <w:rPr>
                <w:rFonts w:ascii="Times New Roman"/>
                <w:sz w:val="18"/>
              </w:rPr>
              <w:t>greystone</w:t>
            </w:r>
            <w:r>
              <w:rPr>
                <w:rFonts w:ascii="Times New Roman"/>
                <w:sz w:val="18"/>
              </w:rPr>
              <w:t> building</w:t>
            </w:r>
            <w:r>
              <w:rPr>
                <w:rFonts w:ascii="Times New Roman"/>
                <w:spacing w:val="-4"/>
                <w:sz w:val="18"/>
              </w:rPr>
              <w:t> </w:t>
            </w:r>
            <w:r>
              <w:rPr>
                <w:rFonts w:ascii="Times New Roman"/>
                <w:sz w:val="18"/>
              </w:rPr>
              <w:t>4</w:t>
            </w:r>
            <w:r>
              <w:rPr>
                <w:rFonts w:ascii="Times New Roman"/>
                <w:sz w:val="18"/>
              </w:rPr>
              <w:t> fourways</w:t>
            </w:r>
            <w:r>
              <w:rPr>
                <w:rFonts w:ascii="Times New Roman"/>
                <w:spacing w:val="-1"/>
                <w:sz w:val="18"/>
              </w:rPr>
              <w:t> </w:t>
            </w:r>
            <w:r>
              <w:rPr>
                <w:rFonts w:ascii="Times New Roman"/>
                <w:sz w:val="18"/>
              </w:rPr>
              <w:t>golf</w:t>
            </w:r>
            <w:r>
              <w:rPr>
                <w:rFonts w:ascii="Times New Roman"/>
                <w:sz w:val="18"/>
              </w:rPr>
              <w:t> park roos</w:t>
            </w:r>
            <w:r>
              <w:rPr>
                <w:rFonts w:ascii="Times New Roman"/>
                <w:spacing w:val="-1"/>
                <w:sz w:val="18"/>
              </w:rPr>
              <w:t> </w:t>
            </w:r>
            <w:r>
              <w:rPr>
                <w:rFonts w:ascii="Times New Roman"/>
                <w:sz w:val="18"/>
              </w:rPr>
              <w:t>street</w:t>
            </w:r>
            <w:r>
              <w:rPr>
                <w:rFonts w:ascii="Times New Roman"/>
                <w:sz w:val="18"/>
              </w:rPr>
              <w:t> fourways</w:t>
            </w:r>
            <w:r>
              <w:rPr>
                <w:rFonts w:ascii="Times New Roman"/>
                <w:w w:val="99"/>
                <w:sz w:val="18"/>
              </w:rPr>
              <w:t> </w:t>
            </w:r>
            <w:r>
              <w:rPr>
                <w:rFonts w:ascii="Times New Roman"/>
                <w:sz w:val="18"/>
              </w:rPr>
              <w:t>johannesburg</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22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6"/>
              <w:jc w:val="left"/>
              <w:rPr>
                <w:rFonts w:ascii="Times New Roman" w:hAnsi="Times New Roman" w:cs="Times New Roman" w:eastAsia="Times New Roman" w:hint="default"/>
                <w:sz w:val="18"/>
                <w:szCs w:val="18"/>
              </w:rPr>
            </w:pPr>
            <w:r>
              <w:rPr>
                <w:rFonts w:ascii="Times New Roman"/>
                <w:sz w:val="18"/>
              </w:rPr>
              <w:t>Hengshun zhongsheng group Zimbabwe(Privat</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w:t>
            </w:r>
          </w:p>
          <w:p>
            <w:pPr>
              <w:pStyle w:val="TableParagraph"/>
              <w:spacing w:line="316" w:lineRule="auto" w:before="63"/>
              <w:ind w:left="24" w:right="75"/>
              <w:jc w:val="left"/>
              <w:rPr>
                <w:rFonts w:ascii="宋体" w:hAnsi="宋体" w:cs="宋体" w:eastAsia="宋体" w:hint="default"/>
                <w:sz w:val="18"/>
                <w:szCs w:val="18"/>
              </w:rPr>
            </w:pPr>
            <w:r>
              <w:rPr>
                <w:rFonts w:ascii="宋体" w:hAnsi="宋体" w:cs="宋体" w:eastAsia="宋体" w:hint="default"/>
                <w:sz w:val="18"/>
                <w:szCs w:val="18"/>
              </w:rPr>
              <w:t>众昇集团津巴布 韦有限公司）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3" w:right="52"/>
              <w:jc w:val="left"/>
              <w:rPr>
                <w:rFonts w:ascii="Times New Roman" w:hAnsi="Times New Roman" w:cs="Times New Roman" w:eastAsia="Times New Roman" w:hint="default"/>
                <w:sz w:val="18"/>
                <w:szCs w:val="18"/>
              </w:rPr>
            </w:pPr>
            <w:r>
              <w:rPr>
                <w:rFonts w:ascii="Times New Roman"/>
                <w:sz w:val="18"/>
              </w:rPr>
              <w:t>15 Harare</w:t>
            </w:r>
            <w:r>
              <w:rPr>
                <w:rFonts w:ascii="Times New Roman"/>
                <w:w w:val="99"/>
                <w:sz w:val="18"/>
              </w:rPr>
              <w:t> </w:t>
            </w:r>
            <w:r>
              <w:rPr>
                <w:rFonts w:ascii="Times New Roman"/>
                <w:sz w:val="18"/>
              </w:rPr>
              <w:t>Drive,Chisipite,H</w:t>
            </w:r>
            <w:r>
              <w:rPr>
                <w:rFonts w:ascii="Times New Roman"/>
                <w:w w:val="99"/>
                <w:sz w:val="18"/>
              </w:rPr>
              <w:t> </w:t>
            </w:r>
            <w:r>
              <w:rPr>
                <w:rFonts w:ascii="Times New Roman"/>
                <w:sz w:val="18"/>
              </w:rPr>
              <w:t>arare</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62" w:lineRule="auto"/>
              <w:ind w:left="23" w:right="49"/>
              <w:jc w:val="left"/>
              <w:rPr>
                <w:rFonts w:ascii="Times New Roman" w:hAnsi="Times New Roman" w:cs="Times New Roman" w:eastAsia="Times New Roman" w:hint="default"/>
                <w:sz w:val="18"/>
                <w:szCs w:val="18"/>
              </w:rPr>
            </w:pPr>
            <w:r>
              <w:rPr>
                <w:rFonts w:ascii="Times New Roman"/>
                <w:sz w:val="18"/>
              </w:rPr>
              <w:t>15 Harare</w:t>
            </w:r>
            <w:r>
              <w:rPr>
                <w:rFonts w:ascii="Times New Roman"/>
                <w:w w:val="99"/>
                <w:sz w:val="18"/>
              </w:rPr>
              <w:t> </w:t>
            </w:r>
            <w:r>
              <w:rPr>
                <w:rFonts w:ascii="Times New Roman"/>
                <w:sz w:val="18"/>
              </w:rPr>
              <w:t>Drive,Chisipite,H</w:t>
            </w:r>
            <w:r>
              <w:rPr>
                <w:rFonts w:ascii="Times New Roman"/>
                <w:w w:val="99"/>
                <w:sz w:val="18"/>
              </w:rPr>
              <w:t> </w:t>
            </w:r>
            <w:r>
              <w:rPr>
                <w:rFonts w:ascii="Times New Roman"/>
                <w:sz w:val="18"/>
              </w:rPr>
              <w:t>arare</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91"/>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Protea</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2"/>
                <w:sz w:val="18"/>
                <w:szCs w:val="18"/>
              </w:rPr>
              <w:t>PTE.LTD.</w:t>
            </w:r>
            <w:r>
              <w:rPr>
                <w:rFonts w:ascii="宋体" w:hAnsi="宋体" w:cs="宋体" w:eastAsia="宋体" w:hint="default"/>
                <w:spacing w:val="-2"/>
                <w:sz w:val="18"/>
                <w:szCs w:val="18"/>
              </w:rPr>
              <w:t>（恒顺</w:t>
            </w:r>
          </w:p>
          <w:p>
            <w:pPr>
              <w:pStyle w:val="TableParagraph"/>
              <w:spacing w:line="316" w:lineRule="auto" w:before="3"/>
              <w:ind w:left="24" w:right="75"/>
              <w:jc w:val="left"/>
              <w:rPr>
                <w:rFonts w:ascii="宋体" w:hAnsi="宋体" w:cs="宋体" w:eastAsia="宋体" w:hint="default"/>
                <w:sz w:val="18"/>
                <w:szCs w:val="18"/>
              </w:rPr>
            </w:pPr>
            <w:r>
              <w:rPr>
                <w:rFonts w:ascii="宋体" w:hAnsi="宋体" w:cs="宋体" w:eastAsia="宋体" w:hint="default"/>
                <w:sz w:val="18"/>
                <w:szCs w:val="18"/>
              </w:rPr>
              <w:t>新加坡普帝控股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4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43"/>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7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z w:val="18"/>
                <w:szCs w:val="18"/>
              </w:rPr>
              <w:t> Morowali Utama(</w:t>
            </w:r>
            <w:r>
              <w:rPr>
                <w:rFonts w:ascii="宋体" w:hAnsi="宋体" w:cs="宋体" w:eastAsia="宋体" w:hint="default"/>
                <w:sz w:val="18"/>
                <w:szCs w:val="18"/>
              </w:rPr>
              <w:t>恒顺印尼 中苏镍矿公司</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5"/>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2"/>
              <w:jc w:val="left"/>
              <w:rPr>
                <w:rFonts w:ascii="Times New Roman" w:hAnsi="Times New Roman" w:cs="Times New Roman" w:eastAsia="Times New Roman" w:hint="default"/>
                <w:sz w:val="18"/>
                <w:szCs w:val="18"/>
              </w:rPr>
            </w:pPr>
            <w:r>
              <w:rPr>
                <w:rFonts w:ascii="Times New Roman"/>
                <w:sz w:val="18"/>
              </w:rPr>
              <w:t>Menara Prima</w:t>
            </w:r>
            <w:r>
              <w:rPr>
                <w:rFonts w:ascii="Times New Roman"/>
                <w:spacing w:val="-4"/>
                <w:sz w:val="18"/>
              </w:rPr>
              <w:t> </w:t>
            </w:r>
            <w:r>
              <w:rPr>
                <w:rFonts w:ascii="Times New Roman"/>
                <w:sz w:val="18"/>
              </w:rPr>
              <w:t>2</w:t>
            </w:r>
            <w:r>
              <w:rPr>
                <w:rFonts w:ascii="Times New Roman"/>
                <w:w w:val="99"/>
                <w:sz w:val="18"/>
              </w:rPr>
              <w:t> </w:t>
            </w:r>
            <w:r>
              <w:rPr>
                <w:rFonts w:ascii="Times New Roman"/>
                <w:sz w:val="18"/>
              </w:rPr>
              <w:t>Lt.20,</w:t>
            </w:r>
            <w:r>
              <w:rPr>
                <w:rFonts w:ascii="Times New Roman"/>
                <w:spacing w:val="-1"/>
                <w:sz w:val="18"/>
              </w:rPr>
              <w:t> </w:t>
            </w:r>
            <w:r>
              <w:rPr>
                <w:rFonts w:ascii="Times New Roman"/>
                <w:sz w:val="18"/>
              </w:rPr>
              <w:t>Mega</w:t>
            </w:r>
            <w:r>
              <w:rPr>
                <w:rFonts w:ascii="Times New Roman"/>
                <w:sz w:val="18"/>
              </w:rPr>
              <w:t> Kuningan,</w:t>
            </w:r>
            <w:r>
              <w:rPr>
                <w:rFonts w:ascii="Times New Roman"/>
                <w:spacing w:val="-6"/>
                <w:sz w:val="18"/>
              </w:rPr>
              <w:t> </w:t>
            </w:r>
            <w:r>
              <w:rPr>
                <w:rFonts w:ascii="Times New Roman"/>
                <w:sz w:val="18"/>
              </w:rPr>
              <w:t>Jakarta</w:t>
            </w:r>
            <w:r>
              <w:rPr>
                <w:rFonts w:ascii="Times New Roman"/>
                <w:sz w:val="18"/>
              </w:rPr>
              <w:t> Selatan.12950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采矿</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并购</w:t>
            </w:r>
          </w:p>
        </w:tc>
      </w:tr>
      <w:tr>
        <w:trPr>
          <w:trHeight w:val="129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7"/>
              <w:jc w:val="left"/>
              <w:rPr>
                <w:rFonts w:ascii="Times New Roman" w:hAnsi="Times New Roman" w:cs="Times New Roman" w:eastAsia="Times New Roman" w:hint="default"/>
                <w:sz w:val="18"/>
                <w:szCs w:val="18"/>
              </w:rPr>
            </w:pPr>
            <w:r>
              <w:rPr>
                <w:rFonts w:ascii="Times New Roman"/>
                <w:sz w:val="18"/>
              </w:rPr>
              <w:t>Holywin investment</w:t>
            </w:r>
          </w:p>
          <w:p>
            <w:pPr>
              <w:pStyle w:val="TableParagraph"/>
              <w:spacing w:line="21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z w:val="18"/>
                <w:szCs w:val="18"/>
              </w:rPr>
              <w:t>te.lt</w:t>
            </w:r>
            <w:r>
              <w:rPr>
                <w:rFonts w:ascii="Times New Roman" w:hAnsi="Times New Roman" w:cs="Times New Roman" w:eastAsia="Times New Roman" w:hint="default"/>
                <w:spacing w:val="-39"/>
                <w:sz w:val="18"/>
                <w:szCs w:val="18"/>
              </w:rPr>
              <w:t>d</w:t>
            </w:r>
            <w:r>
              <w:rPr>
                <w:rFonts w:ascii="宋体" w:hAnsi="宋体" w:cs="宋体" w:eastAsia="宋体" w:hint="default"/>
                <w:spacing w:val="-143"/>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恒顺新加</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坡圣赢投资有限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60" w:lineRule="auto"/>
              <w:ind w:left="23" w:right="46"/>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60" w:lineRule="auto"/>
              <w:ind w:left="23" w:right="43"/>
              <w:jc w:val="left"/>
              <w:rPr>
                <w:rFonts w:ascii="Times New Roman" w:hAnsi="Times New Roman" w:cs="Times New Roman" w:eastAsia="Times New Roman" w:hint="default"/>
                <w:sz w:val="18"/>
                <w:szCs w:val="18"/>
              </w:rPr>
            </w:pPr>
            <w:r>
              <w:rPr>
                <w:rFonts w:ascii="Times New Roman"/>
                <w:sz w:val="18"/>
              </w:rPr>
              <w:t>24Ean kiam</w:t>
            </w:r>
            <w:r>
              <w:rPr>
                <w:rFonts w:ascii="Times New Roman"/>
                <w:spacing w:val="-7"/>
                <w:sz w:val="18"/>
              </w:rPr>
              <w:t> </w:t>
            </w:r>
            <w:r>
              <w:rPr>
                <w:rFonts w:ascii="Times New Roman"/>
                <w:sz w:val="18"/>
              </w:rPr>
              <w:t>place</w:t>
            </w:r>
            <w:r>
              <w:rPr>
                <w:rFonts w:ascii="Times New Roman"/>
                <w:sz w:val="18"/>
              </w:rPr>
              <w:t> singapore (429115)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并购</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并购</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425"/>
        <w:gridCol w:w="943"/>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北京科程物联网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北京市东城区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3" w:right="67"/>
              <w:jc w:val="both"/>
              <w:rPr>
                <w:rFonts w:ascii="宋体" w:hAnsi="宋体" w:cs="宋体" w:eastAsia="宋体" w:hint="default"/>
                <w:sz w:val="18"/>
                <w:szCs w:val="18"/>
              </w:rPr>
            </w:pPr>
            <w:r>
              <w:rPr>
                <w:rFonts w:ascii="宋体" w:hAnsi="宋体" w:cs="宋体" w:eastAsia="宋体" w:hint="default"/>
                <w:sz w:val="18"/>
                <w:szCs w:val="18"/>
              </w:rPr>
              <w:t>北京市东城区东 长安街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号东方 广场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 技术服务、计算 机系统服务、数 据处理等</w:t>
            </w:r>
          </w:p>
        </w:tc>
        <w:tc>
          <w:tcPr>
            <w:tcW w:w="425" w:type="dxa"/>
            <w:tcBorders>
              <w:top w:val="single" w:sz="4" w:space="0" w:color="000000"/>
              <w:left w:val="single" w:sz="4" w:space="0" w:color="000000"/>
              <w:bottom w:val="single" w:sz="4" w:space="0" w:color="000000"/>
              <w:right w:val="nil" w:sz="6" w:space="0" w:color="auto"/>
            </w:tcBorders>
          </w:tcPr>
          <w:p>
            <w:pPr/>
          </w:p>
        </w:tc>
        <w:tc>
          <w:tcPr>
            <w:tcW w:w="94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直接投资</w:t>
            </w:r>
          </w:p>
        </w:tc>
      </w:tr>
    </w:tbl>
    <w:p>
      <w:pPr>
        <w:pStyle w:val="BodyText"/>
        <w:spacing w:line="360" w:lineRule="auto" w:before="49"/>
        <w:ind w:right="5994"/>
        <w:jc w:val="left"/>
      </w:pPr>
      <w:r>
        <w:rPr/>
        <w:pict>
          <v:shape style="position:absolute;margin-left:288.53299pt;margin-top:-82.438255pt;width:109.95pt;height:31.2pt;mso-position-horizontal-relative:page;mso-position-vertical-relative:paragraph;z-index:-892648" type="#_x0000_t202" filled="false" stroked="false">
            <v:textbox inset="0,0,0,0">
              <w:txbxContent>
                <w:p>
                  <w:pPr>
                    <w:spacing w:line="240" w:lineRule="auto" w:before="0"/>
                    <w:rPr>
                      <w:rFonts w:ascii="宋体" w:hAnsi="宋体" w:cs="宋体" w:eastAsia="宋体" w:hint="default"/>
                      <w:sz w:val="18"/>
                      <w:szCs w:val="18"/>
                    </w:rPr>
                  </w:pPr>
                </w:p>
                <w:p>
                  <w:pPr>
                    <w:pStyle w:val="BodyText"/>
                    <w:spacing w:line="240" w:lineRule="auto" w:before="125"/>
                    <w:ind w:left="0" w:right="0"/>
                    <w:jc w:val="left"/>
                  </w:pPr>
                  <w:r>
                    <w:rPr/>
                    <w:t>技术咨询、</w:t>
                  </w:r>
                </w:p>
              </w:txbxContent>
            </v:textbox>
            <w10:wrap type="none"/>
          </v:shape>
        </w:pict>
      </w:r>
      <w:r>
        <w:rPr/>
        <w:pict>
          <v:group style="position:absolute;margin-left:330.670013pt;margin-top:-82.438255pt;width:67.8pt;height:31.2pt;mso-position-horizontal-relative:page;mso-position-vertical-relative:paragraph;z-index:-892624" coordorigin="6613,-1649" coordsize="1356,624">
            <v:shape style="position:absolute;left:6613;top:-1649;width:1356;height:624" coordorigin="6613,-1649" coordsize="1356,624" path="m6613,-1025l7969,-1025,7969,-1649,6613,-1649,6613,-1025xe" filled="true" fillcolor="#ffffff" stroked="false">
              <v:path arrowok="t"/>
              <v:fill type="solid"/>
            </v:shape>
            <w10:wrap type="none"/>
          </v:group>
        </w:pict>
      </w:r>
      <w:r>
        <w:rPr/>
        <w:t>在子公司的持股比例不同于表决权比例的说明： 无</w:t>
      </w:r>
    </w:p>
    <w:p>
      <w:pPr>
        <w:pStyle w:val="BodyText"/>
        <w:spacing w:line="357" w:lineRule="auto" w:before="27"/>
        <w:ind w:right="1854"/>
        <w:jc w:val="left"/>
      </w:pPr>
      <w:r>
        <w:rPr/>
        <w:t>持有半数或以下表决权但仍控制被投资单位、以及持有半数以上表决权但不控制被投资单位的依据： 无</w:t>
      </w:r>
    </w:p>
    <w:p>
      <w:pPr>
        <w:pStyle w:val="BodyText"/>
        <w:spacing w:line="357" w:lineRule="auto" w:before="29"/>
        <w:ind w:right="5454"/>
        <w:jc w:val="left"/>
      </w:pPr>
      <w:r>
        <w:rPr/>
        <w:t>对于纳入合并范围的重要的结构化主体，控制的依据： 无</w:t>
      </w:r>
    </w:p>
    <w:p>
      <w:pPr>
        <w:pStyle w:val="BodyText"/>
        <w:spacing w:line="360" w:lineRule="auto" w:before="29"/>
        <w:ind w:right="6714"/>
        <w:jc w:val="left"/>
      </w:pPr>
      <w:r>
        <w:rPr/>
        <w:t>确定公司是代理人还是委托人的依据： 无</w:t>
      </w:r>
    </w:p>
    <w:p>
      <w:pPr>
        <w:pStyle w:val="BodyText"/>
        <w:spacing w:line="357" w:lineRule="auto" w:before="27"/>
        <w:ind w:right="8874"/>
        <w:jc w:val="left"/>
      </w:pPr>
      <w:r>
        <w:rPr/>
        <w:t>其他说明：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4"/>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2"/>
              <w:jc w:val="left"/>
              <w:rPr>
                <w:rFonts w:ascii="宋体" w:hAnsi="宋体" w:cs="宋体" w:eastAsia="宋体" w:hint="default"/>
                <w:sz w:val="18"/>
                <w:szCs w:val="18"/>
              </w:rPr>
            </w:pPr>
            <w:r>
              <w:rPr>
                <w:rFonts w:ascii="Times New Roman" w:hAnsi="Times New Roman" w:cs="Times New Roman" w:eastAsia="Times New Roman" w:hint="default"/>
                <w:sz w:val="18"/>
                <w:szCs w:val="18"/>
              </w:rPr>
              <w:t>PT Cis</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Resources</w:t>
            </w:r>
            <w:r>
              <w:rPr>
                <w:rFonts w:ascii="宋体" w:hAnsi="宋体" w:cs="宋体" w:eastAsia="宋体" w:hint="default"/>
                <w:sz w:val="18"/>
                <w:szCs w:val="18"/>
              </w:rPr>
              <w:t>（恒顺 印尼中加煤矿公司）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-19,009.49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5,514,155.67</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4" w:right="8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Pt Bumi</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Morowali</w:t>
            </w:r>
            <w:r>
              <w:rPr>
                <w:rFonts w:ascii="Times New Roman" w:hAnsi="Times New Roman" w:cs="Times New Roman" w:eastAsia="Times New Roman" w:hint="default"/>
                <w:sz w:val="18"/>
                <w:szCs w:val="18"/>
              </w:rPr>
              <w:t> Utama(</w:t>
            </w:r>
            <w:r>
              <w:rPr>
                <w:rFonts w:ascii="宋体" w:hAnsi="宋体" w:cs="宋体" w:eastAsia="宋体" w:hint="default"/>
                <w:sz w:val="18"/>
                <w:szCs w:val="18"/>
              </w:rPr>
              <w:t>恒顺印尼中苏镍 矿公司</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-11,545.89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-11,545.89</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91"/>
              <w:ind w:left="24"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PT Kutai</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Nyala</w:t>
            </w:r>
            <w:r>
              <w:rPr>
                <w:rFonts w:ascii="Times New Roman" w:hAnsi="Times New Roman" w:cs="Times New Roman" w:eastAsia="Times New Roman" w:hint="default"/>
                <w:sz w:val="18"/>
                <w:szCs w:val="18"/>
              </w:rPr>
              <w:t> Resources</w:t>
            </w:r>
            <w:r>
              <w:rPr>
                <w:rFonts w:ascii="宋体" w:hAnsi="宋体" w:cs="宋体" w:eastAsia="宋体" w:hint="default"/>
                <w:sz w:val="18"/>
                <w:szCs w:val="18"/>
              </w:rPr>
              <w:t>（恒顺印尼东 加码头公司）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-86,111.93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-137,418.79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1"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91"/>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Cis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Resource</w:t>
            </w:r>
            <w:r>
              <w:rPr>
                <w:rFonts w:ascii="Times New Roman" w:hAnsi="Times New Roman" w:cs="Times New Roman" w:eastAsia="Times New Roman" w:hint="default"/>
                <w:sz w:val="18"/>
                <w:szCs w:val="18"/>
              </w:rPr>
              <w:t> s</w:t>
            </w:r>
            <w:r>
              <w:rPr>
                <w:rFonts w:ascii="宋体" w:hAnsi="宋体" w:cs="宋体" w:eastAsia="宋体" w:hint="default"/>
                <w:sz w:val="18"/>
                <w:szCs w:val="18"/>
              </w:rPr>
              <w:t>（恒顺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40,689,6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39.81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1,164,23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41,853,8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15,833,8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15,833,8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94.47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72,035,9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70.43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1,390,67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73,426,6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45,761,0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41.42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45,761,0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41.42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98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4" w:right="161"/>
              <w:jc w:val="both"/>
              <w:rPr>
                <w:rFonts w:ascii="宋体" w:hAnsi="宋体" w:cs="宋体" w:eastAsia="宋体" w:hint="default"/>
                <w:sz w:val="18"/>
                <w:szCs w:val="18"/>
              </w:rPr>
            </w:pPr>
            <w:r>
              <w:rPr>
                <w:rFonts w:ascii="宋体" w:hAnsi="宋体" w:cs="宋体" w:eastAsia="宋体" w:hint="default"/>
                <w:sz w:val="18"/>
                <w:szCs w:val="18"/>
              </w:rPr>
              <w:t>印尼中 加煤矿 公司）</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2"/>
              <w:jc w:val="left"/>
              <w:rPr>
                <w:rFonts w:ascii="Times New Roman" w:hAnsi="Times New Roman" w:cs="Times New Roman" w:eastAsia="Times New Roman" w:hint="default"/>
                <w:sz w:val="18"/>
                <w:szCs w:val="18"/>
              </w:rPr>
            </w:pPr>
            <w:r>
              <w:rPr>
                <w:rFonts w:ascii="Times New Roman"/>
                <w:sz w:val="18"/>
              </w:rPr>
              <w:t>Pt</w:t>
            </w:r>
            <w:r>
              <w:rPr>
                <w:rFonts w:ascii="Times New Roman"/>
                <w:spacing w:val="-3"/>
                <w:sz w:val="18"/>
              </w:rPr>
              <w:t> </w:t>
            </w:r>
            <w:r>
              <w:rPr>
                <w:rFonts w:ascii="Times New Roman"/>
                <w:sz w:val="18"/>
              </w:rPr>
              <w:t>Bumi</w:t>
            </w:r>
            <w:r>
              <w:rPr>
                <w:rFonts w:ascii="Times New Roman"/>
                <w:sz w:val="18"/>
              </w:rPr>
              <w:t> Morowal i</w:t>
            </w:r>
          </w:p>
          <w:p>
            <w:pPr>
              <w:pStyle w:val="TableParagraph"/>
              <w:spacing w:line="316" w:lineRule="auto" w:before="3"/>
              <w:ind w:left="24" w:right="16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Utama( </w:t>
            </w:r>
            <w:r>
              <w:rPr>
                <w:rFonts w:ascii="宋体" w:hAnsi="宋体" w:cs="宋体" w:eastAsia="宋体" w:hint="default"/>
                <w:sz w:val="18"/>
                <w:szCs w:val="18"/>
              </w:rPr>
              <w:t>恒顺印 尼中苏 镍矿公 司</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1,238,59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594,519.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1,833,11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1,890,96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1,890,96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8.45</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Kutai</w:t>
            </w:r>
            <w:r>
              <w:rPr>
                <w:rFonts w:ascii="Times New Roman" w:hAnsi="Times New Roman" w:cs="Times New Roman" w:eastAsia="Times New Roman" w:hint="default"/>
                <w:sz w:val="18"/>
                <w:szCs w:val="18"/>
              </w:rPr>
              <w:t> Nyala Resource s</w:t>
            </w:r>
            <w:r>
              <w:rPr>
                <w:rFonts w:ascii="宋体" w:hAnsi="宋体" w:cs="宋体" w:eastAsia="宋体" w:hint="default"/>
                <w:sz w:val="18"/>
                <w:szCs w:val="18"/>
              </w:rPr>
              <w:t>（恒顺 印尼东 加码头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193,142.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3,254,14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3,447,28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4,008,22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4,008,22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1,054,82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2,338,54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3,393,36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3,607,14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3,607,14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4.32</w:t>
            </w:r>
          </w:p>
        </w:tc>
      </w:tr>
    </w:tbl>
    <w:p>
      <w:pPr>
        <w:pStyle w:val="BodyText"/>
        <w:spacing w:line="240" w:lineRule="auto" w:before="49"/>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65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86"/>
              <w:jc w:val="left"/>
              <w:rPr>
                <w:rFonts w:ascii="Times New Roman" w:hAnsi="Times New Roman" w:cs="Times New Roman" w:eastAsia="Times New Roman" w:hint="default"/>
                <w:sz w:val="18"/>
                <w:szCs w:val="18"/>
              </w:rPr>
            </w:pPr>
            <w:r>
              <w:rPr>
                <w:rFonts w:ascii="Times New Roman"/>
                <w:sz w:val="18"/>
              </w:rPr>
              <w:t>PT</w:t>
            </w:r>
            <w:r>
              <w:rPr>
                <w:rFonts w:ascii="Times New Roman"/>
                <w:spacing w:val="-4"/>
                <w:sz w:val="18"/>
              </w:rPr>
              <w:t> </w:t>
            </w:r>
            <w:r>
              <w:rPr>
                <w:rFonts w:ascii="Times New Roman"/>
                <w:sz w:val="18"/>
              </w:rPr>
              <w:t>Cis</w:t>
            </w:r>
            <w:r>
              <w:rPr>
                <w:rFonts w:ascii="Times New Roman"/>
                <w:w w:val="99"/>
                <w:sz w:val="18"/>
              </w:rPr>
              <w:t> </w:t>
            </w:r>
            <w:r>
              <w:rPr>
                <w:rFonts w:ascii="Times New Roman"/>
                <w:sz w:val="18"/>
              </w:rPr>
              <w:t>Resources</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（恒顺印尼</w:t>
            </w:r>
          </w:p>
          <w:p>
            <w:pPr>
              <w:pStyle w:val="TableParagraph"/>
              <w:spacing w:line="316" w:lineRule="auto" w:before="76"/>
              <w:ind w:left="24" w:right="125"/>
              <w:jc w:val="left"/>
              <w:rPr>
                <w:rFonts w:ascii="宋体" w:hAnsi="宋体" w:cs="宋体" w:eastAsia="宋体" w:hint="default"/>
                <w:sz w:val="18"/>
                <w:szCs w:val="18"/>
              </w:rPr>
            </w:pPr>
            <w:r>
              <w:rPr>
                <w:rFonts w:ascii="宋体" w:hAnsi="宋体" w:cs="宋体" w:eastAsia="宋体" w:hint="default"/>
                <w:sz w:val="18"/>
                <w:szCs w:val="18"/>
              </w:rPr>
              <w:t>中加煤矿公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-95,047.46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-3,151,983.67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-8,744,238.37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227,196,448.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29,273,230.5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-1,601,405.07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14,776,939.4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64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Pt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Bumi</w:t>
            </w:r>
            <w:r>
              <w:rPr>
                <w:rFonts w:ascii="Times New Roman" w:hAnsi="Times New Roman" w:cs="Times New Roman" w:eastAsia="Times New Roman" w:hint="default"/>
                <w:sz w:val="18"/>
                <w:szCs w:val="18"/>
              </w:rPr>
              <w:t> Morowali Utama(</w:t>
            </w:r>
            <w:r>
              <w:rPr>
                <w:rFonts w:ascii="宋体" w:hAnsi="宋体" w:cs="宋体" w:eastAsia="宋体" w:hint="default"/>
                <w:sz w:val="18"/>
                <w:szCs w:val="18"/>
              </w:rPr>
              <w:t>恒顺</w:t>
            </w:r>
          </w:p>
          <w:p>
            <w:pPr>
              <w:pStyle w:val="TableParagraph"/>
              <w:spacing w:line="316" w:lineRule="auto" w:before="40"/>
              <w:ind w:left="24"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印尼中苏镍 矿公司</w:t>
            </w:r>
            <w:r>
              <w:rPr>
                <w:rFonts w:ascii="Times New Roman" w:hAnsi="Times New Roman" w:cs="Times New Roman" w:eastAsia="Times New Roman" w:hint="default"/>
                <w:sz w:val="18"/>
                <w:szCs w:val="18"/>
              </w:rPr>
              <w:t>)</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-57,729.44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1,829,017.53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96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286"/>
              <w:jc w:val="left"/>
              <w:rPr>
                <w:rFonts w:ascii="Times New Roman" w:hAnsi="Times New Roman" w:cs="Times New Roman" w:eastAsia="Times New Roman" w:hint="default"/>
                <w:sz w:val="18"/>
                <w:szCs w:val="18"/>
              </w:rPr>
            </w:pPr>
            <w:r>
              <w:rPr>
                <w:rFonts w:ascii="Times New Roman"/>
                <w:sz w:val="18"/>
              </w:rPr>
              <w:t>PT</w:t>
            </w:r>
            <w:r>
              <w:rPr>
                <w:rFonts w:ascii="Times New Roman"/>
                <w:spacing w:val="-4"/>
                <w:sz w:val="18"/>
              </w:rPr>
              <w:t> </w:t>
            </w:r>
            <w:r>
              <w:rPr>
                <w:rFonts w:ascii="Times New Roman"/>
                <w:sz w:val="18"/>
              </w:rPr>
              <w:t>Kutai</w:t>
            </w:r>
            <w:r>
              <w:rPr>
                <w:rFonts w:ascii="Times New Roman"/>
                <w:sz w:val="18"/>
              </w:rPr>
              <w:t> Nyala Resources</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（恒顺印尼</w:t>
            </w:r>
          </w:p>
          <w:p>
            <w:pPr>
              <w:pStyle w:val="TableParagraph"/>
              <w:spacing w:line="316" w:lineRule="auto" w:before="76"/>
              <w:ind w:left="24" w:right="125"/>
              <w:jc w:val="left"/>
              <w:rPr>
                <w:rFonts w:ascii="宋体" w:hAnsi="宋体" w:cs="宋体" w:eastAsia="宋体" w:hint="default"/>
                <w:sz w:val="18"/>
                <w:szCs w:val="18"/>
              </w:rPr>
            </w:pPr>
            <w:r>
              <w:rPr>
                <w:rFonts w:ascii="宋体" w:hAnsi="宋体" w:cs="宋体" w:eastAsia="宋体" w:hint="default"/>
                <w:sz w:val="18"/>
                <w:szCs w:val="18"/>
              </w:rPr>
              <w:t>东加码头公 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-358,799.69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19,534.09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370,408.65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39" w:right="0"/>
              <w:jc w:val="center"/>
              <w:rPr>
                <w:rFonts w:ascii="Times New Roman" w:hAnsi="Times New Roman" w:cs="Times New Roman" w:eastAsia="Times New Roman" w:hint="default"/>
                <w:sz w:val="18"/>
                <w:szCs w:val="18"/>
              </w:rPr>
            </w:pPr>
            <w:r>
              <w:rPr>
                <w:rFonts w:ascii="Times New Roman"/>
                <w:sz w:val="18"/>
              </w:rPr>
              <w:t>-221,668.31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7,889.69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3,337,228.08</w:t>
            </w:r>
          </w:p>
        </w:tc>
      </w:tr>
    </w:tbl>
    <w:p>
      <w:pPr>
        <w:pStyle w:val="BodyText"/>
        <w:spacing w:line="240" w:lineRule="auto" w:before="49"/>
        <w:ind w:right="0"/>
        <w:jc w:val="left"/>
      </w:pPr>
      <w:r>
        <w:rPr/>
        <w:t>其他说明：</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e0ffff">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e0ffff">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e0ffff"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spacing w:line="499" w:lineRule="auto" w:before="118"/>
        <w:ind w:left="152" w:right="7254"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w:t>
      </w:r>
    </w:p>
    <w:p>
      <w:pPr>
        <w:pStyle w:val="Heading5"/>
        <w:spacing w:line="240" w:lineRule="auto" w:before="161"/>
        <w:ind w:right="0"/>
        <w:jc w:val="left"/>
        <w:rPr>
          <w:b w:val="0"/>
          <w:bCs w:val="0"/>
        </w:rPr>
      </w:pPr>
      <w:r>
        <w:rPr>
          <w:rFonts w:ascii="Times New Roman" w:hAnsi="Times New Roman" w:cs="Times New Roman" w:eastAsia="Times New Roman" w:hint="default"/>
        </w:rPr>
        <w:t>2</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青岛城投金融控股集团有限公司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贾晓钰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以上股东及一致行动人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贾玉兰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以上股东的一致行动人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戴一鸣</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以上股东及一致行动人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新余清源环保投资管理有限公司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PT Metal Smeltindo</w:t>
            </w:r>
            <w:r>
              <w:rPr>
                <w:rFonts w:ascii="Times New Roman"/>
                <w:spacing w:val="-13"/>
                <w:sz w:val="18"/>
              </w:rPr>
              <w:t> </w:t>
            </w:r>
            <w:r>
              <w:rPr>
                <w:rFonts w:ascii="Times New Roman"/>
                <w:sz w:val="18"/>
              </w:rPr>
              <w:t>Selaras</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广西天源置业有限责任公司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广西恒顺电器有限公司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青岛熹源环保科技有限公司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以上股东控制的公司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南宁市恒川高新商务酒店</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南宁恒川大酒店有限公司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南宁市顺天食府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广西恒鼎房地产开发有限公司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青岛维康科技有限公司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PT Qingdao Evercontaining</w:t>
            </w:r>
            <w:r>
              <w:rPr>
                <w:rFonts w:ascii="Times New Roman"/>
                <w:spacing w:val="-12"/>
                <w:sz w:val="18"/>
              </w:rPr>
              <w:t> </w:t>
            </w:r>
            <w:r>
              <w:rPr>
                <w:rFonts w:ascii="Times New Roman"/>
                <w:sz w:val="18"/>
              </w:rPr>
              <w:t>Electric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公司关联自然人直接或间接控制</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b/>
          <w:bCs/>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、关联交易情况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）关联担保情况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本公司作为担保方</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9"/>
        <w:ind w:right="0"/>
        <w:jc w:val="left"/>
      </w:pPr>
      <w:r>
        <w:rPr/>
        <w:t>本公司作为被担保方</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贾全臣、贾玉兰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贾全臣、贾玉兰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新余清源环保投资管理 有限公司、贾全臣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新余清源环保投资管理 有限公司、贾全臣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新余清源环保投资管理 有限公司、贾全臣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新余清源环保投资管理 有限公司、贾全臣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新余清源环保投资管理 有限公司、贾全臣、贾 玉兰、贾晓钰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新余清源环保投资管理 有限公司、贾全臣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新余清源环保投资管理 有限公司、贾全臣、贾 玉兰、贾晓钰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新余清源环保投资管理 有限公司、贾全臣</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2,538,337.49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2,361,583.57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94"/>
        <w:jc w:val="left"/>
        <w:rPr>
          <w:b w:val="0"/>
          <w:bCs w:val="0"/>
        </w:rPr>
      </w:pPr>
      <w:r>
        <w:rPr/>
        <w:t>（</w:t>
      </w:r>
      <w:r>
        <w:rPr>
          <w:rFonts w:ascii="Times New Roman" w:hAnsi="Times New Roman" w:cs="Times New Roman" w:eastAsia="Times New Roman" w:hint="default"/>
        </w:rPr>
        <w:t>3</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94"/>
        <w:jc w:val="left"/>
        <w:rPr>
          <w:b w:val="0"/>
          <w:bCs w:val="0"/>
        </w:rPr>
      </w:pPr>
      <w:r>
        <w:rPr>
          <w:rFonts w:ascii="Times New Roman" w:hAnsi="Times New Roman" w:cs="Times New Roman" w:eastAsia="Times New Roman" w:hint="default"/>
        </w:rPr>
        <w:t>4</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94"/>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01"/>
              <w:jc w:val="left"/>
              <w:rPr>
                <w:rFonts w:ascii="Times New Roman" w:hAnsi="Times New Roman" w:cs="Times New Roman" w:eastAsia="Times New Roman" w:hint="default"/>
                <w:sz w:val="18"/>
                <w:szCs w:val="18"/>
              </w:rPr>
            </w:pPr>
            <w:r>
              <w:rPr>
                <w:rFonts w:ascii="Times New Roman"/>
                <w:sz w:val="18"/>
              </w:rPr>
              <w:t>PT Metal</w:t>
            </w:r>
            <w:r>
              <w:rPr>
                <w:rFonts w:ascii="Times New Roman"/>
                <w:spacing w:val="-8"/>
                <w:sz w:val="18"/>
              </w:rPr>
              <w:t> </w:t>
            </w:r>
            <w:r>
              <w:rPr>
                <w:rFonts w:ascii="Times New Roman"/>
                <w:sz w:val="18"/>
              </w:rPr>
              <w:t>Smeltindo</w:t>
            </w:r>
            <w:r>
              <w:rPr>
                <w:rFonts w:ascii="Times New Roman"/>
                <w:sz w:val="18"/>
              </w:rPr>
              <w:t> Selaras</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24,000,000.00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1,200,000.00</w:t>
            </w:r>
          </w:p>
        </w:tc>
      </w:tr>
    </w:tbl>
    <w:p>
      <w:pPr>
        <w:spacing w:line="240" w:lineRule="auto" w:before="3"/>
        <w:rPr>
          <w:rFonts w:ascii="宋体" w:hAnsi="宋体" w:cs="宋体" w:eastAsia="宋体" w:hint="default"/>
          <w:sz w:val="19"/>
          <w:szCs w:val="19"/>
        </w:rPr>
      </w:pPr>
    </w:p>
    <w:p>
      <w:pPr>
        <w:pStyle w:val="Heading5"/>
        <w:spacing w:line="240" w:lineRule="auto" w:before="36"/>
        <w:ind w:right="94"/>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PT Metal Smeltindo</w:t>
            </w:r>
            <w:r>
              <w:rPr>
                <w:rFonts w:ascii="Times New Roman"/>
                <w:spacing w:val="-13"/>
                <w:sz w:val="18"/>
              </w:rPr>
              <w:t> </w:t>
            </w:r>
            <w:r>
              <w:rPr>
                <w:rFonts w:ascii="Times New Roman"/>
                <w:sz w:val="18"/>
              </w:rPr>
              <w:t>Selaras</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45,426,500.00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青岛熹源环保科技有限公司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487" w:lineRule="auto" w:before="36"/>
        <w:ind w:left="152" w:right="781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、关联方承诺</w:t>
      </w:r>
      <w:r>
        <w:rPr>
          <w:rFonts w:ascii="宋体" w:hAnsi="宋体" w:cs="宋体" w:eastAsia="宋体" w:hint="default"/>
          <w:b/>
          <w:bCs/>
          <w:spacing w:val="-103"/>
          <w:sz w:val="21"/>
          <w:szCs w:val="21"/>
        </w:rPr>
        <w:t> </w:t>
      </w:r>
      <w:r>
        <w:rPr>
          <w:rFonts w:ascii="宋体" w:hAnsi="宋体" w:cs="宋体" w:eastAsia="宋体" w:hint="default"/>
          <w:b/>
          <w:bCs/>
          <w:sz w:val="24"/>
          <w:szCs w:val="24"/>
        </w:rPr>
        <w:t>十一、股份支付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417" w:lineRule="auto" w:before="102"/>
        <w:ind w:left="246" w:right="7560" w:hanging="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第一次股权激励（</w:t>
      </w:r>
      <w:r>
        <w:rPr>
          <w:rFonts w:ascii="Times New Roman" w:hAnsi="Times New Roman" w:cs="Times New Roman" w:eastAsia="Times New Roman" w:hint="default"/>
        </w:rPr>
        <w:t>2011</w:t>
      </w:r>
      <w:r>
        <w:rPr/>
        <w:t>年）</w:t>
      </w:r>
    </w:p>
    <w:p>
      <w:pPr>
        <w:pStyle w:val="BodyText"/>
        <w:spacing w:line="240" w:lineRule="auto" w:before="33"/>
        <w:ind w:left="0"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464.00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已行权完毕</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both"/>
      </w:pPr>
      <w:r>
        <w:rPr/>
        <w:t>其他说明</w:t>
      </w:r>
    </w:p>
    <w:p>
      <w:pPr>
        <w:pStyle w:val="BodyText"/>
        <w:spacing w:line="240" w:lineRule="auto" w:before="115"/>
        <w:ind w:left="573" w:right="94"/>
        <w:jc w:val="left"/>
      </w:pP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1</w:t>
      </w:r>
      <w:r>
        <w:rPr>
          <w:spacing w:val="-6"/>
        </w:rPr>
        <w:t>日，公司</w:t>
      </w:r>
      <w:r>
        <w:rPr>
          <w:rFonts w:ascii="Times New Roman" w:hAnsi="Times New Roman" w:cs="Times New Roman" w:eastAsia="Times New Roman" w:hint="default"/>
          <w:spacing w:val="-6"/>
        </w:rPr>
        <w:t>2011</w:t>
      </w:r>
      <w:r>
        <w:rPr>
          <w:spacing w:val="-6"/>
        </w:rPr>
        <w:t>年第二次临时股东大会审议通过了《青岛市恒顺电气股份有限公司股权激励计划（正式稿）》。</w:t>
      </w:r>
    </w:p>
    <w:p>
      <w:pPr>
        <w:pStyle w:val="BodyText"/>
        <w:spacing w:line="300" w:lineRule="auto" w:before="63"/>
        <w:ind w:right="174"/>
        <w:jc w:val="both"/>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日公司召开第一届董事会第十八次会议，会议决定授予公司</w:t>
      </w:r>
      <w:r>
        <w:rPr>
          <w:rFonts w:ascii="Times New Roman" w:hAnsi="Times New Roman" w:cs="Times New Roman" w:eastAsia="Times New Roman" w:hint="default"/>
          <w:spacing w:val="-2"/>
        </w:rPr>
        <w:t>25</w:t>
      </w:r>
      <w:r>
        <w:rPr>
          <w:spacing w:val="-2"/>
        </w:rPr>
        <w:t>位激励对象合计</w:t>
      </w:r>
      <w:r>
        <w:rPr>
          <w:rFonts w:ascii="Times New Roman" w:hAnsi="Times New Roman" w:cs="Times New Roman" w:eastAsia="Times New Roman" w:hint="default"/>
          <w:spacing w:val="-2"/>
        </w:rPr>
        <w:t>410</w:t>
      </w:r>
      <w:r>
        <w:rPr>
          <w:spacing w:val="-2"/>
        </w:rPr>
        <w:t>万份股票期权，授权日为</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8"/>
        </w:rPr>
        <w:t> </w:t>
      </w:r>
      <w:r>
        <w:rPr>
          <w:rFonts w:ascii="Times New Roman" w:hAnsi="Times New Roman" w:cs="Times New Roman" w:eastAsia="Times New Roman" w:hint="default"/>
          <w:spacing w:val="-8"/>
        </w:rPr>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5</w:t>
      </w:r>
      <w:r>
        <w:rPr>
          <w:spacing w:val="-2"/>
        </w:rPr>
        <w:t>日，行权价格为</w:t>
      </w:r>
      <w:r>
        <w:rPr>
          <w:rFonts w:ascii="Times New Roman" w:hAnsi="Times New Roman" w:cs="Times New Roman" w:eastAsia="Times New Roman" w:hint="default"/>
          <w:spacing w:val="-2"/>
        </w:rPr>
        <w:t>19.74</w:t>
      </w:r>
      <w:r>
        <w:rPr>
          <w:spacing w:val="-2"/>
        </w:rPr>
        <w:t>元</w:t>
      </w:r>
      <w:r>
        <w:rPr>
          <w:rFonts w:ascii="Times New Roman" w:hAnsi="Times New Roman" w:cs="Times New Roman" w:eastAsia="Times New Roman" w:hint="default"/>
          <w:spacing w:val="-2"/>
        </w:rPr>
        <w:t>/</w:t>
      </w:r>
      <w:r>
        <w:rPr>
          <w:spacing w:val="-2"/>
        </w:rPr>
        <w:t>股，并对相关事项进行了公告。公司</w:t>
      </w:r>
      <w:r>
        <w:rPr>
          <w:rFonts w:ascii="Times New Roman" w:hAnsi="Times New Roman" w:cs="Times New Roman" w:eastAsia="Times New Roman" w:hint="default"/>
          <w:spacing w:val="-2"/>
        </w:rPr>
        <w:t>2011</w:t>
      </w:r>
      <w:r>
        <w:rPr>
          <w:spacing w:val="-2"/>
        </w:rPr>
        <w:t>年年度股东大会审议通过的</w:t>
      </w:r>
      <w:r>
        <w:rPr>
          <w:rFonts w:ascii="Times New Roman" w:hAnsi="Times New Roman" w:cs="Times New Roman" w:eastAsia="Times New Roman" w:hint="default"/>
          <w:spacing w:val="-2"/>
        </w:rPr>
        <w:t>2011</w:t>
      </w:r>
      <w:r>
        <w:rPr>
          <w:spacing w:val="-2"/>
        </w:rPr>
        <w:t>年度利润分配方案</w:t>
      </w:r>
      <w:r>
        <w:rPr>
          <w:spacing w:val="-60"/>
        </w:rPr>
        <w:t> </w:t>
      </w:r>
      <w:r>
        <w:rPr>
          <w:spacing w:val="-60"/>
        </w:rPr>
      </w:r>
      <w:r>
        <w:rPr>
          <w:spacing w:val="-2"/>
        </w:rPr>
        <w:t>已实施完毕。</w:t>
      </w:r>
      <w:r>
        <w:rPr>
          <w:rFonts w:ascii="Times New Roman" w:hAnsi="Times New Roman" w:cs="Times New Roman" w:eastAsia="Times New Roman" w:hint="default"/>
          <w:spacing w:val="-2"/>
        </w:rPr>
        <w:t>2012</w:t>
      </w:r>
      <w:r>
        <w:rPr>
          <w:spacing w:val="-2"/>
        </w:rPr>
        <w:t>年，根据公司《股票期权激励计划》，董事会依据股东大会的授权，对股权激励计划中的股票期权数量及</w:t>
      </w:r>
      <w:r>
        <w:rPr>
          <w:spacing w:val="-63"/>
        </w:rPr>
        <w:t> </w:t>
      </w:r>
      <w:r>
        <w:rPr>
          <w:spacing w:val="-63"/>
        </w:rPr>
      </w:r>
      <w:r>
        <w:rPr/>
        <w:t>行权价格进行相应的调整。调整后公司股票期权激励计划期权数量调整为</w:t>
      </w:r>
      <w:r>
        <w:rPr>
          <w:rFonts w:ascii="Times New Roman" w:hAnsi="Times New Roman" w:cs="Times New Roman" w:eastAsia="Times New Roman" w:hint="default"/>
        </w:rPr>
        <w:t>820</w:t>
      </w:r>
      <w:r>
        <w:rPr/>
        <w:t>万份，股票期权行权价格为</w:t>
      </w:r>
      <w:r>
        <w:rPr>
          <w:rFonts w:ascii="Times New Roman" w:hAnsi="Times New Roman" w:cs="Times New Roman" w:eastAsia="Times New Roman" w:hint="default"/>
        </w:rPr>
        <w:t>9.77</w:t>
      </w:r>
      <w:r>
        <w:rPr>
          <w:rFonts w:ascii="Times New Roman" w:hAnsi="Times New Roman" w:cs="Times New Roman" w:eastAsia="Times New Roman" w:hint="default"/>
          <w:spacing w:val="21"/>
        </w:rPr>
        <w:t> </w:t>
      </w:r>
      <w:r>
        <w:rPr/>
        <w:t>元。</w:t>
      </w:r>
      <w:r>
        <w:rPr>
          <w:rFonts w:ascii="Times New Roman" w:hAnsi="Times New Roman" w:cs="Times New Roman" w:eastAsia="Times New Roman" w:hint="default"/>
        </w:rPr>
        <w:t>2013</w:t>
      </w:r>
      <w:r>
        <w:rPr/>
        <w:t>年，</w:t>
      </w:r>
      <w:r>
        <w:rPr>
          <w:spacing w:val="-3"/>
        </w:rPr>
        <w:t> </w:t>
      </w:r>
      <w:r>
        <w:rPr/>
        <w:t>公司调整后公司股票期权激励计划期权数量调整为</w:t>
      </w:r>
      <w:r>
        <w:rPr>
          <w:rFonts w:ascii="Times New Roman" w:hAnsi="Times New Roman" w:cs="Times New Roman" w:eastAsia="Times New Roman" w:hint="default"/>
        </w:rPr>
        <w:t>1,640  </w:t>
      </w:r>
      <w:r>
        <w:rPr/>
        <w:t>万份，股票期权行权价格为</w:t>
      </w:r>
      <w:r>
        <w:rPr>
          <w:rFonts w:ascii="Times New Roman" w:hAnsi="Times New Roman" w:cs="Times New Roman" w:eastAsia="Times New Roman" w:hint="default"/>
        </w:rPr>
        <w:t>4.785</w:t>
      </w:r>
      <w:r>
        <w:rPr>
          <w:rFonts w:ascii="Times New Roman" w:hAnsi="Times New Roman" w:cs="Times New Roman" w:eastAsia="Times New Roman" w:hint="default"/>
          <w:spacing w:val="7"/>
        </w:rPr>
        <w:t> </w:t>
      </w:r>
      <w:r>
        <w:rPr/>
        <w:t>元。</w:t>
      </w:r>
    </w:p>
    <w:p>
      <w:pPr>
        <w:spacing w:after="0" w:line="300" w:lineRule="auto"/>
        <w:jc w:val="both"/>
        <w:sectPr>
          <w:pgSz w:w="11910" w:h="16840"/>
          <w:pgMar w:header="745" w:footer="979" w:top="1060" w:bottom="1160" w:left="980" w:right="940"/>
        </w:sectPr>
      </w:pPr>
    </w:p>
    <w:p>
      <w:pPr>
        <w:spacing w:line="240" w:lineRule="auto" w:before="10"/>
        <w:rPr>
          <w:rFonts w:ascii="宋体" w:hAnsi="宋体" w:cs="宋体" w:eastAsia="宋体" w:hint="default"/>
          <w:sz w:val="25"/>
          <w:szCs w:val="25"/>
        </w:rPr>
      </w:pPr>
    </w:p>
    <w:p>
      <w:pPr>
        <w:pStyle w:val="BodyText"/>
        <w:spacing w:line="300" w:lineRule="auto" w:before="44"/>
        <w:ind w:right="0" w:firstLine="420"/>
        <w:jc w:val="left"/>
      </w:pPr>
      <w:r>
        <w:rPr/>
        <w:t>根据股权激励计划，自股票期权授权日起</w:t>
      </w:r>
      <w:r>
        <w:rPr>
          <w:rFonts w:ascii="Times New Roman" w:hAnsi="Times New Roman" w:cs="Times New Roman" w:eastAsia="Times New Roman" w:hint="default"/>
        </w:rPr>
        <w:t>18</w:t>
      </w:r>
      <w:r>
        <w:rPr/>
        <w:t>个月后，满足行权条件的，激励对象可以分三期申请行权。行权安排如下 表所示：</w:t>
      </w:r>
    </w:p>
    <w:p>
      <w:pPr>
        <w:spacing w:line="240" w:lineRule="auto" w:before="8"/>
        <w:rPr>
          <w:rFonts w:ascii="宋体" w:hAnsi="宋体" w:cs="宋体" w:eastAsia="宋体" w:hint="default"/>
          <w:sz w:val="25"/>
          <w:szCs w:val="25"/>
        </w:rPr>
      </w:pPr>
    </w:p>
    <w:tbl>
      <w:tblPr>
        <w:tblW w:w="0" w:type="auto"/>
        <w:jc w:val="left"/>
        <w:tblInd w:w="143" w:type="dxa"/>
        <w:tblLayout w:type="fixed"/>
        <w:tblCellMar>
          <w:top w:w="0" w:type="dxa"/>
          <w:left w:w="0" w:type="dxa"/>
          <w:bottom w:w="0" w:type="dxa"/>
          <w:right w:w="0" w:type="dxa"/>
        </w:tblCellMar>
        <w:tblLook w:val="01E0"/>
      </w:tblPr>
      <w:tblGrid>
        <w:gridCol w:w="3032"/>
        <w:gridCol w:w="4068"/>
        <w:gridCol w:w="2756"/>
      </w:tblGrid>
      <w:tr>
        <w:trPr>
          <w:trHeight w:val="353" w:hRule="exact"/>
        </w:trPr>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232"/>
              <w:jc w:val="right"/>
              <w:rPr>
                <w:rFonts w:ascii="宋体" w:hAnsi="宋体" w:cs="宋体" w:eastAsia="宋体" w:hint="default"/>
                <w:sz w:val="18"/>
                <w:szCs w:val="18"/>
              </w:rPr>
            </w:pPr>
            <w:r>
              <w:rPr>
                <w:rFonts w:ascii="宋体" w:hAnsi="宋体" w:cs="宋体" w:eastAsia="宋体" w:hint="default"/>
                <w:sz w:val="18"/>
                <w:szCs w:val="18"/>
              </w:rPr>
              <w:t>行权期</w:t>
            </w:r>
          </w:p>
        </w:tc>
        <w:tc>
          <w:tcPr>
            <w:tcW w:w="4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662" w:hRule="exact"/>
        </w:trPr>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208"/>
              <w:jc w:val="right"/>
              <w:rPr>
                <w:rFonts w:ascii="宋体" w:hAnsi="宋体" w:cs="宋体" w:eastAsia="宋体" w:hint="default"/>
                <w:sz w:val="18"/>
                <w:szCs w:val="18"/>
              </w:rPr>
            </w:pPr>
            <w:r>
              <w:rPr>
                <w:rFonts w:ascii="宋体" w:hAnsi="宋体" w:cs="宋体" w:eastAsia="宋体" w:hint="default"/>
                <w:sz w:val="18"/>
                <w:szCs w:val="18"/>
              </w:rPr>
              <w:t>第一批股票期权行权期</w:t>
            </w:r>
          </w:p>
        </w:tc>
        <w:tc>
          <w:tcPr>
            <w:tcW w:w="406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7"/>
              <w:ind w:left="2" w:right="11" w:firstLine="7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18</w:t>
            </w:r>
            <w:r>
              <w:rPr>
                <w:rFonts w:ascii="宋体" w:hAnsi="宋体" w:cs="宋体" w:eastAsia="宋体" w:hint="default"/>
                <w:sz w:val="18"/>
                <w:szCs w:val="18"/>
              </w:rPr>
              <w:t>个月后首个交易日起至授权日起</w:t>
            </w:r>
            <w:r>
              <w:rPr>
                <w:rFonts w:ascii="Times New Roman" w:hAnsi="Times New Roman" w:cs="Times New Roman" w:eastAsia="Times New Roman" w:hint="default"/>
                <w:sz w:val="18"/>
                <w:szCs w:val="18"/>
              </w:rPr>
              <w:t>30</w:t>
            </w:r>
            <w:r>
              <w:rPr>
                <w:rFonts w:ascii="宋体" w:hAnsi="宋体" w:cs="宋体" w:eastAsia="宋体" w:hint="default"/>
                <w:sz w:val="18"/>
                <w:szCs w:val="18"/>
              </w:rPr>
              <w:t>个 月内最后一个交易日当日止</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30%</w:t>
            </w:r>
          </w:p>
        </w:tc>
      </w:tr>
      <w:tr>
        <w:trPr>
          <w:trHeight w:val="665" w:hRule="exact"/>
        </w:trPr>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1208"/>
              <w:jc w:val="right"/>
              <w:rPr>
                <w:rFonts w:ascii="宋体" w:hAnsi="宋体" w:cs="宋体" w:eastAsia="宋体" w:hint="default"/>
                <w:sz w:val="18"/>
                <w:szCs w:val="18"/>
              </w:rPr>
            </w:pPr>
            <w:r>
              <w:rPr>
                <w:rFonts w:ascii="宋体" w:hAnsi="宋体" w:cs="宋体" w:eastAsia="宋体" w:hint="default"/>
                <w:sz w:val="18"/>
                <w:szCs w:val="18"/>
              </w:rPr>
              <w:t>第二批股票期权行权期</w:t>
            </w:r>
          </w:p>
        </w:tc>
        <w:tc>
          <w:tcPr>
            <w:tcW w:w="406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left="2" w:right="11" w:firstLine="7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30</w:t>
            </w:r>
            <w:r>
              <w:rPr>
                <w:rFonts w:ascii="宋体" w:hAnsi="宋体" w:cs="宋体" w:eastAsia="宋体" w:hint="default"/>
                <w:sz w:val="18"/>
                <w:szCs w:val="18"/>
              </w:rPr>
              <w:t>个月后首个交易日起至授权日起</w:t>
            </w:r>
            <w:r>
              <w:rPr>
                <w:rFonts w:ascii="Times New Roman" w:hAnsi="Times New Roman" w:cs="Times New Roman" w:eastAsia="Times New Roman" w:hint="default"/>
                <w:sz w:val="18"/>
                <w:szCs w:val="18"/>
              </w:rPr>
              <w:t>42</w:t>
            </w:r>
            <w:r>
              <w:rPr>
                <w:rFonts w:ascii="宋体" w:hAnsi="宋体" w:cs="宋体" w:eastAsia="宋体" w:hint="default"/>
                <w:sz w:val="18"/>
                <w:szCs w:val="18"/>
              </w:rPr>
              <w:t>个 月内最后一个交易日当日止</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30%</w:t>
            </w:r>
          </w:p>
        </w:tc>
      </w:tr>
      <w:tr>
        <w:trPr>
          <w:trHeight w:val="665" w:hRule="exact"/>
        </w:trPr>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1208"/>
              <w:jc w:val="right"/>
              <w:rPr>
                <w:rFonts w:ascii="宋体" w:hAnsi="宋体" w:cs="宋体" w:eastAsia="宋体" w:hint="default"/>
                <w:sz w:val="18"/>
                <w:szCs w:val="18"/>
              </w:rPr>
            </w:pPr>
            <w:r>
              <w:rPr>
                <w:rFonts w:ascii="宋体" w:hAnsi="宋体" w:cs="宋体" w:eastAsia="宋体" w:hint="default"/>
                <w:sz w:val="18"/>
                <w:szCs w:val="18"/>
              </w:rPr>
              <w:t>第三批股票期权行权期</w:t>
            </w:r>
          </w:p>
        </w:tc>
        <w:tc>
          <w:tcPr>
            <w:tcW w:w="406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7"/>
              <w:ind w:left="2" w:right="11" w:firstLine="72"/>
              <w:jc w:val="left"/>
              <w:rPr>
                <w:rFonts w:ascii="宋体" w:hAnsi="宋体" w:cs="宋体" w:eastAsia="宋体" w:hint="default"/>
                <w:sz w:val="18"/>
                <w:szCs w:val="18"/>
              </w:rPr>
            </w:pPr>
            <w:r>
              <w:rPr>
                <w:rFonts w:ascii="宋体" w:hAnsi="宋体" w:cs="宋体" w:eastAsia="宋体" w:hint="default"/>
                <w:sz w:val="18"/>
                <w:szCs w:val="18"/>
              </w:rPr>
              <w:t>自授权日起</w:t>
            </w:r>
            <w:r>
              <w:rPr>
                <w:rFonts w:ascii="Times New Roman" w:hAnsi="Times New Roman" w:cs="Times New Roman" w:eastAsia="Times New Roman" w:hint="default"/>
                <w:sz w:val="18"/>
                <w:szCs w:val="18"/>
              </w:rPr>
              <w:t>42</w:t>
            </w:r>
            <w:r>
              <w:rPr>
                <w:rFonts w:ascii="宋体" w:hAnsi="宋体" w:cs="宋体" w:eastAsia="宋体" w:hint="default"/>
                <w:sz w:val="18"/>
                <w:szCs w:val="18"/>
              </w:rPr>
              <w:t>个月后首个交易日起至授权日起</w:t>
            </w:r>
            <w:r>
              <w:rPr>
                <w:rFonts w:ascii="Times New Roman" w:hAnsi="Times New Roman" w:cs="Times New Roman" w:eastAsia="Times New Roman" w:hint="default"/>
                <w:sz w:val="18"/>
                <w:szCs w:val="18"/>
              </w:rPr>
              <w:t>54</w:t>
            </w:r>
            <w:r>
              <w:rPr>
                <w:rFonts w:ascii="宋体" w:hAnsi="宋体" w:cs="宋体" w:eastAsia="宋体" w:hint="default"/>
                <w:sz w:val="18"/>
                <w:szCs w:val="18"/>
              </w:rPr>
              <w:t>个 月内最后一个交易日当日止</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40%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44"/>
        <w:ind w:right="0"/>
        <w:jc w:val="left"/>
      </w:pPr>
      <w:r>
        <w:rPr/>
        <w:t>第二次股权激励（</w:t>
      </w:r>
      <w:r>
        <w:rPr>
          <w:rFonts w:ascii="Times New Roman" w:hAnsi="Times New Roman" w:cs="Times New Roman" w:eastAsia="Times New Roman" w:hint="default"/>
        </w:rPr>
        <w:t>2014</w:t>
      </w:r>
      <w:r>
        <w:rPr/>
        <w:t>年）</w:t>
      </w:r>
    </w:p>
    <w:p>
      <w:pPr>
        <w:pStyle w:val="BodyText"/>
        <w:spacing w:line="240" w:lineRule="auto" w:before="101"/>
        <w:ind w:left="0" w:right="456"/>
        <w:jc w:val="right"/>
      </w:pPr>
      <w:r>
        <w:rPr/>
        <w:t>单位：元</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5457"/>
        <w:gridCol w:w="4114"/>
      </w:tblGrid>
      <w:tr>
        <w:trPr>
          <w:trHeight w:val="427" w:hRule="exact"/>
        </w:trPr>
        <w:tc>
          <w:tcPr>
            <w:tcW w:w="5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5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1,278.75</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万股</w:t>
            </w:r>
          </w:p>
        </w:tc>
      </w:tr>
      <w:tr>
        <w:trPr>
          <w:trHeight w:val="427" w:hRule="exact"/>
        </w:trPr>
        <w:tc>
          <w:tcPr>
            <w:tcW w:w="5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27" w:hRule="exact"/>
        </w:trPr>
        <w:tc>
          <w:tcPr>
            <w:tcW w:w="5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公司期末发行在外的限制性股票回购价格的范围和合同剩余期限</w:t>
            </w:r>
          </w:p>
        </w:tc>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1.656</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宋体" w:hAnsi="宋体" w:cs="宋体" w:eastAsia="宋体" w:hint="default"/>
                <w:sz w:val="18"/>
                <w:szCs w:val="18"/>
              </w:rPr>
              <w:t>个月</w:t>
            </w:r>
          </w:p>
        </w:tc>
      </w:tr>
      <w:tr>
        <w:trPr>
          <w:trHeight w:val="428" w:hRule="exact"/>
        </w:trPr>
        <w:tc>
          <w:tcPr>
            <w:tcW w:w="5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公司期末其他权益工具行权价格的范围和合同剩余期限</w:t>
            </w:r>
          </w:p>
        </w:tc>
        <w:tc>
          <w:tcPr>
            <w:tcW w:w="4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其他说明</w:t>
      </w:r>
    </w:p>
    <w:p>
      <w:pPr>
        <w:pStyle w:val="BodyText"/>
        <w:spacing w:line="304" w:lineRule="auto" w:before="115"/>
        <w:ind w:right="349" w:firstLine="420"/>
        <w:jc w:val="both"/>
      </w:pP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9</w:t>
      </w:r>
      <w:r>
        <w:rPr>
          <w:spacing w:val="-2"/>
        </w:rPr>
        <w:t>日，公司</w:t>
      </w:r>
      <w:r>
        <w:rPr>
          <w:rFonts w:ascii="Times New Roman" w:hAnsi="Times New Roman" w:cs="Times New Roman" w:eastAsia="Times New Roman" w:hint="default"/>
          <w:spacing w:val="-2"/>
        </w:rPr>
        <w:t>2014</w:t>
      </w:r>
      <w:r>
        <w:rPr>
          <w:spacing w:val="-2"/>
        </w:rPr>
        <w:t>年第二次临时股东大会审议通过了《限制性股票激励计划（草案修订稿）》。</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20 </w:t>
      </w:r>
      <w:r>
        <w:rPr/>
        <w:t>日公司召开第二届董事会第十二次会议，会议决定授予公司</w:t>
      </w:r>
      <w:r>
        <w:rPr>
          <w:rFonts w:ascii="Times New Roman" w:hAnsi="Times New Roman" w:cs="Times New Roman" w:eastAsia="Times New Roman" w:hint="default"/>
        </w:rPr>
        <w:t>26</w:t>
      </w:r>
      <w:r>
        <w:rPr/>
        <w:t>位激励对象合计</w:t>
      </w:r>
      <w:r>
        <w:rPr>
          <w:rFonts w:ascii="Times New Roman" w:hAnsi="Times New Roman" w:cs="Times New Roman" w:eastAsia="Times New Roman" w:hint="default"/>
        </w:rPr>
        <w:t>1,705</w:t>
      </w:r>
      <w:r>
        <w:rPr/>
        <w:t>万股限制性股票，授权日为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spacing w:val="-44"/>
        </w:rPr>
        <w:t> </w:t>
      </w:r>
      <w:r>
        <w:rPr>
          <w:rFonts w:ascii="Times New Roman" w:hAnsi="Times New Roman" w:cs="Times New Roman" w:eastAsia="Times New Roman" w:hint="default"/>
          <w:spacing w:val="-2"/>
        </w:rPr>
        <w:t>20</w:t>
      </w:r>
      <w:r>
        <w:rPr>
          <w:spacing w:val="-2"/>
        </w:rPr>
        <w:t>日，授予价格为</w:t>
      </w:r>
      <w:r>
        <w:rPr>
          <w:rFonts w:ascii="Times New Roman" w:hAnsi="Times New Roman" w:cs="Times New Roman" w:eastAsia="Times New Roman" w:hint="default"/>
          <w:spacing w:val="-2"/>
        </w:rPr>
        <w:t>4.20</w:t>
      </w:r>
      <w:r>
        <w:rPr>
          <w:spacing w:val="-2"/>
        </w:rPr>
        <w:t>元</w:t>
      </w:r>
      <w:r>
        <w:rPr>
          <w:rFonts w:ascii="Times New Roman" w:hAnsi="Times New Roman" w:cs="Times New Roman" w:eastAsia="Times New Roman" w:hint="default"/>
          <w:spacing w:val="-2"/>
        </w:rPr>
        <w:t>/</w:t>
      </w:r>
      <w:r>
        <w:rPr>
          <w:spacing w:val="-2"/>
        </w:rPr>
        <w:t>股，并对相关事项进行了公告。公司</w:t>
      </w:r>
      <w:r>
        <w:rPr>
          <w:rFonts w:ascii="Times New Roman" w:hAnsi="Times New Roman" w:cs="Times New Roman" w:eastAsia="Times New Roman" w:hint="default"/>
          <w:spacing w:val="-2"/>
        </w:rPr>
        <w:t>2015</w:t>
      </w:r>
      <w:r>
        <w:rPr>
          <w:spacing w:val="-2"/>
        </w:rPr>
        <w:t>年第四次临时股东大会审议通过的</w:t>
      </w:r>
      <w:r>
        <w:rPr>
          <w:rFonts w:ascii="Times New Roman" w:hAnsi="Times New Roman" w:cs="Times New Roman" w:eastAsia="Times New Roman" w:hint="default"/>
          <w:spacing w:val="-2"/>
        </w:rPr>
        <w:t>2015</w:t>
      </w:r>
      <w:r>
        <w:rPr>
          <w:spacing w:val="-2"/>
        </w:rPr>
        <w:t>年半年度利润分配</w:t>
      </w:r>
      <w:r>
        <w:rPr>
          <w:spacing w:val="-61"/>
        </w:rPr>
        <w:t> </w:t>
      </w:r>
      <w:r>
        <w:rPr>
          <w:spacing w:val="-61"/>
        </w:rPr>
      </w:r>
      <w:r>
        <w:rPr/>
        <w:t>方案已实施完毕。</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w:t>
      </w:r>
      <w:r>
        <w:rPr>
          <w:rFonts w:ascii="Times New Roman" w:hAnsi="Times New Roman" w:cs="Times New Roman" w:eastAsia="Times New Roman" w:hint="default"/>
        </w:rPr>
        <w:t>,</w:t>
      </w:r>
      <w:r>
        <w:rPr/>
        <w:t>根据公司《限制性股票激励计划（草案修订稿）》，董事会依据股东大会的授权，经公</w:t>
      </w:r>
      <w:r>
        <w:rPr>
          <w:spacing w:val="-41"/>
        </w:rPr>
        <w:t> </w:t>
      </w:r>
      <w:r>
        <w:rPr>
          <w:spacing w:val="-41"/>
        </w:rPr>
      </w:r>
      <w:r>
        <w:rPr>
          <w:spacing w:val="-2"/>
        </w:rPr>
        <w:t>司第二届董事会第二十五次会议审议，对限制性股票激励计划中首次授予的限制性股票数量及回购价格进行相应的调整。调</w:t>
      </w:r>
      <w:r>
        <w:rPr>
          <w:spacing w:val="-64"/>
        </w:rPr>
        <w:t> </w:t>
      </w:r>
      <w:r>
        <w:rPr>
          <w:spacing w:val="-64"/>
        </w:rPr>
      </w:r>
      <w:r>
        <w:rPr/>
        <w:t>整后首次授予的限制性股票总量为</w:t>
      </w:r>
      <w:r>
        <w:rPr>
          <w:rFonts w:ascii="Times New Roman" w:hAnsi="Times New Roman" w:cs="Times New Roman" w:eastAsia="Times New Roman" w:hint="default"/>
        </w:rPr>
        <w:t>4,262.50</w:t>
      </w:r>
      <w:r>
        <w:rPr/>
        <w:t>万股；调整后首次授予的限制性股票的回购价格为</w:t>
      </w:r>
      <w:r>
        <w:rPr>
          <w:rFonts w:ascii="Times New Roman" w:hAnsi="Times New Roman" w:cs="Times New Roman" w:eastAsia="Times New Roman" w:hint="default"/>
        </w:rPr>
        <w:t>1.656</w:t>
      </w:r>
      <w:r>
        <w:rPr/>
        <w:t>元。</w:t>
      </w:r>
    </w:p>
    <w:p>
      <w:pPr>
        <w:pStyle w:val="BodyText"/>
        <w:spacing w:line="300" w:lineRule="auto" w:before="9"/>
        <w:ind w:left="573"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月，限制性股票第一期达到解锁条件，激励对象分别于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日解锁共计</w:t>
      </w:r>
      <w:r>
        <w:rPr>
          <w:rFonts w:ascii="Times New Roman" w:hAnsi="Times New Roman" w:cs="Times New Roman" w:eastAsia="Times New Roman" w:hint="default"/>
        </w:rPr>
        <w:t>1,278.75</w:t>
      </w:r>
      <w:r>
        <w:rPr/>
        <w:t>万股。 根据《限制性股票股权激励计划（草案修订稿）》，自限制性股票期权授予日起</w:t>
      </w:r>
      <w:r>
        <w:rPr>
          <w:rFonts w:ascii="Times New Roman" w:hAnsi="Times New Roman" w:cs="Times New Roman" w:eastAsia="Times New Roman" w:hint="default"/>
        </w:rPr>
        <w:t>12</w:t>
      </w:r>
      <w:r>
        <w:rPr/>
        <w:t>个月后，满足解锁条件的，激励对</w:t>
      </w:r>
    </w:p>
    <w:p>
      <w:pPr>
        <w:pStyle w:val="BodyText"/>
        <w:spacing w:line="240" w:lineRule="auto" w:before="13"/>
        <w:ind w:right="0"/>
        <w:jc w:val="left"/>
      </w:pPr>
      <w:r>
        <w:rPr/>
        <w:t>象可以分三期申请解锁。解锁安排如下表所示：</w:t>
      </w:r>
    </w:p>
    <w:p>
      <w:pPr>
        <w:spacing w:line="240" w:lineRule="auto" w:before="1"/>
        <w:rPr>
          <w:rFonts w:ascii="宋体" w:hAnsi="宋体" w:cs="宋体" w:eastAsia="宋体" w:hint="default"/>
          <w:sz w:val="29"/>
          <w:szCs w:val="29"/>
        </w:rPr>
      </w:pPr>
    </w:p>
    <w:tbl>
      <w:tblPr>
        <w:tblW w:w="0" w:type="auto"/>
        <w:jc w:val="left"/>
        <w:tblInd w:w="143" w:type="dxa"/>
        <w:tblLayout w:type="fixed"/>
        <w:tblCellMar>
          <w:top w:w="0" w:type="dxa"/>
          <w:left w:w="0" w:type="dxa"/>
          <w:bottom w:w="0" w:type="dxa"/>
          <w:right w:w="0" w:type="dxa"/>
        </w:tblCellMar>
        <w:tblLook w:val="01E0"/>
      </w:tblPr>
      <w:tblGrid>
        <w:gridCol w:w="3032"/>
        <w:gridCol w:w="4068"/>
        <w:gridCol w:w="2756"/>
      </w:tblGrid>
      <w:tr>
        <w:trPr>
          <w:trHeight w:val="353" w:hRule="exact"/>
        </w:trPr>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40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行权比例</w:t>
            </w:r>
          </w:p>
        </w:tc>
      </w:tr>
      <w:tr>
        <w:trPr>
          <w:trHeight w:val="662" w:hRule="exact"/>
        </w:trPr>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第一次解锁</w:t>
            </w:r>
          </w:p>
        </w:tc>
        <w:tc>
          <w:tcPr>
            <w:tcW w:w="406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7"/>
              <w:ind w:left="2" w:right="83"/>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0"/>
              <w:ind w:left="7" w:right="0"/>
              <w:jc w:val="center"/>
              <w:rPr>
                <w:rFonts w:ascii="Times New Roman" w:hAnsi="Times New Roman" w:cs="Times New Roman" w:eastAsia="Times New Roman" w:hint="default"/>
                <w:sz w:val="18"/>
                <w:szCs w:val="18"/>
              </w:rPr>
            </w:pPr>
            <w:r>
              <w:rPr>
                <w:rFonts w:ascii="Times New Roman"/>
                <w:sz w:val="18"/>
              </w:rPr>
              <w:t>30%</w:t>
            </w:r>
          </w:p>
        </w:tc>
      </w:tr>
      <w:tr>
        <w:trPr>
          <w:trHeight w:val="665" w:hRule="exact"/>
        </w:trPr>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第二次解锁</w:t>
            </w:r>
          </w:p>
        </w:tc>
        <w:tc>
          <w:tcPr>
            <w:tcW w:w="406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left="2" w:right="83"/>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30%</w:t>
            </w:r>
          </w:p>
        </w:tc>
      </w:tr>
      <w:tr>
        <w:trPr>
          <w:trHeight w:val="665" w:hRule="exact"/>
        </w:trPr>
        <w:tc>
          <w:tcPr>
            <w:tcW w:w="30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第三次解锁</w:t>
            </w:r>
          </w:p>
        </w:tc>
        <w:tc>
          <w:tcPr>
            <w:tcW w:w="4068"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0"/>
              <w:ind w:left="2" w:right="83"/>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个月内的最后一个交易日当日止</w:t>
            </w:r>
          </w:p>
        </w:tc>
        <w:tc>
          <w:tcPr>
            <w:tcW w:w="2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7" w:right="0"/>
              <w:jc w:val="center"/>
              <w:rPr>
                <w:rFonts w:ascii="Times New Roman" w:hAnsi="Times New Roman" w:cs="Times New Roman" w:eastAsia="Times New Roman" w:hint="default"/>
                <w:sz w:val="18"/>
                <w:szCs w:val="18"/>
              </w:rPr>
            </w:pPr>
            <w:r>
              <w:rPr>
                <w:rFonts w:ascii="Times New Roman"/>
                <w:sz w:val="18"/>
              </w:rPr>
              <w:t>40%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7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按照修正的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期权定价模型计算确定。</w:t>
            </w:r>
          </w:p>
        </w:tc>
      </w:tr>
      <w:tr>
        <w:trPr>
          <w:trHeight w:val="71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0"/>
              <w:ind w:left="23" w:right="19"/>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年度公司业 绩以及对未来年度公司业绩的预测进行确定</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12,895,082.87</w:t>
            </w:r>
          </w:p>
        </w:tc>
      </w:tr>
      <w:tr>
        <w:trPr>
          <w:trHeight w:val="404"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923,888.78</w:t>
            </w:r>
          </w:p>
        </w:tc>
      </w:tr>
    </w:tbl>
    <w:p>
      <w:pPr>
        <w:pStyle w:val="BodyText"/>
        <w:spacing w:line="240" w:lineRule="auto" w:before="49"/>
        <w:ind w:right="0"/>
        <w:jc w:val="left"/>
      </w:pPr>
      <w:r>
        <w:rPr/>
        <w:t>其他说明</w:t>
      </w:r>
    </w:p>
    <w:p>
      <w:pPr>
        <w:pStyle w:val="BodyText"/>
        <w:spacing w:line="300" w:lineRule="auto" w:before="115"/>
        <w:ind w:right="0" w:firstLine="420"/>
        <w:jc w:val="left"/>
      </w:pPr>
      <w:r>
        <w:rPr>
          <w:spacing w:val="-1"/>
        </w:rPr>
        <w:t>资本公积中以权益结算的股份支付金额为</w:t>
      </w:r>
      <w:r>
        <w:rPr>
          <w:rFonts w:ascii="Times New Roman" w:hAnsi="Times New Roman" w:cs="Times New Roman" w:eastAsia="Times New Roman" w:hint="default"/>
          <w:spacing w:val="-1"/>
        </w:rPr>
        <w:t>2011</w:t>
      </w:r>
      <w:r>
        <w:rPr>
          <w:spacing w:val="-1"/>
        </w:rPr>
        <w:t>年度</w:t>
      </w:r>
      <w:r>
        <w:rPr>
          <w:rFonts w:ascii="Times New Roman" w:hAnsi="Times New Roman" w:cs="Times New Roman" w:eastAsia="Times New Roman" w:hint="default"/>
          <w:spacing w:val="-1"/>
        </w:rPr>
        <w:t>774,200</w:t>
      </w:r>
      <w:r>
        <w:rPr>
          <w:spacing w:val="-1"/>
        </w:rPr>
        <w:t>元，</w:t>
      </w:r>
      <w:r>
        <w:rPr>
          <w:rFonts w:ascii="Times New Roman" w:hAnsi="Times New Roman" w:cs="Times New Roman" w:eastAsia="Times New Roman" w:hint="default"/>
          <w:spacing w:val="-1"/>
        </w:rPr>
        <w:t>2012</w:t>
      </w:r>
      <w:r>
        <w:rPr>
          <w:spacing w:val="-1"/>
        </w:rPr>
        <w:t>年度</w:t>
      </w:r>
      <w:r>
        <w:rPr>
          <w:rFonts w:ascii="Times New Roman" w:hAnsi="Times New Roman" w:cs="Times New Roman" w:eastAsia="Times New Roman" w:hint="default"/>
          <w:spacing w:val="-1"/>
        </w:rPr>
        <w:t>9,290,000.00</w:t>
      </w:r>
      <w:r>
        <w:rPr>
          <w:spacing w:val="-1"/>
        </w:rPr>
        <w:t>元，</w:t>
      </w:r>
      <w:r>
        <w:rPr>
          <w:rFonts w:ascii="Times New Roman" w:hAnsi="Times New Roman" w:cs="Times New Roman" w:eastAsia="Times New Roman" w:hint="default"/>
          <w:spacing w:val="-1"/>
        </w:rPr>
        <w:t>2013</w:t>
      </w:r>
      <w:r>
        <w:rPr>
          <w:spacing w:val="-1"/>
        </w:rPr>
        <w:t>年度</w:t>
      </w:r>
      <w:r>
        <w:rPr>
          <w:rFonts w:ascii="Times New Roman" w:hAnsi="Times New Roman" w:cs="Times New Roman" w:eastAsia="Times New Roman" w:hint="default"/>
          <w:spacing w:val="-1"/>
        </w:rPr>
        <w:t>-310,338.99</w:t>
      </w:r>
      <w:r>
        <w:rPr>
          <w:spacing w:val="-1"/>
        </w:rPr>
        <w:t>元，</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t>年度</w:t>
      </w:r>
      <w:r>
        <w:rPr>
          <w:rFonts w:ascii="Times New Roman" w:hAnsi="Times New Roman" w:cs="Times New Roman" w:eastAsia="Times New Roman" w:hint="default"/>
        </w:rPr>
        <w:t>2,217,333.08</w:t>
      </w:r>
      <w:r>
        <w:rPr/>
        <w:t>元，</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923,888.78</w:t>
      </w:r>
      <w:r>
        <w:rPr/>
        <w:t>元，合计</w:t>
      </w:r>
      <w:r>
        <w:rPr>
          <w:rFonts w:ascii="Times New Roman" w:hAnsi="Times New Roman" w:cs="Times New Roman" w:eastAsia="Times New Roman" w:hint="default"/>
        </w:rPr>
        <w:t>12,895,082.87</w:t>
      </w:r>
      <w:r>
        <w:rPr/>
        <w:t>元。</w:t>
      </w:r>
    </w:p>
    <w:p>
      <w:pPr>
        <w:spacing w:line="240" w:lineRule="auto" w:before="6"/>
        <w:rPr>
          <w:rFonts w:ascii="宋体" w:hAnsi="宋体" w:cs="宋体" w:eastAsia="宋体" w:hint="default"/>
          <w:sz w:val="21"/>
          <w:szCs w:val="21"/>
        </w:rPr>
      </w:pPr>
    </w:p>
    <w:p>
      <w:pPr>
        <w:pStyle w:val="BodyText"/>
        <w:spacing w:line="240" w:lineRule="auto" w:before="44"/>
        <w:ind w:right="0"/>
        <w:jc w:val="left"/>
      </w:pPr>
      <w:r>
        <w:rPr/>
        <w:t>第二次股权激励（</w:t>
      </w:r>
      <w:r>
        <w:rPr>
          <w:rFonts w:ascii="Times New Roman" w:hAnsi="Times New Roman" w:cs="Times New Roman" w:eastAsia="Times New Roman" w:hint="default"/>
        </w:rPr>
        <w:t>2014</w:t>
      </w:r>
      <w:r>
        <w:rPr/>
        <w:t>年）</w:t>
      </w:r>
    </w:p>
    <w:p>
      <w:pPr>
        <w:pStyle w:val="BodyText"/>
        <w:spacing w:line="240" w:lineRule="auto" w:before="63"/>
        <w:ind w:left="0" w:right="362"/>
        <w:jc w:val="right"/>
      </w:pPr>
      <w:r>
        <w:rPr/>
        <w:t>单位：元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4983"/>
        <w:gridCol w:w="4587"/>
      </w:tblGrid>
      <w:tr>
        <w:trPr>
          <w:trHeight w:val="427" w:hRule="exact"/>
        </w:trPr>
        <w:tc>
          <w:tcPr>
            <w:tcW w:w="4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按照修正的</w:t>
            </w:r>
            <w:r>
              <w:rPr>
                <w:rFonts w:ascii="Times New Roman" w:hAnsi="Times New Roman" w:cs="Times New Roman" w:eastAsia="Times New Roman" w:hint="default"/>
                <w:sz w:val="18"/>
                <w:szCs w:val="18"/>
              </w:rPr>
              <w:t>Black-Scholes</w:t>
            </w:r>
            <w:r>
              <w:rPr>
                <w:rFonts w:ascii="宋体" w:hAnsi="宋体" w:cs="宋体" w:eastAsia="宋体" w:hint="default"/>
                <w:sz w:val="18"/>
                <w:szCs w:val="18"/>
              </w:rPr>
              <w:t>期权定价模型计算确定。</w:t>
            </w:r>
          </w:p>
        </w:tc>
      </w:tr>
      <w:tr>
        <w:trPr>
          <w:trHeight w:val="740" w:hRule="exact"/>
        </w:trPr>
        <w:tc>
          <w:tcPr>
            <w:tcW w:w="4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58"/>
              <w:ind w:left="4" w:right="62"/>
              <w:jc w:val="left"/>
              <w:rPr>
                <w:rFonts w:ascii="宋体" w:hAnsi="宋体" w:cs="宋体" w:eastAsia="宋体" w:hint="default"/>
                <w:sz w:val="18"/>
                <w:szCs w:val="18"/>
              </w:rPr>
            </w:pPr>
            <w:r>
              <w:rPr>
                <w:rFonts w:ascii="宋体" w:hAnsi="宋体" w:cs="宋体" w:eastAsia="宋体" w:hint="default"/>
                <w:sz w:val="18"/>
                <w:szCs w:val="18"/>
              </w:rPr>
              <w:t>公司根据在职激励对象对应的权益工具、</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年度公司业 绩以及对未来年度公司业绩的预测进行确定</w:t>
            </w:r>
          </w:p>
        </w:tc>
      </w:tr>
      <w:tr>
        <w:trPr>
          <w:trHeight w:val="427" w:hRule="exact"/>
        </w:trPr>
        <w:tc>
          <w:tcPr>
            <w:tcW w:w="4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27" w:hRule="exact"/>
        </w:trPr>
        <w:tc>
          <w:tcPr>
            <w:tcW w:w="4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31,081,003.34</w:t>
            </w:r>
          </w:p>
        </w:tc>
      </w:tr>
      <w:tr>
        <w:trPr>
          <w:trHeight w:val="427" w:hRule="exact"/>
        </w:trPr>
        <w:tc>
          <w:tcPr>
            <w:tcW w:w="4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25,558,997.67</w:t>
            </w:r>
          </w:p>
        </w:tc>
      </w:tr>
    </w:tbl>
    <w:p>
      <w:pPr>
        <w:pStyle w:val="BodyText"/>
        <w:spacing w:line="240" w:lineRule="auto" w:before="49"/>
        <w:ind w:right="0"/>
        <w:jc w:val="left"/>
      </w:pPr>
      <w:r>
        <w:rPr/>
        <w:t>其他说明</w:t>
      </w:r>
    </w:p>
    <w:p>
      <w:pPr>
        <w:pStyle w:val="BodyText"/>
        <w:spacing w:line="240" w:lineRule="auto" w:before="115"/>
        <w:ind w:left="573" w:right="0"/>
        <w:jc w:val="left"/>
      </w:pPr>
      <w:r>
        <w:rPr>
          <w:rFonts w:ascii="Times New Roman" w:hAnsi="Times New Roman" w:cs="Times New Roman" w:eastAsia="Times New Roman" w:hint="default"/>
        </w:rPr>
        <w:t>2014</w:t>
      </w:r>
      <w:r>
        <w:rPr/>
        <w:t>年度资本公积中以权益结算的股份支付金额为</w:t>
      </w:r>
      <w:r>
        <w:rPr>
          <w:rFonts w:ascii="Times New Roman" w:hAnsi="Times New Roman" w:cs="Times New Roman" w:eastAsia="Times New Roman" w:hint="default"/>
        </w:rPr>
        <w:t>5,522,005.67</w:t>
      </w:r>
      <w:r>
        <w:rPr/>
        <w:t>元，</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25,558,997.67</w:t>
      </w:r>
      <w:r>
        <w:rPr/>
        <w:t>元，合计</w:t>
      </w:r>
      <w:r>
        <w:rPr>
          <w:rFonts w:ascii="Times New Roman" w:hAnsi="Times New Roman" w:cs="Times New Roman" w:eastAsia="Times New Roman" w:hint="default"/>
        </w:rPr>
        <w:t>31,081,003.34</w:t>
      </w:r>
      <w:r>
        <w:rPr/>
        <w:t>元。</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4</w:t>
      </w:r>
      <w:r>
        <w:rPr/>
        <w:t>、股份支付的修改、终止情况</w:t>
      </w:r>
      <w:r>
        <w:rPr>
          <w:b w:val="0"/>
          <w:bCs w:val="0"/>
        </w:rPr>
      </w:r>
    </w:p>
    <w:p>
      <w:pPr>
        <w:pStyle w:val="BodyText"/>
        <w:spacing w:line="430" w:lineRule="atLeast" w:before="163"/>
        <w:ind w:left="573" w:right="218" w:hanging="421"/>
        <w:jc w:val="left"/>
      </w:pPr>
      <w:r>
        <w:rPr/>
        <w:t>第一次股权激励（</w:t>
      </w:r>
      <w:r>
        <w:rPr>
          <w:rFonts w:ascii="Times New Roman" w:hAnsi="Times New Roman" w:cs="Times New Roman" w:eastAsia="Times New Roman" w:hint="default"/>
        </w:rPr>
        <w:t>2011</w:t>
      </w:r>
      <w:r>
        <w:rPr/>
        <w:t>年） 根据公司</w:t>
      </w:r>
      <w:r>
        <w:rPr>
          <w:rFonts w:ascii="Times New Roman" w:hAnsi="Times New Roman" w:cs="Times New Roman" w:eastAsia="Times New Roman" w:hint="default"/>
        </w:rPr>
        <w:t>2012</w:t>
      </w:r>
      <w:r>
        <w:rPr/>
        <w:t>年度股东大会决议，公司实施了每</w:t>
      </w:r>
      <w:r>
        <w:rPr>
          <w:rFonts w:ascii="Times New Roman" w:hAnsi="Times New Roman" w:cs="Times New Roman" w:eastAsia="Times New Roman" w:hint="default"/>
        </w:rPr>
        <w:t>10</w:t>
      </w:r>
      <w:r>
        <w:rPr/>
        <w:t>股以资本公积转增</w:t>
      </w:r>
      <w:r>
        <w:rPr>
          <w:rFonts w:ascii="Times New Roman" w:hAnsi="Times New Roman" w:cs="Times New Roman" w:eastAsia="Times New Roman" w:hint="default"/>
        </w:rPr>
        <w:t>10</w:t>
      </w:r>
      <w:r>
        <w:rPr/>
        <w:t>股，并派发金红利人民币</w:t>
      </w:r>
      <w:r>
        <w:rPr>
          <w:rFonts w:ascii="Times New Roman" w:hAnsi="Times New Roman" w:cs="Times New Roman" w:eastAsia="Times New Roman" w:hint="default"/>
        </w:rPr>
        <w:t>0.20</w:t>
      </w:r>
      <w:r>
        <w:rPr/>
        <w:t>元的年度利润分</w:t>
      </w:r>
    </w:p>
    <w:p>
      <w:pPr>
        <w:pStyle w:val="BodyText"/>
        <w:spacing w:line="300" w:lineRule="auto" w:before="63"/>
        <w:ind w:right="144"/>
        <w:jc w:val="left"/>
      </w:pPr>
      <w:r>
        <w:rPr/>
        <w:t>配方案。</w:t>
      </w:r>
      <w:r>
        <w:rPr>
          <w:rFonts w:ascii="Times New Roman" w:hAnsi="Times New Roman" w:cs="Times New Roman" w:eastAsia="Times New Roman" w:hint="default"/>
        </w:rPr>
        <w:t>2013</w:t>
      </w:r>
      <w:r>
        <w:rPr/>
        <w:t>年公司董事会对股权期权激励计划的期权数量由</w:t>
      </w:r>
      <w:r>
        <w:rPr>
          <w:rFonts w:ascii="Times New Roman" w:hAnsi="Times New Roman" w:cs="Times New Roman" w:eastAsia="Times New Roman" w:hint="default"/>
        </w:rPr>
        <w:t>820</w:t>
      </w:r>
      <w:r>
        <w:rPr/>
        <w:t>万份调整为</w:t>
      </w:r>
      <w:r>
        <w:rPr>
          <w:rFonts w:ascii="Times New Roman" w:hAnsi="Times New Roman" w:cs="Times New Roman" w:eastAsia="Times New Roman" w:hint="default"/>
        </w:rPr>
        <w:t>1,640</w:t>
      </w:r>
      <w:r>
        <w:rPr/>
        <w:t>万份，授予的股票期权行权价格由</w:t>
      </w:r>
      <w:r>
        <w:rPr>
          <w:rFonts w:ascii="Times New Roman" w:hAnsi="Times New Roman" w:cs="Times New Roman" w:eastAsia="Times New Roman" w:hint="default"/>
        </w:rPr>
        <w:t>9.77</w:t>
      </w:r>
      <w:r>
        <w:rPr/>
        <w:t>元 调整为</w:t>
      </w:r>
      <w:r>
        <w:rPr>
          <w:rFonts w:ascii="Times New Roman" w:hAnsi="Times New Roman" w:cs="Times New Roman" w:eastAsia="Times New Roman" w:hint="default"/>
        </w:rPr>
        <w:t>4.785</w:t>
      </w:r>
      <w:r>
        <w:rPr/>
        <w:t>元。</w:t>
      </w:r>
    </w:p>
    <w:p>
      <w:pPr>
        <w:pStyle w:val="BodyText"/>
        <w:spacing w:line="300" w:lineRule="auto" w:before="13"/>
        <w:ind w:right="0" w:firstLine="42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月，股票期权第三期达到行权条件后行权，激励对象分别于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w:t>
      </w:r>
      <w:r>
        <w:rPr>
          <w:rFonts w:ascii="Times New Roman" w:hAnsi="Times New Roman" w:cs="Times New Roman" w:eastAsia="Times New Roman" w:hint="default"/>
          <w:spacing w:val="-2"/>
        </w:rPr>
        <w:t>~10</w:t>
      </w:r>
      <w:r>
        <w:rPr>
          <w:spacing w:val="-2"/>
        </w:rPr>
        <w:t>日行权共计</w:t>
      </w:r>
      <w:r>
        <w:rPr>
          <w:rFonts w:ascii="Times New Roman" w:hAnsi="Times New Roman" w:cs="Times New Roman" w:eastAsia="Times New Roman" w:hint="default"/>
          <w:spacing w:val="-2"/>
        </w:rPr>
        <w:t>464</w:t>
      </w:r>
      <w:r>
        <w:rPr>
          <w:spacing w:val="-2"/>
        </w:rPr>
        <w:t>万份，至此股票期</w:t>
      </w:r>
      <w:r>
        <w:rPr/>
        <w:t> 权全部行权完毕。</w:t>
      </w:r>
    </w:p>
    <w:p>
      <w:pPr>
        <w:spacing w:line="240" w:lineRule="auto" w:before="4"/>
        <w:rPr>
          <w:rFonts w:ascii="宋体" w:hAnsi="宋体" w:cs="宋体" w:eastAsia="宋体" w:hint="default"/>
          <w:sz w:val="26"/>
          <w:szCs w:val="26"/>
        </w:rPr>
      </w:pPr>
    </w:p>
    <w:p>
      <w:pPr>
        <w:pStyle w:val="BodyText"/>
        <w:spacing w:line="240" w:lineRule="auto"/>
        <w:ind w:right="0"/>
        <w:jc w:val="left"/>
      </w:pPr>
      <w:r>
        <w:rPr/>
        <w:t>第二次股权激励（</w:t>
      </w:r>
      <w:r>
        <w:rPr>
          <w:rFonts w:ascii="Times New Roman" w:hAnsi="Times New Roman" w:cs="Times New Roman" w:eastAsia="Times New Roman" w:hint="default"/>
        </w:rPr>
        <w:t>2014</w:t>
      </w:r>
      <w:r>
        <w:rPr/>
        <w:t>年）</w:t>
      </w:r>
    </w:p>
    <w:p>
      <w:pPr>
        <w:spacing w:after="0" w:line="240" w:lineRule="auto"/>
        <w:jc w:val="left"/>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pStyle w:val="BodyText"/>
        <w:spacing w:line="300" w:lineRule="auto" w:before="44"/>
        <w:ind w:right="115" w:firstLine="420"/>
        <w:jc w:val="both"/>
      </w:pPr>
      <w:r>
        <w:rPr>
          <w:spacing w:val="-2"/>
        </w:rPr>
        <w:t>根据公司</w:t>
      </w:r>
      <w:r>
        <w:rPr>
          <w:rFonts w:ascii="Times New Roman" w:hAnsi="Times New Roman" w:cs="Times New Roman" w:eastAsia="Times New Roman" w:hint="default"/>
          <w:spacing w:val="-2"/>
        </w:rPr>
        <w:t>2015</w:t>
      </w:r>
      <w:r>
        <w:rPr>
          <w:spacing w:val="-2"/>
        </w:rPr>
        <w:t>年度股东大会决议，公司实施了向全体股东每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5</w:t>
      </w:r>
      <w:r>
        <w:rPr>
          <w:spacing w:val="-2"/>
        </w:rPr>
        <w:t>股，并以资本公积金每</w:t>
      </w:r>
      <w:r>
        <w:rPr>
          <w:rFonts w:ascii="Times New Roman" w:hAnsi="Times New Roman" w:cs="Times New Roman" w:eastAsia="Times New Roman" w:hint="default"/>
          <w:spacing w:val="-2"/>
        </w:rPr>
        <w:t>10</w:t>
      </w:r>
      <w:r>
        <w:rPr>
          <w:spacing w:val="-2"/>
        </w:rPr>
        <w:t>股向全体股东转增</w:t>
      </w:r>
      <w:r>
        <w:rPr>
          <w:rFonts w:ascii="Times New Roman" w:hAnsi="Times New Roman" w:cs="Times New Roman" w:eastAsia="Times New Roman" w:hint="default"/>
          <w:spacing w:val="-2"/>
        </w:rPr>
        <w:t>10 </w:t>
      </w:r>
      <w:r>
        <w:rPr/>
        <w:t>股的利润分配方案。</w:t>
      </w:r>
      <w:r>
        <w:rPr>
          <w:rFonts w:ascii="Times New Roman" w:hAnsi="Times New Roman" w:cs="Times New Roman" w:eastAsia="Times New Roman" w:hint="default"/>
        </w:rPr>
        <w:t>2015</w:t>
      </w:r>
      <w:r>
        <w:rPr/>
        <w:t>年公司董事会对限制性股票激励计划首次授予的限制性股票数量由</w:t>
      </w:r>
      <w:r>
        <w:rPr>
          <w:rFonts w:ascii="Times New Roman" w:hAnsi="Times New Roman" w:cs="Times New Roman" w:eastAsia="Times New Roman" w:hint="default"/>
        </w:rPr>
        <w:t>1,705</w:t>
      </w:r>
      <w:r>
        <w:rPr/>
        <w:t>万股调整为</w:t>
      </w:r>
      <w:r>
        <w:rPr>
          <w:rFonts w:ascii="Times New Roman" w:hAnsi="Times New Roman" w:cs="Times New Roman" w:eastAsia="Times New Roman" w:hint="default"/>
        </w:rPr>
        <w:t>4,262.50</w:t>
      </w:r>
      <w:r>
        <w:rPr/>
        <w:t>万股， 授予的限制性股票回购价格由</w:t>
      </w:r>
      <w:r>
        <w:rPr>
          <w:rFonts w:ascii="Times New Roman" w:hAnsi="Times New Roman" w:cs="Times New Roman" w:eastAsia="Times New Roman" w:hint="default"/>
        </w:rPr>
        <w:t>4.2</w:t>
      </w:r>
      <w:r>
        <w:rPr/>
        <w:t>元调整为</w:t>
      </w:r>
      <w:r>
        <w:rPr>
          <w:rFonts w:ascii="Times New Roman" w:hAnsi="Times New Roman" w:cs="Times New Roman" w:eastAsia="Times New Roman" w:hint="default"/>
        </w:rPr>
        <w:t>1.656</w:t>
      </w:r>
      <w:r>
        <w:rPr/>
        <w:t>元。</w:t>
      </w:r>
    </w:p>
    <w:p>
      <w:pPr>
        <w:spacing w:line="240" w:lineRule="auto" w:before="4"/>
        <w:rPr>
          <w:rFonts w:ascii="宋体" w:hAnsi="宋体" w:cs="宋体" w:eastAsia="宋体" w:hint="default"/>
          <w:sz w:val="22"/>
          <w:szCs w:val="22"/>
        </w:rPr>
      </w:pPr>
    </w:p>
    <w:p>
      <w:pPr>
        <w:spacing w:line="487" w:lineRule="auto" w:before="0"/>
        <w:ind w:left="152" w:right="736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5"/>
        <w:ind w:right="7434"/>
        <w:jc w:val="left"/>
      </w:pPr>
      <w:r>
        <w:rPr/>
        <w:t>资产负债表日存在的重要承诺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20"/>
        <w:ind w:left="152" w:right="688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5"/>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6"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79"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73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Heading5"/>
        <w:spacing w:line="240" w:lineRule="auto" w:before="81"/>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0"/>
        <w:gridCol w:w="2392"/>
        <w:gridCol w:w="2381"/>
      </w:tblGrid>
      <w:tr>
        <w:trPr>
          <w:trHeight w:val="403" w:hRule="exact"/>
        </w:trPr>
        <w:tc>
          <w:tcPr>
            <w:tcW w:w="2404" w:type="dxa"/>
            <w:tcBorders>
              <w:top w:val="single" w:sz="4" w:space="0" w:color="000000"/>
              <w:left w:val="single" w:sz="4" w:space="0" w:color="000000"/>
              <w:bottom w:val="single" w:sz="4" w:space="0" w:color="000000"/>
              <w:right w:val="single" w:sz="10" w:space="0" w:color="E0FFFF"/>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2380"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2392"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49"/>
              <w:ind w:left="73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2" w:right="59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4"/>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1"/>
        <w:gridCol w:w="763"/>
        <w:gridCol w:w="763"/>
        <w:gridCol w:w="788"/>
        <w:gridCol w:w="655"/>
        <w:gridCol w:w="761"/>
        <w:gridCol w:w="814"/>
        <w:gridCol w:w="934"/>
        <w:gridCol w:w="931"/>
      </w:tblGrid>
      <w:tr>
        <w:trPr>
          <w:trHeight w:val="398"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498,173,</w:t>
            </w:r>
          </w:p>
          <w:p>
            <w:pPr>
              <w:pStyle w:val="TableParagraph"/>
              <w:spacing w:line="240" w:lineRule="auto" w:before="102"/>
              <w:ind w:left="210" w:right="0"/>
              <w:jc w:val="center"/>
              <w:rPr>
                <w:rFonts w:ascii="Times New Roman" w:hAnsi="Times New Roman" w:cs="Times New Roman" w:eastAsia="Times New Roman" w:hint="default"/>
                <w:sz w:val="18"/>
                <w:szCs w:val="18"/>
              </w:rPr>
            </w:pPr>
            <w:r>
              <w:rPr>
                <w:rFonts w:ascii="Times New Roman"/>
                <w:sz w:val="18"/>
              </w:rPr>
              <w:t>457.08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99.67%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31,123,6</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11.39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467,049,8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45.69</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206,323</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,343.65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99.20%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15,923,49</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3.73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190,399,84</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9.92</w:t>
            </w: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5"/>
              <w:ind w:left="411"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1,658,19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1,658,1</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1,658,190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499,831,</w:t>
            </w:r>
          </w:p>
          <w:p>
            <w:pPr>
              <w:pStyle w:val="TableParagraph"/>
              <w:spacing w:line="240" w:lineRule="auto" w:before="103"/>
              <w:ind w:left="210" w:right="0"/>
              <w:jc w:val="center"/>
              <w:rPr>
                <w:rFonts w:ascii="Times New Roman" w:hAnsi="Times New Roman" w:cs="Times New Roman" w:eastAsia="Times New Roman" w:hint="default"/>
                <w:sz w:val="18"/>
                <w:szCs w:val="18"/>
              </w:rPr>
            </w:pPr>
            <w:r>
              <w:rPr>
                <w:rFonts w:ascii="Times New Roman"/>
                <w:sz w:val="18"/>
              </w:rPr>
              <w:t>647.08</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32,781,8</w:t>
            </w:r>
          </w:p>
          <w:p>
            <w:pPr>
              <w:pStyle w:val="TableParagraph"/>
              <w:spacing w:line="240" w:lineRule="auto" w:before="103"/>
              <w:ind w:left="323" w:right="0"/>
              <w:jc w:val="left"/>
              <w:rPr>
                <w:rFonts w:ascii="Times New Roman" w:hAnsi="Times New Roman" w:cs="Times New Roman" w:eastAsia="Times New Roman" w:hint="default"/>
                <w:sz w:val="18"/>
                <w:szCs w:val="18"/>
              </w:rPr>
            </w:pPr>
            <w:r>
              <w:rPr>
                <w:rFonts w:ascii="Times New Roman"/>
                <w:sz w:val="18"/>
              </w:rPr>
              <w:t>01.39</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6.56%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467,049,8</w:t>
            </w:r>
          </w:p>
          <w:p>
            <w:pPr>
              <w:pStyle w:val="TableParagraph"/>
              <w:spacing w:line="240" w:lineRule="auto" w:before="103"/>
              <w:ind w:left="350" w:right="0"/>
              <w:jc w:val="left"/>
              <w:rPr>
                <w:rFonts w:ascii="Times New Roman" w:hAnsi="Times New Roman" w:cs="Times New Roman" w:eastAsia="Times New Roman" w:hint="default"/>
                <w:sz w:val="18"/>
                <w:szCs w:val="18"/>
              </w:rPr>
            </w:pPr>
            <w:r>
              <w:rPr>
                <w:rFonts w:ascii="Times New Roman"/>
                <w:sz w:val="18"/>
              </w:rPr>
              <w:t>45.69</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207,981</w:t>
            </w:r>
          </w:p>
          <w:p>
            <w:pPr>
              <w:pStyle w:val="TableParagraph"/>
              <w:spacing w:line="240" w:lineRule="auto" w:before="103"/>
              <w:ind w:left="83" w:right="0"/>
              <w:jc w:val="left"/>
              <w:rPr>
                <w:rFonts w:ascii="Times New Roman" w:hAnsi="Times New Roman" w:cs="Times New Roman" w:eastAsia="Times New Roman" w:hint="default"/>
                <w:sz w:val="18"/>
                <w:szCs w:val="18"/>
              </w:rPr>
            </w:pPr>
            <w:r>
              <w:rPr>
                <w:rFonts w:ascii="Times New Roman"/>
                <w:sz w:val="18"/>
              </w:rPr>
              <w:t>,533.65</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17,581,68</w:t>
            </w:r>
          </w:p>
          <w:p>
            <w:pPr>
              <w:pStyle w:val="TableParagraph"/>
              <w:spacing w:line="240" w:lineRule="auto" w:before="103"/>
              <w:ind w:left="468" w:right="0"/>
              <w:jc w:val="left"/>
              <w:rPr>
                <w:rFonts w:ascii="Times New Roman" w:hAnsi="Times New Roman" w:cs="Times New Roman" w:eastAsia="Times New Roman" w:hint="default"/>
                <w:sz w:val="18"/>
                <w:szCs w:val="18"/>
              </w:rPr>
            </w:pPr>
            <w:r>
              <w:rPr>
                <w:rFonts w:ascii="Times New Roman"/>
                <w:sz w:val="18"/>
              </w:rPr>
              <w:t>3.73</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8.45%</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190,399,84</w:t>
            </w:r>
          </w:p>
          <w:p>
            <w:pPr>
              <w:pStyle w:val="TableParagraph"/>
              <w:spacing w:line="240" w:lineRule="auto" w:before="103"/>
              <w:ind w:left="585" w:right="0"/>
              <w:jc w:val="left"/>
              <w:rPr>
                <w:rFonts w:ascii="Times New Roman" w:hAnsi="Times New Roman" w:cs="Times New Roman" w:eastAsia="Times New Roman" w:hint="default"/>
                <w:sz w:val="18"/>
                <w:szCs w:val="18"/>
              </w:rPr>
            </w:pPr>
            <w:r>
              <w:rPr>
                <w:rFonts w:ascii="Times New Roman"/>
                <w:sz w:val="18"/>
              </w:rPr>
              <w:t>9.92</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10"/>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79" w:top="1060" w:bottom="1160" w:left="980" w:right="980"/>
        </w:sectPr>
      </w:pPr>
    </w:p>
    <w:p>
      <w:pPr>
        <w:pStyle w:val="BodyText"/>
        <w:spacing w:line="240" w:lineRule="auto" w:before="44"/>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453,793,166.36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22,689,658.32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453,793,166.36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22,689,658.32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30,049,545.25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3,004,954.53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7,160,968.90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1,432,193.78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7,169,776.57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3,996,804.76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55.75%</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3,622,240.00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1,811,120.00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2,723,703.63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1,361,851.82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823,832.94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823,832.94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498,173,457.08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31,123,611.39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w:t>
            </w:r>
          </w:p>
        </w:tc>
      </w:tr>
    </w:tbl>
    <w:p>
      <w:pPr>
        <w:pStyle w:val="BodyText"/>
        <w:spacing w:line="360" w:lineRule="auto" w:before="49"/>
        <w:ind w:right="3654"/>
        <w:jc w:val="left"/>
      </w:pPr>
      <w:r>
        <w:rPr/>
        <w:t>确定该组合依据的说明： 单项金额不重大但按信用风险特征组合后该组合的风险较大的应收账款包括：</w:t>
      </w:r>
    </w:p>
    <w:p>
      <w:pPr>
        <w:pStyle w:val="BodyText"/>
        <w:spacing w:line="236" w:lineRule="exact"/>
        <w:ind w:right="0"/>
        <w:jc w:val="left"/>
      </w:pPr>
      <w:r>
        <w:rPr/>
        <w:t>①</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9</w:t>
      </w:r>
      <w:r>
        <w:rPr/>
        <w:t>年</w:t>
      </w:r>
      <w:r>
        <w:rPr>
          <w:rFonts w:ascii="Times New Roman" w:hAnsi="Times New Roman" w:cs="Times New Roman" w:eastAsia="Times New Roman" w:hint="default"/>
          <w:spacing w:val="1"/>
        </w:rPr>
        <w:t>5</w:t>
      </w:r>
      <w:r>
        <w:rPr/>
        <w:t>月销售给青岛青波</w:t>
      </w:r>
      <w:r>
        <w:rPr>
          <w:spacing w:val="-3"/>
        </w:rPr>
        <w:t>变</w:t>
      </w:r>
      <w:r>
        <w:rPr/>
        <w:t>压器股份有限公司产品货款</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0</w:t>
      </w:r>
      <w:r>
        <w:rPr/>
        <w:t>万元</w:t>
      </w:r>
      <w:r>
        <w:rPr>
          <w:spacing w:val="-82"/>
        </w:rPr>
        <w:t>，</w:t>
      </w:r>
      <w:r>
        <w:rPr/>
        <w:t>因对方对欠款余额不确认</w:t>
      </w:r>
      <w:r>
        <w:rPr>
          <w:spacing w:val="-82"/>
        </w:rPr>
        <w:t>，</w:t>
      </w:r>
      <w:r>
        <w:rPr/>
        <w:t>造成款项无法收回的风险</w:t>
      </w:r>
      <w:r>
        <w:rPr>
          <w:spacing w:val="-9"/>
        </w:rPr>
        <w:t>，</w:t>
      </w:r>
      <w:r>
        <w:rPr/>
        <w:t>故</w:t>
      </w:r>
    </w:p>
    <w:p>
      <w:pPr>
        <w:pStyle w:val="BodyText"/>
        <w:spacing w:line="240" w:lineRule="auto" w:before="63"/>
        <w:ind w:right="0"/>
        <w:jc w:val="left"/>
      </w:pPr>
      <w:r>
        <w:rPr/>
        <w:t>公司在</w:t>
      </w:r>
      <w:r>
        <w:rPr>
          <w:rFonts w:ascii="Times New Roman" w:hAnsi="Times New Roman" w:cs="Times New Roman" w:eastAsia="Times New Roman" w:hint="default"/>
        </w:rPr>
        <w:t>2010</w:t>
      </w:r>
      <w:r>
        <w:rPr/>
        <w:t>年全额计提坏账准备。</w:t>
      </w:r>
    </w:p>
    <w:p>
      <w:pPr>
        <w:pStyle w:val="BodyText"/>
        <w:spacing w:line="300" w:lineRule="auto" w:before="63"/>
        <w:ind w:right="144"/>
        <w:jc w:val="left"/>
      </w:pPr>
      <w:r>
        <w:rPr/>
        <w:t>②应收沁阳沁澳铝业有限公司货款</w:t>
      </w:r>
      <w:r>
        <w:rPr>
          <w:rFonts w:ascii="Times New Roman" w:hAnsi="Times New Roman" w:cs="Times New Roman" w:eastAsia="Times New Roman" w:hint="default"/>
        </w:rPr>
        <w:t>184</w:t>
      </w:r>
      <w:r>
        <w:rPr/>
        <w:t>万元，</w:t>
      </w:r>
      <w:r>
        <w:rPr>
          <w:rFonts w:ascii="Times New Roman" w:hAnsi="Times New Roman" w:cs="Times New Roman" w:eastAsia="Times New Roman" w:hint="default"/>
        </w:rPr>
        <w:t>2010</w:t>
      </w:r>
      <w:r>
        <w:rPr/>
        <w:t>年已收回</w:t>
      </w:r>
      <w:r>
        <w:rPr>
          <w:rFonts w:ascii="Times New Roman" w:hAnsi="Times New Roman" w:cs="Times New Roman" w:eastAsia="Times New Roman" w:hint="default"/>
        </w:rPr>
        <w:t>981,810.00</w:t>
      </w:r>
      <w:r>
        <w:rPr/>
        <w:t>元，余额</w:t>
      </w:r>
      <w:r>
        <w:rPr>
          <w:rFonts w:ascii="Times New Roman" w:hAnsi="Times New Roman" w:cs="Times New Roman" w:eastAsia="Times New Roman" w:hint="default"/>
        </w:rPr>
        <w:t>858,190.00</w:t>
      </w:r>
      <w:r>
        <w:rPr/>
        <w:t>元在</w:t>
      </w:r>
      <w:r>
        <w:rPr>
          <w:rFonts w:ascii="Times New Roman" w:hAnsi="Times New Roman" w:cs="Times New Roman" w:eastAsia="Times New Roman" w:hint="default"/>
        </w:rPr>
        <w:t>2010</w:t>
      </w:r>
      <w:r>
        <w:rPr/>
        <w:t>年末重新划分为单项金额 不重大但按信用风险特征组合后该组合的风险较大的应收账款种类，已全额计提了坏账准备。</w:t>
      </w:r>
    </w:p>
    <w:p>
      <w:pPr>
        <w:pStyle w:val="BodyText"/>
        <w:spacing w:line="240" w:lineRule="auto" w:before="72"/>
        <w:ind w:right="0"/>
        <w:jc w:val="left"/>
      </w:pPr>
      <w:r>
        <w:rPr/>
        <w:t>组合中，采用余额百分比法计提坏账准备的应收账款：</w:t>
      </w:r>
    </w:p>
    <w:p>
      <w:pPr>
        <w:pStyle w:val="BodyText"/>
        <w:spacing w:line="357" w:lineRule="auto" w:before="115"/>
        <w:ind w:right="5814"/>
        <w:jc w:val="left"/>
      </w:pPr>
      <w:r>
        <w:rPr/>
        <w:t>□ 适用 √</w:t>
      </w:r>
      <w:r>
        <w:rPr>
          <w:spacing w:val="3"/>
        </w:rPr>
        <w:t> </w:t>
      </w:r>
      <w:r>
        <w:rPr/>
        <w:t>不适用</w:t>
      </w:r>
      <w:r>
        <w:rPr/>
        <w:t> 组合中，采用其他方法计提坏账准备的应收账款：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8"/>
        </w:rPr>
        <w:t> </w:t>
      </w:r>
      <w:r>
        <w:rPr>
          <w:rFonts w:ascii="Times New Roman" w:hAnsi="Times New Roman" w:cs="Times New Roman" w:eastAsia="Times New Roman" w:hint="default"/>
        </w:rPr>
        <w:t>15,200,117.66</w:t>
      </w:r>
      <w:r>
        <w:rPr>
          <w:rFonts w:ascii="Times New Roman" w:hAnsi="Times New Roman" w:cs="Times New Roman" w:eastAsia="Times New Roman" w:hint="default"/>
          <w:spacing w:val="-1"/>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74"/>
        <w:jc w:val="left"/>
      </w:pPr>
      <w:r>
        <w:rPr/>
        <w:t>本报告期按欠款方归集的期末余额前五名应收账款汇总金额</w:t>
      </w:r>
      <w:r>
        <w:rPr>
          <w:rFonts w:ascii="Times New Roman" w:hAnsi="Times New Roman" w:cs="Times New Roman" w:eastAsia="Times New Roman" w:hint="default"/>
        </w:rPr>
        <w:t>465,626,860.00</w:t>
      </w:r>
      <w:r>
        <w:rPr/>
        <w:t>元，占应收账款期末余额合计数的比例</w:t>
      </w:r>
      <w:r>
        <w:rPr>
          <w:rFonts w:ascii="Times New Roman" w:hAnsi="Times New Roman" w:cs="Times New Roman" w:eastAsia="Times New Roman" w:hint="default"/>
        </w:rPr>
        <w:t>93.16%</w:t>
      </w:r>
      <w:r>
        <w:rPr/>
        <w:t>， 相应计提的坏账准备期末余额汇总金额</w:t>
      </w:r>
      <w:r>
        <w:rPr>
          <w:rFonts w:ascii="Times New Roman" w:hAnsi="Times New Roman" w:cs="Times New Roman" w:eastAsia="Times New Roman" w:hint="default"/>
        </w:rPr>
        <w:t>24,755,616.30</w:t>
      </w:r>
      <w:r>
        <w:rPr/>
        <w:t>元。</w:t>
      </w:r>
    </w:p>
    <w:p>
      <w:pPr>
        <w:pStyle w:val="BodyText"/>
        <w:spacing w:line="240" w:lineRule="auto" w:before="53"/>
        <w:ind w:right="0"/>
        <w:jc w:val="left"/>
      </w:pPr>
      <w:r>
        <w:rPr/>
        <w:t>其他说明：</w:t>
      </w:r>
    </w:p>
    <w:p>
      <w:pPr>
        <w:pStyle w:val="BodyText"/>
        <w:spacing w:line="240" w:lineRule="auto" w:before="115"/>
        <w:ind w:right="0"/>
        <w:jc w:val="left"/>
      </w:pPr>
      <w:r>
        <w:rPr/>
        <w:t>①</w:t>
      </w:r>
      <w:r>
        <w:rPr>
          <w:rFonts w:ascii="Times New Roman" w:hAnsi="Times New Roman" w:cs="Times New Roman" w:eastAsia="Times New Roman" w:hint="default"/>
        </w:rPr>
        <w:t>2015</w:t>
      </w:r>
      <w:r>
        <w:rPr/>
        <w:t>年度无通过重组等其他方式收回的应收账款、无实际核销的应收账款。</w:t>
      </w:r>
    </w:p>
    <w:p>
      <w:pPr>
        <w:pStyle w:val="BodyText"/>
        <w:spacing w:line="240" w:lineRule="auto" w:before="103"/>
        <w:ind w:right="0"/>
        <w:jc w:val="left"/>
      </w:pPr>
      <w:r>
        <w:rPr/>
        <w:t>②本期应收账款中无持有公司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）以上表决权股份的股东单位或关联方欠款。</w:t>
      </w:r>
    </w:p>
    <w:p>
      <w:pPr>
        <w:spacing w:after="0" w:line="240" w:lineRule="auto"/>
        <w:jc w:val="left"/>
        <w:sectPr>
          <w:type w:val="continuous"/>
          <w:pgSz w:w="11910" w:h="16840"/>
          <w:pgMar w:top="1060" w:bottom="1160" w:left="980" w:right="98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t>③报告期内公司无终止确认的应收款项。</w:t>
      </w:r>
    </w:p>
    <w:p>
      <w:pPr>
        <w:pStyle w:val="BodyText"/>
        <w:spacing w:line="240" w:lineRule="auto" w:before="117"/>
        <w:ind w:right="0"/>
        <w:jc w:val="left"/>
      </w:pPr>
      <w:r>
        <w:rPr/>
        <w:t>④报告期内公司无以应收款项为标的进行证券化的交易情况。</w:t>
      </w:r>
    </w:p>
    <w:p>
      <w:pPr>
        <w:pStyle w:val="BodyText"/>
        <w:spacing w:line="240" w:lineRule="auto" w:before="115"/>
        <w:ind w:right="0"/>
        <w:jc w:val="left"/>
      </w:pPr>
      <w:r>
        <w:rPr/>
        <w:t>⑤报告期内公司无转移应收账款且继续涉入形成的资产、负债。</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33,309,4</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16.13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82.42%</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33,309,41</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6.13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11,629,</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207.30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84.84%</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11,629,207.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30</w:t>
            </w:r>
          </w:p>
        </w:tc>
      </w:tr>
      <w:tr>
        <w:trPr>
          <w:trHeight w:val="1027"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1,569,55</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9.16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235,579.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15.01%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1,333,979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311,387</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2.27%</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168,386.2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54.08%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143,001.60</w:t>
            </w:r>
          </w:p>
        </w:tc>
      </w:tr>
      <w:tr>
        <w:trPr>
          <w:trHeight w:val="1025"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5,533,23</w:t>
            </w:r>
          </w:p>
          <w:p>
            <w:pPr>
              <w:pStyle w:val="TableParagraph"/>
              <w:spacing w:line="240" w:lineRule="auto" w:before="102"/>
              <w:ind w:left="422" w:right="0"/>
              <w:jc w:val="left"/>
              <w:rPr>
                <w:rFonts w:ascii="Times New Roman" w:hAnsi="Times New Roman" w:cs="Times New Roman" w:eastAsia="Times New Roman" w:hint="default"/>
                <w:sz w:val="18"/>
                <w:szCs w:val="18"/>
              </w:rPr>
            </w:pPr>
            <w:r>
              <w:rPr>
                <w:rFonts w:ascii="Times New Roman"/>
                <w:sz w:val="18"/>
              </w:rPr>
              <w:t>6.87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13.69%</w:t>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5,533,236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1,766,0</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79.12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12.89%</w:t>
            </w: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1,766,079.1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40,412,2</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12.16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235,579.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0.58%</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40,176,63</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2.33</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13,706,</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674.29</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168,386.2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1.23%</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13,538,288.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02</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33,309,416.13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应收出口退税</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33,309,416.13</w:t>
            </w:r>
          </w:p>
        </w:tc>
        <w:tc>
          <w:tcPr>
            <w:tcW w:w="1913" w:type="dxa"/>
            <w:tcBorders>
              <w:top w:val="single" w:sz="4" w:space="0" w:color="000000"/>
              <w:left w:val="single" w:sz="4" w:space="0" w:color="000000"/>
              <w:bottom w:val="single" w:sz="4" w:space="0" w:color="000000"/>
              <w:right w:val="single" w:sz="13" w:space="0" w:color="D2D2D2"/>
            </w:tcBorders>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980"/>
        </w:sectPr>
      </w:pPr>
    </w:p>
    <w:p>
      <w:pPr>
        <w:pStyle w:val="BodyText"/>
        <w:spacing w:line="240" w:lineRule="auto" w:before="49"/>
        <w:ind w:right="-20"/>
        <w:jc w:val="left"/>
      </w:pPr>
      <w:r>
        <w:rPr/>
        <w:t>组合中，按账龄分析法计提坏账准备的其他应收款：</w:t>
      </w:r>
    </w:p>
    <w:p>
      <w:pPr>
        <w:pStyle w:val="BodyText"/>
        <w:spacing w:line="240" w:lineRule="auto" w:before="115"/>
        <w:ind w:right="-20"/>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3"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8" w:right="0"/>
              <w:jc w:val="left"/>
              <w:rPr>
                <w:rFonts w:ascii="Times New Roman" w:hAnsi="Times New Roman" w:cs="Times New Roman" w:eastAsia="Times New Roman" w:hint="default"/>
                <w:sz w:val="18"/>
                <w:szCs w:val="18"/>
              </w:rPr>
            </w:pPr>
            <w:r>
              <w:rPr>
                <w:rFonts w:ascii="Times New Roman"/>
                <w:sz w:val="18"/>
              </w:rPr>
              <w:t>1,346,121.66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1,346,121.66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67,306.08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4,800.00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218,637.50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167,793.75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76.75%</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101,687.50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50,843.75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116,950.00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1,569,559.16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235,579.83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15.01%</w:t>
            </w:r>
          </w:p>
        </w:tc>
      </w:tr>
    </w:tbl>
    <w:p>
      <w:pPr>
        <w:pStyle w:val="BodyText"/>
        <w:spacing w:line="357" w:lineRule="auto" w:before="49"/>
        <w:ind w:right="5274"/>
        <w:jc w:val="left"/>
      </w:pPr>
      <w:r>
        <w:rPr/>
        <w:t>确定该组合依据的说明： 组合中，采用余额百分比法计提坏账准备的其他应收款：</w:t>
      </w:r>
    </w:p>
    <w:p>
      <w:pPr>
        <w:pStyle w:val="BodyText"/>
        <w:spacing w:line="360" w:lineRule="auto" w:before="29"/>
        <w:ind w:right="5634"/>
        <w:jc w:val="left"/>
      </w:pPr>
      <w:r>
        <w:rPr/>
        <w:t>□ 适用 √</w:t>
      </w:r>
      <w:r>
        <w:rPr>
          <w:spacing w:val="3"/>
        </w:rPr>
        <w:t> </w:t>
      </w:r>
      <w:r>
        <w:rPr/>
        <w:t>不适用</w:t>
      </w:r>
      <w:r>
        <w:rPr/>
        <w:t> 组合中，采用其他方法计提坏账准备的其他应收款：</w:t>
      </w:r>
    </w:p>
    <w:p>
      <w:pPr>
        <w:pStyle w:val="BodyText"/>
        <w:spacing w:line="240" w:lineRule="auto" w:before="25"/>
        <w:ind w:right="0"/>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本期计提坏账准备金额</w:t>
      </w:r>
      <w:r>
        <w:rPr>
          <w:spacing w:val="-46"/>
        </w:rPr>
        <w:t> </w:t>
      </w:r>
      <w:r>
        <w:rPr>
          <w:rFonts w:ascii="Times New Roman" w:hAnsi="Times New Roman" w:cs="Times New Roman" w:eastAsia="Times New Roman" w:hint="default"/>
        </w:rPr>
        <w:t>67,193.56 </w:t>
      </w:r>
      <w:r>
        <w:rPr/>
        <w:t>元；本期收回或转回坏账准备金额</w:t>
      </w:r>
      <w:r>
        <w:rPr>
          <w:spacing w:val="-46"/>
        </w:rPr>
        <w:t> </w:t>
      </w:r>
      <w:r>
        <w:rPr>
          <w:rFonts w:ascii="Times New Roman" w:hAnsi="Times New Roman" w:cs="Times New Roman" w:eastAsia="Times New Roman" w:hint="default"/>
        </w:rPr>
        <w:t>0.00 </w:t>
      </w:r>
      <w:r>
        <w:rPr/>
        <w:t>元。</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33,309,416.13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11,629,207.30</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1,698,246.00</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1,548,073.80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210,900.29</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199,227.87</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260,518.87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3,300.00</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4,933,130.87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326,865.32</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40,412,212.16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13,706,674.29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33,309,416.13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82.42%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恒顺印尼资源有限公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4,927,960.87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12.19%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北京东方广场有限公</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819,320.00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40,966.00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36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1"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国网物资有限公司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青岛市城阳区散装水 泥办公室</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108,860.00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108,860.00</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39,365,557.00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97.40%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149,826.00</w:t>
            </w:r>
          </w:p>
        </w:tc>
      </w:tr>
    </w:tbl>
    <w:p>
      <w:pPr>
        <w:pStyle w:val="BodyText"/>
        <w:spacing w:line="240" w:lineRule="auto" w:before="49"/>
        <w:ind w:right="0"/>
        <w:jc w:val="left"/>
      </w:pPr>
      <w:r>
        <w:rPr/>
        <w:t>其他说明：</w:t>
      </w:r>
    </w:p>
    <w:p>
      <w:pPr>
        <w:pStyle w:val="BodyText"/>
        <w:spacing w:line="240" w:lineRule="auto" w:before="117"/>
        <w:ind w:right="0"/>
        <w:jc w:val="left"/>
      </w:pPr>
      <w:r>
        <w:rPr/>
        <w:t>①其他应收款中无应收持公司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w:t>
      </w:r>
    </w:p>
    <w:p>
      <w:pPr>
        <w:pStyle w:val="BodyText"/>
        <w:spacing w:line="240" w:lineRule="auto" w:before="101"/>
        <w:ind w:right="0"/>
        <w:jc w:val="left"/>
      </w:pPr>
      <w:r>
        <w:rPr/>
        <w:t>②报告期内公司无实际核销的其他应收款。</w:t>
      </w:r>
    </w:p>
    <w:p>
      <w:pPr>
        <w:spacing w:line="240" w:lineRule="auto" w:before="0"/>
        <w:rPr>
          <w:rFonts w:ascii="宋体" w:hAnsi="宋体" w:cs="宋体" w:eastAsia="宋体" w:hint="default"/>
          <w:sz w:val="15"/>
          <w:szCs w:val="15"/>
        </w:rPr>
      </w:pPr>
    </w:p>
    <w:p>
      <w:pPr>
        <w:pStyle w:val="BodyText"/>
        <w:spacing w:line="240" w:lineRule="auto"/>
        <w:ind w:right="0"/>
        <w:jc w:val="left"/>
      </w:pPr>
      <w:r>
        <w:rPr/>
        <w:t>③报告期内公司无终止确认的其他应收款。</w:t>
      </w:r>
    </w:p>
    <w:p>
      <w:pPr>
        <w:pStyle w:val="BodyText"/>
        <w:spacing w:line="240" w:lineRule="auto" w:before="118"/>
        <w:ind w:right="0"/>
        <w:jc w:val="left"/>
      </w:pPr>
      <w:r>
        <w:rPr/>
        <w:t>④报告期内公司无以其他应收款为标的进行证券化的交易情况。</w:t>
      </w:r>
    </w:p>
    <w:p>
      <w:pPr>
        <w:pStyle w:val="BodyText"/>
        <w:spacing w:line="240" w:lineRule="auto" w:before="117"/>
        <w:ind w:right="0"/>
        <w:jc w:val="left"/>
      </w:pPr>
      <w:r>
        <w:rPr/>
        <w:t>⑤报告期内公司无转移其他应收款且继续涉入形成的资产、负债。</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8"/>
        <w:gridCol w:w="1366"/>
        <w:gridCol w:w="1368"/>
        <w:gridCol w:w="1366"/>
        <w:gridCol w:w="1368"/>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1,068,410,979.38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1,068,410,979.38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880,027,699.38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880,027,699.38</w:t>
            </w: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1,068,410,979.38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1,068,410,979.38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880,027,699.38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880,027,699.38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青岛恒川网络科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西安恒顺电气科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6"/>
              <w:jc w:val="left"/>
              <w:rPr>
                <w:rFonts w:ascii="Times New Roman" w:hAnsi="Times New Roman" w:cs="Times New Roman" w:eastAsia="Times New Roman" w:hint="default"/>
                <w:sz w:val="18"/>
                <w:szCs w:val="18"/>
              </w:rPr>
            </w:pPr>
            <w:r>
              <w:rPr>
                <w:rFonts w:ascii="Times New Roman"/>
                <w:sz w:val="18"/>
              </w:rPr>
              <w:t>H&amp;Shun International Holdings</w:t>
            </w:r>
            <w:r>
              <w:rPr>
                <w:rFonts w:ascii="Times New Roman"/>
                <w:spacing w:val="-4"/>
                <w:sz w:val="18"/>
              </w:rPr>
              <w:t> </w:t>
            </w:r>
            <w:r>
              <w:rPr>
                <w:rFonts w:ascii="Times New Roman"/>
                <w:sz w:val="18"/>
              </w:rPr>
              <w:t>Pte.Ltd.</w:t>
            </w:r>
          </w:p>
          <w:p>
            <w:pPr>
              <w:pStyle w:val="TableParagraph"/>
              <w:spacing w:line="197" w:lineRule="exact"/>
              <w:ind w:left="24" w:right="0"/>
              <w:jc w:val="left"/>
              <w:rPr>
                <w:rFonts w:ascii="宋体" w:hAnsi="宋体" w:cs="宋体" w:eastAsia="宋体" w:hint="default"/>
                <w:sz w:val="18"/>
                <w:szCs w:val="18"/>
              </w:rPr>
            </w:pPr>
            <w:r>
              <w:rPr>
                <w:rFonts w:ascii="宋体" w:hAnsi="宋体" w:cs="宋体" w:eastAsia="宋体" w:hint="default"/>
                <w:sz w:val="18"/>
                <w:szCs w:val="18"/>
              </w:rPr>
              <w:t>（恒顺新加坡国</w:t>
            </w:r>
          </w:p>
          <w:p>
            <w:pPr>
              <w:pStyle w:val="TableParagraph"/>
              <w:spacing w:line="316" w:lineRule="auto" w:before="76"/>
              <w:ind w:left="24" w:right="153"/>
              <w:jc w:val="left"/>
              <w:rPr>
                <w:rFonts w:ascii="宋体" w:hAnsi="宋体" w:cs="宋体" w:eastAsia="宋体" w:hint="default"/>
                <w:sz w:val="18"/>
                <w:szCs w:val="18"/>
              </w:rPr>
            </w:pPr>
            <w:r>
              <w:rPr>
                <w:rFonts w:ascii="宋体" w:hAnsi="宋体" w:cs="宋体" w:eastAsia="宋体" w:hint="default"/>
                <w:sz w:val="18"/>
                <w:szCs w:val="18"/>
              </w:rPr>
              <w:t>际控股有限责任 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619,619,556.09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101,551,180.00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721,170,736.09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青岛恒顺节能科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7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545"/>
              <w:jc w:val="left"/>
              <w:rPr>
                <w:rFonts w:ascii="Times New Roman" w:hAnsi="Times New Roman" w:cs="Times New Roman" w:eastAsia="Times New Roman" w:hint="default"/>
                <w:sz w:val="18"/>
                <w:szCs w:val="18"/>
              </w:rPr>
            </w:pPr>
            <w:r>
              <w:rPr>
                <w:rFonts w:ascii="Times New Roman"/>
                <w:spacing w:val="-5"/>
                <w:sz w:val="18"/>
              </w:rPr>
              <w:t>PT.</w:t>
            </w:r>
            <w:r>
              <w:rPr>
                <w:rFonts w:ascii="Times New Roman"/>
                <w:spacing w:val="-10"/>
                <w:sz w:val="18"/>
              </w:rPr>
              <w:t> </w:t>
            </w:r>
            <w:r>
              <w:rPr>
                <w:rFonts w:ascii="Times New Roman"/>
                <w:sz w:val="18"/>
              </w:rPr>
              <w:t>Transon</w:t>
            </w:r>
            <w:r>
              <w:rPr>
                <w:rFonts w:ascii="Times New Roman"/>
                <w:sz w:val="18"/>
              </w:rPr>
              <w:t> Bumindo</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170,408,143.29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82,532,100.00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252,940,243.29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98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Resources</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（恒顺 印尼资源有限公 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137"/>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Qingdao Hengshun Zhongsheng Group South Africa(PTY).Ltd( </w:t>
            </w:r>
            <w:r>
              <w:rPr>
                <w:rFonts w:ascii="宋体" w:hAnsi="宋体" w:cs="宋体" w:eastAsia="宋体" w:hint="default"/>
                <w:sz w:val="18"/>
                <w:szCs w:val="18"/>
              </w:rPr>
              <w:t>青岛市恒顺众昇 集团南非公司</w:t>
            </w:r>
            <w:r>
              <w:rPr>
                <w:rFonts w:ascii="Times New Roman" w:hAnsi="Times New Roman" w:cs="Times New Roman" w:eastAsia="Times New Roman" w:hint="default"/>
                <w:sz w:val="18"/>
                <w:szCs w:val="18"/>
              </w:rPr>
              <w:t>)</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青岛恒顺众昇矿 产资源有限公司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青岛恒顺众昇进 出口有限公司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青岛恒顺众昇电 气制造有限公司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73"/>
              <w:jc w:val="left"/>
              <w:rPr>
                <w:rFonts w:ascii="Times New Roman" w:hAnsi="Times New Roman" w:cs="Times New Roman" w:eastAsia="Times New Roman" w:hint="default"/>
                <w:sz w:val="18"/>
                <w:szCs w:val="18"/>
              </w:rPr>
            </w:pPr>
            <w:r>
              <w:rPr>
                <w:rFonts w:ascii="Times New Roman"/>
                <w:sz w:val="18"/>
              </w:rPr>
              <w:t>Hengshun zhongsheng</w:t>
            </w:r>
            <w:r>
              <w:rPr>
                <w:rFonts w:ascii="Times New Roman"/>
                <w:spacing w:val="-3"/>
                <w:sz w:val="18"/>
              </w:rPr>
              <w:t> </w:t>
            </w:r>
            <w:r>
              <w:rPr>
                <w:rFonts w:ascii="Times New Roman"/>
                <w:sz w:val="18"/>
              </w:rPr>
              <w:t>group</w:t>
            </w:r>
            <w:r>
              <w:rPr>
                <w:rFonts w:ascii="Times New Roman"/>
                <w:sz w:val="18"/>
              </w:rPr>
              <w:t> Zimbabwe(Private</w:t>
            </w:r>
          </w:p>
          <w:p>
            <w:pPr>
              <w:pStyle w:val="TableParagraph"/>
              <w:spacing w:line="210"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恒顺众</w:t>
            </w:r>
          </w:p>
          <w:p>
            <w:pPr>
              <w:pStyle w:val="TableParagraph"/>
              <w:spacing w:line="316" w:lineRule="auto" w:before="63"/>
              <w:ind w:left="24" w:right="153"/>
              <w:jc w:val="left"/>
              <w:rPr>
                <w:rFonts w:ascii="Times New Roman" w:hAnsi="Times New Roman" w:cs="Times New Roman" w:eastAsia="Times New Roman" w:hint="default"/>
                <w:sz w:val="18"/>
                <w:szCs w:val="18"/>
              </w:rPr>
            </w:pPr>
            <w:r>
              <w:rPr>
                <w:rFonts w:ascii="宋体" w:hAnsi="宋体" w:cs="宋体" w:eastAsia="宋体" w:hint="default"/>
                <w:sz w:val="18"/>
                <w:szCs w:val="18"/>
              </w:rPr>
              <w:t>昇集团津巴布韦 有限公司</w:t>
            </w:r>
            <w:r>
              <w:rPr>
                <w:rFonts w:ascii="Times New Roman" w:hAnsi="Times New Roman" w:cs="Times New Roman" w:eastAsia="Times New Roman" w:hint="default"/>
                <w:sz w:val="18"/>
                <w:szCs w:val="18"/>
              </w:rPr>
              <w:t>)</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880,027,699.38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188,383,280.00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1,068,410,979.38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t>报告期长期股权投资未发生减值情况，故未计提减值准备。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5"/>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6"/>
        <w:gridCol w:w="1835"/>
        <w:gridCol w:w="1913"/>
        <w:gridCol w:w="1913"/>
        <w:gridCol w:w="1916"/>
      </w:tblGrid>
      <w:tr>
        <w:trPr>
          <w:trHeight w:val="206" w:hRule="exact"/>
        </w:trPr>
        <w:tc>
          <w:tcPr>
            <w:tcW w:w="1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0" w:hRule="exact"/>
        </w:trPr>
        <w:tc>
          <w:tcPr>
            <w:tcW w:w="1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6"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1,115,610,556.17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598,966,880.01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361,865,779.44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201,739,473.28</w:t>
            </w:r>
          </w:p>
        </w:tc>
      </w:tr>
      <w:tr>
        <w:trPr>
          <w:trHeight w:val="403"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1,958,548.13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2,264,168.89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3,550,281.16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2,514,291.92</w:t>
            </w:r>
          </w:p>
        </w:tc>
      </w:tr>
      <w:tr>
        <w:trPr>
          <w:trHeight w:val="401"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1,117,569,104.30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601,231,048.90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365,416,060.60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204,253,765.20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98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-108,760.76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46,202,961.28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479,483.45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6,826,463.87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pacing w:val="-1"/>
                <w:sz w:val="18"/>
              </w:rPr>
              <w:t>39,747,220.10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3"/>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0"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0.45</w:t>
            </w:r>
          </w:p>
        </w:tc>
      </w:tr>
      <w:tr>
        <w:trPr>
          <w:trHeight w:val="715" w:hRule="exact"/>
        </w:trPr>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0.40</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、其他</w:t>
      </w:r>
      <w:r>
        <w:rPr>
          <w:b w:val="0"/>
          <w:bCs w:val="0"/>
        </w:rPr>
      </w:r>
    </w:p>
    <w:p>
      <w:pPr>
        <w:spacing w:after="0" w:line="240" w:lineRule="auto"/>
        <w:jc w:val="left"/>
        <w:sectPr>
          <w:pgSz w:w="11910" w:h="16840"/>
          <w:pgMar w:header="745" w:footer="979" w:top="1060" w:bottom="1160" w:left="980" w:right="98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5" w:right="0"/>
        <w:jc w:val="left"/>
        <w:rPr>
          <w:b w:val="0"/>
          <w:bCs w:val="0"/>
        </w:rPr>
      </w:pPr>
      <w:bookmarkStart w:name="_bookmark10" w:id="11"/>
      <w:bookmarkEnd w:id="11"/>
      <w:r>
        <w:rPr>
          <w:b w:val="0"/>
          <w:bCs w:val="0"/>
        </w:rPr>
      </w:r>
      <w:r>
        <w:rPr/>
        <w:t>第十一节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240" w:lineRule="auto"/>
        <w:ind w:right="0"/>
        <w:jc w:val="left"/>
      </w:pPr>
      <w:r>
        <w:rPr>
          <w:rFonts w:ascii="Times New Roman" w:hAnsi="Times New Roman" w:cs="Times New Roman" w:eastAsia="Times New Roman" w:hint="default"/>
        </w:rPr>
        <w:t>1</w:t>
      </w:r>
      <w:r>
        <w:rPr/>
        <w:t>、公司财务报表</w:t>
      </w:r>
    </w:p>
    <w:p>
      <w:pPr>
        <w:pStyle w:val="BodyText"/>
        <w:spacing w:line="240" w:lineRule="auto" w:before="63"/>
        <w:ind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年度审计报告》</w:t>
      </w:r>
    </w:p>
    <w:p>
      <w:pPr>
        <w:pStyle w:val="BodyText"/>
        <w:spacing w:line="240" w:lineRule="auto" w:before="63"/>
        <w:ind w:right="0"/>
        <w:jc w:val="left"/>
      </w:pPr>
      <w:r>
        <w:rPr>
          <w:rFonts w:ascii="Times New Roman" w:hAnsi="Times New Roman" w:cs="Times New Roman" w:eastAsia="Times New Roman" w:hint="default"/>
        </w:rPr>
        <w:t>3</w:t>
      </w:r>
      <w:r>
        <w:rPr/>
        <w:t>、二届董事会第二十八次会议决议</w:t>
      </w:r>
    </w:p>
    <w:p>
      <w:pPr>
        <w:pStyle w:val="BodyText"/>
        <w:spacing w:line="240" w:lineRule="auto" w:before="63"/>
        <w:ind w:right="0"/>
        <w:jc w:val="left"/>
      </w:pPr>
      <w:r>
        <w:rPr>
          <w:rFonts w:ascii="Times New Roman" w:hAnsi="Times New Roman" w:cs="Times New Roman" w:eastAsia="Times New Roman" w:hint="default"/>
        </w:rPr>
        <w:t>4</w:t>
      </w:r>
      <w:r>
        <w:rPr/>
        <w:t>、二届监事会第二十六次会议决议</w:t>
      </w:r>
    </w:p>
    <w:p>
      <w:pPr>
        <w:pStyle w:val="BodyText"/>
        <w:spacing w:line="240" w:lineRule="auto" w:before="63"/>
        <w:ind w:right="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2015</w:t>
      </w:r>
      <w:r>
        <w:rPr/>
        <w:t>年度内部控制自我评价报告</w:t>
      </w:r>
    </w:p>
    <w:p>
      <w:pPr>
        <w:pStyle w:val="BodyText"/>
        <w:spacing w:line="240" w:lineRule="auto" w:before="63"/>
        <w:ind w:right="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2015</w:t>
      </w:r>
      <w:r>
        <w:rPr/>
        <w:t>年度募集资金存放与使用情况的专项报告</w:t>
      </w:r>
    </w:p>
    <w:p>
      <w:pPr>
        <w:pStyle w:val="BodyText"/>
        <w:spacing w:line="240" w:lineRule="auto" w:before="63"/>
        <w:ind w:right="0"/>
        <w:jc w:val="left"/>
      </w:pPr>
      <w:r>
        <w:rPr>
          <w:rFonts w:ascii="Times New Roman" w:hAnsi="Times New Roman" w:cs="Times New Roman" w:eastAsia="Times New Roman" w:hint="default"/>
        </w:rPr>
        <w:t>7</w:t>
      </w:r>
      <w:r>
        <w:rPr/>
        <w:t>、独立董事对相关事项发表的独立意见</w:t>
      </w:r>
    </w:p>
    <w:p>
      <w:pPr>
        <w:pStyle w:val="BodyText"/>
        <w:spacing w:line="240" w:lineRule="auto" w:before="63"/>
        <w:ind w:right="0"/>
        <w:jc w:val="left"/>
      </w:pPr>
      <w:r>
        <w:rPr>
          <w:rFonts w:ascii="Times New Roman" w:hAnsi="Times New Roman" w:cs="Times New Roman" w:eastAsia="Times New Roman" w:hint="default"/>
        </w:rPr>
        <w:t>8</w:t>
      </w:r>
      <w:r>
        <w:rPr/>
        <w:t>、会计师事务所对公司控股股东及其关联方占用资金情况的专项说明</w:t>
      </w:r>
    </w:p>
    <w:sectPr>
      <w:pgSz w:w="11910" w:h="16840"/>
      <w:pgMar w:header="745" w:footer="979"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楷体">
    <w:altName w:val="楷体"/>
    <w:charset w:val="86"/>
    <w:family w:val="modern"/>
    <w:pitch w:val="fixed"/>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89344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93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57947pt;width:13.15pt;height:11pt;mso-position-horizontal-relative:page;mso-position-vertical-relative:page;z-index:-893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93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100</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933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103</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57947pt;width:17.3pt;height:11pt;mso-position-horizontal-relative:page;mso-position-vertical-relative:page;z-index:-893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57947pt;width:17.7pt;height:11pt;mso-position-horizontal-relative:page;mso-position-vertical-relative:page;z-index:-8932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070007pt;margin-top:36.265610pt;width:222.75pt;height:11.5pt;mso-position-horizontal-relative:page;mso-position-vertical-relative:page;z-index:-893464" type="#_x0000_t202" filled="false" stroked="false">
          <v:textbox inset="0,0,0,0">
            <w:txbxContent>
              <w:p>
                <w:pPr>
                  <w:pStyle w:val="BodyText"/>
                  <w:spacing w:line="214" w:lineRule="exact"/>
                  <w:ind w:left="20" w:right="0"/>
                  <w:jc w:val="left"/>
                </w:pPr>
                <w:r>
                  <w:rPr/>
                  <w:t>青岛市恒顺众昇集团股份有限公司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429"/>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8"/>
      <w:szCs w:val="28"/>
    </w:rPr>
  </w:style>
  <w:style w:styleId="Heading3" w:type="paragraph">
    <w:name w:val="Heading 3"/>
    <w:basedOn w:val="Normal"/>
    <w:uiPriority w:val="1"/>
    <w:qFormat/>
    <w:pPr>
      <w:ind w:left="152"/>
      <w:outlineLvl w:val="3"/>
    </w:pPr>
    <w:rPr>
      <w:rFonts w:ascii="宋体" w:hAnsi="宋体" w:eastAsia="宋体"/>
      <w:b/>
      <w:bCs/>
      <w:sz w:val="24"/>
      <w:szCs w:val="24"/>
    </w:rPr>
  </w:style>
  <w:style w:styleId="Heading4" w:type="paragraph">
    <w:name w:val="Heading 4"/>
    <w:basedOn w:val="Normal"/>
    <w:uiPriority w:val="1"/>
    <w:qFormat/>
    <w:pPr>
      <w:ind w:left="152"/>
      <w:outlineLvl w:val="4"/>
    </w:pPr>
    <w:rPr>
      <w:rFonts w:ascii="宋体" w:hAnsi="宋体" w:eastAsia="宋体"/>
      <w:sz w:val="24"/>
      <w:szCs w:val="24"/>
    </w:rPr>
  </w:style>
  <w:style w:styleId="Heading5" w:type="paragraph">
    <w:name w:val="Heading 5"/>
    <w:basedOn w:val="Normal"/>
    <w:uiPriority w:val="1"/>
    <w:qFormat/>
    <w:pPr>
      <w:ind w:left="152"/>
      <w:outlineLvl w:val="5"/>
    </w:pPr>
    <w:rPr>
      <w:rFonts w:ascii="宋体" w:hAnsi="宋体" w:eastAsia="宋体"/>
      <w:b/>
      <w:bCs/>
      <w:sz w:val="21"/>
      <w:szCs w:val="21"/>
    </w:rPr>
  </w:style>
  <w:style w:styleId="Heading6" w:type="paragraph">
    <w:name w:val="Heading 6"/>
    <w:basedOn w:val="Normal"/>
    <w:uiPriority w:val="1"/>
    <w:qFormat/>
    <w:pPr>
      <w:spacing w:before="44"/>
      <w:ind w:left="152"/>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http://www.qdhengshun.com/" TargetMode="External"/><Relationship Id="rId10" Type="http://schemas.openxmlformats.org/officeDocument/2006/relationships/hyperlink" Target="mailto:hengshun@188.com" TargetMode="External"/><Relationship Id="rId11" Type="http://schemas.openxmlformats.org/officeDocument/2006/relationships/hyperlink" Target="mailto:hengshunzqb@188.com" TargetMode="External"/><Relationship Id="rId12" Type="http://schemas.openxmlformats.org/officeDocument/2006/relationships/image" Target="media/image2.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青岛市恒顺众昇集团股份有限公司</dc:creator>
  <dc:title>青岛市恒顺众昇集团股份有限公司2015年年度报告全文</dc:title>
  <dcterms:created xsi:type="dcterms:W3CDTF">2020-05-04T16:15:32Z</dcterms:created>
  <dcterms:modified xsi:type="dcterms:W3CDTF">2020-05-04T16:15:32Z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2016-03-25T00:00:00Z</vt:filetime>
  </property>
  <property fmtid="{D5CDD505-2E9C-101B-9397-08002B2CF9AE}" pid="3" name="Creator">
    <vt:lpwstr>Microsoft Office Word 2007</vt:lpwstr>
  </property>
  <property fmtid="{D5CDD505-2E9C-101B-9397-08002B2CF9AE}" pid="4" name="LastSaved">
    <vt:filetime>2020-05-04T00:00:00Z</vt:filetime>
  </property>
</Properties>
</file>