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1814" w:lineRule="exact"/>
        <w:ind w:left="247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5"/>
          <w:sz w:val="20"/>
          <w:szCs w:val="20"/>
        </w:rPr>
        <w:drawing>
          <wp:inline distT="0" distB="0" distL="0" distR="0">
            <wp:extent cx="3164757" cy="115214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3164757" cy="1152144"/>
                    </a:xfrm>
                    <a:prstGeom prst="rect">
                      <a:avLst/>
                    </a:prstGeom>
                  </pic:spPr>
                </pic:pic>
              </a:graphicData>
            </a:graphic>
          </wp:inline>
        </w:drawing>
      </w:r>
      <w:r>
        <w:rPr>
          <w:rFonts w:ascii="Times New Roman" w:hAnsi="Times New Roman" w:cs="Times New Roman" w:eastAsia="Times New Roman" w:hint="default"/>
          <w:position w:val="-35"/>
          <w:sz w:val="20"/>
          <w:szCs w:val="20"/>
        </w:rPr>
      </w:r>
    </w:p>
    <w:p>
      <w:pPr>
        <w:spacing w:line="240" w:lineRule="auto" w:before="2"/>
        <w:rPr>
          <w:rFonts w:ascii="Times New Roman" w:hAnsi="Times New Roman" w:cs="Times New Roman" w:eastAsia="Times New Roman" w:hint="default"/>
          <w:sz w:val="14"/>
          <w:szCs w:val="14"/>
        </w:rPr>
      </w:pPr>
    </w:p>
    <w:p>
      <w:pPr>
        <w:spacing w:line="460" w:lineRule="exact" w:before="0"/>
        <w:ind w:left="2241" w:right="2244" w:firstLine="0"/>
        <w:jc w:val="center"/>
        <w:rPr>
          <w:rFonts w:ascii="宋体" w:hAnsi="宋体" w:cs="宋体" w:eastAsia="宋体" w:hint="default"/>
          <w:sz w:val="36"/>
          <w:szCs w:val="36"/>
        </w:rPr>
      </w:pPr>
      <w:r>
        <w:rPr>
          <w:rFonts w:ascii="宋体" w:hAnsi="宋体" w:cs="宋体" w:eastAsia="宋体" w:hint="default"/>
          <w:b/>
          <w:bCs/>
          <w:sz w:val="36"/>
          <w:szCs w:val="36"/>
        </w:rPr>
        <w:t>青岛市恒顺众昇集团股份有限公司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241" w:right="224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241" w:right="224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79"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right="2243"/>
        <w:jc w:val="center"/>
        <w:rPr>
          <w:b w:val="0"/>
          <w:bCs w:val="0"/>
        </w:rPr>
      </w:pPr>
      <w:bookmarkStart w:name="_bookmark0" w:id="1"/>
      <w:bookmarkEnd w:id="1"/>
      <w:r>
        <w:rPr>
          <w:b w:val="0"/>
          <w:bCs w:val="0"/>
        </w:rPr>
      </w:r>
      <w:r>
        <w:rPr/>
        <w:t>第一节</w:t>
      </w:r>
      <w:r>
        <w:rPr>
          <w:spacing w:val="-5"/>
        </w:rPr>
        <w:t> </w:t>
      </w:r>
      <w:r>
        <w:rPr/>
        <w:t>重要提示、目录和释义</w:t>
      </w:r>
      <w:r>
        <w:rPr>
          <w:b w:val="0"/>
          <w:bCs w:val="0"/>
        </w:rPr>
      </w:r>
    </w:p>
    <w:p>
      <w:pPr>
        <w:spacing w:line="240" w:lineRule="auto" w:before="2"/>
        <w:rPr>
          <w:rFonts w:ascii="宋体" w:hAnsi="宋体" w:cs="宋体" w:eastAsia="宋体" w:hint="default"/>
          <w:b/>
          <w:bCs/>
          <w:sz w:val="41"/>
          <w:szCs w:val="41"/>
        </w:rPr>
      </w:pPr>
    </w:p>
    <w:p>
      <w:pPr>
        <w:pStyle w:val="Heading2"/>
        <w:spacing w:line="312" w:lineRule="exact"/>
        <w:ind w:right="156" w:firstLine="482"/>
        <w:jc w:val="both"/>
        <w:rPr>
          <w:b w:val="0"/>
          <w:bCs w:val="0"/>
        </w:rPr>
      </w:pPr>
      <w:r>
        <w:rPr/>
        <w:t>公司董事会、监事会及董事、监事、高级管理人员保证年度报告内容的真实、准确、完</w:t>
      </w:r>
      <w:r>
        <w:rPr>
          <w:w w:val="99"/>
        </w:rPr>
        <w:t> </w:t>
      </w:r>
      <w:r>
        <w:rPr/>
        <w:t>整，不存在虚假记载、误导性陈述或重大遗漏，并承担个别和连带的法律责任。</w:t>
      </w:r>
      <w:r>
        <w:rPr>
          <w:b w:val="0"/>
          <w:bCs w:val="0"/>
        </w:rPr>
      </w:r>
    </w:p>
    <w:p>
      <w:pPr>
        <w:pStyle w:val="Heading2"/>
        <w:spacing w:line="312" w:lineRule="exact" w:before="101"/>
        <w:ind w:right="144" w:firstLine="482"/>
        <w:jc w:val="both"/>
        <w:rPr>
          <w:b w:val="0"/>
          <w:bCs w:val="0"/>
        </w:rPr>
      </w:pPr>
      <w:r>
        <w:rPr>
          <w:spacing w:val="2"/>
        </w:rPr>
        <w:t>公司负责人贾晓钰、主管会计工作负责人于秀成及会计机构负责人</w:t>
      </w:r>
      <w:r>
        <w:rPr>
          <w:rFonts w:ascii="Times New Roman" w:hAnsi="Times New Roman" w:cs="Times New Roman" w:eastAsia="Times New Roman" w:hint="default"/>
          <w:spacing w:val="2"/>
        </w:rPr>
        <w:t>(</w:t>
      </w:r>
      <w:r>
        <w:rPr>
          <w:spacing w:val="2"/>
        </w:rPr>
        <w:t>会计主管人员</w:t>
      </w:r>
      <w:r>
        <w:rPr>
          <w:rFonts w:ascii="Times New Roman" w:hAnsi="Times New Roman" w:cs="Times New Roman" w:eastAsia="Times New Roman" w:hint="default"/>
          <w:spacing w:val="2"/>
        </w:rPr>
        <w:t>)</w:t>
      </w:r>
      <w:r>
        <w:rPr>
          <w:spacing w:val="2"/>
        </w:rPr>
        <w:t>于越</w:t>
      </w:r>
      <w:r>
        <w:rPr>
          <w:spacing w:val="4"/>
          <w:w w:val="99"/>
        </w:rPr>
        <w:t> </w:t>
      </w:r>
      <w:r>
        <w:rPr/>
        <w:t>声明：保证年度报告中财务报告的真实、准确、完整。</w:t>
      </w:r>
      <w:r>
        <w:rPr>
          <w:b w:val="0"/>
          <w:bCs w:val="0"/>
        </w:rPr>
      </w:r>
    </w:p>
    <w:p>
      <w:pPr>
        <w:pStyle w:val="Heading2"/>
        <w:spacing w:line="314" w:lineRule="auto" w:before="70"/>
        <w:ind w:left="635" w:right="135"/>
        <w:jc w:val="left"/>
        <w:rPr>
          <w:b w:val="0"/>
          <w:bCs w:val="0"/>
        </w:rPr>
      </w:pPr>
      <w:r>
        <w:rPr/>
        <w:t>所有董事均已出席了审议本报告的董事会会议。</w:t>
      </w:r>
      <w:r>
        <w:rPr>
          <w:w w:val="99"/>
        </w:rPr>
        <w:t> </w:t>
      </w:r>
      <w:r>
        <w:rPr>
          <w:spacing w:val="-2"/>
          <w:w w:val="95"/>
        </w:rPr>
        <w:t>山东和信会计师事务所（特殊普通合伙</w:t>
      </w:r>
      <w:r>
        <w:rPr>
          <w:rFonts w:ascii="Times New Roman" w:hAnsi="Times New Roman" w:cs="Times New Roman" w:eastAsia="Times New Roman" w:hint="default"/>
          <w:spacing w:val="-2"/>
          <w:w w:val="95"/>
        </w:rPr>
        <w:t>)</w:t>
      </w:r>
      <w:r>
        <w:rPr>
          <w:spacing w:val="-2"/>
          <w:w w:val="95"/>
        </w:rPr>
        <w:t>为本公司出具了带强调事项段的无保留意见的审</w:t>
      </w:r>
      <w:r>
        <w:rPr>
          <w:b w:val="0"/>
          <w:bCs w:val="0"/>
          <w:spacing w:val="-2"/>
        </w:rPr>
      </w:r>
    </w:p>
    <w:p>
      <w:pPr>
        <w:pStyle w:val="Heading2"/>
        <w:spacing w:line="211" w:lineRule="exact"/>
        <w:ind w:right="0"/>
        <w:jc w:val="both"/>
        <w:rPr>
          <w:b w:val="0"/>
          <w:bCs w:val="0"/>
        </w:rPr>
      </w:pPr>
      <w:r>
        <w:rPr/>
        <w:t>计报告，本公司董事会、监事会对相关事项已有详细说明，请投资者注意阅读。</w:t>
      </w:r>
      <w:r>
        <w:rPr>
          <w:b w:val="0"/>
          <w:bCs w:val="0"/>
        </w:rPr>
      </w:r>
    </w:p>
    <w:p>
      <w:pPr>
        <w:pStyle w:val="Heading2"/>
        <w:spacing w:line="297" w:lineRule="auto" w:before="98"/>
        <w:ind w:left="635" w:right="135"/>
        <w:jc w:val="left"/>
        <w:rPr>
          <w:b w:val="0"/>
          <w:bCs w:val="0"/>
        </w:rPr>
      </w:pPr>
      <w:r>
        <w:rPr>
          <w:rFonts w:ascii="Times New Roman" w:hAnsi="Times New Roman" w:cs="Times New Roman" w:eastAsia="Times New Roman" w:hint="default"/>
        </w:rPr>
        <w:t>1</w:t>
      </w:r>
      <w:r>
        <w:rPr/>
        <w:t>、海外投资政治环境的风险</w:t>
      </w:r>
      <w:r>
        <w:rPr>
          <w:w w:val="99"/>
        </w:rPr>
        <w:t> </w:t>
      </w:r>
      <w:r>
        <w:rPr/>
        <w:t>目前，海外业务已成为公司收入的重要来源。公司目前在海外投资的项目主要在印尼、</w:t>
      </w:r>
      <w:r>
        <w:rPr>
          <w:b w:val="0"/>
          <w:bCs w:val="0"/>
        </w:rPr>
      </w:r>
    </w:p>
    <w:p>
      <w:pPr>
        <w:pStyle w:val="Heading2"/>
        <w:spacing w:line="253" w:lineRule="exact"/>
        <w:ind w:right="0"/>
        <w:jc w:val="both"/>
        <w:rPr>
          <w:b w:val="0"/>
          <w:bCs w:val="0"/>
        </w:rPr>
      </w:pPr>
      <w:r>
        <w:rPr/>
        <w:t>南非、津巴布韦、菲律宾等国家，上述地区属于发展中国家，近年来，政治民主环境逐步改</w:t>
      </w:r>
      <w:r>
        <w:rPr>
          <w:b w:val="0"/>
          <w:bCs w:val="0"/>
        </w:rPr>
      </w:r>
    </w:p>
    <w:p>
      <w:pPr>
        <w:pStyle w:val="Heading2"/>
        <w:spacing w:line="312" w:lineRule="exact" w:before="29"/>
        <w:ind w:right="157"/>
        <w:jc w:val="both"/>
        <w:rPr>
          <w:b w:val="0"/>
          <w:bCs w:val="0"/>
        </w:rPr>
      </w:pPr>
      <w:r>
        <w:rPr/>
        <w:t>善，但政治环境仍相对较为复杂，市场开放有限，对外投资存在限制，公司仍可能面临上述</w:t>
      </w:r>
      <w:r>
        <w:rPr>
          <w:w w:val="99"/>
        </w:rPr>
        <w:t> </w:t>
      </w:r>
      <w:r>
        <w:rPr/>
        <w:t>国家政策的变化带来的不利影响。随着公司海外业务的不断开拓，因海外业务所在国政治经</w:t>
      </w:r>
      <w:r>
        <w:rPr>
          <w:w w:val="99"/>
        </w:rPr>
        <w:t> </w:t>
      </w:r>
      <w:r>
        <w:rPr/>
        <w:t>济格局变化引发的风险可能性在上升，公司与海外业主方、合作方可能发生的商业争端风险</w:t>
      </w:r>
      <w:r>
        <w:rPr>
          <w:w w:val="99"/>
        </w:rPr>
        <w:t> </w:t>
      </w:r>
      <w:r>
        <w:rPr/>
        <w:t>也在不断增加。</w:t>
      </w:r>
      <w:r>
        <w:rPr>
          <w:b w:val="0"/>
          <w:bCs w:val="0"/>
        </w:rPr>
      </w:r>
    </w:p>
    <w:p>
      <w:pPr>
        <w:pStyle w:val="Heading2"/>
        <w:spacing w:line="230" w:lineRule="auto" w:before="79"/>
        <w:ind w:right="154" w:firstLine="482"/>
        <w:jc w:val="both"/>
        <w:rPr>
          <w:b w:val="0"/>
          <w:bCs w:val="0"/>
        </w:rPr>
      </w:pPr>
      <w:r>
        <w:rPr/>
        <w:t>针对以上风险，公司与上述国家的政府部门及大使馆保持积极良好的沟通，在印尼是印</w:t>
      </w:r>
      <w:r>
        <w:rPr>
          <w:w w:val="99"/>
        </w:rPr>
        <w:t> </w:t>
      </w:r>
      <w:r>
        <w:rPr>
          <w:spacing w:val="-3"/>
        </w:rPr>
        <w:t>尼政府重点关注支持企业；在津巴布韦，公司与津巴布韦成立</w:t>
      </w:r>
      <w:r>
        <w:rPr>
          <w:rFonts w:ascii="Times New Roman" w:hAnsi="Times New Roman" w:cs="Times New Roman" w:eastAsia="Times New Roman" w:hint="default"/>
          <w:spacing w:val="-3"/>
        </w:rPr>
        <w:t>“</w:t>
      </w:r>
      <w:r>
        <w:rPr>
          <w:spacing w:val="-3"/>
        </w:rPr>
        <w:t>恒顺众昇津巴布韦政府总统奖</w:t>
      </w:r>
      <w:r>
        <w:rPr>
          <w:w w:val="99"/>
        </w:rPr>
        <w:t> </w:t>
      </w:r>
      <w:r>
        <w:rPr/>
        <w:t>学金</w:t>
      </w:r>
      <w:r>
        <w:rPr>
          <w:rFonts w:ascii="Times New Roman" w:hAnsi="Times New Roman" w:cs="Times New Roman" w:eastAsia="Times New Roman" w:hint="default"/>
        </w:rPr>
        <w:t>”</w:t>
      </w:r>
      <w:r>
        <w:rPr/>
        <w:t>，每年出资培养</w:t>
      </w:r>
      <w:r>
        <w:rPr>
          <w:spacing w:val="-64"/>
        </w:rPr>
        <w:t> </w:t>
      </w:r>
      <w:r>
        <w:rPr>
          <w:rFonts w:ascii="Times New Roman" w:hAnsi="Times New Roman" w:cs="Times New Roman" w:eastAsia="Times New Roman" w:hint="default"/>
        </w:rPr>
        <w:t>50</w:t>
      </w:r>
      <w:r>
        <w:rPr>
          <w:rFonts w:ascii="Times New Roman" w:hAnsi="Times New Roman" w:cs="Times New Roman" w:eastAsia="Times New Roman" w:hint="default"/>
          <w:spacing w:val="-3"/>
        </w:rPr>
        <w:t> </w:t>
      </w:r>
      <w:r>
        <w:rPr/>
        <w:t>名留学生来华学习，具有良好的群众基础；在菲律宾，公司项目合</w:t>
      </w:r>
      <w:r>
        <w:rPr>
          <w:w w:val="99"/>
        </w:rPr>
        <w:t> </w:t>
      </w:r>
      <w:r>
        <w:rPr/>
        <w:t>作对象为菲律宾的龙头企业，为公司在上述国家开展投资项目提供了保障。</w:t>
      </w:r>
      <w:r>
        <w:rPr>
          <w:b w:val="0"/>
          <w:bCs w:val="0"/>
        </w:rPr>
      </w:r>
    </w:p>
    <w:p>
      <w:pPr>
        <w:pStyle w:val="Heading2"/>
        <w:spacing w:line="297" w:lineRule="auto" w:before="100"/>
        <w:ind w:left="635" w:right="135"/>
        <w:jc w:val="left"/>
        <w:rPr>
          <w:b w:val="0"/>
          <w:bCs w:val="0"/>
        </w:rPr>
      </w:pPr>
      <w:r>
        <w:rPr>
          <w:rFonts w:ascii="Times New Roman" w:hAnsi="Times New Roman" w:cs="Times New Roman" w:eastAsia="Times New Roman" w:hint="default"/>
        </w:rPr>
        <w:t>2</w:t>
      </w:r>
      <w:r>
        <w:rPr/>
        <w:t>、公司管理的风险</w:t>
      </w:r>
      <w:r>
        <w:rPr>
          <w:w w:val="99"/>
        </w:rPr>
        <w:t> </w:t>
      </w:r>
      <w:r>
        <w:rPr/>
        <w:t>随着公司集团化进程的推进，公司资产规模和经营规模都将迅速扩张，在经营管理、资</w:t>
      </w:r>
      <w:r>
        <w:rPr>
          <w:b w:val="0"/>
          <w:bCs w:val="0"/>
        </w:rPr>
      </w:r>
    </w:p>
    <w:p>
      <w:pPr>
        <w:pStyle w:val="Heading2"/>
        <w:spacing w:line="253" w:lineRule="exact"/>
        <w:ind w:right="0"/>
        <w:jc w:val="both"/>
        <w:rPr>
          <w:b w:val="0"/>
          <w:bCs w:val="0"/>
        </w:rPr>
      </w:pPr>
      <w:r>
        <w:rPr/>
        <w:t>源整合、市场开拓、统筹管理等方面对公司的管理层提出更高的要求。如公司不能有效地进</w:t>
      </w:r>
      <w:r>
        <w:rPr>
          <w:b w:val="0"/>
          <w:bCs w:val="0"/>
        </w:rPr>
      </w:r>
    </w:p>
    <w:p>
      <w:pPr>
        <w:pStyle w:val="Heading2"/>
        <w:spacing w:line="312" w:lineRule="exact" w:before="29"/>
        <w:ind w:right="154"/>
        <w:jc w:val="both"/>
        <w:rPr>
          <w:b w:val="0"/>
          <w:bCs w:val="0"/>
        </w:rPr>
      </w:pPr>
      <w:r>
        <w:rPr/>
        <w:t>一步提升管理标准及理念、完善管理流程和内部控制制度，将会对公司的整体运营带来一定</w:t>
      </w:r>
      <w:r>
        <w:rPr>
          <w:w w:val="99"/>
        </w:rPr>
        <w:t> </w:t>
      </w:r>
      <w:r>
        <w:rPr/>
        <w:t>风险。同时，公司在并购海外公司后的业务整合、人员整合、文化整合等方面也面临相应的</w:t>
      </w:r>
      <w:r>
        <w:rPr>
          <w:w w:val="99"/>
        </w:rPr>
        <w:t> </w:t>
      </w:r>
      <w:r>
        <w:rPr/>
        <w:t>风险。</w:t>
      </w:r>
      <w:r>
        <w:rPr>
          <w:b w:val="0"/>
          <w:bCs w:val="0"/>
        </w:rPr>
      </w:r>
    </w:p>
    <w:p>
      <w:pPr>
        <w:pStyle w:val="Heading2"/>
        <w:spacing w:line="312" w:lineRule="exact" w:before="99"/>
        <w:ind w:right="152" w:firstLine="482"/>
        <w:jc w:val="both"/>
        <w:rPr>
          <w:b w:val="0"/>
          <w:bCs w:val="0"/>
        </w:rPr>
      </w:pPr>
      <w:r>
        <w:rPr/>
        <w:t>针对以上风险，公司已不断完善组织结构、加强人才队伍建设和管理制度建设。为不断</w:t>
      </w:r>
      <w:r>
        <w:rPr>
          <w:w w:val="99"/>
        </w:rPr>
        <w:t> </w:t>
      </w:r>
      <w:r>
        <w:rPr/>
        <w:t>吸引新的技术人才加盟，增强公司的技术实力，公司制定了有竞争力的薪酬体系和职业发展</w:t>
      </w:r>
      <w:r>
        <w:rPr>
          <w:w w:val="99"/>
        </w:rPr>
        <w:t> </w:t>
      </w:r>
      <w:r>
        <w:rPr/>
        <w:t>规划，并对核心技术和管理人员进行股权激励，同时与核心人员签订了保密协议，对竞业禁</w:t>
      </w:r>
      <w:r>
        <w:rPr>
          <w:w w:val="99"/>
        </w:rPr>
        <w:t> </w:t>
      </w:r>
      <w:r>
        <w:rPr/>
        <w:t>止义务和责任等进行了明确约定，尽可能降低或消除核心人员流失及由此带来的技术扩散风</w:t>
      </w:r>
      <w:r>
        <w:rPr>
          <w:w w:val="99"/>
        </w:rPr>
        <w:t> </w:t>
      </w:r>
      <w:r>
        <w:rPr/>
        <w:t>险。对于海外收购的企业，以尊重当地文化为主旨，互相融合，加强沟通，逐步消除因文化</w:t>
      </w:r>
      <w:r>
        <w:rPr>
          <w:w w:val="99"/>
        </w:rPr>
        <w:t> </w:t>
      </w:r>
      <w:r>
        <w:rPr/>
        <w:t>差异存在的障碍。</w:t>
      </w:r>
      <w:r>
        <w:rPr>
          <w:b w:val="0"/>
          <w:bCs w:val="0"/>
        </w:rPr>
      </w:r>
    </w:p>
    <w:p>
      <w:pPr>
        <w:pStyle w:val="Heading2"/>
        <w:spacing w:line="297" w:lineRule="auto" w:before="70"/>
        <w:ind w:left="635" w:right="135"/>
        <w:jc w:val="left"/>
        <w:rPr>
          <w:b w:val="0"/>
          <w:bCs w:val="0"/>
        </w:rPr>
      </w:pPr>
      <w:r>
        <w:rPr>
          <w:rFonts w:ascii="Times New Roman" w:hAnsi="Times New Roman" w:cs="Times New Roman" w:eastAsia="Times New Roman" w:hint="default"/>
        </w:rPr>
        <w:t>3</w:t>
      </w:r>
      <w:r>
        <w:rPr/>
        <w:t>、投资项目实施的风险</w:t>
      </w:r>
      <w:r>
        <w:rPr>
          <w:w w:val="99"/>
        </w:rPr>
        <w:t> </w:t>
      </w:r>
      <w:r>
        <w:rPr/>
        <w:t>公司在海外投资及拟收购的项目，虽然在前期已请相关专业机构进行了充分论证，并经</w:t>
      </w:r>
      <w:r>
        <w:rPr>
          <w:b w:val="0"/>
          <w:bCs w:val="0"/>
        </w:rPr>
      </w:r>
    </w:p>
    <w:p>
      <w:pPr>
        <w:pStyle w:val="Heading2"/>
        <w:spacing w:line="253" w:lineRule="exact"/>
        <w:ind w:right="0"/>
        <w:jc w:val="both"/>
        <w:rPr>
          <w:b w:val="0"/>
          <w:bCs w:val="0"/>
        </w:rPr>
      </w:pPr>
      <w:r>
        <w:rPr/>
        <w:t>过了董事会及股东会的审议研究，但由于在项目实施及营运过程中可能会由于市场的变化、</w:t>
      </w:r>
      <w:r>
        <w:rPr>
          <w:b w:val="0"/>
          <w:bCs w:val="0"/>
        </w:rPr>
      </w:r>
    </w:p>
    <w:p>
      <w:pPr>
        <w:pStyle w:val="Heading2"/>
        <w:spacing w:line="240" w:lineRule="auto"/>
        <w:ind w:right="157"/>
        <w:jc w:val="both"/>
        <w:rPr>
          <w:b w:val="0"/>
          <w:bCs w:val="0"/>
        </w:rPr>
      </w:pPr>
      <w:r>
        <w:rPr/>
        <w:t>政策的调整、投资地人文环境的不适应、市场拓展不力、人力资源的不足等问题，存在投资</w:t>
      </w:r>
      <w:r>
        <w:rPr>
          <w:w w:val="99"/>
        </w:rPr>
        <w:t> </w:t>
      </w:r>
      <w:r>
        <w:rPr/>
        <w:t>项目时间进度不能按照计划进行或项目收益无法达到预期的风险。</w:t>
      </w:r>
      <w:r>
        <w:rPr>
          <w:b w:val="0"/>
          <w:bCs w:val="0"/>
        </w:rPr>
      </w:r>
    </w:p>
    <w:p>
      <w:pPr>
        <w:pStyle w:val="Heading2"/>
        <w:spacing w:line="240" w:lineRule="auto" w:before="96"/>
        <w:ind w:left="635" w:right="0"/>
        <w:jc w:val="left"/>
        <w:rPr>
          <w:b w:val="0"/>
          <w:bCs w:val="0"/>
        </w:rPr>
      </w:pPr>
      <w:r>
        <w:rPr/>
        <w:t>针对以上风险，在项目时间进度方面，公司会对各项目的进展情况及时跟踪，及时处理</w:t>
      </w:r>
      <w:r>
        <w:rPr>
          <w:b w:val="0"/>
          <w:bCs w:val="0"/>
        </w:rPr>
      </w:r>
    </w:p>
    <w:p>
      <w:pPr>
        <w:spacing w:after="0" w:line="240" w:lineRule="auto"/>
        <w:jc w:val="left"/>
        <w:sectPr>
          <w:footerReference w:type="default" r:id="rId8"/>
          <w:pgSz w:w="11910" w:h="16840"/>
          <w:pgMar w:footer="979" w:header="745" w:top="1060" w:bottom="116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b/>
          <w:bCs/>
          <w:sz w:val="19"/>
          <w:szCs w:val="19"/>
        </w:rPr>
      </w:pPr>
    </w:p>
    <w:p>
      <w:pPr>
        <w:pStyle w:val="Heading2"/>
        <w:spacing w:line="312" w:lineRule="exact" w:before="56"/>
        <w:ind w:right="156"/>
        <w:jc w:val="both"/>
        <w:rPr>
          <w:b w:val="0"/>
          <w:bCs w:val="0"/>
        </w:rPr>
      </w:pPr>
      <w:r>
        <w:rPr/>
        <w:t>项目实施过程中出现的问题，尽可能使项目时间按计划进度进行。公司将积极开展融资，进</w:t>
      </w:r>
      <w:r>
        <w:rPr>
          <w:w w:val="99"/>
        </w:rPr>
        <w:t> </w:t>
      </w:r>
      <w:r>
        <w:rPr/>
        <w:t>一步开拓思路，通过寻求有资金实力的合作伙伴、争取资本市场直接融资等方式，解决项目</w:t>
      </w:r>
      <w:r>
        <w:rPr>
          <w:w w:val="99"/>
        </w:rPr>
        <w:t> </w:t>
      </w:r>
      <w:r>
        <w:rPr/>
        <w:t>资金需求、降低财务成本。</w:t>
      </w:r>
      <w:r>
        <w:rPr>
          <w:b w:val="0"/>
          <w:bCs w:val="0"/>
        </w:rPr>
      </w:r>
    </w:p>
    <w:p>
      <w:pPr>
        <w:pStyle w:val="Heading2"/>
        <w:spacing w:line="297" w:lineRule="auto" w:before="70"/>
        <w:ind w:left="635" w:right="135"/>
        <w:jc w:val="left"/>
        <w:rPr>
          <w:b w:val="0"/>
          <w:bCs w:val="0"/>
        </w:rPr>
      </w:pPr>
      <w:r>
        <w:rPr>
          <w:rFonts w:ascii="Times New Roman" w:hAnsi="Times New Roman" w:cs="Times New Roman" w:eastAsia="Times New Roman" w:hint="default"/>
        </w:rPr>
        <w:t>4</w:t>
      </w:r>
      <w:r>
        <w:rPr/>
        <w:t>、境外法律风险</w:t>
      </w:r>
      <w:r>
        <w:rPr>
          <w:w w:val="99"/>
        </w:rPr>
        <w:t> </w:t>
      </w:r>
      <w:r>
        <w:rPr/>
        <w:t>公司境外项目所布局国家的法律体系大多比较完整，但操作性差，且不同法律存在矛盾</w:t>
      </w:r>
      <w:r>
        <w:rPr>
          <w:b w:val="0"/>
          <w:bCs w:val="0"/>
        </w:rPr>
      </w:r>
    </w:p>
    <w:p>
      <w:pPr>
        <w:pStyle w:val="Heading2"/>
        <w:spacing w:line="254" w:lineRule="exact"/>
        <w:ind w:right="0"/>
        <w:jc w:val="both"/>
        <w:rPr>
          <w:b w:val="0"/>
          <w:bCs w:val="0"/>
        </w:rPr>
      </w:pPr>
      <w:r>
        <w:rPr/>
        <w:t>和冲突，给人治因素留下较大空间。</w:t>
      </w:r>
      <w:r>
        <w:rPr>
          <w:b w:val="0"/>
          <w:bCs w:val="0"/>
        </w:rPr>
      </w:r>
    </w:p>
    <w:p>
      <w:pPr>
        <w:pStyle w:val="Heading2"/>
        <w:spacing w:line="237" w:lineRule="auto" w:before="101"/>
        <w:ind w:right="153" w:firstLine="482"/>
        <w:jc w:val="both"/>
        <w:rPr>
          <w:b w:val="0"/>
          <w:bCs w:val="0"/>
        </w:rPr>
      </w:pPr>
      <w:r>
        <w:rPr/>
        <w:t>针对以上风险，公司方需充分利用国际经济活动中的法律和规则，通过以下几种方式规</w:t>
      </w:r>
      <w:r>
        <w:rPr>
          <w:w w:val="99"/>
        </w:rPr>
        <w:t> </w:t>
      </w:r>
      <w:r>
        <w:rPr/>
        <w:t>避法律风险：海外工程施工更重视合同内容，可与施工企业依靠双方的合同约定来调整双方</w:t>
      </w:r>
      <w:r>
        <w:rPr>
          <w:w w:val="99"/>
        </w:rPr>
        <w:t> </w:t>
      </w:r>
      <w:r>
        <w:rPr/>
        <w:t>关系、依据合同追究相应责任，并选择在背景、经验及管理上更成熟的中国公司进行合作，</w:t>
      </w:r>
      <w:r>
        <w:rPr>
          <w:w w:val="99"/>
        </w:rPr>
        <w:t> </w:t>
      </w:r>
      <w:r>
        <w:rPr/>
        <w:t>弱化外部因素影响；寻求熟悉中外双重法律体系和跨境法律服务的当地律所或在当地有分支</w:t>
      </w:r>
      <w:r>
        <w:rPr>
          <w:w w:val="99"/>
        </w:rPr>
        <w:t> </w:t>
      </w:r>
      <w:r>
        <w:rPr/>
        <w:t>机构的国内知名律所合作；聘请本地执业律师，与本国律师一起组建自身的法务团队，在分</w:t>
      </w:r>
      <w:r>
        <w:rPr>
          <w:w w:val="99"/>
        </w:rPr>
        <w:t> </w:t>
      </w:r>
      <w:r>
        <w:rPr/>
        <w:t>析当地法律法规的基础上，结合中国的管理理念，指导开展日常工作；组建国内精英管理团</w:t>
      </w:r>
      <w:r>
        <w:rPr>
          <w:w w:val="99"/>
        </w:rPr>
        <w:t> </w:t>
      </w:r>
      <w:r>
        <w:rPr/>
        <w:t>队，并聘请熟悉当地注册、税务、劳务等政策的资深人员，针对当地有冲突或者不明确的法</w:t>
      </w:r>
      <w:r>
        <w:rPr>
          <w:w w:val="99"/>
        </w:rPr>
        <w:t> </w:t>
      </w:r>
      <w:r>
        <w:rPr/>
        <w:t>律条文，充分沟通磨合，并要求对相关法律条文进行解释。</w:t>
      </w:r>
      <w:r>
        <w:rPr>
          <w:b w:val="0"/>
          <w:bCs w:val="0"/>
        </w:rPr>
      </w:r>
    </w:p>
    <w:p>
      <w:pPr>
        <w:pStyle w:val="Heading2"/>
        <w:spacing w:line="297" w:lineRule="auto" w:before="99"/>
        <w:ind w:left="635" w:right="135"/>
        <w:jc w:val="left"/>
        <w:rPr>
          <w:b w:val="0"/>
          <w:bCs w:val="0"/>
        </w:rPr>
      </w:pPr>
      <w:r>
        <w:rPr>
          <w:rFonts w:ascii="Times New Roman" w:hAnsi="Times New Roman" w:cs="Times New Roman" w:eastAsia="Times New Roman" w:hint="default"/>
        </w:rPr>
        <w:t>5</w:t>
      </w:r>
      <w:r>
        <w:rPr/>
        <w:t>、汇率变动的风险</w:t>
      </w:r>
      <w:r>
        <w:rPr>
          <w:w w:val="99"/>
        </w:rPr>
        <w:t> </w:t>
      </w:r>
      <w:r>
        <w:rPr/>
        <w:t>公司签署的合作项目，目前在执行的合同多以外币为结算货币，虽然在合同中约定了相</w:t>
      </w:r>
      <w:r>
        <w:rPr>
          <w:b w:val="0"/>
          <w:bCs w:val="0"/>
        </w:rPr>
      </w:r>
    </w:p>
    <w:p>
      <w:pPr>
        <w:pStyle w:val="Heading2"/>
        <w:spacing w:line="254" w:lineRule="exact"/>
        <w:ind w:right="0"/>
        <w:jc w:val="both"/>
        <w:rPr>
          <w:b w:val="0"/>
          <w:bCs w:val="0"/>
        </w:rPr>
      </w:pPr>
      <w:r>
        <w:rPr/>
        <w:t>关的汇率变化调整条款，但仍存在一定的风险。</w:t>
      </w:r>
      <w:r>
        <w:rPr>
          <w:b w:val="0"/>
          <w:bCs w:val="0"/>
        </w:rPr>
      </w:r>
    </w:p>
    <w:p>
      <w:pPr>
        <w:pStyle w:val="Heading2"/>
        <w:spacing w:line="314" w:lineRule="auto" w:before="98"/>
        <w:ind w:left="635" w:right="2786"/>
        <w:jc w:val="left"/>
        <w:rPr>
          <w:b w:val="0"/>
          <w:bCs w:val="0"/>
        </w:rPr>
      </w:pPr>
      <w:r>
        <w:rPr/>
        <w:t>针对以上风险，公司将进一步完善合同中汇率调整的条款。</w:t>
      </w:r>
      <w:r>
        <w:rPr>
          <w:w w:val="99"/>
        </w:rPr>
        <w:t> </w:t>
      </w:r>
      <w:r>
        <w:rPr/>
        <w:t>公司计划不派发现金红利，不送红股，不以公积金转增股本。</w:t>
      </w:r>
      <w:r>
        <w:rPr>
          <w:b w:val="0"/>
          <w:bCs w:val="0"/>
        </w:rPr>
      </w:r>
    </w:p>
    <w:p>
      <w:pPr>
        <w:spacing w:after="0" w:line="314" w:lineRule="auto"/>
        <w:jc w:val="left"/>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5"/>
        <w:ind w:left="2241" w:right="224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3" w:val="right" w:leader="dot"/>
            </w:tabs>
            <w:spacing w:line="240" w:lineRule="auto" w:before="18"/>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26</w:t>
            </w:r>
            <w:r>
              <w:rPr>
                <w:rFonts w:ascii="Times New Roman" w:hAnsi="Times New Roman" w:cs="Times New Roman" w:eastAsia="Times New Roman" w:hint="default"/>
                <w:b w:val="0"/>
                <w:bCs w:val="0"/>
              </w:rPr>
            </w:r>
          </w:hyperlink>
        </w:p>
        <w:p>
          <w:pPr>
            <w:pStyle w:val="TOC1"/>
            <w:tabs>
              <w:tab w:pos="9783" w:val="right" w:leader="dot"/>
            </w:tabs>
            <w:spacing w:line="240" w:lineRule="auto" w:before="18"/>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41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42</w:t>
            </w:r>
            <w:r>
              <w:rPr>
                <w:rFonts w:ascii="Times New Roman" w:hAnsi="Times New Roman" w:cs="Times New Roman" w:eastAsia="Times New Roman" w:hint="default"/>
                <w:b w:val="0"/>
                <w:bCs w:val="0"/>
              </w:rPr>
            </w:r>
          </w:hyperlink>
        </w:p>
        <w:p>
          <w:pPr>
            <w:pStyle w:val="TOC1"/>
            <w:tabs>
              <w:tab w:pos="9783" w:val="right" w:leader="dot"/>
            </w:tabs>
            <w:spacing w:line="240" w:lineRule="auto" w:before="18"/>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9783" w:val="right" w:leader="dot"/>
            </w:tabs>
            <w:spacing w:line="240" w:lineRule="auto" w:before="21"/>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公司债券相关情况</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2"/>
              </w:rPr>
              <w:t> </w:t>
            </w:r>
            <w:r>
              <w:rPr/>
              <w:t>财务报告</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9783" w:val="right" w:leader="dot"/>
            </w:tabs>
            <w:spacing w:line="240" w:lineRule="auto" w:before="18"/>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备查文件目录</w:t>
            </w:r>
            <w:r>
              <w:rPr>
                <w:rFonts w:ascii="Times New Roman" w:hAnsi="Times New Roman" w:cs="Times New Roman" w:eastAsia="Times New Roman" w:hint="default"/>
              </w:rPr>
              <w:tab/>
              <w:t>148</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79" w:top="1060" w:bottom="1160" w:left="980" w:right="980"/>
        </w:sectPr>
      </w:pPr>
    </w:p>
    <w:p>
      <w:pPr>
        <w:spacing w:before="424"/>
        <w:ind w:left="2241" w:right="224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2"/>
          <w:szCs w:val="12"/>
        </w:rPr>
      </w:pPr>
    </w:p>
    <w:tbl>
      <w:tblPr>
        <w:tblW w:w="0" w:type="auto"/>
        <w:jc w:val="left"/>
        <w:tblInd w:w="119" w:type="dxa"/>
        <w:tblLayout w:type="fixed"/>
        <w:tblCellMar>
          <w:top w:w="0" w:type="dxa"/>
          <w:left w:w="0" w:type="dxa"/>
          <w:bottom w:w="0" w:type="dxa"/>
          <w:right w:w="0" w:type="dxa"/>
        </w:tblCellMar>
        <w:tblLook w:val="01E0"/>
      </w:tblPr>
      <w:tblGrid>
        <w:gridCol w:w="3539"/>
        <w:gridCol w:w="596"/>
        <w:gridCol w:w="5436"/>
      </w:tblGrid>
      <w:tr>
        <w:trPr>
          <w:trHeight w:val="403" w:hRule="exact"/>
        </w:trPr>
        <w:tc>
          <w:tcPr>
            <w:tcW w:w="3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本公司、公司、恒顺众昇、恒顺公司</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青岛市恒顺众昇集团股份有限公司</w:t>
            </w:r>
          </w:p>
        </w:tc>
      </w:tr>
      <w:tr>
        <w:trPr>
          <w:trHeight w:val="403"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青岛市恒顺众昇集团股份有限公司董事会</w:t>
            </w:r>
          </w:p>
        </w:tc>
      </w:tr>
      <w:tr>
        <w:trPr>
          <w:trHeight w:val="403"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《青岛市恒顺众昇集团股份有限公司章程》</w:t>
            </w:r>
          </w:p>
        </w:tc>
      </w:tr>
      <w:tr>
        <w:trPr>
          <w:trHeight w:val="401"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《创业板上市规则》</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深圳证券交易所创业板股票上市规则</w:t>
            </w:r>
          </w:p>
        </w:tc>
      </w:tr>
      <w:tr>
        <w:trPr>
          <w:trHeight w:val="403"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创业板</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深圳证券交易所创业板</w:t>
            </w:r>
          </w:p>
        </w:tc>
      </w:tr>
      <w:tr>
        <w:trPr>
          <w:trHeight w:val="401"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1"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青岛国资委</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青岛市人民政府国有资产监督管理委员会</w:t>
            </w:r>
          </w:p>
        </w:tc>
      </w:tr>
      <w:tr>
        <w:trPr>
          <w:trHeight w:val="403"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城投集团</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青岛城市建设投资（集团）有限责任公司</w:t>
            </w:r>
          </w:p>
        </w:tc>
      </w:tr>
      <w:tr>
        <w:trPr>
          <w:trHeight w:val="401"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城投金控</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青岛城投金融控股集团有限公司</w:t>
            </w:r>
          </w:p>
        </w:tc>
      </w:tr>
      <w:tr>
        <w:trPr>
          <w:trHeight w:val="403"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云南冶金集团</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云南冶金集团股份有限公司</w:t>
            </w:r>
          </w:p>
        </w:tc>
      </w:tr>
      <w:tr>
        <w:trPr>
          <w:trHeight w:val="401"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北京科程</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北京科程物联网有限公司</w:t>
            </w:r>
          </w:p>
        </w:tc>
      </w:tr>
      <w:tr>
        <w:trPr>
          <w:trHeight w:val="403"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联想新视界</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联想新视界（北京）科技有限公司</w:t>
            </w:r>
          </w:p>
        </w:tc>
      </w:tr>
      <w:tr>
        <w:trPr>
          <w:trHeight w:val="401"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青岛市恒顺众昇集团股份有限公司监事会</w:t>
            </w:r>
          </w:p>
        </w:tc>
      </w:tr>
      <w:tr>
        <w:trPr>
          <w:trHeight w:val="403"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万事利</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pacing w:val="-4"/>
                <w:sz w:val="18"/>
              </w:rPr>
              <w:t>Vasari </w:t>
            </w:r>
            <w:r>
              <w:rPr>
                <w:rFonts w:ascii="Times New Roman"/>
                <w:sz w:val="18"/>
              </w:rPr>
              <w:t>Investment Holdings</w:t>
            </w:r>
            <w:r>
              <w:rPr>
                <w:rFonts w:ascii="Times New Roman"/>
                <w:spacing w:val="-4"/>
                <w:sz w:val="18"/>
              </w:rPr>
              <w:t> </w:t>
            </w:r>
            <w:r>
              <w:rPr>
                <w:rFonts w:ascii="Times New Roman"/>
                <w:sz w:val="18"/>
              </w:rPr>
              <w:t>Limited</w:t>
            </w:r>
          </w:p>
        </w:tc>
      </w:tr>
      <w:tr>
        <w:trPr>
          <w:trHeight w:val="401"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城建租赁</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青岛城乡建设融资租赁有限公司</w:t>
            </w:r>
          </w:p>
        </w:tc>
      </w:tr>
      <w:tr>
        <w:trPr>
          <w:trHeight w:val="403"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杭州深蓝</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杭州深蓝能源工程有限公司</w:t>
            </w:r>
          </w:p>
        </w:tc>
      </w:tr>
      <w:tr>
        <w:trPr>
          <w:trHeight w:val="401"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印尼</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印度尼西亚</w:t>
            </w:r>
          </w:p>
        </w:tc>
      </w:tr>
      <w:tr>
        <w:trPr>
          <w:trHeight w:val="403"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津巴布韦</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津巴布韦共和国</w:t>
            </w:r>
          </w:p>
        </w:tc>
      </w:tr>
      <w:tr>
        <w:trPr>
          <w:trHeight w:val="401"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南非</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南非共和国</w:t>
            </w:r>
          </w:p>
        </w:tc>
      </w:tr>
      <w:tr>
        <w:trPr>
          <w:trHeight w:val="403"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菲律宾</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菲律宾共和国</w:t>
            </w:r>
          </w:p>
        </w:tc>
      </w:tr>
      <w:tr>
        <w:trPr>
          <w:trHeight w:val="401"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非洲煤业</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非洲煤业有限公司</w:t>
            </w:r>
          </w:p>
        </w:tc>
      </w:tr>
      <w:tr>
        <w:trPr>
          <w:trHeight w:val="403"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宝巴</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宝巴（</w:t>
            </w:r>
            <w:r>
              <w:rPr>
                <w:rFonts w:ascii="Times New Roman" w:hAnsi="Times New Roman" w:cs="Times New Roman" w:eastAsia="Times New Roman" w:hint="default"/>
                <w:sz w:val="18"/>
                <w:szCs w:val="18"/>
              </w:rPr>
              <w:t>Baobab</w:t>
            </w:r>
            <w:r>
              <w:rPr>
                <w:rFonts w:ascii="宋体" w:hAnsi="宋体" w:cs="宋体" w:eastAsia="宋体" w:hint="default"/>
                <w:sz w:val="18"/>
                <w:szCs w:val="18"/>
              </w:rPr>
              <w:t>）开采和勘探（控股）有限公司</w:t>
            </w:r>
          </w:p>
        </w:tc>
      </w:tr>
      <w:tr>
        <w:trPr>
          <w:trHeight w:val="401"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中加煤矿</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恒顺印尼中加煤矿公司，</w:t>
            </w:r>
            <w:r>
              <w:rPr>
                <w:rFonts w:ascii="Times New Roman" w:hAnsi="Times New Roman" w:cs="Times New Roman" w:eastAsia="Times New Roman" w:hint="default"/>
                <w:sz w:val="18"/>
                <w:szCs w:val="18"/>
              </w:rPr>
              <w:t>PT. CIS</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Resources</w:t>
            </w:r>
          </w:p>
        </w:tc>
      </w:tr>
      <w:tr>
        <w:trPr>
          <w:trHeight w:val="403"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Madani </w:t>
            </w:r>
            <w:r>
              <w:rPr>
                <w:rFonts w:ascii="宋体" w:hAnsi="宋体" w:cs="宋体" w:eastAsia="宋体" w:hint="default"/>
                <w:sz w:val="18"/>
                <w:szCs w:val="18"/>
              </w:rPr>
              <w:t>镍矿</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恒顺印尼苏岛镍矿公司，</w:t>
            </w:r>
            <w:r>
              <w:rPr>
                <w:rFonts w:ascii="Times New Roman" w:hAnsi="Times New Roman" w:cs="Times New Roman" w:eastAsia="Times New Roman" w:hint="default"/>
                <w:sz w:val="18"/>
                <w:szCs w:val="18"/>
              </w:rPr>
              <w:t>PT. Madani</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z w:val="18"/>
                <w:szCs w:val="18"/>
              </w:rPr>
              <w:t>Sejahtera</w:t>
            </w:r>
          </w:p>
        </w:tc>
      </w:tr>
      <w:tr>
        <w:trPr>
          <w:trHeight w:val="401"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BMU</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镍矿</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恒顺印尼中苏镍矿公司，</w:t>
            </w:r>
            <w:r>
              <w:rPr>
                <w:rFonts w:ascii="Times New Roman" w:hAnsi="Times New Roman" w:cs="Times New Roman" w:eastAsia="Times New Roman" w:hint="default"/>
                <w:sz w:val="18"/>
                <w:szCs w:val="18"/>
              </w:rPr>
              <w:t>PT. Bumi Morowali</w:t>
            </w:r>
            <w:r>
              <w:rPr>
                <w:rFonts w:ascii="Times New Roman" w:hAnsi="Times New Roman" w:cs="Times New Roman" w:eastAsia="Times New Roman" w:hint="default"/>
                <w:spacing w:val="-25"/>
                <w:sz w:val="18"/>
                <w:szCs w:val="18"/>
              </w:rPr>
              <w:t> </w:t>
            </w:r>
            <w:r>
              <w:rPr>
                <w:rFonts w:ascii="Times New Roman" w:hAnsi="Times New Roman" w:cs="Times New Roman" w:eastAsia="Times New Roman" w:hint="default"/>
                <w:sz w:val="18"/>
                <w:szCs w:val="18"/>
              </w:rPr>
              <w:t>Utama</w:t>
            </w:r>
          </w:p>
        </w:tc>
      </w:tr>
      <w:tr>
        <w:trPr>
          <w:trHeight w:val="403"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印尼帝汶岛锰矿</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 Alam jaya</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锰矿公司</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42" w:right="135"/>
        <w:jc w:val="left"/>
        <w:rPr>
          <w:b w:val="0"/>
          <w:bCs w:val="0"/>
        </w:rPr>
      </w:pPr>
      <w:bookmarkStart w:name="_bookmark1" w:id="2"/>
      <w:bookmarkEnd w:id="2"/>
      <w:r>
        <w:rPr>
          <w:b w:val="0"/>
          <w:bCs w:val="0"/>
        </w:rPr>
      </w: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35"/>
        <w:jc w:val="left"/>
        <w:rPr>
          <w:b w:val="0"/>
          <w:bCs w:val="0"/>
        </w:rPr>
      </w:pPr>
      <w:r>
        <w:rPr/>
        <w:pict>
          <v:group style="position:absolute;margin-left:172.339996pt;margin-top:114.705597pt;width:361.55pt;height:19.7pt;mso-position-horizontal-relative:page;mso-position-vertical-relative:paragraph;z-index:-819256" coordorigin="3447,2294" coordsize="7231,394">
            <v:shape style="position:absolute;left:3447;top:2294;width:7231;height:394" coordorigin="3447,2294" coordsize="7231,394" path="m3447,2688l10677,2688,10677,2294,3447,2294,3447,2688xe" filled="true" fillcolor="#ffffff" stroked="false">
              <v:path arrowok="t"/>
              <v:fill type="solid"/>
            </v:shape>
            <w10:wrap type="none"/>
          </v:group>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恒顺众昇</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300208</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青岛市恒顺众昇集团股份有限公司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恒顺众昇</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Qingdao Hengshun Zhongsheng Group</w:t>
            </w:r>
            <w:r>
              <w:rPr>
                <w:rFonts w:ascii="Times New Roman"/>
                <w:spacing w:val="-13"/>
                <w:sz w:val="18"/>
              </w:rPr>
              <w:t> </w:t>
            </w:r>
            <w:r>
              <w:rPr>
                <w:rFonts w:ascii="Times New Roman"/>
                <w:sz w:val="18"/>
              </w:rPr>
              <w:t>Co.,Ltd.</w:t>
            </w:r>
          </w:p>
        </w:tc>
      </w:tr>
      <w:tr>
        <w:trPr>
          <w:trHeight w:val="403"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HSZS</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贾晓钰</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青岛市城阳区流亭街道双元路西侧（空港工业聚集区）</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266108</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青岛市城阳区流亭街道双元路西侧（空港工业聚集区）</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266108</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www.qdhengshun.com</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hengshun@188.com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35"/>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莫柏欣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赵子明</w:t>
            </w:r>
          </w:p>
        </w:tc>
      </w:tr>
      <w:tr>
        <w:trPr>
          <w:trHeight w:val="161" w:hRule="exact"/>
        </w:trPr>
        <w:tc>
          <w:tcPr>
            <w:tcW w:w="31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94"/>
              <w:jc w:val="left"/>
              <w:rPr>
                <w:rFonts w:ascii="宋体" w:hAnsi="宋体" w:cs="宋体" w:eastAsia="宋体" w:hint="default"/>
                <w:sz w:val="18"/>
                <w:szCs w:val="18"/>
              </w:rPr>
            </w:pPr>
            <w:r>
              <w:rPr>
                <w:rFonts w:ascii="宋体" w:hAnsi="宋体" w:cs="宋体" w:eastAsia="宋体" w:hint="default"/>
                <w:sz w:val="18"/>
                <w:szCs w:val="18"/>
              </w:rPr>
              <w:t>青岛市城阳区流亭街道双元路西侧（空 港工业聚集区）</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青岛市城阳区流亭街道双元路西侧（空 港工业聚集区）</w:t>
            </w:r>
          </w:p>
        </w:tc>
      </w:tr>
      <w:tr>
        <w:trPr>
          <w:trHeight w:val="391" w:hRule="exact"/>
        </w:trPr>
        <w:tc>
          <w:tcPr>
            <w:tcW w:w="31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6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0532-68004136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0532-68004136</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0532-87712839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0532-87712839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hengshunzqb@188.com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hengshunzqb@188.com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35"/>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(www.cninfo.com.cn)</w:t>
            </w:r>
          </w:p>
        </w:tc>
      </w:tr>
      <w:tr>
        <w:trPr>
          <w:trHeight w:val="71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3"/>
              <w:jc w:val="left"/>
              <w:rPr>
                <w:rFonts w:ascii="宋体" w:hAnsi="宋体" w:cs="宋体" w:eastAsia="宋体" w:hint="default"/>
                <w:sz w:val="18"/>
                <w:szCs w:val="18"/>
              </w:rPr>
            </w:pPr>
            <w:r>
              <w:rPr>
                <w:rFonts w:ascii="宋体" w:hAnsi="宋体" w:cs="宋体" w:eastAsia="宋体" w:hint="default"/>
                <w:spacing w:val="-2"/>
                <w:sz w:val="18"/>
                <w:szCs w:val="18"/>
              </w:rPr>
              <w:t>青岛市城阳区流亭街道双元路西侧（空港工业聚集区）公司董事会办公</w:t>
            </w:r>
            <w:r>
              <w:rPr>
                <w:rFonts w:ascii="宋体" w:hAnsi="宋体" w:cs="宋体" w:eastAsia="宋体" w:hint="default"/>
                <w:sz w:val="18"/>
                <w:szCs w:val="18"/>
              </w:rPr>
              <w:t> 室</w:t>
            </w:r>
          </w:p>
        </w:tc>
      </w:tr>
    </w:tbl>
    <w:p>
      <w:pPr>
        <w:spacing w:after="0" w:line="314"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135"/>
        <w:jc w:val="left"/>
        <w:rPr>
          <w:b w:val="0"/>
          <w:bCs w:val="0"/>
        </w:rPr>
      </w:pP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35"/>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山东和信会计师事务所（特殊普通合伙）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山东省济南市历下区文化东路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号盐业大厦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左伟，杨国</w:t>
            </w:r>
          </w:p>
        </w:tc>
      </w:tr>
    </w:tbl>
    <w:p>
      <w:pPr>
        <w:pStyle w:val="BodyText"/>
        <w:spacing w:line="240" w:lineRule="auto" w:before="49"/>
        <w:ind w:right="135"/>
        <w:jc w:val="left"/>
      </w:pPr>
      <w:r>
        <w:rPr/>
        <w:t>公司聘请的报告期内履行持续督导职责的保荐机构</w:t>
      </w:r>
    </w:p>
    <w:p>
      <w:pPr>
        <w:pStyle w:val="BodyText"/>
        <w:spacing w:line="34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42"/>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35"/>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35"/>
        <w:jc w:val="left"/>
      </w:pPr>
      <w:r>
        <w:rPr/>
        <w:t>公司是否需追溯调整或重述以前年度会计数据</w:t>
      </w:r>
    </w:p>
    <w:p>
      <w:pPr>
        <w:pStyle w:val="BodyText"/>
        <w:spacing w:line="240" w:lineRule="auto" w:before="117"/>
        <w:ind w:right="13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5"/>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1,522,298,555.62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1,199,368,779.85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26.92%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1,163,266,236.47</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334,144,677.37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252,786,403.20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32.18%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338,648,755.97</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331,174,916.24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256,286,002.87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29.22%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298,901,535.87</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-127,716,182.12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-181,954,045.73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29.81%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568,713,207.23</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0.46</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29.41%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0.45</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-0.19%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34.69%</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3,892,073,520.73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2,775,256,434.61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40.24%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2,136,752,237.51</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1,905,752,144.78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1,594,742,434.04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19.50%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1,152,220,665.85</w:t>
            </w:r>
          </w:p>
        </w:tc>
      </w:tr>
    </w:tbl>
    <w:p>
      <w:pPr>
        <w:spacing w:line="240" w:lineRule="auto" w:before="1"/>
        <w:rPr>
          <w:rFonts w:ascii="宋体" w:hAnsi="宋体" w:cs="宋体" w:eastAsia="宋体" w:hint="default"/>
          <w:sz w:val="18"/>
          <w:szCs w:val="18"/>
        </w:rPr>
      </w:pPr>
    </w:p>
    <w:p>
      <w:pPr>
        <w:pStyle w:val="Heading2"/>
        <w:spacing w:line="240" w:lineRule="auto" w:before="26"/>
        <w:ind w:right="135"/>
        <w:jc w:val="left"/>
        <w:rPr>
          <w:b w:val="0"/>
          <w:bCs w:val="0"/>
        </w:rPr>
      </w:pPr>
      <w:r>
        <w:rPr/>
        <w:t>六、分季度主要财务指标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399,787,237.71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417,900,253.91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316,663,323.37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387,947,740.63</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119,572,203.17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130,975,218.89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62,184,429.98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21,412,825.33</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118,621,679.26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129,504,657.07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61,694,420.64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21,354,159.27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0"/>
        <w:gridCol w:w="1741"/>
        <w:gridCol w:w="1740"/>
        <w:gridCol w:w="1738"/>
        <w:gridCol w:w="1730"/>
      </w:tblGrid>
      <w:tr>
        <w:trPr>
          <w:trHeight w:val="363"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常性损益的净利润</w:t>
            </w:r>
          </w:p>
        </w:tc>
        <w:tc>
          <w:tcPr>
            <w:tcW w:w="1741"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5" w:right="0"/>
              <w:jc w:val="left"/>
              <w:rPr>
                <w:rFonts w:ascii="Times New Roman" w:hAnsi="Times New Roman" w:cs="Times New Roman" w:eastAsia="Times New Roman" w:hint="default"/>
                <w:sz w:val="18"/>
                <w:szCs w:val="18"/>
              </w:rPr>
            </w:pPr>
            <w:r>
              <w:rPr>
                <w:rFonts w:ascii="Times New Roman"/>
                <w:sz w:val="18"/>
              </w:rPr>
              <w:t>-34,282,128.12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-48,369,194.29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-110,974,462.97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2" w:right="0"/>
              <w:jc w:val="left"/>
              <w:rPr>
                <w:rFonts w:ascii="Times New Roman" w:hAnsi="Times New Roman" w:cs="Times New Roman" w:eastAsia="Times New Roman" w:hint="default"/>
                <w:sz w:val="18"/>
                <w:szCs w:val="18"/>
              </w:rPr>
            </w:pPr>
            <w:r>
              <w:rPr>
                <w:rFonts w:ascii="Times New Roman"/>
                <w:sz w:val="18"/>
              </w:rPr>
              <w:t>65,909,603.26</w:t>
            </w:r>
          </w:p>
        </w:tc>
      </w:tr>
    </w:tbl>
    <w:p>
      <w:pPr>
        <w:pStyle w:val="BodyText"/>
        <w:spacing w:line="240" w:lineRule="auto" w:before="49"/>
        <w:ind w:right="135"/>
        <w:jc w:val="left"/>
      </w:pPr>
      <w:r>
        <w:rPr/>
        <w:t>上述财务指标或其加总数是否与公司已披露季度报告、半年度报告相关财务指标存在重大差异</w:t>
      </w:r>
    </w:p>
    <w:p>
      <w:pPr>
        <w:pStyle w:val="BodyText"/>
        <w:spacing w:line="240" w:lineRule="auto" w:before="117"/>
        <w:ind w:right="13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24"/>
          <w:szCs w:val="24"/>
        </w:rPr>
      </w:pPr>
    </w:p>
    <w:p>
      <w:pPr>
        <w:pStyle w:val="Heading2"/>
        <w:spacing w:line="240" w:lineRule="auto"/>
        <w:ind w:right="135"/>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35"/>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5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3"/>
        <w:spacing w:line="240" w:lineRule="auto"/>
        <w:ind w:right="135"/>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1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135"/>
        <w:jc w:val="left"/>
        <w:rPr>
          <w:b w:val="0"/>
          <w:bCs w:val="0"/>
        </w:rPr>
      </w:pPr>
      <w:r>
        <w:rPr/>
        <w:t>八、非经常性损益项目及金额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-9,327.73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-108,760.76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5,879,911.76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3,238,111.76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46,202,961.28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-2,321,638.73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-6,710,706.96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479,483.45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588,511.90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17,676.74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6,826,463.87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2,969,761.13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-3,499,599.67</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39,747,220.10</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3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3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29" w:right="3470"/>
        <w:jc w:val="center"/>
        <w:rPr>
          <w:b w:val="0"/>
          <w:bCs w:val="0"/>
        </w:rPr>
      </w:pPr>
      <w:bookmarkStart w:name="_bookmark2" w:id="3"/>
      <w:bookmarkEnd w:id="3"/>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是</w:t>
      </w:r>
    </w:p>
    <w:p>
      <w:pPr>
        <w:pStyle w:val="BodyText"/>
        <w:spacing w:line="240" w:lineRule="auto" w:before="25"/>
        <w:ind w:right="0"/>
        <w:jc w:val="both"/>
      </w:pPr>
      <w:r>
        <w:rPr/>
        <w:t>光伏产业链相关业</w:t>
      </w:r>
    </w:p>
    <w:p>
      <w:pPr>
        <w:pStyle w:val="BodyText"/>
        <w:spacing w:line="319" w:lineRule="auto" w:before="117"/>
        <w:ind w:left="513" w:right="93" w:hanging="8"/>
        <w:jc w:val="left"/>
      </w:pPr>
      <w:r>
        <w:rPr>
          <w:rFonts w:ascii="宋体" w:hAnsi="宋体" w:cs="宋体" w:eastAsia="宋体" w:hint="default"/>
          <w:b/>
          <w:bCs/>
        </w:rPr>
        <w:t>（一）主要业务</w:t>
      </w:r>
      <w:r>
        <w:rPr>
          <w:rFonts w:ascii="宋体" w:hAnsi="宋体" w:cs="宋体" w:eastAsia="宋体" w:hint="default"/>
          <w:b/>
          <w:bCs/>
          <w:w w:val="99"/>
        </w:rPr>
        <w:t> </w:t>
      </w:r>
      <w:r>
        <w:rPr>
          <w:spacing w:val="-2"/>
        </w:rPr>
        <w:t>报告期内，公司主营业务为致力于绿色电网建设、电力电能及新能源开发、海外矿产运营、工业园区开发，虚拟现实和</w:t>
      </w:r>
    </w:p>
    <w:p>
      <w:pPr>
        <w:pStyle w:val="BodyText"/>
        <w:spacing w:line="240" w:lineRule="auto" w:before="17"/>
        <w:ind w:right="0"/>
        <w:jc w:val="both"/>
      </w:pPr>
      <w:r>
        <w:rPr/>
        <w:t>互联网技术研发应用、金融投资控股等业务的综合性跨国混合所有制集团。</w:t>
      </w:r>
    </w:p>
    <w:p>
      <w:pPr>
        <w:pStyle w:val="Heading4"/>
        <w:spacing w:line="240" w:lineRule="auto" w:before="76"/>
        <w:ind w:right="6754"/>
        <w:jc w:val="left"/>
        <w:rPr>
          <w:b w:val="0"/>
          <w:bCs w:val="0"/>
        </w:rPr>
      </w:pPr>
      <w:r>
        <w:rPr/>
        <w:t>（二）经营模式</w:t>
      </w:r>
      <w:r>
        <w:rPr>
          <w:b w:val="0"/>
          <w:bCs w:val="0"/>
        </w:rPr>
      </w:r>
    </w:p>
    <w:p>
      <w:pPr>
        <w:pStyle w:val="BodyText"/>
        <w:spacing w:line="300" w:lineRule="auto" w:before="76"/>
        <w:ind w:left="513" w:right="93"/>
        <w:jc w:val="left"/>
      </w:pPr>
      <w:r>
        <w:rPr>
          <w:rFonts w:ascii="Times New Roman" w:hAnsi="Times New Roman" w:cs="Times New Roman" w:eastAsia="Times New Roman" w:hint="default"/>
        </w:rPr>
        <w:t>1</w:t>
      </w:r>
      <w:r>
        <w:rPr/>
        <w:t>、海外工业园运营模式 </w:t>
      </w:r>
      <w:r>
        <w:rPr>
          <w:spacing w:val="-2"/>
        </w:rPr>
        <w:t>公司在海外建设工业园，以电力建设为核心，以并购海外当地矿产资源为切入点从事工业园区基础设施建设，打造五通</w:t>
      </w:r>
    </w:p>
    <w:p>
      <w:pPr>
        <w:pStyle w:val="BodyText"/>
        <w:spacing w:line="316" w:lineRule="auto" w:before="31"/>
        <w:ind w:left="513" w:right="93" w:hanging="361"/>
        <w:jc w:val="left"/>
      </w:pPr>
      <w:r>
        <w:rPr/>
        <w:t>一平的工业园平台。同时招商企业入园，为其提供工商、税务、物流、生活等后勤保障。 在工业园招商入园的建设期，公司可向入园企业以市场公允价格提供冶炼所需成套设备，一方面能拉动国内设备出口，</w:t>
      </w:r>
    </w:p>
    <w:p>
      <w:pPr>
        <w:pStyle w:val="BodyText"/>
        <w:spacing w:line="316" w:lineRule="auto" w:before="19"/>
        <w:ind w:right="191"/>
        <w:jc w:val="both"/>
      </w:pPr>
      <w:r>
        <w:rPr>
          <w:spacing w:val="-2"/>
        </w:rPr>
        <w:t>转移国内过剩的产能，另一方面能够提高公司主营业务收入；在工业园区的运营期，公司可向入园企业提供冶炼所需的矿产</w:t>
      </w:r>
      <w:r>
        <w:rPr>
          <w:spacing w:val="-66"/>
        </w:rPr>
        <w:t> </w:t>
      </w:r>
      <w:r>
        <w:rPr>
          <w:spacing w:val="-66"/>
        </w:rPr>
      </w:r>
      <w:r>
        <w:rPr>
          <w:spacing w:val="-2"/>
        </w:rPr>
        <w:t>原料，降低入园企业运输及采购的成本，同时向入园企业提供水、电、物业等服务。经过资源整合，形成工业园上下游互惠</w:t>
      </w:r>
      <w:r>
        <w:rPr>
          <w:spacing w:val="-68"/>
        </w:rPr>
        <w:t> </w:t>
      </w:r>
      <w:r>
        <w:rPr>
          <w:spacing w:val="-68"/>
        </w:rPr>
      </w:r>
      <w:r>
        <w:rPr>
          <w:spacing w:val="-2"/>
        </w:rPr>
        <w:t>共赢的工业生态。同时公司提供完善的仓储物流服务，整合入园企业资源，降低入园企业相关成本，享受长期进出口物流收</w:t>
      </w:r>
      <w:r>
        <w:rPr>
          <w:spacing w:val="-65"/>
        </w:rPr>
        <w:t> </w:t>
      </w:r>
      <w:r>
        <w:rPr>
          <w:spacing w:val="-65"/>
        </w:rPr>
      </w:r>
      <w:r>
        <w:rPr/>
        <w:t>益。</w:t>
      </w:r>
    </w:p>
    <w:p>
      <w:pPr>
        <w:pStyle w:val="BodyText"/>
        <w:spacing w:line="300" w:lineRule="auto" w:before="19"/>
        <w:ind w:left="513" w:right="93"/>
        <w:jc w:val="left"/>
      </w:pPr>
      <w:r>
        <w:rPr>
          <w:rFonts w:ascii="Times New Roman" w:hAnsi="Times New Roman" w:cs="Times New Roman" w:eastAsia="Times New Roman" w:hint="default"/>
        </w:rPr>
        <w:t>2</w:t>
      </w:r>
      <w:r>
        <w:rPr/>
        <w:t>、海外总承包项目运营模式 </w:t>
      </w:r>
      <w:r>
        <w:rPr>
          <w:spacing w:val="-1"/>
        </w:rPr>
        <w:t>在国家</w:t>
      </w:r>
      <w:r>
        <w:rPr>
          <w:rFonts w:ascii="Times New Roman" w:hAnsi="Times New Roman" w:cs="Times New Roman" w:eastAsia="Times New Roman" w:hint="default"/>
          <w:spacing w:val="-1"/>
        </w:rPr>
        <w:t>“</w:t>
      </w:r>
      <w:r>
        <w:rPr>
          <w:spacing w:val="-1"/>
        </w:rPr>
        <w:t>一带一路</w:t>
      </w:r>
      <w:r>
        <w:rPr>
          <w:rFonts w:ascii="Times New Roman" w:hAnsi="Times New Roman" w:cs="Times New Roman" w:eastAsia="Times New Roman" w:hint="default"/>
          <w:spacing w:val="-1"/>
        </w:rPr>
        <w:t>”</w:t>
      </w:r>
      <w:r>
        <w:rPr>
          <w:spacing w:val="-1"/>
        </w:rPr>
        <w:t>及</w:t>
      </w:r>
      <w:r>
        <w:rPr>
          <w:rFonts w:ascii="Times New Roman" w:hAnsi="Times New Roman" w:cs="Times New Roman" w:eastAsia="Times New Roman" w:hint="default"/>
          <w:spacing w:val="-1"/>
        </w:rPr>
        <w:t>“</w:t>
      </w:r>
      <w:r>
        <w:rPr>
          <w:spacing w:val="-1"/>
        </w:rPr>
        <w:t>走出去</w:t>
      </w:r>
      <w:r>
        <w:rPr>
          <w:rFonts w:ascii="Times New Roman" w:hAnsi="Times New Roman" w:cs="Times New Roman" w:eastAsia="Times New Roman" w:hint="default"/>
          <w:spacing w:val="-1"/>
        </w:rPr>
        <w:t>”</w:t>
      </w:r>
      <w:r>
        <w:rPr>
          <w:spacing w:val="-1"/>
        </w:rPr>
        <w:t>大战略的倡导下，公司利用在电力建设方面的核心优势，在</w:t>
      </w:r>
      <w:r>
        <w:rPr>
          <w:rFonts w:ascii="Times New Roman" w:hAnsi="Times New Roman" w:cs="Times New Roman" w:eastAsia="Times New Roman" w:hint="default"/>
          <w:spacing w:val="-1"/>
        </w:rPr>
        <w:t>“</w:t>
      </w:r>
      <w:r>
        <w:rPr>
          <w:spacing w:val="-1"/>
        </w:rPr>
        <w:t>一带一路</w:t>
      </w:r>
      <w:r>
        <w:rPr>
          <w:rFonts w:ascii="Times New Roman" w:hAnsi="Times New Roman" w:cs="Times New Roman" w:eastAsia="Times New Roman" w:hint="default"/>
          <w:spacing w:val="-1"/>
        </w:rPr>
        <w:t>”</w:t>
      </w:r>
      <w:r>
        <w:rPr>
          <w:spacing w:val="-1"/>
        </w:rPr>
        <w:t>沿线电力资源建设</w:t>
      </w:r>
    </w:p>
    <w:p>
      <w:pPr>
        <w:pStyle w:val="BodyText"/>
        <w:spacing w:line="316" w:lineRule="auto" w:before="13"/>
        <w:ind w:right="190"/>
        <w:jc w:val="both"/>
      </w:pPr>
      <w:r>
        <w:rPr>
          <w:spacing w:val="-2"/>
        </w:rPr>
        <w:t>匮乏的国家如：南非、津巴布韦、菲律宾等国家进行洽谈合作。首先取得海外当地政府的有力支持，其次根据当地资源储备</w:t>
      </w:r>
      <w:r>
        <w:rPr>
          <w:spacing w:val="-67"/>
        </w:rPr>
        <w:t> </w:t>
      </w:r>
      <w:r>
        <w:rPr>
          <w:spacing w:val="-67"/>
        </w:rPr>
      </w:r>
      <w:r>
        <w:rPr>
          <w:spacing w:val="-2"/>
        </w:rPr>
        <w:t>状况与海外有实力的公司进行电力建设项目总工程承包，坚持开拓绿色能源项目，把握价值链中的核心环节，充分拉动成套</w:t>
      </w:r>
      <w:r>
        <w:rPr>
          <w:spacing w:val="-63"/>
        </w:rPr>
        <w:t> </w:t>
      </w:r>
      <w:r>
        <w:rPr>
          <w:spacing w:val="-63"/>
        </w:rPr>
      </w:r>
      <w:r>
        <w:rPr/>
        <w:t>设备出口，提高公司主营业务收入。</w:t>
      </w:r>
    </w:p>
    <w:p>
      <w:pPr>
        <w:pStyle w:val="BodyText"/>
        <w:spacing w:line="316" w:lineRule="auto" w:before="19"/>
        <w:ind w:left="513" w:right="113" w:hanging="8"/>
        <w:jc w:val="left"/>
      </w:pPr>
      <w:r>
        <w:rPr>
          <w:rFonts w:ascii="宋体" w:hAnsi="宋体" w:cs="宋体" w:eastAsia="宋体" w:hint="default"/>
          <w:b/>
          <w:bCs/>
        </w:rPr>
        <w:t>（三）主要业绩驱动因素</w:t>
      </w:r>
      <w:r>
        <w:rPr>
          <w:rFonts w:ascii="宋体" w:hAnsi="宋体" w:cs="宋体" w:eastAsia="宋体" w:hint="default"/>
          <w:b/>
          <w:bCs/>
          <w:w w:val="99"/>
        </w:rPr>
        <w:t> </w:t>
      </w:r>
      <w:r>
        <w:rPr/>
        <w:t>报告期内，公司着力探索民企先行、国企跟进的混改融合发展模式，以国有民营的创新姿态践行国家</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倡议，</w:t>
      </w:r>
    </w:p>
    <w:p>
      <w:pPr>
        <w:pStyle w:val="BodyText"/>
        <w:spacing w:line="300" w:lineRule="auto"/>
        <w:ind w:right="193"/>
        <w:jc w:val="both"/>
      </w:pPr>
      <w:r>
        <w:rPr>
          <w:spacing w:val="-2"/>
        </w:rPr>
        <w:t>紧抓历史机遇，大胆</w:t>
      </w:r>
      <w:r>
        <w:rPr>
          <w:rFonts w:ascii="Times New Roman" w:hAnsi="Times New Roman" w:cs="Times New Roman" w:eastAsia="Times New Roman" w:hint="default"/>
          <w:spacing w:val="-2"/>
        </w:rPr>
        <w:t>“</w:t>
      </w:r>
      <w:r>
        <w:rPr>
          <w:spacing w:val="-2"/>
        </w:rPr>
        <w:t>走出去</w:t>
      </w:r>
      <w:r>
        <w:rPr>
          <w:rFonts w:ascii="Times New Roman" w:hAnsi="Times New Roman" w:cs="Times New Roman" w:eastAsia="Times New Roman" w:hint="default"/>
          <w:spacing w:val="-2"/>
        </w:rPr>
        <w:t>”</w:t>
      </w:r>
      <w:r>
        <w:rPr>
          <w:spacing w:val="-2"/>
        </w:rPr>
        <w:t>。公司积极响应国家号召，深化转型、大胆创新，秉承国有企业之社会责任、延续上市公司之</w:t>
      </w:r>
      <w:r>
        <w:rPr>
          <w:spacing w:val="-48"/>
        </w:rPr>
        <w:t> </w:t>
      </w:r>
      <w:r>
        <w:rPr>
          <w:spacing w:val="-48"/>
        </w:rPr>
      </w:r>
      <w:r>
        <w:rPr>
          <w:spacing w:val="-2"/>
        </w:rPr>
        <w:t>开拓精神，全面融入</w:t>
      </w:r>
      <w:r>
        <w:rPr>
          <w:rFonts w:ascii="Times New Roman" w:hAnsi="Times New Roman" w:cs="Times New Roman" w:eastAsia="Times New Roman" w:hint="default"/>
          <w:spacing w:val="-2"/>
        </w:rPr>
        <w:t>“</w:t>
      </w:r>
      <w:r>
        <w:rPr>
          <w:spacing w:val="-2"/>
        </w:rPr>
        <w:t>一带一路</w:t>
      </w:r>
      <w:r>
        <w:rPr>
          <w:rFonts w:ascii="Times New Roman" w:hAnsi="Times New Roman" w:cs="Times New Roman" w:eastAsia="Times New Roman" w:hint="default"/>
          <w:spacing w:val="-2"/>
        </w:rPr>
        <w:t>”</w:t>
      </w:r>
      <w:r>
        <w:rPr>
          <w:spacing w:val="-2"/>
        </w:rPr>
        <w:t>建设进程。这不仅仅是在技术层面，从产业创新到金融创新，从区域创新到体制创新，顺应</w:t>
      </w:r>
      <w:r>
        <w:rPr>
          <w:spacing w:val="-47"/>
        </w:rPr>
        <w:t> </w:t>
      </w:r>
      <w:r>
        <w:rPr>
          <w:spacing w:val="-47"/>
        </w:rPr>
      </w:r>
      <w:r>
        <w:rPr/>
        <w:t>变革，成功突破产业发展瓶颈，在深化转型升级的道路上披荆斩棘，奋发作为。</w:t>
      </w:r>
    </w:p>
    <w:p>
      <w:pPr>
        <w:pStyle w:val="BodyText"/>
        <w:spacing w:line="316" w:lineRule="auto" w:before="32"/>
        <w:ind w:left="513" w:right="93"/>
        <w:jc w:val="left"/>
      </w:pPr>
      <w:r>
        <w:rPr/>
        <w:t>第一，产业创新带来发展机遇。 </w:t>
      </w:r>
      <w:r>
        <w:rPr>
          <w:spacing w:val="-2"/>
        </w:rPr>
        <w:t>随着国家</w:t>
      </w:r>
      <w:r>
        <w:rPr>
          <w:rFonts w:ascii="Times New Roman" w:hAnsi="Times New Roman" w:cs="Times New Roman" w:eastAsia="Times New Roman" w:hint="default"/>
          <w:spacing w:val="-2"/>
        </w:rPr>
        <w:t>“</w:t>
      </w:r>
      <w:r>
        <w:rPr>
          <w:spacing w:val="-2"/>
        </w:rPr>
        <w:t>一带一路</w:t>
      </w:r>
      <w:r>
        <w:rPr>
          <w:rFonts w:ascii="Times New Roman" w:hAnsi="Times New Roman" w:cs="Times New Roman" w:eastAsia="Times New Roman" w:hint="default"/>
          <w:spacing w:val="-2"/>
        </w:rPr>
        <w:t>”</w:t>
      </w:r>
      <w:r>
        <w:rPr>
          <w:spacing w:val="-2"/>
        </w:rPr>
        <w:t>倡议的逐步推进，公司紧紧抓住产业转型升级和国际产业转移带来的红利，将国内优质的富裕产能</w:t>
      </w:r>
    </w:p>
    <w:p>
      <w:pPr>
        <w:pStyle w:val="BodyText"/>
        <w:spacing w:line="316" w:lineRule="auto"/>
        <w:ind w:right="190"/>
        <w:jc w:val="both"/>
      </w:pPr>
      <w:r>
        <w:rPr>
          <w:spacing w:val="-2"/>
        </w:rPr>
        <w:t>向国外转移，也使项目所在地区的工业产值得到显著提升。公司海外综合产业园的发展模式并不是资源掠夺，是基于对东道</w:t>
      </w:r>
      <w:r>
        <w:rPr>
          <w:spacing w:val="-63"/>
        </w:rPr>
        <w:t> </w:t>
      </w:r>
      <w:r>
        <w:rPr>
          <w:spacing w:val="-63"/>
        </w:rPr>
      </w:r>
      <w:r>
        <w:rPr>
          <w:spacing w:val="-2"/>
        </w:rPr>
        <w:t>国自然资源的充分利用，将其转化为更具竞争力与附加值的现代工业产品，在互利互惠中，解决发展中国家工业产能不足的</w:t>
      </w:r>
      <w:r>
        <w:rPr>
          <w:spacing w:val="-63"/>
        </w:rPr>
        <w:t> </w:t>
      </w:r>
      <w:r>
        <w:rPr>
          <w:spacing w:val="-63"/>
        </w:rPr>
      </w:r>
      <w:r>
        <w:rPr>
          <w:spacing w:val="-2"/>
        </w:rPr>
        <w:t>现状。同时，在国内已经去价格竞争优势的产品，也将因为在这些国家较低的要素成本而重获生机。此外，由产业转移带来</w:t>
      </w:r>
      <w:r>
        <w:rPr>
          <w:spacing w:val="-67"/>
        </w:rPr>
        <w:t> </w:t>
      </w:r>
      <w:r>
        <w:rPr>
          <w:spacing w:val="-67"/>
        </w:rPr>
      </w:r>
      <w:r>
        <w:rPr/>
        <w:t>的如技术改造、经营模式、品牌塑造等产业创新，都为公司带来了机遇。</w:t>
      </w:r>
    </w:p>
    <w:p>
      <w:pPr>
        <w:pStyle w:val="BodyText"/>
        <w:spacing w:line="240" w:lineRule="auto" w:before="19"/>
        <w:ind w:left="513" w:right="6754"/>
        <w:jc w:val="left"/>
      </w:pPr>
      <w:r>
        <w:rPr/>
        <w:t>第二，体制创新带来活力。</w:t>
      </w:r>
    </w:p>
    <w:p>
      <w:pPr>
        <w:pStyle w:val="BodyText"/>
        <w:spacing w:line="309" w:lineRule="auto" w:before="76"/>
        <w:ind w:right="94" w:firstLine="360"/>
        <w:jc w:val="left"/>
      </w:pPr>
      <w:r>
        <w:rPr>
          <w:rFonts w:ascii="Times New Roman" w:hAnsi="Times New Roman" w:cs="Times New Roman" w:eastAsia="Times New Roman" w:hint="default"/>
          <w:spacing w:val="-2"/>
        </w:rPr>
        <w:t>2017</w:t>
      </w:r>
      <w:r>
        <w:rPr>
          <w:spacing w:val="-2"/>
        </w:rPr>
        <w:t>年国有企业改革稳步推进，混合所有制已成为国有企业改革的重要抓手。城投金控与恒顺众昇在这一方面进行了大</w:t>
      </w:r>
      <w:r>
        <w:rPr/>
        <w:t> </w:t>
      </w:r>
      <w:r>
        <w:rPr>
          <w:spacing w:val="-2"/>
        </w:rPr>
        <w:t>胆尝试，将两种所有制形式有机的结合起来，证明了这种模式的发展粘性强，具可持续性和良好的区域示范效应。公司海外</w:t>
      </w:r>
      <w:r>
        <w:rPr>
          <w:spacing w:val="-65"/>
        </w:rPr>
        <w:t> </w:t>
      </w:r>
      <w:r>
        <w:rPr>
          <w:spacing w:val="-65"/>
        </w:rPr>
      </w:r>
      <w:r>
        <w:rPr/>
        <w:t>项目建设周期长、资金需求量大，国企规模雄厚、信誉良好、融资难度和成本都相对较低。随着公司海外项目的发展壮大， 急需结合国有企业在资金、资源、规范化运作等方面的优势。城投金控以国企身份对恒顺众昇的控股加持，国有</w:t>
      </w:r>
      <w:r>
        <w:rPr>
          <w:rFonts w:ascii="Times New Roman" w:hAnsi="Times New Roman" w:cs="Times New Roman" w:eastAsia="Times New Roman" w:hint="default"/>
        </w:rPr>
        <w:t>+</w:t>
      </w:r>
      <w:r>
        <w:rPr/>
        <w:t>民营的混 改发展模式有效解决了企业的资金困局。此外，城投金控还将支持恒顺众昇涉足科技金融等相关业务。</w:t>
      </w:r>
    </w:p>
    <w:p>
      <w:pPr>
        <w:pStyle w:val="Heading4"/>
        <w:spacing w:line="240" w:lineRule="auto"/>
        <w:ind w:right="93"/>
        <w:jc w:val="left"/>
        <w:rPr>
          <w:b w:val="0"/>
          <w:bCs w:val="0"/>
        </w:rPr>
      </w:pPr>
      <w:r>
        <w:rPr/>
        <w:t>（四）公司所属的行业发展阶段及公司所处的行业地位</w:t>
      </w:r>
      <w:r>
        <w:rPr>
          <w:b w:val="0"/>
          <w:bCs w:val="0"/>
        </w:rPr>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b/>
          <w:bCs/>
          <w:sz w:val="25"/>
          <w:szCs w:val="25"/>
        </w:rPr>
      </w:pPr>
    </w:p>
    <w:p>
      <w:pPr>
        <w:pStyle w:val="BodyText"/>
        <w:spacing w:line="300" w:lineRule="auto" w:before="44"/>
        <w:ind w:left="513" w:right="93"/>
        <w:jc w:val="left"/>
      </w:pPr>
      <w:r>
        <w:rPr>
          <w:rFonts w:ascii="Times New Roman" w:hAnsi="Times New Roman" w:cs="Times New Roman" w:eastAsia="Times New Roman" w:hint="default"/>
        </w:rPr>
        <w:t>1</w:t>
      </w:r>
      <w:r>
        <w:rPr/>
        <w:t>、青岛印尼综合产业园 </w:t>
      </w:r>
      <w:r>
        <w:rPr>
          <w:spacing w:val="-2"/>
        </w:rPr>
        <w:t>公司印尼综合产业园快速发展，已成为推进</w:t>
      </w:r>
      <w:r>
        <w:rPr>
          <w:rFonts w:ascii="Times New Roman" w:hAnsi="Times New Roman" w:cs="Times New Roman" w:eastAsia="Times New Roman" w:hint="default"/>
          <w:spacing w:val="-2"/>
        </w:rPr>
        <w:t>“</w:t>
      </w:r>
      <w:r>
        <w:rPr>
          <w:spacing w:val="-2"/>
        </w:rPr>
        <w:t>一带一路</w:t>
      </w:r>
      <w:r>
        <w:rPr>
          <w:rFonts w:ascii="Times New Roman" w:hAnsi="Times New Roman" w:cs="Times New Roman" w:eastAsia="Times New Roman" w:hint="default"/>
          <w:spacing w:val="-2"/>
        </w:rPr>
        <w:t>”</w:t>
      </w:r>
      <w:r>
        <w:rPr>
          <w:spacing w:val="-2"/>
        </w:rPr>
        <w:t>区域建设和国际产能合作的重要创新载体，不仅使国内优势产业</w:t>
      </w:r>
    </w:p>
    <w:p>
      <w:pPr>
        <w:pStyle w:val="BodyText"/>
        <w:spacing w:line="312" w:lineRule="auto" w:before="13"/>
        <w:ind w:right="190"/>
        <w:jc w:val="both"/>
      </w:pPr>
      <w:r>
        <w:rPr>
          <w:spacing w:val="-1"/>
        </w:rPr>
        <w:t>在海外形成集聚效应，而且</w:t>
      </w:r>
      <w:r>
        <w:rPr>
          <w:rFonts w:ascii="Times New Roman" w:hAnsi="Times New Roman" w:cs="Times New Roman" w:eastAsia="Times New Roman" w:hint="default"/>
          <w:spacing w:val="-1"/>
        </w:rPr>
        <w:t>“</w:t>
      </w:r>
      <w:r>
        <w:rPr>
          <w:spacing w:val="-1"/>
        </w:rPr>
        <w:t>抱团出海</w:t>
      </w:r>
      <w:r>
        <w:rPr>
          <w:rFonts w:ascii="Times New Roman" w:hAnsi="Times New Roman" w:cs="Times New Roman" w:eastAsia="Times New Roman" w:hint="default"/>
          <w:spacing w:val="-1"/>
        </w:rPr>
        <w:t>”</w:t>
      </w:r>
      <w:r>
        <w:rPr>
          <w:spacing w:val="-1"/>
        </w:rPr>
        <w:t>模式也大大降低了国内企业</w:t>
      </w:r>
      <w:r>
        <w:rPr>
          <w:rFonts w:ascii="Times New Roman" w:hAnsi="Times New Roman" w:cs="Times New Roman" w:eastAsia="Times New Roman" w:hint="default"/>
          <w:spacing w:val="-1"/>
        </w:rPr>
        <w:t>“</w:t>
      </w:r>
      <w:r>
        <w:rPr>
          <w:spacing w:val="-1"/>
        </w:rPr>
        <w:t>走出去</w:t>
      </w:r>
      <w:r>
        <w:rPr>
          <w:rFonts w:ascii="Times New Roman" w:hAnsi="Times New Roman" w:cs="Times New Roman" w:eastAsia="Times New Roman" w:hint="default"/>
          <w:spacing w:val="-1"/>
        </w:rPr>
        <w:t>”</w:t>
      </w:r>
      <w:r>
        <w:rPr>
          <w:spacing w:val="-1"/>
        </w:rPr>
        <w:t>的风险与成本。公司探索推进的全产业链输出的</w:t>
      </w:r>
      <w:r>
        <w:rPr>
          <w:spacing w:val="-78"/>
        </w:rPr>
        <w:t> </w:t>
      </w:r>
      <w:r>
        <w:rPr>
          <w:spacing w:val="-78"/>
        </w:rPr>
      </w:r>
      <w:r>
        <w:rPr>
          <w:spacing w:val="-2"/>
        </w:rPr>
        <w:t>投资合作模式，优化了产业链分工布局，推动了上下游企业和管理产业的协同发展，有效提升了区域产业配套能力和综合竞</w:t>
      </w:r>
      <w:r>
        <w:rPr>
          <w:spacing w:val="-63"/>
        </w:rPr>
        <w:t> </w:t>
      </w:r>
      <w:r>
        <w:rPr>
          <w:spacing w:val="-63"/>
        </w:rPr>
      </w:r>
      <w:r>
        <w:rPr>
          <w:spacing w:val="-2"/>
        </w:rPr>
        <w:t>争力，更好的使企业融入到全球产业链、价值链、物流链当中，对提升国际产业分工层次、构筑区域全方位开放新格局具有</w:t>
      </w:r>
      <w:r>
        <w:rPr>
          <w:spacing w:val="-67"/>
        </w:rPr>
        <w:t> </w:t>
      </w:r>
      <w:r>
        <w:rPr>
          <w:spacing w:val="-67"/>
        </w:rPr>
      </w:r>
      <w:r>
        <w:rPr/>
        <w:t>重要意义。</w:t>
      </w:r>
    </w:p>
    <w:p>
      <w:pPr>
        <w:pStyle w:val="BodyText"/>
        <w:spacing w:line="300" w:lineRule="auto" w:before="22"/>
        <w:ind w:right="192" w:firstLine="360"/>
        <w:jc w:val="both"/>
      </w:pPr>
      <w:r>
        <w:rPr>
          <w:spacing w:val="-2"/>
        </w:rPr>
        <w:t>随着我国</w:t>
      </w:r>
      <w:r>
        <w:rPr>
          <w:rFonts w:ascii="Times New Roman" w:hAnsi="Times New Roman" w:cs="Times New Roman" w:eastAsia="Times New Roman" w:hint="default"/>
          <w:spacing w:val="-2"/>
        </w:rPr>
        <w:t>“</w:t>
      </w:r>
      <w:r>
        <w:rPr>
          <w:spacing w:val="-2"/>
        </w:rPr>
        <w:t>一带一路</w:t>
      </w:r>
      <w:r>
        <w:rPr>
          <w:rFonts w:ascii="Times New Roman" w:hAnsi="Times New Roman" w:cs="Times New Roman" w:eastAsia="Times New Roman" w:hint="default"/>
          <w:spacing w:val="-2"/>
        </w:rPr>
        <w:t>”</w:t>
      </w:r>
      <w:r>
        <w:rPr>
          <w:spacing w:val="-2"/>
        </w:rPr>
        <w:t>战略的推进，公司新型的海外工业园模式越来越受到国内企业的重视，也陆续出现一些有一定规模</w:t>
      </w:r>
      <w:r>
        <w:rPr/>
        <w:t> 的工业园区建设，以</w:t>
      </w:r>
      <w:r>
        <w:rPr>
          <w:rFonts w:ascii="Times New Roman" w:hAnsi="Times New Roman" w:cs="Times New Roman" w:eastAsia="Times New Roman" w:hint="default"/>
        </w:rPr>
        <w:t>“</w:t>
      </w:r>
      <w:r>
        <w:rPr/>
        <w:t>投资</w:t>
      </w:r>
      <w:r>
        <w:rPr>
          <w:rFonts w:ascii="Times New Roman" w:hAnsi="Times New Roman" w:cs="Times New Roman" w:eastAsia="Times New Roman" w:hint="default"/>
        </w:rPr>
        <w:t>+</w:t>
      </w:r>
      <w:r>
        <w:rPr/>
        <w:t>提升当地资源附加值</w:t>
      </w:r>
      <w:r>
        <w:rPr>
          <w:rFonts w:ascii="Times New Roman" w:hAnsi="Times New Roman" w:cs="Times New Roman" w:eastAsia="Times New Roman" w:hint="default"/>
        </w:rPr>
        <w:t>”</w:t>
      </w:r>
      <w:r>
        <w:rPr/>
        <w:t>为目标的工业园模式从探索逐步走向稳步发展阶段。目前中国企业在东南 亚、中亚、非洲的海外工业园数量和规模正进一步扩大，模式也在不断创新，有力地推动</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战略落地。</w:t>
      </w:r>
    </w:p>
    <w:p>
      <w:pPr>
        <w:pStyle w:val="BodyText"/>
        <w:spacing w:line="316" w:lineRule="auto" w:before="13"/>
        <w:ind w:right="192" w:firstLine="360"/>
        <w:jc w:val="both"/>
      </w:pPr>
      <w:r>
        <w:rPr>
          <w:spacing w:val="-2"/>
        </w:rPr>
        <w:t>公司筹建的青岛印尼综合产业园受到国家商务部的高度重视，已被纳入中国国家级工业园考察范围，同时青岛印尼综合</w:t>
      </w:r>
      <w:r>
        <w:rPr/>
        <w:t> 产业园也是印尼政府特批的少数享有政府绿色通道的中资企业。</w:t>
      </w:r>
    </w:p>
    <w:p>
      <w:pPr>
        <w:pStyle w:val="BodyText"/>
        <w:spacing w:line="300" w:lineRule="auto" w:before="19"/>
        <w:ind w:left="513" w:right="176"/>
        <w:jc w:val="left"/>
      </w:pPr>
      <w:r>
        <w:rPr>
          <w:rFonts w:ascii="Times New Roman" w:hAnsi="Times New Roman" w:cs="Times New Roman" w:eastAsia="Times New Roman" w:hint="default"/>
        </w:rPr>
        <w:t>2</w:t>
      </w:r>
      <w:r>
        <w:rPr/>
        <w:t>、海外电力总承包项目 </w:t>
      </w:r>
      <w:r>
        <w:rPr>
          <w:spacing w:val="-1"/>
        </w:rPr>
        <w:t>公司在菲律宾承建菲律宾最大的风光一体化项目，也是中国企业在菲律宾最大的风电和光伏</w:t>
      </w:r>
      <w:r>
        <w:rPr>
          <w:rFonts w:ascii="Times New Roman" w:hAnsi="Times New Roman" w:cs="Times New Roman" w:eastAsia="Times New Roman" w:hint="default"/>
          <w:spacing w:val="-1"/>
        </w:rPr>
        <w:t>EPC</w:t>
      </w:r>
      <w:r>
        <w:rPr>
          <w:spacing w:val="-1"/>
        </w:rPr>
        <w:t>总承包工程。其中风电</w:t>
      </w:r>
    </w:p>
    <w:p>
      <w:pPr>
        <w:pStyle w:val="BodyText"/>
        <w:spacing w:line="300" w:lineRule="auto" w:before="13"/>
        <w:ind w:right="93"/>
        <w:jc w:val="left"/>
      </w:pPr>
      <w:r>
        <w:rPr>
          <w:spacing w:val="-1"/>
        </w:rPr>
        <w:t>场占地面积</w:t>
      </w:r>
      <w:r>
        <w:rPr>
          <w:rFonts w:ascii="Times New Roman" w:hAnsi="Times New Roman" w:cs="Times New Roman" w:eastAsia="Times New Roman" w:hint="default"/>
          <w:spacing w:val="-1"/>
        </w:rPr>
        <w:t>10.92km2</w:t>
      </w:r>
      <w:r>
        <w:rPr>
          <w:spacing w:val="-1"/>
        </w:rPr>
        <w:t>，包含</w:t>
      </w:r>
      <w:r>
        <w:rPr>
          <w:rFonts w:ascii="Times New Roman" w:hAnsi="Times New Roman" w:cs="Times New Roman" w:eastAsia="Times New Roman" w:hint="default"/>
          <w:spacing w:val="-1"/>
        </w:rPr>
        <w:t>2.5MW</w:t>
      </w:r>
      <w:r>
        <w:rPr>
          <w:spacing w:val="-1"/>
        </w:rPr>
        <w:t>风机</w:t>
      </w:r>
      <w:r>
        <w:rPr>
          <w:rFonts w:ascii="Times New Roman" w:hAnsi="Times New Roman" w:cs="Times New Roman" w:eastAsia="Times New Roman" w:hint="default"/>
          <w:spacing w:val="-1"/>
        </w:rPr>
        <w:t>53</w:t>
      </w:r>
      <w:r>
        <w:rPr>
          <w:spacing w:val="-1"/>
        </w:rPr>
        <w:t>台、</w:t>
      </w:r>
      <w:r>
        <w:rPr>
          <w:rFonts w:ascii="Times New Roman" w:hAnsi="Times New Roman" w:cs="Times New Roman" w:eastAsia="Times New Roman" w:hint="default"/>
          <w:spacing w:val="-1"/>
        </w:rPr>
        <w:t>33KV</w:t>
      </w:r>
      <w:r>
        <w:rPr>
          <w:spacing w:val="-1"/>
        </w:rPr>
        <w:t>架空集电线路</w:t>
      </w:r>
      <w:r>
        <w:rPr>
          <w:rFonts w:ascii="Times New Roman" w:hAnsi="Times New Roman" w:cs="Times New Roman" w:eastAsia="Times New Roman" w:hint="default"/>
          <w:spacing w:val="-1"/>
        </w:rPr>
        <w:t>50.9KM</w:t>
      </w:r>
      <w:r>
        <w:rPr>
          <w:spacing w:val="-1"/>
        </w:rPr>
        <w:t>、</w:t>
      </w:r>
      <w:r>
        <w:rPr>
          <w:rFonts w:ascii="Times New Roman" w:hAnsi="Times New Roman" w:cs="Times New Roman" w:eastAsia="Times New Roman" w:hint="default"/>
          <w:spacing w:val="-1"/>
        </w:rPr>
        <w:t>35KV</w:t>
      </w:r>
      <w:r>
        <w:rPr>
          <w:spacing w:val="-1"/>
        </w:rPr>
        <w:t>电缆集电线路</w:t>
      </w:r>
      <w:r>
        <w:rPr>
          <w:rFonts w:ascii="Times New Roman" w:hAnsi="Times New Roman" w:cs="Times New Roman" w:eastAsia="Times New Roman" w:hint="default"/>
          <w:spacing w:val="-1"/>
        </w:rPr>
        <w:t>6.8KM</w:t>
      </w:r>
      <w:r>
        <w:rPr>
          <w:spacing w:val="-1"/>
        </w:rPr>
        <w:t>、风机吊装平台</w:t>
      </w:r>
      <w:r>
        <w:rPr>
          <w:rFonts w:ascii="Times New Roman" w:hAnsi="Times New Roman" w:cs="Times New Roman" w:eastAsia="Times New Roman" w:hint="default"/>
          <w:spacing w:val="-1"/>
        </w:rPr>
        <w:t>53</w:t>
      </w:r>
      <w:r>
        <w:rPr>
          <w:spacing w:val="-1"/>
        </w:rPr>
        <w:t>个、</w:t>
      </w:r>
      <w:r>
        <w:rPr>
          <w:spacing w:val="-66"/>
        </w:rPr>
        <w:t> </w:t>
      </w:r>
      <w:r>
        <w:rPr/>
        <w:t>箱变及环网柜各</w:t>
      </w:r>
      <w:r>
        <w:rPr>
          <w:rFonts w:ascii="Times New Roman" w:hAnsi="Times New Roman" w:cs="Times New Roman" w:eastAsia="Times New Roman" w:hint="default"/>
        </w:rPr>
        <w:t>53</w:t>
      </w:r>
      <w:r>
        <w:rPr/>
        <w:t>台、场区道路</w:t>
      </w:r>
      <w:r>
        <w:rPr>
          <w:rFonts w:ascii="Times New Roman" w:hAnsi="Times New Roman" w:cs="Times New Roman" w:eastAsia="Times New Roman" w:hint="default"/>
        </w:rPr>
        <w:t>31KM</w:t>
      </w:r>
      <w:r>
        <w:rPr/>
        <w:t>、场区通信、其他附属工程、风电场</w:t>
      </w:r>
      <w:r>
        <w:rPr>
          <w:rFonts w:ascii="Times New Roman" w:hAnsi="Times New Roman" w:cs="Times New Roman" w:eastAsia="Times New Roman" w:hint="default"/>
        </w:rPr>
        <w:t>115KV</w:t>
      </w:r>
      <w:r>
        <w:rPr/>
        <w:t>升压站一个；光伏电场占地面积</w:t>
      </w:r>
      <w:r>
        <w:rPr>
          <w:rFonts w:ascii="Times New Roman" w:hAnsi="Times New Roman" w:cs="Times New Roman" w:eastAsia="Times New Roman" w:hint="default"/>
        </w:rPr>
        <w:t>2.07km2, </w:t>
      </w:r>
      <w:r>
        <w:rPr/>
        <w:t>包含光伏板组件</w:t>
      </w:r>
      <w:r>
        <w:rPr>
          <w:rFonts w:ascii="Times New Roman" w:hAnsi="Times New Roman" w:cs="Times New Roman" w:eastAsia="Times New Roman" w:hint="default"/>
        </w:rPr>
        <w:t>312660</w:t>
      </w:r>
      <w:r>
        <w:rPr/>
        <w:t>块、光伏专用电缆集电线路</w:t>
      </w:r>
      <w:r>
        <w:rPr>
          <w:rFonts w:ascii="Times New Roman" w:hAnsi="Times New Roman" w:cs="Times New Roman" w:eastAsia="Times New Roman" w:hint="default"/>
        </w:rPr>
        <w:t>1400KM</w:t>
      </w:r>
      <w:r>
        <w:rPr/>
        <w:t>、低压电缆集电线路</w:t>
      </w:r>
      <w:r>
        <w:rPr>
          <w:rFonts w:ascii="Times New Roman" w:hAnsi="Times New Roman" w:cs="Times New Roman" w:eastAsia="Times New Roman" w:hint="default"/>
        </w:rPr>
        <w:t>182.6KM</w:t>
      </w:r>
      <w:r>
        <w:rPr/>
        <w:t>、</w:t>
      </w:r>
      <w:r>
        <w:rPr>
          <w:rFonts w:ascii="Times New Roman" w:hAnsi="Times New Roman" w:cs="Times New Roman" w:eastAsia="Times New Roman" w:hint="default"/>
        </w:rPr>
        <w:t>35KV</w:t>
      </w:r>
      <w:r>
        <w:rPr/>
        <w:t>电缆集电线路</w:t>
      </w:r>
      <w:r>
        <w:rPr>
          <w:rFonts w:ascii="Times New Roman" w:hAnsi="Times New Roman" w:cs="Times New Roman" w:eastAsia="Times New Roman" w:hint="default"/>
        </w:rPr>
        <w:t>13.8KM</w:t>
      </w:r>
      <w:r>
        <w:rPr/>
        <w:t>、箱 变</w:t>
      </w:r>
      <w:r>
        <w:rPr>
          <w:rFonts w:ascii="Times New Roman" w:hAnsi="Times New Roman" w:cs="Times New Roman" w:eastAsia="Times New Roman" w:hint="default"/>
        </w:rPr>
        <w:t>61</w:t>
      </w:r>
      <w:r>
        <w:rPr/>
        <w:t>台、汇流箱</w:t>
      </w:r>
      <w:r>
        <w:rPr>
          <w:rFonts w:ascii="Times New Roman" w:hAnsi="Times New Roman" w:cs="Times New Roman" w:eastAsia="Times New Roman" w:hint="default"/>
        </w:rPr>
        <w:t>488</w:t>
      </w:r>
      <w:r>
        <w:rPr/>
        <w:t>台、逆变器</w:t>
      </w:r>
      <w:r>
        <w:rPr>
          <w:rFonts w:ascii="Times New Roman" w:hAnsi="Times New Roman" w:cs="Times New Roman" w:eastAsia="Times New Roman" w:hint="default"/>
        </w:rPr>
        <w:t>1930</w:t>
      </w:r>
      <w:r>
        <w:rPr/>
        <w:t>台、光伏支架基础灌柱桩</w:t>
      </w:r>
      <w:r>
        <w:rPr>
          <w:rFonts w:ascii="Times New Roman" w:hAnsi="Times New Roman" w:cs="Times New Roman" w:eastAsia="Times New Roman" w:hint="default"/>
        </w:rPr>
        <w:t>121590</w:t>
      </w:r>
      <w:r>
        <w:rPr/>
        <w:t>根、光伏板镀锌支架</w:t>
      </w:r>
      <w:r>
        <w:rPr>
          <w:rFonts w:ascii="Times New Roman" w:hAnsi="Times New Roman" w:cs="Times New Roman" w:eastAsia="Times New Roman" w:hint="default"/>
        </w:rPr>
        <w:t>6000</w:t>
      </w:r>
      <w:r>
        <w:rPr/>
        <w:t>吨、场区道路</w:t>
      </w:r>
      <w:r>
        <w:rPr>
          <w:rFonts w:ascii="Times New Roman" w:hAnsi="Times New Roman" w:cs="Times New Roman" w:eastAsia="Times New Roman" w:hint="default"/>
        </w:rPr>
        <w:t>10.2KM</w:t>
      </w:r>
      <w:r>
        <w:rPr/>
        <w:t>、场区通 信、其他附属工程、光伏场</w:t>
      </w:r>
      <w:r>
        <w:rPr>
          <w:rFonts w:ascii="Times New Roman" w:hAnsi="Times New Roman" w:cs="Times New Roman" w:eastAsia="Times New Roman" w:hint="default"/>
        </w:rPr>
        <w:t>115KV</w:t>
      </w:r>
      <w:r>
        <w:rPr/>
        <w:t>升压站一个。</w:t>
      </w:r>
    </w:p>
    <w:p>
      <w:pPr>
        <w:pStyle w:val="BodyText"/>
        <w:spacing w:line="307" w:lineRule="auto" w:before="13"/>
        <w:ind w:right="189" w:firstLine="360"/>
        <w:jc w:val="both"/>
      </w:pPr>
      <w:r>
        <w:rPr>
          <w:spacing w:val="-2"/>
        </w:rPr>
        <w:t>随着人口快速增长、产业链陆续完善和经济持续发展，菲律宾电力供应面临巨大压力与缺口。除首都马尼拉、宿务及其</w:t>
      </w:r>
      <w:r>
        <w:rPr/>
        <w:t> </w:t>
      </w:r>
      <w:r>
        <w:rPr>
          <w:spacing w:val="-2"/>
        </w:rPr>
        <w:t>他几大城市外，多数地区实行严格的限电供应措施。根据</w:t>
      </w:r>
      <w:r>
        <w:rPr>
          <w:rFonts w:ascii="Times New Roman" w:hAnsi="Times New Roman" w:cs="Times New Roman" w:eastAsia="Times New Roman" w:hint="default"/>
          <w:spacing w:val="-2"/>
        </w:rPr>
        <w:t>2016</w:t>
      </w:r>
      <w:r>
        <w:rPr>
          <w:spacing w:val="-2"/>
        </w:rPr>
        <w:t>年菲律宾国家电力部相关数据统计及未来规划，菲律宾电力装</w:t>
      </w:r>
      <w:r>
        <w:rPr>
          <w:spacing w:val="-60"/>
        </w:rPr>
        <w:t> </w:t>
      </w:r>
      <w:r>
        <w:rPr>
          <w:spacing w:val="-60"/>
        </w:rPr>
      </w:r>
      <w:r>
        <w:rPr/>
        <w:t>机缺口达到</w:t>
      </w:r>
      <w:r>
        <w:rPr>
          <w:rFonts w:ascii="Times New Roman" w:hAnsi="Times New Roman" w:cs="Times New Roman" w:eastAsia="Times New Roman" w:hint="default"/>
        </w:rPr>
        <w:t>8000MW</w:t>
      </w:r>
      <w:r>
        <w:rPr/>
        <w:t>以上，菲律宾电力最大需求量（峰荷载量）将从</w:t>
      </w:r>
      <w:r>
        <w:rPr>
          <w:rFonts w:ascii="Times New Roman" w:hAnsi="Times New Roman" w:cs="Times New Roman" w:eastAsia="Times New Roman" w:hint="default"/>
        </w:rPr>
        <w:t>2008</w:t>
      </w:r>
      <w:r>
        <w:rPr/>
        <w:t>年的</w:t>
      </w:r>
      <w:r>
        <w:rPr>
          <w:rFonts w:ascii="Times New Roman" w:hAnsi="Times New Roman" w:cs="Times New Roman" w:eastAsia="Times New Roman" w:hint="default"/>
        </w:rPr>
        <w:t>9226MW</w:t>
      </w:r>
      <w:r>
        <w:rPr/>
        <w:t>增长至</w:t>
      </w:r>
      <w:r>
        <w:rPr>
          <w:rFonts w:ascii="Times New Roman" w:hAnsi="Times New Roman" w:cs="Times New Roman" w:eastAsia="Times New Roman" w:hint="default"/>
        </w:rPr>
        <w:t>2018</w:t>
      </w:r>
      <w:r>
        <w:rPr/>
        <w:t>年的</w:t>
      </w:r>
      <w:r>
        <w:rPr>
          <w:rFonts w:ascii="Times New Roman" w:hAnsi="Times New Roman" w:cs="Times New Roman" w:eastAsia="Times New Roman" w:hint="default"/>
        </w:rPr>
        <w:t>14,311MW</w:t>
      </w:r>
      <w:r>
        <w:rPr/>
        <w:t>。因此， 公司在菲律宾</w:t>
      </w:r>
      <w:r>
        <w:rPr>
          <w:rFonts w:ascii="Times New Roman" w:hAnsi="Times New Roman" w:cs="Times New Roman" w:eastAsia="Times New Roman" w:hint="default"/>
        </w:rPr>
        <w:t>EPC</w:t>
      </w:r>
      <w:r>
        <w:rPr/>
        <w:t>项目的建设，对公司未来在菲律宾承接同类业务带来示范效应。</w:t>
      </w:r>
    </w:p>
    <w:p>
      <w:pPr>
        <w:pStyle w:val="BodyText"/>
        <w:spacing w:line="240" w:lineRule="auto" w:before="7"/>
        <w:ind w:left="513" w:right="93"/>
        <w:jc w:val="left"/>
      </w:pPr>
      <w:r>
        <w:rPr>
          <w:rFonts w:ascii="Times New Roman" w:hAnsi="Times New Roman" w:cs="Times New Roman" w:eastAsia="Times New Roman" w:hint="default"/>
        </w:rPr>
        <w:t>3</w:t>
      </w:r>
      <w:r>
        <w:rPr/>
        <w:t>、新疆生产建设兵团第一师棉秆沼气化资源综合利用项目</w:t>
      </w:r>
    </w:p>
    <w:p>
      <w:pPr>
        <w:pStyle w:val="BodyText"/>
        <w:spacing w:line="309" w:lineRule="auto" w:before="63"/>
        <w:ind w:right="190" w:firstLine="360"/>
        <w:jc w:val="both"/>
      </w:pPr>
      <w:r>
        <w:rPr>
          <w:spacing w:val="-2"/>
        </w:rPr>
        <w:t>《生物质能发展</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规划》中明确指出生物质能是重要的可再生能源，具有绿色、低碳、清洁、可再生等特点。加</w:t>
      </w:r>
      <w:r>
        <w:rPr/>
        <w:t> </w:t>
      </w:r>
      <w:r>
        <w:rPr>
          <w:spacing w:val="-2"/>
        </w:rPr>
        <w:t>快生物质能开发利用，是推进能源生产和消费革命的重要内容，是改善环境质量、发展循环经济的重要任务。同时国家推出</w:t>
      </w:r>
      <w:r>
        <w:rPr>
          <w:spacing w:val="-64"/>
        </w:rPr>
        <w:t> </w:t>
      </w:r>
      <w:r>
        <w:rPr>
          <w:spacing w:val="-64"/>
        </w:rPr>
      </w:r>
      <w:r>
        <w:rPr/>
        <w:t>了一系列的有关生物质资源综合利用项目的税收优惠政策及资金补助政策。</w:t>
      </w:r>
    </w:p>
    <w:p>
      <w:pPr>
        <w:pStyle w:val="BodyText"/>
        <w:spacing w:line="302" w:lineRule="auto" w:before="24"/>
        <w:ind w:right="93" w:firstLine="360"/>
        <w:jc w:val="left"/>
      </w:pPr>
      <w:r>
        <w:rPr/>
        <w:t>本项目建设在新疆生产建设兵团第一师国家级工业园内，所需的生物质原料为当地的棉花秸秆。第一师现拥有</w:t>
      </w:r>
      <w:r>
        <w:rPr>
          <w:rFonts w:ascii="Times New Roman" w:hAnsi="Times New Roman" w:cs="Times New Roman" w:eastAsia="Times New Roman" w:hint="default"/>
        </w:rPr>
        <w:t>200</w:t>
      </w:r>
      <w:r>
        <w:rPr/>
        <w:t>万亩 </w:t>
      </w:r>
      <w:r>
        <w:rPr>
          <w:spacing w:val="-2"/>
        </w:rPr>
        <w:t>棉花地，每年可产生废弃物秸秆</w:t>
      </w:r>
      <w:r>
        <w:rPr>
          <w:rFonts w:ascii="Times New Roman" w:hAnsi="Times New Roman" w:cs="Times New Roman" w:eastAsia="Times New Roman" w:hint="default"/>
          <w:spacing w:val="-2"/>
        </w:rPr>
        <w:t>80</w:t>
      </w:r>
      <w:r>
        <w:rPr>
          <w:spacing w:val="-2"/>
        </w:rPr>
        <w:t>万吨，目前未得到充分的利用，大多数以焚烧及埋地方式处理，对当地的环境造成了很大</w:t>
      </w:r>
      <w:r>
        <w:rPr>
          <w:spacing w:val="-63"/>
        </w:rPr>
        <w:t> </w:t>
      </w:r>
      <w:r>
        <w:rPr>
          <w:spacing w:val="-63"/>
        </w:rPr>
      </w:r>
      <w:r>
        <w:rPr/>
        <w:t>的污染。本项目投产后的产品为电力和有机肥。沼气发电后电力直接并入国家电网，并享受国家生物质发电补贴电价（</w:t>
      </w:r>
      <w:r>
        <w:rPr>
          <w:rFonts w:ascii="Times New Roman" w:hAnsi="Times New Roman" w:cs="Times New Roman" w:eastAsia="Times New Roman" w:hint="default"/>
        </w:rPr>
        <w:t>0.75 </w:t>
      </w:r>
      <w:r>
        <w:rPr>
          <w:spacing w:val="-2"/>
        </w:rPr>
        <w:t>元</w:t>
      </w:r>
      <w:r>
        <w:rPr>
          <w:rFonts w:ascii="Times New Roman" w:hAnsi="Times New Roman" w:cs="Times New Roman" w:eastAsia="Times New Roman" w:hint="default"/>
          <w:spacing w:val="-2"/>
        </w:rPr>
        <w:t>/kwh</w:t>
      </w:r>
      <w:r>
        <w:rPr>
          <w:spacing w:val="-2"/>
        </w:rPr>
        <w:t>）政策，目前已和当地电网公司签订了入网及供电协议，协议约定供电小时数按照</w:t>
      </w:r>
      <w:r>
        <w:rPr>
          <w:rFonts w:ascii="Times New Roman" w:hAnsi="Times New Roman" w:cs="Times New Roman" w:eastAsia="Times New Roman" w:hint="default"/>
          <w:spacing w:val="-2"/>
        </w:rPr>
        <w:t>8000</w:t>
      </w:r>
      <w:r>
        <w:rPr>
          <w:spacing w:val="-2"/>
        </w:rPr>
        <w:t>小时满发上网。棉秸秆发酵后</w:t>
      </w:r>
      <w:r>
        <w:rPr>
          <w:spacing w:val="-59"/>
        </w:rPr>
        <w:t> </w:t>
      </w:r>
      <w:r>
        <w:rPr>
          <w:spacing w:val="-59"/>
        </w:rPr>
      </w:r>
      <w:r>
        <w:rPr>
          <w:spacing w:val="-2"/>
        </w:rPr>
        <w:t>产生的沼渣可制成国家标准有机肥。按照一师现有的棉花地、果林、稻田等计算，每年需求有机肥</w:t>
      </w:r>
      <w:r>
        <w:rPr>
          <w:rFonts w:ascii="Times New Roman" w:hAnsi="Times New Roman" w:cs="Times New Roman" w:eastAsia="Times New Roman" w:hint="default"/>
          <w:spacing w:val="-2"/>
        </w:rPr>
        <w:t>60</w:t>
      </w:r>
      <w:r>
        <w:rPr>
          <w:spacing w:val="-2"/>
        </w:rPr>
        <w:t>万吨，有机肥市场潜力</w:t>
      </w:r>
      <w:r>
        <w:rPr>
          <w:spacing w:val="-63"/>
        </w:rPr>
        <w:t> </w:t>
      </w:r>
      <w:r>
        <w:rPr>
          <w:spacing w:val="-63"/>
        </w:rPr>
      </w:r>
      <w:r>
        <w:rPr>
          <w:spacing w:val="-4"/>
        </w:rPr>
        <w:t>巨大。目前已和当地供销公司签订了有机肥供应合同。项目建成后还可解决秸秆的污染问题，且处理方式没有任何环境污染，</w:t>
      </w:r>
      <w:r>
        <w:rPr>
          <w:spacing w:val="-42"/>
        </w:rPr>
        <w:t> </w:t>
      </w:r>
      <w:r>
        <w:rPr>
          <w:spacing w:val="-42"/>
        </w:rPr>
      </w:r>
      <w:r>
        <w:rPr/>
        <w:t>变废为宝，响应国家资源综合利用的产业政策。</w:t>
      </w:r>
    </w:p>
    <w:p>
      <w:pPr>
        <w:spacing w:line="240" w:lineRule="auto" w:before="9"/>
        <w:rPr>
          <w:rFonts w:ascii="宋体" w:hAnsi="宋体" w:cs="宋体" w:eastAsia="宋体" w:hint="default"/>
          <w:sz w:val="21"/>
          <w:szCs w:val="21"/>
        </w:rPr>
      </w:pPr>
    </w:p>
    <w:p>
      <w:pPr>
        <w:pStyle w:val="Heading2"/>
        <w:spacing w:line="240" w:lineRule="auto"/>
        <w:ind w:right="6754"/>
        <w:jc w:val="left"/>
        <w:rPr>
          <w:b w:val="0"/>
          <w:bCs w:val="0"/>
        </w:rPr>
      </w:pP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6754"/>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76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716"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报告期末较上年同期增加</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67.45%</w:t>
            </w:r>
            <w:r>
              <w:rPr>
                <w:rFonts w:ascii="宋体" w:hAnsi="宋体" w:cs="宋体" w:eastAsia="宋体" w:hint="default"/>
                <w:spacing w:val="-3"/>
                <w:sz w:val="18"/>
                <w:szCs w:val="18"/>
              </w:rPr>
              <w:t>，主要是本报告期管理层加强应收账款管理，使得</w:t>
            </w:r>
            <w:r>
              <w:rPr>
                <w:rFonts w:ascii="宋体" w:hAnsi="宋体" w:cs="宋体" w:eastAsia="宋体" w:hint="default"/>
                <w:sz w:val="18"/>
                <w:szCs w:val="18"/>
              </w:rPr>
              <w:t> 回款较多所致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 w:right="0"/>
              <w:jc w:val="center"/>
              <w:rPr>
                <w:rFonts w:ascii="宋体" w:hAnsi="宋体" w:cs="宋体" w:eastAsia="宋体" w:hint="default"/>
                <w:sz w:val="18"/>
                <w:szCs w:val="18"/>
              </w:rPr>
            </w:pPr>
            <w:r>
              <w:rPr>
                <w:rFonts w:ascii="宋体" w:hAnsi="宋体" w:cs="宋体" w:eastAsia="宋体" w:hint="default"/>
                <w:sz w:val="18"/>
                <w:szCs w:val="18"/>
              </w:rPr>
              <w:t>报告期末较上年同期减少</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47.13%</w:t>
            </w:r>
            <w:r>
              <w:rPr>
                <w:rFonts w:ascii="宋体" w:hAnsi="宋体" w:cs="宋体" w:eastAsia="宋体" w:hint="default"/>
                <w:spacing w:val="-3"/>
                <w:sz w:val="18"/>
                <w:szCs w:val="18"/>
              </w:rPr>
              <w:t>，主要是本报告期管理层加强应收账款管理，使得</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4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363" w:hRule="exact"/>
        </w:trPr>
        <w:tc>
          <w:tcPr>
            <w:tcW w:w="3051" w:type="dxa"/>
            <w:tcBorders>
              <w:top w:val="single" w:sz="4" w:space="0" w:color="000000"/>
              <w:left w:val="single" w:sz="4" w:space="0" w:color="000000"/>
              <w:bottom w:val="single" w:sz="4" w:space="0" w:color="000000"/>
              <w:right w:val="single" w:sz="4" w:space="0" w:color="000000"/>
            </w:tcBorders>
          </w:tcPr>
          <w:p>
            <w:pP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回款较多所致</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2"/>
              <w:jc w:val="left"/>
              <w:rPr>
                <w:rFonts w:ascii="宋体" w:hAnsi="宋体" w:cs="宋体" w:eastAsia="宋体" w:hint="default"/>
                <w:sz w:val="18"/>
                <w:szCs w:val="18"/>
              </w:rPr>
            </w:pPr>
            <w:r>
              <w:rPr>
                <w:rFonts w:ascii="宋体" w:hAnsi="宋体" w:cs="宋体" w:eastAsia="宋体" w:hint="default"/>
                <w:sz w:val="18"/>
                <w:szCs w:val="18"/>
              </w:rPr>
              <w:t>报告期末较上年同期增加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825.84%</w:t>
            </w:r>
            <w:r>
              <w:rPr>
                <w:rFonts w:ascii="宋体" w:hAnsi="宋体" w:cs="宋体" w:eastAsia="宋体" w:hint="default"/>
                <w:sz w:val="18"/>
                <w:szCs w:val="18"/>
              </w:rPr>
              <w:t>，主要是本报告期代扣代缴股权激励个税尚未收 回所致</w:t>
            </w: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2"/>
              <w:jc w:val="left"/>
              <w:rPr>
                <w:rFonts w:ascii="宋体" w:hAnsi="宋体" w:cs="宋体" w:eastAsia="宋体" w:hint="default"/>
                <w:sz w:val="18"/>
                <w:szCs w:val="18"/>
              </w:rPr>
            </w:pPr>
            <w:r>
              <w:rPr>
                <w:rFonts w:ascii="宋体" w:hAnsi="宋体" w:cs="宋体" w:eastAsia="宋体" w:hint="default"/>
                <w:sz w:val="18"/>
                <w:szCs w:val="18"/>
              </w:rPr>
              <w:t>报告期末较上年同期增加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540.73%</w:t>
            </w:r>
            <w:r>
              <w:rPr>
                <w:rFonts w:ascii="宋体" w:hAnsi="宋体" w:cs="宋体" w:eastAsia="宋体" w:hint="default"/>
                <w:sz w:val="18"/>
                <w:szCs w:val="18"/>
              </w:rPr>
              <w:t>，主要是本报告期部分建造合同形成的已完工资 产未结算所致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报告期末较上年同期增加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80.55%</w:t>
            </w:r>
            <w:r>
              <w:rPr>
                <w:rFonts w:ascii="宋体" w:hAnsi="宋体" w:cs="宋体" w:eastAsia="宋体" w:hint="default"/>
                <w:sz w:val="18"/>
                <w:szCs w:val="18"/>
              </w:rPr>
              <w:t>，主要是应交税金重分类所致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报告期末较上年同期减少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53.62%</w:t>
            </w:r>
            <w:r>
              <w:rPr>
                <w:rFonts w:ascii="宋体" w:hAnsi="宋体" w:cs="宋体" w:eastAsia="宋体" w:hint="default"/>
                <w:sz w:val="18"/>
                <w:szCs w:val="18"/>
              </w:rPr>
              <w:t>，主要是工业园项目临建设施正常摊销所致</w:t>
            </w:r>
          </w:p>
        </w:tc>
      </w:tr>
    </w:tbl>
    <w:p>
      <w:pPr>
        <w:spacing w:line="240" w:lineRule="auto" w:before="3"/>
        <w:rPr>
          <w:rFonts w:ascii="宋体" w:hAnsi="宋体" w:cs="宋体" w:eastAsia="宋体" w:hint="default"/>
          <w:b/>
          <w:bCs/>
          <w:sz w:val="19"/>
          <w:szCs w:val="19"/>
        </w:rPr>
      </w:pPr>
    </w:p>
    <w:p>
      <w:pPr>
        <w:pStyle w:val="Heading3"/>
        <w:spacing w:line="240" w:lineRule="auto" w:before="36"/>
        <w:ind w:right="6734"/>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67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6734"/>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6734"/>
        <w:jc w:val="left"/>
      </w:pPr>
      <w:r>
        <w:rPr/>
        <w:t>公司是否需要遵守特殊行业的披露要求 是</w:t>
      </w:r>
    </w:p>
    <w:p>
      <w:pPr>
        <w:pStyle w:val="BodyText"/>
        <w:spacing w:line="300" w:lineRule="auto" w:before="25"/>
        <w:ind w:left="513" w:right="0"/>
        <w:jc w:val="left"/>
      </w:pPr>
      <w:r>
        <w:rPr>
          <w:rFonts w:ascii="Times New Roman" w:hAnsi="Times New Roman" w:cs="Times New Roman" w:eastAsia="Times New Roman" w:hint="default"/>
        </w:rPr>
        <w:t>1</w:t>
      </w:r>
      <w:r>
        <w:rPr/>
        <w:t>、技术优势 </w:t>
      </w:r>
      <w:r>
        <w:rPr>
          <w:spacing w:val="-2"/>
        </w:rPr>
        <w:t>公司为高新技术企业，自设立以来坚持技术创新的路线，奠定了公司的技术基础。公司引进了矿产冶炼、电厂建设工程</w:t>
      </w:r>
    </w:p>
    <w:p>
      <w:pPr>
        <w:pStyle w:val="BodyText"/>
        <w:spacing w:line="309" w:lineRule="auto" w:before="31"/>
        <w:ind w:right="111"/>
        <w:jc w:val="both"/>
      </w:pPr>
      <w:r>
        <w:rPr>
          <w:spacing w:val="-2"/>
        </w:rPr>
        <w:t>专业人才团队，加强产品的技术研发及改进，不断进行优化设计升级，在镍铁冶炼成套设备研发方面，取得了《一种镍铁冶</w:t>
      </w:r>
      <w:r>
        <w:rPr>
          <w:spacing w:val="-66"/>
        </w:rPr>
        <w:t> </w:t>
      </w:r>
      <w:r>
        <w:rPr>
          <w:spacing w:val="-66"/>
        </w:rPr>
      </w:r>
      <w:r>
        <w:rPr>
          <w:spacing w:val="-2"/>
        </w:rPr>
        <w:t>炼工艺尾气发电系统》、《一种镍铁冶炼工艺余气发电装置》、《一种镍铁冶炼设备尾气发电装置》、《一种带有废热回收</w:t>
      </w:r>
      <w:r>
        <w:rPr>
          <w:spacing w:val="-67"/>
        </w:rPr>
        <w:t> </w:t>
      </w:r>
      <w:r>
        <w:rPr>
          <w:spacing w:val="-67"/>
        </w:rPr>
      </w:r>
      <w:r>
        <w:rPr>
          <w:spacing w:val="-2"/>
        </w:rPr>
        <w:t>利用系统的冶炼设备》、《一种带有废气处理装置的冶炼设备》、《一种镍冶炼设备》、《一种新型冶炼燃烧炉》、《一种</w:t>
      </w:r>
      <w:r>
        <w:rPr>
          <w:spacing w:val="-68"/>
        </w:rPr>
        <w:t> </w:t>
      </w:r>
      <w:r>
        <w:rPr>
          <w:spacing w:val="-68"/>
        </w:rPr>
      </w:r>
      <w:r>
        <w:rPr/>
        <w:t>小型熔炼炉炉外脱气用冶炼设备》、《铁芯电抗器》、《电子式互感器》十项实用新型专利。公司先后荣获</w:t>
      </w:r>
      <w:r>
        <w:rPr>
          <w:rFonts w:ascii="Times New Roman" w:hAnsi="Times New Roman" w:cs="Times New Roman" w:eastAsia="Times New Roman" w:hint="default"/>
        </w:rPr>
        <w:t>“</w:t>
      </w:r>
      <w:r>
        <w:rPr/>
        <w:t>市长质量奖</w:t>
      </w:r>
      <w:r>
        <w:rPr>
          <w:rFonts w:ascii="Times New Roman" w:hAnsi="Times New Roman" w:cs="Times New Roman" w:eastAsia="Times New Roman" w:hint="default"/>
        </w:rPr>
        <w:t>”</w:t>
      </w:r>
      <w:r>
        <w:rPr/>
        <w:t>、 </w:t>
      </w:r>
      <w:r>
        <w:rPr>
          <w:rFonts w:ascii="Times New Roman" w:hAnsi="Times New Roman" w:cs="Times New Roman" w:eastAsia="Times New Roman" w:hint="default"/>
          <w:spacing w:val="-2"/>
        </w:rPr>
        <w:t>“</w:t>
      </w:r>
      <w:r>
        <w:rPr>
          <w:spacing w:val="-2"/>
        </w:rPr>
        <w:t>先进民营企业称号</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山东省著名商标</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工业技术创新奖</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青岛市守合同重信用企业</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省级管理文明先进单位</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高</w:t>
      </w:r>
      <w:r>
        <w:rPr>
          <w:spacing w:val="-33"/>
        </w:rPr>
        <w:t> </w:t>
      </w:r>
      <w:r>
        <w:rPr/>
        <w:t>新技术企业</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市级工程技术研究中心</w:t>
      </w:r>
      <w:r>
        <w:rPr>
          <w:rFonts w:ascii="Times New Roman" w:hAnsi="Times New Roman" w:cs="Times New Roman" w:eastAsia="Times New Roman" w:hint="default"/>
        </w:rPr>
        <w:t>”</w:t>
      </w:r>
      <w:r>
        <w:rPr/>
        <w:t>等称号，</w:t>
      </w:r>
      <w:r>
        <w:rPr>
          <w:rFonts w:ascii="Times New Roman" w:hAnsi="Times New Roman" w:cs="Times New Roman" w:eastAsia="Times New Roman" w:hint="default"/>
        </w:rPr>
        <w:t>2017</w:t>
      </w:r>
      <w:r>
        <w:rPr/>
        <w:t>年公司成为青岛中非商会会员单位。公司聘请的专家工作组获得</w:t>
      </w:r>
      <w:r>
        <w:rPr>
          <w:rFonts w:ascii="Times New Roman" w:hAnsi="Times New Roman" w:cs="Times New Roman" w:eastAsia="Times New Roman" w:hint="default"/>
        </w:rPr>
        <w:t>“</w:t>
      </w:r>
      <w:r>
        <w:rPr/>
        <w:t>专家 工作站专项奖</w:t>
      </w:r>
      <w:r>
        <w:rPr>
          <w:rFonts w:ascii="Times New Roman" w:hAnsi="Times New Roman" w:cs="Times New Roman" w:eastAsia="Times New Roman" w:hint="default"/>
        </w:rPr>
        <w:t>”</w:t>
      </w:r>
      <w:r>
        <w:rPr/>
        <w:t>，并建立了青岛市唯一一家</w:t>
      </w:r>
      <w:r>
        <w:rPr>
          <w:rFonts w:ascii="Times New Roman" w:hAnsi="Times New Roman" w:cs="Times New Roman" w:eastAsia="Times New Roman" w:hint="default"/>
        </w:rPr>
        <w:t>“</w:t>
      </w:r>
      <w:r>
        <w:rPr/>
        <w:t>青岛市红土镍矿研究开发专家工作站</w:t>
      </w:r>
      <w:r>
        <w:rPr>
          <w:rFonts w:ascii="Times New Roman" w:hAnsi="Times New Roman" w:cs="Times New Roman" w:eastAsia="Times New Roman" w:hint="default"/>
        </w:rPr>
        <w:t>”</w:t>
      </w:r>
      <w:r>
        <w:rPr/>
        <w:t>。</w:t>
      </w:r>
    </w:p>
    <w:p>
      <w:pPr>
        <w:pStyle w:val="BodyText"/>
        <w:spacing w:line="300" w:lineRule="auto" w:before="5"/>
        <w:ind w:left="513" w:right="193"/>
        <w:jc w:val="left"/>
        <w:rPr>
          <w:rFonts w:ascii="Times New Roman" w:hAnsi="Times New Roman" w:cs="Times New Roman" w:eastAsia="Times New Roman" w:hint="default"/>
        </w:rPr>
      </w:pPr>
      <w:r>
        <w:rPr>
          <w:rFonts w:ascii="Times New Roman" w:hAnsi="Times New Roman" w:cs="Times New Roman" w:eastAsia="Times New Roman" w:hint="default"/>
        </w:rPr>
        <w:t>2</w:t>
      </w:r>
      <w:r>
        <w:rPr/>
        <w:t>、矿产储备优势 公司目前在印尼加里曼丹省持有的中加煤矿约</w:t>
      </w:r>
      <w:r>
        <w:rPr>
          <w:rFonts w:ascii="Times New Roman" w:hAnsi="Times New Roman" w:cs="Times New Roman" w:eastAsia="Times New Roman" w:hint="default"/>
        </w:rPr>
        <w:t>2212</w:t>
      </w:r>
      <w:r>
        <w:rPr/>
        <w:t>公顷，在印尼苏拉威西省持有</w:t>
      </w:r>
      <w:r>
        <w:rPr>
          <w:rFonts w:ascii="Times New Roman" w:hAnsi="Times New Roman" w:cs="Times New Roman" w:eastAsia="Times New Roman" w:hint="default"/>
        </w:rPr>
        <w:t>Madani</w:t>
      </w:r>
      <w:r>
        <w:rPr/>
        <w:t>镍矿约</w:t>
      </w:r>
      <w:r>
        <w:rPr>
          <w:rFonts w:ascii="Times New Roman" w:hAnsi="Times New Roman" w:cs="Times New Roman" w:eastAsia="Times New Roman" w:hint="default"/>
        </w:rPr>
        <w:t>2014</w:t>
      </w:r>
      <w:r>
        <w:rPr/>
        <w:t>公顷，持有的</w:t>
      </w:r>
      <w:r>
        <w:rPr>
          <w:rFonts w:ascii="Times New Roman" w:hAnsi="Times New Roman" w:cs="Times New Roman" w:eastAsia="Times New Roman" w:hint="default"/>
        </w:rPr>
        <w:t>BMU</w:t>
      </w:r>
    </w:p>
    <w:p>
      <w:pPr>
        <w:pStyle w:val="BodyText"/>
        <w:spacing w:line="240" w:lineRule="auto" w:before="13"/>
        <w:ind w:right="0"/>
        <w:jc w:val="both"/>
      </w:pPr>
      <w:r>
        <w:rPr/>
        <w:t>镍矿约</w:t>
      </w:r>
      <w:r>
        <w:rPr>
          <w:rFonts w:ascii="Times New Roman" w:hAnsi="Times New Roman" w:cs="Times New Roman" w:eastAsia="Times New Roman" w:hint="default"/>
        </w:rPr>
        <w:t>1963</w:t>
      </w:r>
      <w:r>
        <w:rPr/>
        <w:t>公顷（公司合计持有</w:t>
      </w:r>
      <w:r>
        <w:rPr>
          <w:rFonts w:ascii="Times New Roman" w:hAnsi="Times New Roman" w:cs="Times New Roman" w:eastAsia="Times New Roman" w:hint="default"/>
        </w:rPr>
        <w:t>BMU80%</w:t>
      </w:r>
      <w:r>
        <w:rPr/>
        <w:t>的股权），公司取得了上述矿产的探矿权及采矿权。在印尼帝汶岛收购的锰矿约</w:t>
      </w:r>
    </w:p>
    <w:p>
      <w:pPr>
        <w:pStyle w:val="BodyText"/>
        <w:spacing w:line="240" w:lineRule="auto" w:before="63"/>
        <w:ind w:right="0"/>
        <w:jc w:val="both"/>
      </w:pPr>
      <w:r>
        <w:rPr>
          <w:rFonts w:ascii="Times New Roman" w:hAnsi="Times New Roman" w:cs="Times New Roman" w:eastAsia="Times New Roman" w:hint="default"/>
        </w:rPr>
        <w:t>476</w:t>
      </w:r>
      <w:r>
        <w:rPr/>
        <w:t>公顷。矿产资源具有不可再生性的特点，因此，为公司青岛印尼综合产业园的建设创立了先发优势。</w:t>
      </w:r>
    </w:p>
    <w:p>
      <w:pPr>
        <w:pStyle w:val="BodyText"/>
        <w:spacing w:line="300" w:lineRule="auto" w:before="63"/>
        <w:ind w:left="513" w:right="0"/>
        <w:jc w:val="left"/>
      </w:pPr>
      <w:r>
        <w:rPr>
          <w:rFonts w:ascii="Times New Roman" w:hAnsi="Times New Roman" w:cs="Times New Roman" w:eastAsia="Times New Roman" w:hint="default"/>
        </w:rPr>
        <w:t>3</w:t>
      </w:r>
      <w:r>
        <w:rPr/>
        <w:t>、稳定高效的管理团队和人才优势 </w:t>
      </w:r>
      <w:r>
        <w:rPr>
          <w:spacing w:val="-2"/>
        </w:rPr>
        <w:t>公司拥有一支价值趋同，忠诚度高，责任感强、稳定团结、年轻高效的团队，自成立至今核心管理团队和关键技术人员</w:t>
      </w:r>
    </w:p>
    <w:p>
      <w:pPr>
        <w:pStyle w:val="BodyText"/>
        <w:spacing w:line="316" w:lineRule="auto" w:before="31"/>
        <w:ind w:right="171"/>
        <w:jc w:val="both"/>
      </w:pPr>
      <w:r>
        <w:rPr>
          <w:spacing w:val="-2"/>
        </w:rPr>
        <w:t>未发生重大变化。公司通过实施股权激励和绩效考核等机制，营造出积极性高、发展机遇多，文化认同感强及奋进向上的工</w:t>
      </w:r>
      <w:r>
        <w:rPr>
          <w:spacing w:val="-64"/>
        </w:rPr>
        <w:t> </w:t>
      </w:r>
      <w:r>
        <w:rPr>
          <w:spacing w:val="-64"/>
        </w:rPr>
      </w:r>
      <w:r>
        <w:rPr/>
        <w:t>作氛围，充分调动管理团队的主观能动性和创造性，形成和谐良好的企业文化。</w:t>
      </w:r>
    </w:p>
    <w:p>
      <w:pPr>
        <w:spacing w:after="0" w:line="316" w:lineRule="auto"/>
        <w:jc w:val="both"/>
        <w:sectPr>
          <w:pgSz w:w="11910" w:h="16840"/>
          <w:pgMar w:header="745" w:footer="979" w:top="1060" w:bottom="1160" w:left="98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93"/>
        <w:jc w:val="left"/>
        <w:rPr>
          <w:b w:val="0"/>
          <w:bCs w:val="0"/>
        </w:rPr>
      </w:pPr>
      <w:bookmarkStart w:name="_bookmark3" w:id="4"/>
      <w:bookmarkEnd w:id="4"/>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6754"/>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13" w:right="93" w:hanging="361"/>
        <w:jc w:val="left"/>
      </w:pPr>
      <w:r>
        <w:rPr/>
        <w:t>报告期内，公司完成重点工作如下： </w:t>
      </w:r>
      <w:r>
        <w:rPr>
          <w:spacing w:val="-4"/>
        </w:rPr>
        <w:t>报告期内，公司围绕年度经营计划，积极拓展电力基础设施建设及能源投资开发、特种有色金属矿产运营及产业链整合、</w:t>
      </w:r>
    </w:p>
    <w:p>
      <w:pPr>
        <w:pStyle w:val="BodyText"/>
        <w:spacing w:line="300" w:lineRule="auto" w:before="19"/>
        <w:ind w:right="93"/>
        <w:jc w:val="left"/>
      </w:pPr>
      <w:r>
        <w:rPr/>
        <w:t>工业园区投资开发与运营等业务板块，销售规模进一步扩大。</w:t>
      </w:r>
      <w:r>
        <w:rPr>
          <w:rFonts w:ascii="Times New Roman" w:hAnsi="Times New Roman" w:cs="Times New Roman" w:eastAsia="Times New Roman" w:hint="default"/>
        </w:rPr>
        <w:t>2017</w:t>
      </w:r>
      <w:r>
        <w:rPr/>
        <w:t>年公司实现营业收入</w:t>
      </w:r>
      <w:r>
        <w:rPr>
          <w:rFonts w:ascii="Times New Roman" w:hAnsi="Times New Roman" w:cs="Times New Roman" w:eastAsia="Times New Roman" w:hint="default"/>
        </w:rPr>
        <w:t>152,229.86</w:t>
      </w:r>
      <w:r>
        <w:rPr/>
        <w:t>万元，比上年同期增加 </w:t>
      </w:r>
      <w:r>
        <w:rPr>
          <w:rFonts w:ascii="Times New Roman" w:hAnsi="Times New Roman" w:cs="Times New Roman" w:eastAsia="Times New Roman" w:hint="default"/>
        </w:rPr>
        <w:t>26.92%</w:t>
      </w:r>
      <w:r>
        <w:rPr/>
        <w:t>，营业成本</w:t>
      </w:r>
      <w:r>
        <w:rPr>
          <w:rFonts w:ascii="Times New Roman" w:hAnsi="Times New Roman" w:cs="Times New Roman" w:eastAsia="Times New Roman" w:hint="default"/>
        </w:rPr>
        <w:t>92,060.31</w:t>
      </w:r>
      <w:r>
        <w:rPr/>
        <w:t>万元，比上年同期增加</w:t>
      </w:r>
      <w:r>
        <w:rPr>
          <w:rFonts w:ascii="Times New Roman" w:hAnsi="Times New Roman" w:cs="Times New Roman" w:eastAsia="Times New Roman" w:hint="default"/>
        </w:rPr>
        <w:t>29.60%</w:t>
      </w:r>
      <w:r>
        <w:rPr/>
        <w:t>，实现营业利润</w:t>
      </w:r>
      <w:r>
        <w:rPr>
          <w:rFonts w:ascii="Times New Roman" w:hAnsi="Times New Roman" w:cs="Times New Roman" w:eastAsia="Times New Roman" w:hint="default"/>
        </w:rPr>
        <w:t>40,365.96</w:t>
      </w:r>
      <w:r>
        <w:rPr/>
        <w:t>万元，比上年同期增加</w:t>
      </w:r>
      <w:r>
        <w:rPr>
          <w:rFonts w:ascii="Times New Roman" w:hAnsi="Times New Roman" w:cs="Times New Roman" w:eastAsia="Times New Roman" w:hint="default"/>
        </w:rPr>
        <w:t>28.82%</w:t>
      </w:r>
      <w:r>
        <w:rPr/>
        <w:t>，实现归 </w:t>
      </w:r>
      <w:r>
        <w:rPr>
          <w:spacing w:val="-3"/>
        </w:rPr>
        <w:t>属于母公司股东的净利润</w:t>
      </w:r>
      <w:r>
        <w:rPr>
          <w:rFonts w:ascii="Times New Roman" w:hAnsi="Times New Roman" w:cs="Times New Roman" w:eastAsia="Times New Roman" w:hint="default"/>
          <w:spacing w:val="-3"/>
        </w:rPr>
        <w:t>33,414.47</w:t>
      </w:r>
      <w:r>
        <w:rPr>
          <w:spacing w:val="-3"/>
        </w:rPr>
        <w:t>万元，比上年同期增加</w:t>
      </w:r>
      <w:r>
        <w:rPr>
          <w:rFonts w:ascii="Times New Roman" w:hAnsi="Times New Roman" w:cs="Times New Roman" w:eastAsia="Times New Roman" w:hint="default"/>
          <w:spacing w:val="-3"/>
        </w:rPr>
        <w:t>32.18%</w:t>
      </w:r>
      <w:r>
        <w:rPr>
          <w:spacing w:val="-3"/>
        </w:rPr>
        <w:t>。公司在本报告期继续进行研发投入，本年研发投入</w:t>
      </w:r>
      <w:r>
        <w:rPr>
          <w:rFonts w:ascii="Times New Roman" w:hAnsi="Times New Roman" w:cs="Times New Roman" w:eastAsia="Times New Roman" w:hint="default"/>
          <w:spacing w:val="-3"/>
        </w:rPr>
        <w:t>3,829.31</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t>万元，较去年同期增加</w:t>
      </w:r>
      <w:r>
        <w:rPr>
          <w:rFonts w:ascii="Times New Roman" w:hAnsi="Times New Roman" w:cs="Times New Roman" w:eastAsia="Times New Roman" w:hint="default"/>
        </w:rPr>
        <w:t>15.54%</w:t>
      </w:r>
      <w:r>
        <w:rPr/>
        <w:t>。</w:t>
      </w:r>
    </w:p>
    <w:p>
      <w:pPr>
        <w:pStyle w:val="Heading4"/>
        <w:spacing w:line="240" w:lineRule="auto" w:before="13"/>
        <w:ind w:right="93"/>
        <w:jc w:val="left"/>
        <w:rPr>
          <w:b w:val="0"/>
          <w:bCs w:val="0"/>
        </w:rPr>
      </w:pPr>
      <w:r>
        <w:rPr/>
        <w:t>（一）报告期内，公司完成的重点工作</w:t>
      </w:r>
      <w:r>
        <w:rPr>
          <w:b w:val="0"/>
          <w:bCs w:val="0"/>
        </w:rPr>
      </w:r>
    </w:p>
    <w:p>
      <w:pPr>
        <w:pStyle w:val="Heading4"/>
        <w:spacing w:line="240" w:lineRule="auto" w:before="76"/>
        <w:ind w:left="513" w:right="93"/>
        <w:jc w:val="left"/>
        <w:rPr>
          <w:b w:val="0"/>
          <w:bCs w:val="0"/>
        </w:rPr>
      </w:pPr>
      <w:r>
        <w:rPr>
          <w:rFonts w:ascii="Times New Roman" w:hAnsi="Times New Roman" w:cs="Times New Roman" w:eastAsia="Times New Roman" w:hint="default"/>
        </w:rPr>
        <w:t>1</w:t>
      </w:r>
      <w:r>
        <w:rPr/>
        <w:t>、全面启动菲律宾风光一体化项目</w:t>
      </w:r>
      <w:r>
        <w:rPr>
          <w:b w:val="0"/>
          <w:bCs w:val="0"/>
        </w:rPr>
      </w:r>
    </w:p>
    <w:p>
      <w:pPr>
        <w:pStyle w:val="BodyText"/>
        <w:spacing w:line="309" w:lineRule="auto" w:before="63"/>
        <w:ind w:right="192" w:firstLine="360"/>
        <w:jc w:val="both"/>
      </w:pPr>
      <w:r>
        <w:rPr/>
        <w:t>报告期内，公司全面启动与菲律宾</w:t>
      </w:r>
      <w:r>
        <w:rPr>
          <w:rFonts w:ascii="Times New Roman" w:hAnsi="Times New Roman" w:cs="Times New Roman" w:eastAsia="Times New Roman" w:hint="default"/>
        </w:rPr>
        <w:t>ENERGY LOGICS</w:t>
      </w:r>
      <w:r>
        <w:rPr>
          <w:rFonts w:ascii="Times New Roman" w:hAnsi="Times New Roman" w:cs="Times New Roman" w:eastAsia="Times New Roman" w:hint="default"/>
          <w:spacing w:val="-5"/>
        </w:rPr>
        <w:t> </w:t>
      </w:r>
      <w:r>
        <w:rPr>
          <w:rFonts w:ascii="Times New Roman" w:hAnsi="Times New Roman" w:cs="Times New Roman" w:eastAsia="Times New Roman" w:hint="default"/>
        </w:rPr>
        <w:t>PHILIPPINES,INC</w:t>
      </w:r>
      <w:r>
        <w:rPr/>
        <w:t>公司签订的</w:t>
      </w:r>
      <w:r>
        <w:rPr>
          <w:rFonts w:ascii="Times New Roman" w:hAnsi="Times New Roman" w:cs="Times New Roman" w:eastAsia="Times New Roman" w:hint="default"/>
        </w:rPr>
        <w:t>132MW</w:t>
      </w:r>
      <w:r>
        <w:rPr/>
        <w:t>风电</w:t>
      </w:r>
      <w:r>
        <w:rPr>
          <w:rFonts w:ascii="Times New Roman" w:hAnsi="Times New Roman" w:cs="Times New Roman" w:eastAsia="Times New Roman" w:hint="default"/>
        </w:rPr>
        <w:t>+100MW</w:t>
      </w:r>
      <w:r>
        <w:rPr/>
        <w:t>太阳能发电的 </w:t>
      </w:r>
      <w:r>
        <w:rPr>
          <w:spacing w:val="-1"/>
        </w:rPr>
        <w:t>风光一体化项目</w:t>
      </w:r>
      <w:r>
        <w:rPr>
          <w:rFonts w:ascii="Times New Roman" w:hAnsi="Times New Roman" w:cs="Times New Roman" w:eastAsia="Times New Roman" w:hint="default"/>
          <w:spacing w:val="-1"/>
        </w:rPr>
        <w:t>EPC</w:t>
      </w:r>
      <w:r>
        <w:rPr>
          <w:spacing w:val="-1"/>
        </w:rPr>
        <w:t>总承包工程合同。该项目是菲律宾最大的风光一体化项目，也是中国企业在菲律宾最大的风电和光伏总</w:t>
      </w:r>
      <w:r>
        <w:rPr/>
        <w:t> </w:t>
      </w:r>
      <w:r>
        <w:rPr>
          <w:spacing w:val="-2"/>
        </w:rPr>
        <w:t>承包项目，并成为菲律宾总统杜特尔特访华后双方经贸合作能源领域的第一个大型项目，为集团在菲律宾的持续发展奠定了</w:t>
      </w:r>
      <w:r>
        <w:rPr>
          <w:spacing w:val="-64"/>
        </w:rPr>
        <w:t> </w:t>
      </w:r>
      <w:r>
        <w:rPr>
          <w:spacing w:val="-64"/>
        </w:rPr>
      </w:r>
      <w:r>
        <w:rPr>
          <w:spacing w:val="-2"/>
        </w:rPr>
        <w:t>坚实基础。报告期内，公司完成了风电和光伏进场的道路施工建设，项目现场勘查测量以及设计工作全部完成并提交业主技</w:t>
      </w:r>
      <w:r>
        <w:rPr>
          <w:spacing w:val="-66"/>
        </w:rPr>
        <w:t> </w:t>
      </w:r>
      <w:r>
        <w:rPr>
          <w:spacing w:val="-66"/>
        </w:rPr>
      </w:r>
      <w:r>
        <w:rPr/>
        <w:t>术顾问审核通过，项目的主要设备招标采购以及生产工作完成率达到</w:t>
      </w:r>
      <w:r>
        <w:rPr>
          <w:rFonts w:ascii="Times New Roman" w:hAnsi="Times New Roman" w:cs="Times New Roman" w:eastAsia="Times New Roman" w:hint="default"/>
        </w:rPr>
        <w:t>65%</w:t>
      </w:r>
      <w:r>
        <w:rPr/>
        <w:t>，目前线路基础施工及码头建设已全面启动。</w:t>
      </w:r>
    </w:p>
    <w:p>
      <w:pPr>
        <w:spacing w:line="300" w:lineRule="auto" w:before="5"/>
        <w:ind w:left="513" w:right="18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、加速建设新疆生产建设兵团第一师棉秆沼气化资源综合利用项目</w:t>
      </w:r>
      <w:r>
        <w:rPr>
          <w:rFonts w:ascii="宋体" w:hAnsi="宋体" w:cs="宋体" w:eastAsia="宋体" w:hint="default"/>
          <w:b/>
          <w:bCs/>
          <w:w w:val="99"/>
          <w:sz w:val="18"/>
          <w:szCs w:val="18"/>
        </w:rPr>
        <w:t> </w:t>
      </w: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月与新疆国家级阿拉尔经济技术开发区管理委员会签订了《投资合作合同书》，合作开发新疆生产建设</w:t>
      </w:r>
    </w:p>
    <w:p>
      <w:pPr>
        <w:pStyle w:val="BodyText"/>
        <w:spacing w:line="300" w:lineRule="auto" w:before="13"/>
        <w:ind w:right="244"/>
        <w:jc w:val="left"/>
      </w:pPr>
      <w:r>
        <w:rPr/>
        <w:t>兵团第一师棉秆沼气化资源综合利用项目。该项目总装机容量</w:t>
      </w:r>
      <w:r>
        <w:rPr>
          <w:rFonts w:ascii="Times New Roman" w:hAnsi="Times New Roman" w:cs="Times New Roman" w:eastAsia="Times New Roman" w:hint="default"/>
        </w:rPr>
        <w:t>30MW</w:t>
      </w:r>
      <w:r>
        <w:rPr/>
        <w:t>沼气发电，其中中试</w:t>
      </w:r>
      <w:r>
        <w:rPr>
          <w:rFonts w:ascii="Times New Roman" w:hAnsi="Times New Roman" w:cs="Times New Roman" w:eastAsia="Times New Roman" w:hint="default"/>
        </w:rPr>
        <w:t>2MW</w:t>
      </w:r>
      <w:r>
        <w:rPr/>
        <w:t>；年处理棉秆能力约为</w:t>
      </w:r>
      <w:r>
        <w:rPr>
          <w:rFonts w:ascii="Times New Roman" w:hAnsi="Times New Roman" w:cs="Times New Roman" w:eastAsia="Times New Roman" w:hint="default"/>
        </w:rPr>
        <w:t>33</w:t>
      </w:r>
      <w:r>
        <w:rPr/>
        <w:t>万 吨，年生产沼气约</w:t>
      </w:r>
      <w:r>
        <w:rPr>
          <w:rFonts w:ascii="Times New Roman" w:hAnsi="Times New Roman" w:cs="Times New Roman" w:eastAsia="Times New Roman" w:hint="default"/>
        </w:rPr>
        <w:t>9100</w:t>
      </w:r>
      <w:r>
        <w:rPr/>
        <w:t>万</w:t>
      </w:r>
      <w:r>
        <w:rPr>
          <w:rFonts w:ascii="Times New Roman" w:hAnsi="Times New Roman" w:cs="Times New Roman" w:eastAsia="Times New Roman" w:hint="default"/>
        </w:rPr>
        <w:t>m3</w:t>
      </w:r>
      <w:r>
        <w:rPr/>
        <w:t>，年生产有机肥约</w:t>
      </w:r>
      <w:r>
        <w:rPr>
          <w:rFonts w:ascii="Times New Roman" w:hAnsi="Times New Roman" w:cs="Times New Roman" w:eastAsia="Times New Roman" w:hint="default"/>
        </w:rPr>
        <w:t>12</w:t>
      </w:r>
      <w:r>
        <w:rPr/>
        <w:t>万吨，年运行</w:t>
      </w:r>
      <w:r>
        <w:rPr>
          <w:rFonts w:ascii="Times New Roman" w:hAnsi="Times New Roman" w:cs="Times New Roman" w:eastAsia="Times New Roman" w:hint="default"/>
        </w:rPr>
        <w:t>8000h</w:t>
      </w:r>
      <w:r>
        <w:rPr/>
        <w:t>。</w:t>
      </w:r>
    </w:p>
    <w:p>
      <w:pPr>
        <w:pStyle w:val="BodyText"/>
        <w:spacing w:line="240" w:lineRule="auto" w:before="13"/>
        <w:ind w:left="513" w:right="0"/>
        <w:jc w:val="left"/>
      </w:pPr>
      <w:r>
        <w:rPr/>
        <w:t>报告期内，公司取得了该项目开工建设的全部政府批文，包括新疆兵团第一师阿拉尔市人民政府发展和改革委员会文件</w:t>
      </w:r>
    </w:p>
    <w:p>
      <w:pPr>
        <w:pStyle w:val="BodyText"/>
        <w:spacing w:line="304" w:lineRule="auto" w:before="76"/>
        <w:ind w:right="184"/>
        <w:jc w:val="left"/>
      </w:pPr>
      <w:r>
        <w:rPr/>
        <w:t>（师市发改发〔</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505</w:t>
      </w:r>
      <w:r>
        <w:rPr/>
        <w:t>号）关于《新疆清源生物质能源有限公司棉杆沼气化综合利用项目节能评估报告》的审查意见： 审批通过该建设项目节能评估报告书；新疆兵团第一师阿拉尔市人民政府发展和改革委员会文件（师市发改发〔</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82</w:t>
      </w:r>
      <w:r>
        <w:rPr>
          <w:rFonts w:ascii="Times New Roman" w:hAnsi="Times New Roman" w:cs="Times New Roman" w:eastAsia="Times New Roman" w:hint="default"/>
          <w:spacing w:val="-2"/>
        </w:rPr>
        <w:t> </w:t>
      </w:r>
      <w:r>
        <w:rPr>
          <w:spacing w:val="-2"/>
        </w:rPr>
        <w:t>号）关于新疆清源生物质能源有限公司棉杆沼气化资源综合项目核准的批复：核准该项目进行开工建设；新疆生产建设兵团</w:t>
      </w:r>
      <w:r>
        <w:rPr>
          <w:spacing w:val="-63"/>
        </w:rPr>
        <w:t> </w:t>
      </w:r>
      <w:r>
        <w:rPr>
          <w:spacing w:val="-63"/>
        </w:rPr>
      </w:r>
      <w:r>
        <w:rPr/>
        <w:t>第一师阿拉尔市环境保护局文件（师市环发〔</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22</w:t>
      </w:r>
      <w:r>
        <w:rPr>
          <w:rFonts w:ascii="Times New Roman" w:hAnsi="Times New Roman" w:cs="Times New Roman" w:eastAsia="Times New Roman" w:hint="default"/>
          <w:spacing w:val="26"/>
        </w:rPr>
        <w:t> </w:t>
      </w:r>
      <w:r>
        <w:rPr/>
        <w:t>号）关于新疆清源生物质能源有限公司棉杆沼气化资源综合项目环 境影响报告表的批复及项目土地证书。</w:t>
      </w:r>
      <w:r>
        <w:rPr>
          <w:rFonts w:ascii="Times New Roman" w:hAnsi="Times New Roman" w:cs="Times New Roman" w:eastAsia="Times New Roman" w:hint="default"/>
        </w:rPr>
        <w:t>2MW</w:t>
      </w:r>
      <w:r>
        <w:rPr/>
        <w:t>生物质沼气发电中试项目目前正在建设中。</w:t>
      </w:r>
    </w:p>
    <w:p>
      <w:pPr>
        <w:pStyle w:val="BodyText"/>
        <w:spacing w:line="309" w:lineRule="auto" w:before="9"/>
        <w:ind w:left="513" w:right="93"/>
        <w:jc w:val="left"/>
      </w:pPr>
      <w:r>
        <w:rPr>
          <w:rFonts w:ascii="Times New Roman" w:hAnsi="Times New Roman" w:cs="Times New Roman" w:eastAsia="Times New Roman" w:hint="default"/>
          <w:b/>
          <w:bCs/>
        </w:rPr>
        <w:t>3</w:t>
      </w:r>
      <w:r>
        <w:rPr>
          <w:rFonts w:ascii="宋体" w:hAnsi="宋体" w:cs="宋体" w:eastAsia="宋体" w:hint="default"/>
          <w:b/>
          <w:bCs/>
        </w:rPr>
        <w:t>、引进专业领域的战略合作伙伴，加强战略合作</w:t>
      </w:r>
      <w:r>
        <w:rPr>
          <w:rFonts w:ascii="宋体" w:hAnsi="宋体" w:cs="宋体" w:eastAsia="宋体" w:hint="default"/>
          <w:b/>
          <w:bCs/>
          <w:w w:val="99"/>
        </w:rPr>
        <w:t> </w:t>
      </w:r>
      <w:r>
        <w:rPr/>
        <w:t>报告期内，公司围绕主营业务，积极寻求在行业内知名度高、专业性强、资金实力雄厚的战略合作伙伴。 </w:t>
      </w:r>
      <w:r>
        <w:rPr>
          <w:spacing w:val="-2"/>
        </w:rPr>
        <w:t>为更好的运营海外项目，公司与云南冶金集团及青岛城投集团在</w:t>
      </w:r>
      <w:r>
        <w:rPr>
          <w:rFonts w:ascii="Times New Roman" w:hAnsi="Times New Roman" w:cs="Times New Roman" w:eastAsia="Times New Roman" w:hint="default"/>
          <w:spacing w:val="-2"/>
        </w:rPr>
        <w:t>“</w:t>
      </w:r>
      <w:r>
        <w:rPr>
          <w:spacing w:val="-2"/>
        </w:rPr>
        <w:t>产融结合、对等互利</w:t>
      </w:r>
      <w:r>
        <w:rPr>
          <w:rFonts w:ascii="Times New Roman" w:hAnsi="Times New Roman" w:cs="Times New Roman" w:eastAsia="Times New Roman" w:hint="default"/>
          <w:spacing w:val="-2"/>
        </w:rPr>
        <w:t>”</w:t>
      </w:r>
      <w:r>
        <w:rPr>
          <w:spacing w:val="-2"/>
        </w:rPr>
        <w:t>的原则上建立战略合作关系。结</w:t>
      </w:r>
    </w:p>
    <w:p>
      <w:pPr>
        <w:pStyle w:val="BodyText"/>
        <w:spacing w:line="312" w:lineRule="auto" w:before="5"/>
        <w:ind w:right="189"/>
        <w:jc w:val="both"/>
      </w:pPr>
      <w:r>
        <w:rPr>
          <w:spacing w:val="-2"/>
        </w:rPr>
        <w:t>合云南冶金集团在矿产资源勘探、矿业行业人才队伍、知识产权、运营管控等方面的优势，青岛城投集团在资本运作、海外</w:t>
      </w:r>
      <w:r>
        <w:rPr>
          <w:spacing w:val="-67"/>
        </w:rPr>
        <w:t> </w:t>
      </w:r>
      <w:r>
        <w:rPr>
          <w:spacing w:val="-67"/>
        </w:rPr>
      </w:r>
      <w:r>
        <w:rPr>
          <w:spacing w:val="-1"/>
        </w:rPr>
        <w:t>业务开发的实力，恒顺众昇在海外矿产资源、土地资源、能源资源、政商关系及</w:t>
      </w:r>
      <w:r>
        <w:rPr>
          <w:rFonts w:ascii="Times New Roman" w:hAnsi="Times New Roman" w:cs="Times New Roman" w:eastAsia="Times New Roman" w:hint="default"/>
          <w:spacing w:val="-1"/>
        </w:rPr>
        <w:t>EPC</w:t>
      </w:r>
      <w:r>
        <w:rPr>
          <w:spacing w:val="-1"/>
        </w:rPr>
        <w:t>总包等方面的优势，共同寻求在印度尼</w:t>
      </w:r>
      <w:r>
        <w:rPr/>
        <w:t> </w:t>
      </w:r>
      <w:r>
        <w:rPr>
          <w:spacing w:val="-2"/>
        </w:rPr>
        <w:t>西亚及其他国家开展镍、铝、铅锌、钛、硅等矿产资源与新型材料的开发与深加工方面的合作，通过资本、技术、渠道、品</w:t>
      </w:r>
      <w:r>
        <w:rPr>
          <w:spacing w:val="-65"/>
        </w:rPr>
        <w:t> </w:t>
      </w:r>
      <w:r>
        <w:rPr>
          <w:spacing w:val="-65"/>
        </w:rPr>
      </w:r>
      <w:r>
        <w:rPr/>
        <w:t>牌的有机结合，加强在实体企业方面的资本运作、合作共赢。</w:t>
      </w:r>
    </w:p>
    <w:p>
      <w:pPr>
        <w:pStyle w:val="BodyText"/>
        <w:spacing w:line="316" w:lineRule="auto" w:before="22"/>
        <w:ind w:right="193" w:firstLine="360"/>
        <w:jc w:val="both"/>
      </w:pPr>
      <w:r>
        <w:rPr>
          <w:spacing w:val="-2"/>
        </w:rPr>
        <w:t>为深入实施青岛市科技创新驱动发展战略的主线，本着互利互惠、优势互补、共同发展的原则，公司与青岛城投集团及</w:t>
      </w:r>
      <w:r>
        <w:rPr/>
        <w:t> </w:t>
      </w:r>
      <w:r>
        <w:rPr>
          <w:spacing w:val="-2"/>
        </w:rPr>
        <w:t>联想新视界（北京）科技有限公司建立战略合作关系。着力推进高端资源集聚、高端服务提升、高端产业培育和高效体制改</w:t>
      </w:r>
      <w:r>
        <w:rPr>
          <w:spacing w:val="-67"/>
        </w:rPr>
        <w:t> </w:t>
      </w:r>
      <w:r>
        <w:rPr>
          <w:spacing w:val="-67"/>
        </w:rPr>
      </w:r>
      <w:r>
        <w:rPr>
          <w:spacing w:val="-2"/>
        </w:rPr>
        <w:t>革，加快形成更多依靠科技创新驱动、更多发挥先发优势的引领型行业发展。重点发展人工智能、无人机技术、机器人、智</w:t>
      </w:r>
      <w:r>
        <w:rPr>
          <w:spacing w:val="-70"/>
        </w:rPr>
        <w:t> </w:t>
      </w:r>
      <w:r>
        <w:rPr>
          <w:spacing w:val="-70"/>
        </w:rPr>
      </w:r>
      <w:r>
        <w:rPr/>
        <w:t>能硬件、软件设计等核心技术，加快青岛市科技创新产业发展。</w:t>
      </w:r>
    </w:p>
    <w:p>
      <w:pPr>
        <w:spacing w:line="300" w:lineRule="auto" w:before="19"/>
        <w:ind w:left="513" w:right="9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、进一步规划青岛印尼综合产业园</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报告期内，公司对所持矿产做了深入的勘探，为进一步明确矿产储能做前期准备。继续推进基础设施建设，寻求有明确</w:t>
      </w:r>
    </w:p>
    <w:p>
      <w:pPr>
        <w:pStyle w:val="BodyText"/>
        <w:spacing w:line="316" w:lineRule="auto" w:before="32"/>
        <w:ind w:right="94"/>
        <w:jc w:val="left"/>
      </w:pPr>
      <w:r>
        <w:rPr/>
        <w:t>入园意向的大型国有企业入园合作，对产业园进行积极扩容。聘请国内矿产研究及园区运营的专家对工业园进行全面评估， 为园区下一步的建设及管理指明了方向。</w:t>
      </w:r>
    </w:p>
    <w:p>
      <w:pPr>
        <w:spacing w:after="0" w:line="316"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00" w:lineRule="auto" w:before="44"/>
        <w:ind w:left="513" w:right="93" w:firstLine="74"/>
        <w:jc w:val="left"/>
      </w:pPr>
      <w:r>
        <w:rPr>
          <w:rFonts w:ascii="Times New Roman" w:hAnsi="Times New Roman" w:cs="Times New Roman" w:eastAsia="Times New Roman" w:hint="default"/>
          <w:b/>
          <w:bCs/>
        </w:rPr>
        <w:t>5</w:t>
      </w:r>
      <w:r>
        <w:rPr>
          <w:rFonts w:ascii="宋体" w:hAnsi="宋体" w:cs="宋体" w:eastAsia="宋体" w:hint="default"/>
          <w:b/>
          <w:bCs/>
        </w:rPr>
        <w:t>、人力资源管理提升</w:t>
      </w:r>
      <w:r>
        <w:rPr>
          <w:rFonts w:ascii="宋体" w:hAnsi="宋体" w:cs="宋体" w:eastAsia="宋体" w:hint="default"/>
          <w:b/>
          <w:bCs/>
          <w:w w:val="99"/>
        </w:rPr>
        <w:t> </w:t>
      </w:r>
      <w:r>
        <w:rPr>
          <w:spacing w:val="-2"/>
        </w:rPr>
        <w:t>在人力资源管理工作方面，公司进一步做好人力资源管理基础工作，在加强定岗定员、人力资源培训与开发、人力资源</w:t>
      </w:r>
    </w:p>
    <w:p>
      <w:pPr>
        <w:pStyle w:val="BodyText"/>
        <w:spacing w:line="316" w:lineRule="auto" w:before="31"/>
        <w:ind w:right="93"/>
        <w:jc w:val="left"/>
      </w:pPr>
      <w:r>
        <w:rPr>
          <w:spacing w:val="-2"/>
        </w:rPr>
        <w:t>管理信息化和人力资源管理制度建设有效结合的同时，不断开拓人力资源管理新视野，把握人力资源动态，吸收外部先进的</w:t>
      </w:r>
      <w:r>
        <w:rPr>
          <w:spacing w:val="-63"/>
        </w:rPr>
        <w:t> </w:t>
      </w:r>
      <w:r>
        <w:rPr>
          <w:spacing w:val="-63"/>
        </w:rPr>
      </w:r>
      <w:r>
        <w:rPr>
          <w:spacing w:val="-2"/>
        </w:rPr>
        <w:t>人力资源管理思想和理念，进行人力资源管理改革与创新。加强人力资源引进开发管理，有力地保障了公司正常的生产和工</w:t>
      </w:r>
      <w:r>
        <w:rPr>
          <w:spacing w:val="-63"/>
        </w:rPr>
        <w:t> </w:t>
      </w:r>
      <w:r>
        <w:rPr>
          <w:spacing w:val="-63"/>
        </w:rPr>
      </w:r>
      <w:r>
        <w:rPr>
          <w:spacing w:val="-4"/>
        </w:rPr>
        <w:t>作秩序，为公司长远发展提供储备了大量的高素质人才；进行薪酬绩效体系改革，体现了多劳多得、按绩取酬、高效公平的，</w:t>
      </w:r>
      <w:r>
        <w:rPr>
          <w:spacing w:val="-43"/>
        </w:rPr>
        <w:t> </w:t>
      </w:r>
      <w:r>
        <w:rPr>
          <w:spacing w:val="-43"/>
        </w:rPr>
      </w:r>
      <w:r>
        <w:rPr>
          <w:spacing w:val="-2"/>
        </w:rPr>
        <w:t>兼顾激励保障的薪酬制度；构建职称技能评定管理体系，以制度保障形式为员工职业提升发展打通了各种有效渠道做到人尽</w:t>
      </w:r>
      <w:r>
        <w:rPr>
          <w:spacing w:val="-64"/>
        </w:rPr>
        <w:t> </w:t>
      </w:r>
      <w:r>
        <w:rPr>
          <w:spacing w:val="-64"/>
        </w:rPr>
      </w:r>
      <w:r>
        <w:rPr/>
        <w:t>其才，发挥员工的聪明才智及潜能。</w:t>
      </w:r>
    </w:p>
    <w:p>
      <w:pPr>
        <w:pStyle w:val="BodyText"/>
        <w:spacing w:line="240" w:lineRule="auto" w:before="59"/>
        <w:ind w:right="93"/>
        <w:jc w:val="left"/>
      </w:pPr>
      <w:r>
        <w:rPr/>
        <w:t>公司需遵守《深圳证券交易所创业板行业信息披露指引第</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上市公司从事光伏产业链相关业务》的披露要求：</w:t>
      </w:r>
    </w:p>
    <w:p>
      <w:pPr>
        <w:spacing w:line="240" w:lineRule="auto" w:before="0"/>
        <w:rPr>
          <w:rFonts w:ascii="宋体" w:hAnsi="宋体" w:cs="宋体" w:eastAsia="宋体" w:hint="default"/>
          <w:sz w:val="24"/>
          <w:szCs w:val="24"/>
        </w:rPr>
      </w:pPr>
    </w:p>
    <w:p>
      <w:pPr>
        <w:pStyle w:val="Heading2"/>
        <w:spacing w:line="240" w:lineRule="auto"/>
        <w:ind w:right="6754"/>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55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6754"/>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6034"/>
        <w:jc w:val="left"/>
      </w:pPr>
      <w:r>
        <w:rPr/>
        <w:t>公司是否需要遵守光伏产业链相关业的披露要求 是</w:t>
      </w:r>
    </w:p>
    <w:p>
      <w:pPr>
        <w:pStyle w:val="BodyText"/>
        <w:spacing w:line="340" w:lineRule="auto" w:before="29"/>
        <w:ind w:right="634"/>
        <w:jc w:val="left"/>
      </w:pPr>
      <w:r>
        <w:rPr/>
        <w:t>公司需遵守《深圳证券交易所创业板行业信息披露指引第</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上市公司从事光伏产业链相关业务》的披露要求： 营业收入整体情况</w:t>
      </w:r>
    </w:p>
    <w:p>
      <w:pPr>
        <w:pStyle w:val="BodyText"/>
        <w:spacing w:line="240" w:lineRule="auto" w:before="39"/>
        <w:ind w:left="0" w:right="19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2"/>
        <w:gridCol w:w="1594"/>
        <w:gridCol w:w="1588"/>
        <w:gridCol w:w="1602"/>
        <w:gridCol w:w="1582"/>
        <w:gridCol w:w="1600"/>
      </w:tblGrid>
      <w:tr>
        <w:trPr>
          <w:trHeight w:val="206" w:hRule="exact"/>
        </w:trPr>
        <w:tc>
          <w:tcPr>
            <w:tcW w:w="1602"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602" w:type="dxa"/>
            <w:vMerge w:val="restart"/>
            <w:tcBorders>
              <w:top w:val="nil" w:sz="6" w:space="0" w:color="auto"/>
              <w:left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6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9" w:hRule="exact"/>
        </w:trPr>
        <w:tc>
          <w:tcPr>
            <w:tcW w:w="1602"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金额</w:t>
            </w:r>
          </w:p>
        </w:tc>
        <w:tc>
          <w:tcPr>
            <w:tcW w:w="15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602" w:type="dxa"/>
            <w:vMerge/>
            <w:tcBorders>
              <w:left w:val="single" w:sz="4" w:space="0" w:color="000000"/>
              <w:bottom w:val="single" w:sz="4" w:space="0" w:color="000000"/>
              <w:right w:val="single" w:sz="4" w:space="0" w:color="000000"/>
            </w:tcBorders>
            <w:shd w:val="clear" w:color="auto" w:fill="D2D2D2"/>
          </w:tcPr>
          <w:p>
            <w:pPr/>
          </w:p>
        </w:tc>
        <w:tc>
          <w:tcPr>
            <w:tcW w:w="1582" w:type="dxa"/>
            <w:vMerge/>
            <w:tcBorders>
              <w:left w:val="single" w:sz="4" w:space="0" w:color="000000"/>
              <w:bottom w:val="single" w:sz="4" w:space="0" w:color="000000"/>
              <w:right w:val="single" w:sz="4" w:space="0" w:color="000000"/>
            </w:tcBorders>
            <w:shd w:val="clear" w:color="auto" w:fill="D2D2D2"/>
          </w:tcPr>
          <w:p>
            <w:pPr/>
          </w:p>
        </w:tc>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1,522,298,555.62</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602"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1,199,368,779.85</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100%</w:t>
            </w:r>
          </w:p>
        </w:tc>
        <w:tc>
          <w:tcPr>
            <w:tcW w:w="1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26.92%</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输配电及控制设备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908,205.14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1"/>
                <w:sz w:val="18"/>
              </w:rPr>
              <w:t>33,209,608.54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2.77%</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-97.27%</w:t>
            </w:r>
          </w:p>
        </w:tc>
      </w:tr>
      <w:tr>
        <w:trPr>
          <w:trHeight w:val="401"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光伏行业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436,476,876.28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28.67%</w:t>
            </w:r>
          </w:p>
        </w:tc>
        <w:tc>
          <w:tcPr>
            <w:tcW w:w="16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风电行业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980,318,455.38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64.40%</w:t>
            </w:r>
          </w:p>
        </w:tc>
        <w:tc>
          <w:tcPr>
            <w:tcW w:w="16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机械成套装备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94,766,782.20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6.22%</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898,572,664.29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74.92%</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-89.45%</w:t>
            </w:r>
          </w:p>
        </w:tc>
      </w:tr>
      <w:tr>
        <w:trPr>
          <w:trHeight w:val="403"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租赁设备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3,141,000.00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12,538,872.00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1.05%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-74.95%</w:t>
            </w:r>
          </w:p>
        </w:tc>
      </w:tr>
      <w:tr>
        <w:trPr>
          <w:trHeight w:val="401"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土地出租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845,000.00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843,310.00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0.07%</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0.20%</w:t>
            </w:r>
          </w:p>
        </w:tc>
      </w:tr>
      <w:tr>
        <w:trPr>
          <w:trHeight w:val="403"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物业服务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2,321,250.00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6,739,369.25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0.56%</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-65.56%</w:t>
            </w:r>
          </w:p>
        </w:tc>
      </w:tr>
      <w:tr>
        <w:trPr>
          <w:trHeight w:val="401"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原料销售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1,163,406.55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22,653,986.54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1.89%</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-94.86%</w:t>
            </w:r>
          </w:p>
        </w:tc>
      </w:tr>
      <w:tr>
        <w:trPr>
          <w:trHeight w:val="403"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矿产产销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114,381,744.95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9.54%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建造业务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107,979,992.72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9.00%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1,993,694.50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c>
          <w:tcPr>
            <w:tcW w:w="16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材料及其他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363,885.57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2,449,231.56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-85.14%</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电能质量优化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908,205.14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5,418,808.54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-83.24%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机械成套装备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94,766,782.20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898,572,664.29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74.92%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-89.45%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光伏设备集成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252,481,538.87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16.58%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风电设备集成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779,826,494.07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51.23%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EPC-</w:t>
            </w:r>
            <w:r>
              <w:rPr>
                <w:rFonts w:ascii="宋体" w:hAnsi="宋体" w:cs="宋体" w:eastAsia="宋体" w:hint="default"/>
                <w:sz w:val="18"/>
                <w:szCs w:val="18"/>
              </w:rPr>
              <w:t>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102,885,308.54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EPC-</w:t>
            </w:r>
            <w:r>
              <w:rPr>
                <w:rFonts w:ascii="宋体" w:hAnsi="宋体" w:cs="宋体" w:eastAsia="宋体" w:hint="default"/>
                <w:sz w:val="18"/>
                <w:szCs w:val="18"/>
              </w:rPr>
              <w:t>工程</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281,601,990.18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18.50%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租赁设备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3,141,000.00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12,538,872.00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-74.95%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土地出租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843,310.00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物业服务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2,321,250.00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6,739,369.25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-65.56%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原料销售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1,163,406.55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22,653,986.54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-94.86%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1,993,694.50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矿产产销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114,381,744.95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建造业务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107,979,992.72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余热余压利用</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27,790,800.00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材料及其他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363,885.57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2,449,231.56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-85.14%</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3,265,785.21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35,658,840.10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-90.84%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1,519,032,770.41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99.79%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1,163,709,939.75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97.03%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30.53%</w:t>
            </w:r>
          </w:p>
        </w:tc>
      </w:tr>
    </w:tbl>
    <w:p>
      <w:pPr>
        <w:pStyle w:val="BodyText"/>
        <w:spacing w:line="338" w:lineRule="auto" w:before="49"/>
        <w:ind w:right="416"/>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43"/>
        <w:ind w:right="59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39"/>
        <w:ind w:right="158"/>
        <w:jc w:val="left"/>
      </w:pPr>
      <w:r>
        <w:rPr/>
        <w:t>公司是否需遵守《深圳证券交易所创业板行业信息披露指引第</w:t>
      </w:r>
      <w:r>
        <w:rPr>
          <w:spacing w:val="-45"/>
        </w:rPr>
        <w:t>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3"/>
        </w:rPr>
        <w:t> </w:t>
      </w:r>
      <w:r>
        <w:rPr/>
        <w:t>产业链相关业务》的披露要求： 否</w:t>
      </w:r>
    </w:p>
    <w:p>
      <w:pPr>
        <w:pStyle w:val="BodyText"/>
        <w:spacing w:line="338" w:lineRule="auto" w:before="41"/>
        <w:ind w:right="684"/>
        <w:jc w:val="left"/>
      </w:pPr>
      <w:r>
        <w:rPr/>
        <w:t>公司是否需遵守《深圳证券交易所创业板行业信息披露指引第</w:t>
      </w:r>
      <w:r>
        <w:rPr>
          <w:spacing w:val="-45"/>
        </w:rPr>
        <w:t> </w:t>
      </w:r>
      <w:r>
        <w:rPr>
          <w:rFonts w:ascii="Times New Roman" w:hAnsi="Times New Roman" w:cs="Times New Roman" w:eastAsia="Times New Roman" w:hint="default"/>
        </w:rPr>
        <w:t>10 </w:t>
      </w:r>
      <w:r>
        <w:rPr/>
        <w:t>号</w:t>
      </w:r>
      <w:r>
        <w:rPr>
          <w:rFonts w:ascii="Times New Roman" w:hAnsi="Times New Roman" w:cs="Times New Roman" w:eastAsia="Times New Roman" w:hint="default"/>
        </w:rPr>
        <w:t>——</w:t>
      </w:r>
      <w:r>
        <w:rPr/>
        <w:t>上市公司从事医疗器械业务》的披露要求： 否</w:t>
      </w:r>
    </w:p>
    <w:p>
      <w:pPr>
        <w:spacing w:line="240" w:lineRule="auto" w:before="7"/>
        <w:rPr>
          <w:rFonts w:ascii="宋体" w:hAnsi="宋体" w:cs="宋体" w:eastAsia="宋体" w:hint="default"/>
          <w:sz w:val="21"/>
          <w:szCs w:val="21"/>
        </w:rPr>
      </w:pPr>
    </w:p>
    <w:p>
      <w:pPr>
        <w:pStyle w:val="Heading3"/>
        <w:spacing w:line="240" w:lineRule="auto"/>
        <w:ind w:right="135"/>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980"/>
        </w:sectPr>
      </w:pPr>
    </w:p>
    <w:p>
      <w:pPr>
        <w:pStyle w:val="BodyText"/>
        <w:spacing w:line="34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公司是否需要遵守特殊行业的披露要求 是</w:t>
      </w:r>
    </w:p>
    <w:p>
      <w:pPr>
        <w:pStyle w:val="BodyText"/>
        <w:spacing w:line="240" w:lineRule="auto" w:before="36"/>
        <w:ind w:right="-20"/>
        <w:jc w:val="left"/>
      </w:pPr>
      <w:r>
        <w:rPr/>
        <w:t>光伏产业链相关业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3213" w:space="5707"/>
            <w:col w:w="103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7"/>
        <w:gridCol w:w="1366"/>
        <w:gridCol w:w="1367"/>
        <w:gridCol w:w="1367"/>
        <w:gridCol w:w="1367"/>
        <w:gridCol w:w="1367"/>
      </w:tblGrid>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6"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47" w:right="0"/>
              <w:jc w:val="left"/>
              <w:rPr>
                <w:rFonts w:ascii="宋体" w:hAnsi="宋体" w:cs="宋体" w:eastAsia="宋体" w:hint="default"/>
                <w:sz w:val="18"/>
                <w:szCs w:val="18"/>
              </w:rPr>
            </w:pPr>
            <w:r>
              <w:rPr>
                <w:rFonts w:ascii="宋体" w:hAnsi="宋体" w:cs="宋体" w:eastAsia="宋体" w:hint="default"/>
                <w:sz w:val="18"/>
                <w:szCs w:val="18"/>
              </w:rPr>
              <w:t>营业收入比上年</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46" w:right="0"/>
              <w:jc w:val="left"/>
              <w:rPr>
                <w:rFonts w:ascii="宋体" w:hAnsi="宋体" w:cs="宋体" w:eastAsia="宋体" w:hint="default"/>
                <w:sz w:val="18"/>
                <w:szCs w:val="18"/>
              </w:rPr>
            </w:pPr>
            <w:r>
              <w:rPr>
                <w:rFonts w:ascii="宋体" w:hAnsi="宋体" w:cs="宋体" w:eastAsia="宋体" w:hint="default"/>
                <w:sz w:val="18"/>
                <w:szCs w:val="18"/>
              </w:rPr>
              <w:t>营业成本比上年</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0" w:right="0"/>
              <w:jc w:val="left"/>
              <w:rPr>
                <w:rFonts w:ascii="宋体" w:hAnsi="宋体" w:cs="宋体" w:eastAsia="宋体" w:hint="default"/>
                <w:sz w:val="18"/>
                <w:szCs w:val="18"/>
              </w:rPr>
            </w:pPr>
            <w:r>
              <w:rPr>
                <w:rFonts w:ascii="宋体" w:hAnsi="宋体" w:cs="宋体" w:eastAsia="宋体" w:hint="default"/>
                <w:sz w:val="18"/>
                <w:szCs w:val="18"/>
              </w:rPr>
              <w:t>毛利率比上年同</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10" w:right="0"/>
              <w:jc w:val="left"/>
              <w:rPr>
                <w:rFonts w:ascii="宋体" w:hAnsi="宋体" w:cs="宋体" w:eastAsia="宋体" w:hint="default"/>
                <w:sz w:val="18"/>
                <w:szCs w:val="18"/>
              </w:rPr>
            </w:pPr>
            <w:r>
              <w:rPr>
                <w:rFonts w:ascii="宋体" w:hAnsi="宋体" w:cs="宋体" w:eastAsia="宋体" w:hint="default"/>
                <w:sz w:val="18"/>
                <w:szCs w:val="18"/>
              </w:rPr>
              <w:t>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光伏行业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436,476,876.28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275,287,567.66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36.93%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风电行业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980,318,455.38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580,198,934.85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40.82%</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光伏设备集成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252,481,538.87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156,238,821.21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风电设备集成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779,826,494.07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444,671,380.68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42.98%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EPC-</w:t>
            </w:r>
            <w:r>
              <w:rPr>
                <w:rFonts w:ascii="宋体" w:hAnsi="宋体" w:cs="宋体" w:eastAsia="宋体" w:hint="default"/>
                <w:sz w:val="18"/>
                <w:szCs w:val="18"/>
              </w:rPr>
              <w:t>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102,885,308.54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37,735,847.97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63.32%</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EPC-</w:t>
            </w:r>
            <w:r>
              <w:rPr>
                <w:rFonts w:ascii="宋体" w:hAnsi="宋体" w:cs="宋体" w:eastAsia="宋体" w:hint="default"/>
                <w:sz w:val="18"/>
                <w:szCs w:val="18"/>
              </w:rPr>
              <w:t>工程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281,601,990.18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216,840,452.55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23.00%</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1,519,032,770.41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916,069,446.82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34.12%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-1.62%</w:t>
            </w:r>
          </w:p>
        </w:tc>
      </w:tr>
    </w:tbl>
    <w:p>
      <w:pPr>
        <w:pStyle w:val="BodyText"/>
        <w:spacing w:line="240" w:lineRule="auto" w:before="49"/>
        <w:ind w:right="135"/>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35"/>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3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1"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输配电及控制设备</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万千乏</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-96.94%</w:t>
            </w:r>
          </w:p>
        </w:tc>
      </w:tr>
      <w:tr>
        <w:trPr>
          <w:trHeight w:val="401"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万千乏</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-99.05%</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万千乏</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原料销售</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1,163,406.55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22,653,986.54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-94.86%</w:t>
            </w:r>
          </w:p>
        </w:tc>
      </w:tr>
      <w:tr>
        <w:trPr>
          <w:trHeight w:val="403"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1,047,470.36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22,653,986.54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-95.38%</w:t>
            </w:r>
          </w:p>
        </w:tc>
      </w:tr>
      <w:tr>
        <w:trPr>
          <w:trHeight w:val="401"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机械成套装备</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94,766,782.2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898,572,664.29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-89.45%</w:t>
            </w:r>
          </w:p>
        </w:tc>
      </w:tr>
      <w:tr>
        <w:trPr>
          <w:trHeight w:val="401"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94,766,782.2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898,572,664.29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-89.45%</w:t>
            </w:r>
          </w:p>
        </w:tc>
      </w:tr>
      <w:tr>
        <w:trPr>
          <w:trHeight w:val="404"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光伏</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MW</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MW</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MW</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风电</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MW</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MW</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MW</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35"/>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1"/>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135"/>
        <w:jc w:val="left"/>
      </w:pPr>
      <w:r>
        <w:rPr>
          <w:rFonts w:ascii="Times New Roman" w:hAnsi="Times New Roman" w:cs="Times New Roman" w:eastAsia="Times New Roman" w:hint="default"/>
        </w:rPr>
        <w:t>1</w:t>
      </w:r>
      <w:r>
        <w:rPr/>
        <w:t>、输配电及控制设备减少是因为国内电气设备市场发展趋缓、公司转型海外市场所致。</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208"/>
        <w:jc w:val="left"/>
      </w:pPr>
      <w:r>
        <w:rPr>
          <w:rFonts w:ascii="Times New Roman" w:hAnsi="Times New Roman" w:cs="Times New Roman" w:eastAsia="Times New Roman" w:hint="default"/>
        </w:rPr>
        <w:t>2</w:t>
      </w:r>
      <w:r>
        <w:rPr/>
        <w:t>、原料销售是根据入园企业的需求而变化，报告期内需求减少导致收入减少。</w:t>
      </w:r>
    </w:p>
    <w:p>
      <w:pPr>
        <w:pStyle w:val="BodyText"/>
        <w:spacing w:line="300" w:lineRule="auto" w:before="63"/>
        <w:ind w:right="208"/>
        <w:jc w:val="left"/>
      </w:pPr>
      <w:r>
        <w:rPr>
          <w:rFonts w:ascii="Times New Roman" w:hAnsi="Times New Roman" w:cs="Times New Roman" w:eastAsia="Times New Roman" w:hint="default"/>
          <w:spacing w:val="-2"/>
        </w:rPr>
        <w:t>3</w:t>
      </w:r>
      <w:r>
        <w:rPr>
          <w:spacing w:val="-2"/>
        </w:rPr>
        <w:t>、公司报告期内销售收入主要来自菲律宾</w:t>
      </w:r>
      <w:r>
        <w:rPr>
          <w:rFonts w:ascii="Times New Roman" w:hAnsi="Times New Roman" w:cs="Times New Roman" w:eastAsia="Times New Roman" w:hint="default"/>
          <w:spacing w:val="-2"/>
        </w:rPr>
        <w:t>132MW</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
        </w:rPr>
        <w:t>+100MW</w:t>
      </w:r>
      <w:r>
        <w:rPr>
          <w:spacing w:val="-2"/>
        </w:rPr>
        <w:t>风光一体化项目，因符合光伏产业链特殊行业的披露要求，光伏</w:t>
      </w:r>
      <w:r>
        <w:rPr>
          <w:spacing w:val="-83"/>
        </w:rPr>
        <w:t> </w:t>
      </w:r>
      <w:r>
        <w:rPr>
          <w:spacing w:val="-83"/>
        </w:rPr>
      </w:r>
      <w:r>
        <w:rPr/>
        <w:t>部分需单独披露，故印尼机械成套装备业务大幅减少。</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1"/>
        <w:ind w:right="208"/>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348" w:lineRule="auto"/>
        <w:ind w:right="8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是 光伏产业链相关业</w:t>
      </w:r>
    </w:p>
    <w:p>
      <w:pPr>
        <w:pStyle w:val="BodyText"/>
        <w:spacing w:line="300" w:lineRule="auto" w:before="36"/>
        <w:ind w:right="114" w:firstLine="360"/>
        <w:jc w:val="left"/>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月份，公司与</w:t>
      </w:r>
      <w:r>
        <w:rPr>
          <w:rFonts w:ascii="Times New Roman" w:hAnsi="Times New Roman" w:cs="Times New Roman" w:eastAsia="Times New Roman" w:hint="default"/>
          <w:spacing w:val="-2"/>
        </w:rPr>
        <w:t>PT.Metal</w:t>
      </w:r>
      <w:r>
        <w:rPr>
          <w:rFonts w:ascii="Times New Roman" w:hAnsi="Times New Roman" w:cs="Times New Roman" w:eastAsia="Times New Roman" w:hint="default"/>
        </w:rPr>
        <w:t> </w:t>
      </w:r>
      <w:r>
        <w:rPr>
          <w:rFonts w:ascii="Times New Roman" w:hAnsi="Times New Roman" w:cs="Times New Roman" w:eastAsia="Times New Roman" w:hint="default"/>
          <w:spacing w:val="-1"/>
        </w:rPr>
        <w:t>Smeltindo</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
        </w:rPr>
        <w:t>Selaras</w:t>
      </w:r>
      <w:r>
        <w:rPr>
          <w:spacing w:val="-2"/>
        </w:rPr>
        <w:t>签订了《</w:t>
      </w:r>
      <w:r>
        <w:rPr>
          <w:rFonts w:ascii="Times New Roman" w:hAnsi="Times New Roman" w:cs="Times New Roman" w:eastAsia="Times New Roman" w:hint="default"/>
          <w:spacing w:val="-2"/>
        </w:rPr>
        <w:t>RKEF</w:t>
      </w:r>
      <w:r>
        <w:rPr>
          <w:spacing w:val="-2"/>
        </w:rPr>
        <w:t>特种冶炼设备成套合同》，合同额为</w:t>
      </w:r>
      <w:r>
        <w:rPr>
          <w:rFonts w:ascii="Times New Roman" w:hAnsi="Times New Roman" w:cs="Times New Roman" w:eastAsia="Times New Roman" w:hint="default"/>
          <w:spacing w:val="-2"/>
        </w:rPr>
        <w:t>7,985</w:t>
      </w:r>
      <w:r>
        <w:rPr>
          <w:spacing w:val="-2"/>
        </w:rPr>
        <w:t>万美元。</w:t>
      </w:r>
      <w:r>
        <w:rPr/>
        <w:t>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日，公司与</w:t>
      </w:r>
      <w:r>
        <w:rPr>
          <w:rFonts w:ascii="Times New Roman" w:hAnsi="Times New Roman" w:cs="Times New Roman" w:eastAsia="Times New Roman" w:hint="default"/>
        </w:rPr>
        <w:t>PT.Metal Smeltindo</w:t>
      </w:r>
      <w:r>
        <w:rPr>
          <w:rFonts w:ascii="Times New Roman" w:hAnsi="Times New Roman" w:cs="Times New Roman" w:eastAsia="Times New Roman" w:hint="default"/>
          <w:spacing w:val="24"/>
        </w:rPr>
        <w:t> </w:t>
      </w:r>
      <w:r>
        <w:rPr>
          <w:rFonts w:ascii="Times New Roman" w:hAnsi="Times New Roman" w:cs="Times New Roman" w:eastAsia="Times New Roman" w:hint="default"/>
        </w:rPr>
        <w:t>Selaras</w:t>
      </w:r>
      <w:r>
        <w:rPr/>
        <w:t>签订了《</w:t>
      </w:r>
      <w:r>
        <w:rPr>
          <w:rFonts w:ascii="Times New Roman" w:hAnsi="Times New Roman" w:cs="Times New Roman" w:eastAsia="Times New Roman" w:hint="default"/>
        </w:rPr>
        <w:t>RKEF</w:t>
      </w:r>
      <w:r>
        <w:rPr/>
        <w:t>特种冶炼设备成套合同变更协议》，合同由</w:t>
      </w:r>
      <w:r>
        <w:rPr>
          <w:rFonts w:ascii="Times New Roman" w:hAnsi="Times New Roman" w:cs="Times New Roman" w:eastAsia="Times New Roman" w:hint="default"/>
        </w:rPr>
        <w:t>2</w:t>
      </w:r>
      <w:r>
        <w:rPr/>
        <w:t>条</w:t>
      </w:r>
      <w:r>
        <w:rPr>
          <w:rFonts w:ascii="Times New Roman" w:hAnsi="Times New Roman" w:cs="Times New Roman" w:eastAsia="Times New Roman" w:hint="default"/>
        </w:rPr>
        <w:t>RKEF</w:t>
      </w:r>
      <w:r>
        <w:rPr/>
        <w:t>特种</w:t>
      </w:r>
      <w:r>
        <w:rPr>
          <w:spacing w:val="-3"/>
        </w:rPr>
        <w:t> </w:t>
      </w:r>
      <w:r>
        <w:rPr>
          <w:spacing w:val="-1"/>
        </w:rPr>
        <w:t>镍铁冶炼生产线变更为</w:t>
      </w:r>
      <w:r>
        <w:rPr>
          <w:rFonts w:ascii="Times New Roman" w:hAnsi="Times New Roman" w:cs="Times New Roman" w:eastAsia="Times New Roman" w:hint="default"/>
          <w:spacing w:val="-1"/>
        </w:rPr>
        <w:t>4</w:t>
      </w:r>
      <w:r>
        <w:rPr>
          <w:spacing w:val="-1"/>
        </w:rPr>
        <w:t>条，合同金额变更为</w:t>
      </w:r>
      <w:r>
        <w:rPr>
          <w:rFonts w:ascii="Times New Roman" w:hAnsi="Times New Roman" w:cs="Times New Roman" w:eastAsia="Times New Roman" w:hint="default"/>
          <w:spacing w:val="-1"/>
        </w:rPr>
        <w:t>92,814</w:t>
      </w:r>
      <w:r>
        <w:rPr>
          <w:spacing w:val="-1"/>
        </w:rPr>
        <w:t>万元人民币。该项目合同期初至本报告期末完成了两个批次的交付验收，</w:t>
      </w:r>
      <w:r>
        <w:rPr>
          <w:spacing w:val="-74"/>
        </w:rPr>
        <w:t> </w:t>
      </w:r>
      <w:r>
        <w:rPr>
          <w:spacing w:val="-74"/>
        </w:rPr>
      </w:r>
      <w:r>
        <w:rPr/>
        <w:t>根据合同约定，货物应在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日前分批交付验收。因工业园近两年雨季较长，施工难度增加，致使建设周期拉长，</w:t>
      </w:r>
      <w:r>
        <w:rPr>
          <w:spacing w:val="-85"/>
        </w:rPr>
        <w:t> </w:t>
      </w:r>
      <w:r>
        <w:rPr>
          <w:spacing w:val="-85"/>
        </w:rPr>
      </w:r>
      <w:r>
        <w:rPr/>
        <w:t>经与客户协商，剩余货物会按照建设进度分批交付。截至本报告期末，本项目共确认收入</w:t>
      </w:r>
      <w:r>
        <w:rPr>
          <w:rFonts w:ascii="Times New Roman" w:hAnsi="Times New Roman" w:cs="Times New Roman" w:eastAsia="Times New Roman" w:hint="default"/>
        </w:rPr>
        <w:t>62,995.74</w:t>
      </w:r>
      <w:r>
        <w:rPr/>
        <w:t>万元，完工进度为</w:t>
      </w:r>
      <w:r>
        <w:rPr>
          <w:rFonts w:ascii="Times New Roman" w:hAnsi="Times New Roman" w:cs="Times New Roman" w:eastAsia="Times New Roman" w:hint="default"/>
        </w:rPr>
        <w:t>68%</w:t>
      </w:r>
      <w:r>
        <w:rPr/>
        <w:t>。</w:t>
      </w:r>
    </w:p>
    <w:p>
      <w:pPr>
        <w:pStyle w:val="BodyText"/>
        <w:spacing w:line="300" w:lineRule="auto" w:before="53"/>
        <w:ind w:right="212" w:firstLine="36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月份，公司与</w:t>
      </w:r>
      <w:r>
        <w:rPr>
          <w:rFonts w:ascii="Times New Roman" w:hAnsi="Times New Roman" w:cs="Times New Roman" w:eastAsia="Times New Roman" w:hint="default"/>
        </w:rPr>
        <w:t>PT.Pembangkit Sumber Daya Indonesia</w:t>
      </w:r>
      <w:r>
        <w:rPr/>
        <w:t>签订了《印尼苏拉威西</w:t>
      </w:r>
      <w:r>
        <w:rPr>
          <w:rFonts w:ascii="Times New Roman" w:hAnsi="Times New Roman" w:cs="Times New Roman" w:eastAsia="Times New Roman" w:hint="default"/>
        </w:rPr>
        <w:t>PSDI</w:t>
      </w:r>
      <w:r>
        <w:rPr>
          <w:rFonts w:ascii="Times New Roman" w:hAnsi="Times New Roman" w:cs="Times New Roman" w:eastAsia="Times New Roman" w:hint="default"/>
          <w:spacing w:val="27"/>
        </w:rPr>
        <w:t> </w:t>
      </w:r>
      <w:r>
        <w:rPr>
          <w:rFonts w:ascii="Times New Roman" w:hAnsi="Times New Roman" w:cs="Times New Roman" w:eastAsia="Times New Roman" w:hint="default"/>
        </w:rPr>
        <w:t>2*65MW</w:t>
      </w:r>
      <w:r>
        <w:rPr/>
        <w:t>燃煤电厂设备成 套合同》，合同额为</w:t>
      </w:r>
      <w:r>
        <w:rPr>
          <w:rFonts w:ascii="Times New Roman" w:hAnsi="Times New Roman" w:cs="Times New Roman" w:eastAsia="Times New Roman" w:hint="default"/>
        </w:rPr>
        <w:t>76,112,274</w:t>
      </w:r>
      <w:r>
        <w:rPr/>
        <w:t>美元。该项目合同期初至本报告期末完成了三个批次的交付验收，根据合同约定，货物应在</w:t>
      </w:r>
      <w:r>
        <w:rPr>
          <w:spacing w:val="-86"/>
        </w:rPr>
        <w:t> </w:t>
      </w:r>
      <w:r>
        <w:rPr>
          <w:spacing w:val="-86"/>
        </w:rPr>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月底之前分批交付验收。因工业园近两年雨季较长，施工难度增加，致使建设周期拉长，经与客户协商，剩余货物</w:t>
      </w:r>
      <w:r>
        <w:rPr>
          <w:spacing w:val="-85"/>
        </w:rPr>
        <w:t> </w:t>
      </w:r>
      <w:r>
        <w:rPr>
          <w:spacing w:val="-85"/>
        </w:rPr>
      </w:r>
      <w:r>
        <w:rPr/>
        <w:t>会按照建设进度分批交付。截至本报告期末，本项目共确认收入</w:t>
      </w:r>
      <w:r>
        <w:rPr>
          <w:rFonts w:ascii="Times New Roman" w:hAnsi="Times New Roman" w:cs="Times New Roman" w:eastAsia="Times New Roman" w:hint="default"/>
        </w:rPr>
        <w:t>32,433.37</w:t>
      </w:r>
      <w:r>
        <w:rPr/>
        <w:t>万元，完工进度为</w:t>
      </w:r>
      <w:r>
        <w:rPr>
          <w:rFonts w:ascii="Times New Roman" w:hAnsi="Times New Roman" w:cs="Times New Roman" w:eastAsia="Times New Roman" w:hint="default"/>
        </w:rPr>
        <w:t>66%</w:t>
      </w:r>
      <w:r>
        <w:rPr/>
        <w:t>。</w:t>
      </w:r>
    </w:p>
    <w:p>
      <w:pPr>
        <w:pStyle w:val="BodyText"/>
        <w:spacing w:line="300" w:lineRule="auto" w:before="53"/>
        <w:ind w:right="206" w:firstLine="360"/>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月份，公司与菲律宾 </w:t>
      </w:r>
      <w:r>
        <w:rPr>
          <w:rFonts w:ascii="Times New Roman" w:hAnsi="Times New Roman" w:cs="Times New Roman" w:eastAsia="Times New Roman" w:hint="default"/>
        </w:rPr>
        <w:t>ENERGY LOGICS PHILIPPINES,INC </w:t>
      </w:r>
      <w:r>
        <w:rPr/>
        <w:t>公司签订了《</w:t>
      </w:r>
      <w:r>
        <w:rPr>
          <w:rFonts w:ascii="Times New Roman" w:hAnsi="Times New Roman" w:cs="Times New Roman" w:eastAsia="Times New Roman" w:hint="default"/>
        </w:rPr>
        <w:t>Engineering, Procurement,</w:t>
      </w:r>
      <w:r>
        <w:rPr>
          <w:rFonts w:ascii="Times New Roman" w:hAnsi="Times New Roman" w:cs="Times New Roman" w:eastAsia="Times New Roman" w:hint="default"/>
          <w:spacing w:val="40"/>
        </w:rPr>
        <w:t> </w:t>
      </w:r>
      <w:r>
        <w:rPr>
          <w:rFonts w:ascii="Times New Roman" w:hAnsi="Times New Roman" w:cs="Times New Roman" w:eastAsia="Times New Roman" w:hint="default"/>
        </w:rPr>
        <w:t>and</w:t>
      </w:r>
      <w:r>
        <w:rPr>
          <w:rFonts w:ascii="Times New Roman" w:hAnsi="Times New Roman" w:cs="Times New Roman" w:eastAsia="Times New Roman" w:hint="default"/>
          <w:w w:val="99"/>
        </w:rPr>
        <w:t> </w:t>
      </w:r>
      <w:r>
        <w:rPr>
          <w:rFonts w:ascii="Times New Roman" w:hAnsi="Times New Roman" w:cs="Times New Roman" w:eastAsia="Times New Roman" w:hint="default"/>
        </w:rPr>
        <w:t>Construction (EPC) Contract for a Pasuquin Wind (132MW)-Solar (100MW) Hybrid Project,</w:t>
      </w:r>
      <w:r>
        <w:rPr>
          <w:rFonts w:ascii="Times New Roman" w:hAnsi="Times New Roman" w:cs="Times New Roman" w:eastAsia="Times New Roman" w:hint="default"/>
          <w:spacing w:val="39"/>
        </w:rPr>
        <w:t> </w:t>
      </w:r>
      <w:r>
        <w:rPr>
          <w:rFonts w:ascii="Times New Roman" w:hAnsi="Times New Roman" w:cs="Times New Roman" w:eastAsia="Times New Roman" w:hint="default"/>
        </w:rPr>
        <w:t>Philippines</w:t>
      </w:r>
      <w:r>
        <w:rPr/>
        <w:t>》，公司承接位于菲律宾 </w:t>
      </w:r>
      <w:r>
        <w:rPr>
          <w:rFonts w:ascii="Times New Roman" w:hAnsi="Times New Roman" w:cs="Times New Roman" w:eastAsia="Times New Roman" w:hint="default"/>
        </w:rPr>
        <w:t>Ilocos Norte </w:t>
      </w:r>
      <w:r>
        <w:rPr/>
        <w:t>省 </w:t>
      </w:r>
      <w:r>
        <w:rPr>
          <w:rFonts w:ascii="Times New Roman" w:hAnsi="Times New Roman" w:cs="Times New Roman" w:eastAsia="Times New Roman" w:hint="default"/>
        </w:rPr>
        <w:t>Pasuquin </w:t>
      </w:r>
      <w:r>
        <w:rPr/>
        <w:t>和 </w:t>
      </w:r>
      <w:r>
        <w:rPr>
          <w:rFonts w:ascii="Times New Roman" w:hAnsi="Times New Roman" w:cs="Times New Roman" w:eastAsia="Times New Roman" w:hint="default"/>
        </w:rPr>
        <w:t>Burgos </w:t>
      </w:r>
      <w:r>
        <w:rPr/>
        <w:t>地区的 </w:t>
      </w:r>
      <w:r>
        <w:rPr>
          <w:rFonts w:ascii="Times New Roman" w:hAnsi="Times New Roman" w:cs="Times New Roman" w:eastAsia="Times New Roman" w:hint="default"/>
        </w:rPr>
        <w:t>132MW </w:t>
      </w:r>
      <w:r>
        <w:rPr/>
        <w:t>风电</w:t>
      </w:r>
      <w:r>
        <w:rPr>
          <w:rFonts w:ascii="Times New Roman" w:hAnsi="Times New Roman" w:cs="Times New Roman" w:eastAsia="Times New Roman" w:hint="default"/>
        </w:rPr>
        <w:t>+100MW </w:t>
      </w:r>
      <w:r>
        <w:rPr/>
        <w:t>太阳能发电的风光一体化项目，合同金额为</w:t>
      </w:r>
      <w:r>
        <w:rPr>
          <w:rFonts w:ascii="Times New Roman" w:hAnsi="Times New Roman" w:cs="Times New Roman" w:eastAsia="Times New Roman" w:hint="default"/>
        </w:rPr>
        <w:t>43,778</w:t>
      </w:r>
      <w:r>
        <w:rPr>
          <w:rFonts w:ascii="Times New Roman" w:hAnsi="Times New Roman" w:cs="Times New Roman" w:eastAsia="Times New Roman" w:hint="default"/>
          <w:spacing w:val="37"/>
        </w:rPr>
        <w:t> </w:t>
      </w:r>
      <w:r>
        <w:rPr/>
        <w:t>万美</w:t>
      </w:r>
      <w:r>
        <w:rPr>
          <w:spacing w:val="2"/>
        </w:rPr>
        <w:t> </w:t>
      </w:r>
      <w:r>
        <w:rPr>
          <w:spacing w:val="-9"/>
        </w:rPr>
        <w:t>元。</w:t>
      </w:r>
      <w:r>
        <w:rPr>
          <w:rFonts w:ascii="Times New Roman" w:hAnsi="Times New Roman" w:cs="Times New Roman" w:eastAsia="Times New Roman" w:hint="default"/>
          <w:spacing w:val="-9"/>
        </w:rPr>
        <w:t>2018</w:t>
      </w:r>
      <w:r>
        <w:rPr>
          <w:spacing w:val="-9"/>
        </w:rPr>
        <w:t>年</w:t>
      </w:r>
      <w:r>
        <w:rPr>
          <w:rFonts w:ascii="Times New Roman" w:hAnsi="Times New Roman" w:cs="Times New Roman" w:eastAsia="Times New Roman" w:hint="default"/>
          <w:spacing w:val="-9"/>
        </w:rPr>
        <w:t>1</w:t>
      </w:r>
      <w:r>
        <w:rPr>
          <w:spacing w:val="-9"/>
        </w:rPr>
        <w:t>月，签订了《</w:t>
      </w:r>
      <w:r>
        <w:rPr>
          <w:rFonts w:ascii="Times New Roman" w:hAnsi="Times New Roman" w:cs="Times New Roman" w:eastAsia="Times New Roman" w:hint="default"/>
          <w:spacing w:val="-9"/>
        </w:rPr>
        <w:t>Engineering,</w:t>
      </w:r>
      <w:r>
        <w:rPr>
          <w:rFonts w:ascii="Times New Roman" w:hAnsi="Times New Roman" w:cs="Times New Roman" w:eastAsia="Times New Roman" w:hint="default"/>
          <w:spacing w:val="-11"/>
        </w:rPr>
        <w:t> </w:t>
      </w:r>
      <w:r>
        <w:rPr>
          <w:rFonts w:ascii="Times New Roman" w:hAnsi="Times New Roman" w:cs="Times New Roman" w:eastAsia="Times New Roman" w:hint="default"/>
        </w:rPr>
        <w:t>Procurement,</w:t>
      </w:r>
      <w:r>
        <w:rPr>
          <w:rFonts w:ascii="Times New Roman" w:hAnsi="Times New Roman" w:cs="Times New Roman" w:eastAsia="Times New Roman" w:hint="default"/>
          <w:spacing w:val="-9"/>
        </w:rPr>
        <w:t> </w:t>
      </w:r>
      <w:r>
        <w:rPr>
          <w:rFonts w:ascii="Times New Roman" w:hAnsi="Times New Roman" w:cs="Times New Roman" w:eastAsia="Times New Roman" w:hint="default"/>
        </w:rPr>
        <w:t>and</w:t>
      </w:r>
      <w:r>
        <w:rPr>
          <w:rFonts w:ascii="Times New Roman" w:hAnsi="Times New Roman" w:cs="Times New Roman" w:eastAsia="Times New Roman" w:hint="default"/>
          <w:spacing w:val="-8"/>
        </w:rPr>
        <w:t> </w:t>
      </w:r>
      <w:r>
        <w:rPr>
          <w:rFonts w:ascii="Times New Roman" w:hAnsi="Times New Roman" w:cs="Times New Roman" w:eastAsia="Times New Roman" w:hint="default"/>
        </w:rPr>
        <w:t>Construction</w:t>
      </w:r>
      <w:r>
        <w:rPr>
          <w:rFonts w:ascii="Times New Roman" w:hAnsi="Times New Roman" w:cs="Times New Roman" w:eastAsia="Times New Roman" w:hint="default"/>
          <w:spacing w:val="-8"/>
        </w:rPr>
        <w:t> </w:t>
      </w:r>
      <w:r>
        <w:rPr>
          <w:rFonts w:ascii="Times New Roman" w:hAnsi="Times New Roman" w:cs="Times New Roman" w:eastAsia="Times New Roman" w:hint="default"/>
        </w:rPr>
        <w:t>(EPC)</w:t>
      </w:r>
      <w:r>
        <w:rPr>
          <w:rFonts w:ascii="Times New Roman" w:hAnsi="Times New Roman" w:cs="Times New Roman" w:eastAsia="Times New Roman" w:hint="default"/>
          <w:spacing w:val="-9"/>
        </w:rPr>
        <w:t> </w:t>
      </w:r>
      <w:r>
        <w:rPr>
          <w:rFonts w:ascii="Times New Roman" w:hAnsi="Times New Roman" w:cs="Times New Roman" w:eastAsia="Times New Roman" w:hint="default"/>
        </w:rPr>
        <w:t>Contract</w:t>
      </w:r>
      <w:r>
        <w:rPr>
          <w:rFonts w:ascii="Times New Roman" w:hAnsi="Times New Roman" w:cs="Times New Roman" w:eastAsia="Times New Roman" w:hint="default"/>
          <w:spacing w:val="-9"/>
        </w:rPr>
        <w:t> </w:t>
      </w:r>
      <w:r>
        <w:rPr>
          <w:rFonts w:ascii="Times New Roman" w:hAnsi="Times New Roman" w:cs="Times New Roman" w:eastAsia="Times New Roman" w:hint="default"/>
        </w:rPr>
        <w:t>for</w:t>
      </w:r>
      <w:r>
        <w:rPr>
          <w:rFonts w:ascii="Times New Roman" w:hAnsi="Times New Roman" w:cs="Times New Roman" w:eastAsia="Times New Roman" w:hint="default"/>
          <w:spacing w:val="-9"/>
        </w:rPr>
        <w:t> </w:t>
      </w:r>
      <w:r>
        <w:rPr>
          <w:rFonts w:ascii="Times New Roman" w:hAnsi="Times New Roman" w:cs="Times New Roman" w:eastAsia="Times New Roman" w:hint="default"/>
        </w:rPr>
        <w:t>a</w:t>
      </w:r>
      <w:r>
        <w:rPr>
          <w:rFonts w:ascii="Times New Roman" w:hAnsi="Times New Roman" w:cs="Times New Roman" w:eastAsia="Times New Roman" w:hint="default"/>
          <w:spacing w:val="-10"/>
        </w:rPr>
        <w:t> </w:t>
      </w:r>
      <w:r>
        <w:rPr>
          <w:rFonts w:ascii="Times New Roman" w:hAnsi="Times New Roman" w:cs="Times New Roman" w:eastAsia="Times New Roman" w:hint="default"/>
        </w:rPr>
        <w:t>Pasuquin</w:t>
      </w:r>
      <w:r>
        <w:rPr>
          <w:rFonts w:ascii="Times New Roman" w:hAnsi="Times New Roman" w:cs="Times New Roman" w:eastAsia="Times New Roman" w:hint="default"/>
          <w:spacing w:val="-10"/>
        </w:rPr>
        <w:t> </w:t>
      </w:r>
      <w:r>
        <w:rPr>
          <w:rFonts w:ascii="Times New Roman" w:hAnsi="Times New Roman" w:cs="Times New Roman" w:eastAsia="Times New Roman" w:hint="default"/>
        </w:rPr>
        <w:t>Wind</w:t>
      </w:r>
      <w:r>
        <w:rPr>
          <w:rFonts w:ascii="Times New Roman" w:hAnsi="Times New Roman" w:cs="Times New Roman" w:eastAsia="Times New Roman" w:hint="default"/>
          <w:spacing w:val="-8"/>
        </w:rPr>
        <w:t> </w:t>
      </w:r>
      <w:r>
        <w:rPr>
          <w:rFonts w:ascii="Times New Roman" w:hAnsi="Times New Roman" w:cs="Times New Roman" w:eastAsia="Times New Roman" w:hint="default"/>
        </w:rPr>
        <w:t>(132MW)-Solar</w:t>
      </w:r>
      <w:r>
        <w:rPr>
          <w:rFonts w:ascii="Times New Roman" w:hAnsi="Times New Roman" w:cs="Times New Roman" w:eastAsia="Times New Roman" w:hint="default"/>
          <w:spacing w:val="-10"/>
        </w:rPr>
        <w:t> </w:t>
      </w:r>
      <w:r>
        <w:rPr>
          <w:rFonts w:ascii="Times New Roman" w:hAnsi="Times New Roman" w:cs="Times New Roman" w:eastAsia="Times New Roman" w:hint="default"/>
        </w:rPr>
        <w:t>(100MW)</w:t>
      </w:r>
      <w:r>
        <w:rPr>
          <w:rFonts w:ascii="Times New Roman" w:hAnsi="Times New Roman" w:cs="Times New Roman" w:eastAsia="Times New Roman" w:hint="default"/>
        </w:rPr>
        <w:t> Hybrid</w:t>
      </w:r>
      <w:r>
        <w:rPr>
          <w:rFonts w:ascii="Times New Roman" w:hAnsi="Times New Roman" w:cs="Times New Roman" w:eastAsia="Times New Roman" w:hint="default"/>
          <w:spacing w:val="-18"/>
        </w:rPr>
        <w:t> </w:t>
      </w:r>
      <w:r>
        <w:rPr>
          <w:rFonts w:ascii="Times New Roman" w:hAnsi="Times New Roman" w:cs="Times New Roman" w:eastAsia="Times New Roman" w:hint="default"/>
        </w:rPr>
        <w:t>Project,</w:t>
      </w:r>
      <w:r>
        <w:rPr>
          <w:rFonts w:ascii="Times New Roman" w:hAnsi="Times New Roman" w:cs="Times New Roman" w:eastAsia="Times New Roman" w:hint="default"/>
          <w:spacing w:val="-19"/>
        </w:rPr>
        <w:t> </w:t>
      </w:r>
      <w:r>
        <w:rPr>
          <w:rFonts w:ascii="Times New Roman" w:hAnsi="Times New Roman" w:cs="Times New Roman" w:eastAsia="Times New Roman" w:hint="default"/>
        </w:rPr>
        <w:t>Philippines</w:t>
      </w:r>
      <w:r>
        <w:rPr>
          <w:rFonts w:ascii="Times New Roman" w:hAnsi="Times New Roman" w:cs="Times New Roman" w:eastAsia="Times New Roman" w:hint="default"/>
          <w:spacing w:val="-18"/>
        </w:rPr>
        <w:t> </w:t>
      </w:r>
      <w:r>
        <w:rPr>
          <w:rFonts w:ascii="Times New Roman" w:hAnsi="Times New Roman" w:cs="Times New Roman" w:eastAsia="Times New Roman" w:hint="default"/>
        </w:rPr>
        <w:t>Amendment</w:t>
      </w:r>
      <w:r>
        <w:rPr>
          <w:rFonts w:ascii="Times New Roman" w:hAnsi="Times New Roman" w:cs="Times New Roman" w:eastAsia="Times New Roman" w:hint="default"/>
          <w:spacing w:val="-16"/>
        </w:rPr>
        <w:t> </w:t>
      </w:r>
      <w:r>
        <w:rPr>
          <w:rFonts w:ascii="Times New Roman" w:hAnsi="Times New Roman" w:cs="Times New Roman" w:eastAsia="Times New Roman" w:hint="default"/>
        </w:rPr>
        <w:t>Agreement</w:t>
      </w:r>
      <w:r>
        <w:rPr/>
        <w:t>》</w:t>
      </w:r>
      <w:r>
        <w:rPr>
          <w:rFonts w:ascii="Times New Roman" w:hAnsi="Times New Roman" w:cs="Times New Roman" w:eastAsia="Times New Roman" w:hint="default"/>
        </w:rPr>
        <w:t>,</w:t>
      </w:r>
      <w:r>
        <w:rPr/>
        <w:t>协议中双方同意变更付款方式为：光伏工程及风电工程完工</w:t>
      </w:r>
      <w:r>
        <w:rPr>
          <w:rFonts w:ascii="Times New Roman" w:hAnsi="Times New Roman" w:cs="Times New Roman" w:eastAsia="Times New Roman" w:hint="default"/>
        </w:rPr>
        <w:t>50%</w:t>
      </w:r>
      <w:r>
        <w:rPr/>
        <w:t>后，雇主 </w:t>
      </w:r>
      <w:r>
        <w:rPr>
          <w:spacing w:val="-1"/>
        </w:rPr>
        <w:t>开始按照光伏及风电工程各自的完工进度支付对应的合同金额给承包商至各自工程合同金额的</w:t>
      </w:r>
      <w:r>
        <w:rPr>
          <w:rFonts w:ascii="Times New Roman" w:hAnsi="Times New Roman" w:cs="Times New Roman" w:eastAsia="Times New Roman" w:hint="default"/>
          <w:spacing w:val="-1"/>
        </w:rPr>
        <w:t>85%</w:t>
      </w:r>
      <w:r>
        <w:rPr>
          <w:spacing w:val="-1"/>
        </w:rPr>
        <w:t>，商业运行及验收后分别</w:t>
      </w:r>
      <w:r>
        <w:rPr>
          <w:spacing w:val="-87"/>
        </w:rPr>
        <w:t> </w:t>
      </w:r>
      <w:r>
        <w:rPr>
          <w:spacing w:val="-87"/>
        </w:rPr>
      </w:r>
      <w:r>
        <w:rPr>
          <w:spacing w:val="-1"/>
        </w:rPr>
        <w:t>支付</w:t>
      </w:r>
      <w:r>
        <w:rPr>
          <w:rFonts w:ascii="Times New Roman" w:hAnsi="Times New Roman" w:cs="Times New Roman" w:eastAsia="Times New Roman" w:hint="default"/>
          <w:spacing w:val="-1"/>
        </w:rPr>
        <w:t>5%</w:t>
      </w:r>
      <w:r>
        <w:rPr>
          <w:spacing w:val="-1"/>
        </w:rPr>
        <w:t>和</w:t>
      </w:r>
      <w:r>
        <w:rPr>
          <w:rFonts w:ascii="Times New Roman" w:hAnsi="Times New Roman" w:cs="Times New Roman" w:eastAsia="Times New Roman" w:hint="default"/>
          <w:spacing w:val="-1"/>
        </w:rPr>
        <w:t>10%</w:t>
      </w:r>
      <w:r>
        <w:rPr>
          <w:spacing w:val="-1"/>
        </w:rPr>
        <w:t>；双方同意变更最长工期为：光伏工程于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日前完工并通过试运行，风电工程于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30</w:t>
      </w:r>
      <w:r>
        <w:rPr>
          <w:spacing w:val="-1"/>
        </w:rPr>
        <w:t>日前</w:t>
      </w:r>
      <w:r>
        <w:rPr>
          <w:spacing w:val="-63"/>
        </w:rPr>
        <w:t> </w:t>
      </w:r>
      <w:r>
        <w:rPr/>
        <w:t>完工并通过试运行。上述变更以确保</w:t>
      </w:r>
      <w:r>
        <w:rPr>
          <w:rFonts w:ascii="Times New Roman" w:hAnsi="Times New Roman" w:cs="Times New Roman" w:eastAsia="Times New Roman" w:hint="default"/>
        </w:rPr>
        <w:t>EPC</w:t>
      </w:r>
      <w:r>
        <w:rPr/>
        <w:t>总承包合同继续顺利执行。截至本报告期末，本项目共确认收入</w:t>
      </w:r>
      <w:r>
        <w:rPr>
          <w:rFonts w:ascii="Times New Roman" w:hAnsi="Times New Roman" w:cs="Times New Roman" w:eastAsia="Times New Roman" w:hint="default"/>
        </w:rPr>
        <w:t>141,679.53</w:t>
      </w:r>
      <w:r>
        <w:rPr/>
        <w:t>万元，</w:t>
      </w:r>
      <w:r>
        <w:rPr>
          <w:spacing w:val="-58"/>
        </w:rPr>
        <w:t> </w:t>
      </w:r>
      <w:r>
        <w:rPr/>
        <w:t>完工进度为</w:t>
      </w:r>
      <w:r>
        <w:rPr>
          <w:rFonts w:ascii="Times New Roman" w:hAnsi="Times New Roman" w:cs="Times New Roman" w:eastAsia="Times New Roman" w:hint="default"/>
        </w:rPr>
        <w:t>47.25%</w:t>
      </w:r>
      <w:r>
        <w:rPr/>
        <w:t>。</w:t>
      </w:r>
    </w:p>
    <w:p>
      <w:pPr>
        <w:pStyle w:val="BodyText"/>
        <w:spacing w:line="300" w:lineRule="auto" w:before="53"/>
        <w:ind w:right="211" w:firstLine="360"/>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月份，公司与菲律宾 </w:t>
      </w:r>
      <w:r>
        <w:rPr>
          <w:rFonts w:ascii="Times New Roman" w:hAnsi="Times New Roman" w:cs="Times New Roman" w:eastAsia="Times New Roman" w:hint="default"/>
        </w:rPr>
        <w:t>OZAMIZ POWER GENERATION, INC.</w:t>
      </w:r>
      <w:r>
        <w:rPr/>
        <w:t>公司签订了《</w:t>
      </w:r>
      <w:r>
        <w:rPr>
          <w:rFonts w:ascii="Times New Roman" w:hAnsi="Times New Roman" w:cs="Times New Roman" w:eastAsia="Times New Roman" w:hint="default"/>
        </w:rPr>
        <w:t>ENGINEER,PROCURE</w:t>
      </w:r>
      <w:r>
        <w:rPr>
          <w:rFonts w:ascii="Times New Roman" w:hAnsi="Times New Roman" w:cs="Times New Roman" w:eastAsia="Times New Roman" w:hint="default"/>
          <w:spacing w:val="29"/>
        </w:rPr>
        <w:t> </w:t>
      </w:r>
      <w:r>
        <w:rPr>
          <w:rFonts w:ascii="Times New Roman" w:hAnsi="Times New Roman" w:cs="Times New Roman" w:eastAsia="Times New Roman" w:hint="default"/>
        </w:rPr>
        <w:t>AND</w:t>
      </w:r>
      <w:r>
        <w:rPr>
          <w:rFonts w:ascii="Times New Roman" w:hAnsi="Times New Roman" w:cs="Times New Roman" w:eastAsia="Times New Roman" w:hint="default"/>
          <w:w w:val="99"/>
        </w:rPr>
        <w:t> </w:t>
      </w:r>
      <w:r>
        <w:rPr>
          <w:rFonts w:ascii="Times New Roman" w:hAnsi="Times New Roman" w:cs="Times New Roman" w:eastAsia="Times New Roman" w:hint="default"/>
        </w:rPr>
        <w:t>CONSTRUCT CONTRACT FOR  OZAMIZ  300MW CFB  COAL-FIRED  </w:t>
      </w:r>
      <w:r>
        <w:rPr>
          <w:rFonts w:ascii="Times New Roman" w:hAnsi="Times New Roman" w:cs="Times New Roman" w:eastAsia="Times New Roman" w:hint="default"/>
          <w:spacing w:val="6"/>
        </w:rPr>
        <w:t>PROJECT</w:t>
      </w:r>
      <w:r>
        <w:rPr>
          <w:spacing w:val="6"/>
        </w:rPr>
        <w:t>》，公司将承接位于菲律宾 </w:t>
      </w:r>
      <w:r>
        <w:rPr>
          <w:rFonts w:ascii="Times New Roman" w:hAnsi="Times New Roman" w:cs="Times New Roman" w:eastAsia="Times New Roman" w:hint="default"/>
        </w:rPr>
        <w:t>Ozamis  </w:t>
      </w:r>
      <w:r>
        <w:rPr>
          <w:rFonts w:ascii="Times New Roman" w:hAnsi="Times New Roman" w:cs="Times New Roman" w:eastAsia="Times New Roman" w:hint="default"/>
          <w:spacing w:val="25"/>
        </w:rPr>
        <w:t> </w:t>
      </w:r>
      <w:r>
        <w:rPr/>
        <w:t>市</w:t>
      </w:r>
    </w:p>
    <w:p>
      <w:pPr>
        <w:pStyle w:val="BodyText"/>
        <w:spacing w:line="300" w:lineRule="auto" w:before="13"/>
        <w:ind w:right="114"/>
        <w:jc w:val="left"/>
      </w:pPr>
      <w:r>
        <w:rPr>
          <w:rFonts w:ascii="Times New Roman" w:hAnsi="Times New Roman" w:cs="Times New Roman" w:eastAsia="Times New Roman" w:hint="default"/>
        </w:rPr>
        <w:t>barangay pulot </w:t>
      </w:r>
      <w:r>
        <w:rPr/>
        <w:t>地区 </w:t>
      </w:r>
      <w:r>
        <w:rPr>
          <w:rFonts w:ascii="Times New Roman" w:hAnsi="Times New Roman" w:cs="Times New Roman" w:eastAsia="Times New Roman" w:hint="default"/>
        </w:rPr>
        <w:t>2×150MW </w:t>
      </w:r>
      <w:r>
        <w:rPr/>
        <w:t>循环流化床燃煤电厂项目及配套工程的 </w:t>
      </w:r>
      <w:r>
        <w:rPr>
          <w:rFonts w:ascii="Times New Roman" w:hAnsi="Times New Roman" w:cs="Times New Roman" w:eastAsia="Times New Roman" w:hint="default"/>
        </w:rPr>
        <w:t>EPC </w:t>
      </w:r>
      <w:r>
        <w:rPr/>
        <w:t>总承包工程，合同金额为</w:t>
      </w:r>
      <w:r>
        <w:rPr>
          <w:rFonts w:ascii="Times New Roman" w:hAnsi="Times New Roman" w:cs="Times New Roman" w:eastAsia="Times New Roman" w:hint="default"/>
        </w:rPr>
        <w:t>422,979,216</w:t>
      </w:r>
      <w:r>
        <w:rPr>
          <w:rFonts w:ascii="Times New Roman" w:hAnsi="Times New Roman" w:cs="Times New Roman" w:eastAsia="Times New Roman" w:hint="default"/>
          <w:spacing w:val="9"/>
        </w:rPr>
        <w:t> </w:t>
      </w:r>
      <w:r>
        <w:rPr/>
        <w:t>美元。按 照合同约定，自公司接到业主通知开工之日起，</w:t>
      </w:r>
      <w:r>
        <w:rPr>
          <w:rFonts w:ascii="Times New Roman" w:hAnsi="Times New Roman" w:cs="Times New Roman" w:eastAsia="Times New Roman" w:hint="default"/>
        </w:rPr>
        <w:t>48</w:t>
      </w:r>
      <w:r>
        <w:rPr/>
        <w:t>个月内完成。截至本报告期末，本项目合同尚未接到业主方的开工通知。</w:t>
      </w:r>
    </w:p>
    <w:p>
      <w:pPr>
        <w:spacing w:line="240" w:lineRule="auto" w:before="4"/>
        <w:rPr>
          <w:rFonts w:ascii="宋体" w:hAnsi="宋体" w:cs="宋体" w:eastAsia="宋体" w:hint="default"/>
          <w:sz w:val="22"/>
          <w:szCs w:val="22"/>
        </w:rPr>
      </w:pPr>
    </w:p>
    <w:p>
      <w:pPr>
        <w:pStyle w:val="Heading3"/>
        <w:spacing w:line="240" w:lineRule="auto"/>
        <w:ind w:right="208"/>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208"/>
        <w:jc w:val="left"/>
      </w:pPr>
      <w:r>
        <w:rPr/>
        <w:t>行业分类</w:t>
      </w:r>
    </w:p>
    <w:p>
      <w:pPr>
        <w:pStyle w:val="BodyText"/>
        <w:spacing w:line="240" w:lineRule="auto" w:before="117"/>
        <w:ind w:left="0" w:right="21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输配电及控制设 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681,658.29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25,697,874.35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-97.35%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输配电及控制设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63,986.31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83,290.69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-23.18%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输配电及控制设 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2,015,838.27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785,602.38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0.11%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156.60%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机械成套装备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53,340,735.28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418,614,918.29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-87.26%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机械成套装备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机械成套装备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4,128,069.09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90,808,405.68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-95.45%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光伏行业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156,037,214.55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光伏行业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201,606.66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光伏行业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设计费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16,981,131.60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光伏行业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102,067,614.75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11.09%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风电行业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441,892,901.17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风电行业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2,778,479.51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风电行业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招标服务费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3,773,584.77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风电行业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设计费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16,981,131.60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风电行业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114,772,837.80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12.48%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材料及其他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723,798.39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0.11%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材料及其他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2,345.94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材料及其他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22,127.03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租赁设备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折旧费用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405,810.90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3,263,092.30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-87.56%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土地出租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摊销费用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209,205.30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208,786.89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物业服务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物业成本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1,451,653.48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5,391,495.40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-73.08%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矿产产销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开采成本</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50,906,223.12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原料销售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材料成本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1,047,470.36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0.11%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21,597,994.89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-95.15%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建造业务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673,912.03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建造业务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440,207.96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建造业务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91,101,615.76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1,772,168.18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135"/>
        <w:jc w:val="left"/>
      </w:pPr>
      <w:r>
        <w:rPr/>
        <w:t>说明</w:t>
      </w:r>
    </w:p>
    <w:p>
      <w:pPr>
        <w:spacing w:line="240" w:lineRule="auto" w:before="0"/>
        <w:rPr>
          <w:rFonts w:ascii="宋体" w:hAnsi="宋体" w:cs="宋体" w:eastAsia="宋体" w:hint="default"/>
          <w:sz w:val="18"/>
          <w:szCs w:val="18"/>
        </w:rPr>
      </w:pPr>
    </w:p>
    <w:p>
      <w:pPr>
        <w:pStyle w:val="Heading3"/>
        <w:spacing w:line="240" w:lineRule="auto" w:before="120"/>
        <w:ind w:right="135"/>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3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pStyle w:val="BodyText"/>
        <w:spacing w:line="300" w:lineRule="auto" w:before="101"/>
        <w:ind w:right="148" w:firstLine="360"/>
        <w:jc w:val="both"/>
      </w:pPr>
      <w:r>
        <w:rPr/>
        <w:t>报告期内公司投资设立</w:t>
      </w:r>
      <w:r>
        <w:rPr>
          <w:rFonts w:ascii="Times New Roman" w:hAnsi="Times New Roman" w:cs="Times New Roman" w:eastAsia="Times New Roman" w:hint="default"/>
        </w:rPr>
        <w:t>Philippines</w:t>
      </w:r>
      <w:r>
        <w:rPr>
          <w:rFonts w:ascii="Times New Roman" w:hAnsi="Times New Roman" w:cs="Times New Roman" w:eastAsia="Times New Roman" w:hint="default"/>
          <w:spacing w:val="-13"/>
        </w:rPr>
        <w:t> </w:t>
      </w:r>
      <w:r>
        <w:rPr>
          <w:rFonts w:ascii="Times New Roman" w:hAnsi="Times New Roman" w:cs="Times New Roman" w:eastAsia="Times New Roman" w:hint="default"/>
        </w:rPr>
        <w:t>Qian</w:t>
      </w:r>
      <w:r>
        <w:rPr>
          <w:rFonts w:ascii="Times New Roman" w:hAnsi="Times New Roman" w:cs="Times New Roman" w:eastAsia="Times New Roman" w:hint="default"/>
          <w:spacing w:val="-11"/>
        </w:rPr>
        <w:t> </w:t>
      </w:r>
      <w:r>
        <w:rPr>
          <w:rFonts w:ascii="Times New Roman" w:hAnsi="Times New Roman" w:cs="Times New Roman" w:eastAsia="Times New Roman" w:hint="default"/>
        </w:rPr>
        <w:t>Jia</w:t>
      </w:r>
      <w:r>
        <w:rPr>
          <w:rFonts w:ascii="Times New Roman" w:hAnsi="Times New Roman" w:cs="Times New Roman" w:eastAsia="Times New Roman" w:hint="default"/>
          <w:spacing w:val="-13"/>
        </w:rPr>
        <w:t> </w:t>
      </w:r>
      <w:r>
        <w:rPr>
          <w:rFonts w:ascii="Times New Roman" w:hAnsi="Times New Roman" w:cs="Times New Roman" w:eastAsia="Times New Roman" w:hint="default"/>
        </w:rPr>
        <w:t>Services</w:t>
      </w:r>
      <w:r>
        <w:rPr>
          <w:rFonts w:ascii="Times New Roman" w:hAnsi="Times New Roman" w:cs="Times New Roman" w:eastAsia="Times New Roman" w:hint="default"/>
          <w:spacing w:val="-13"/>
        </w:rPr>
        <w:t> </w:t>
      </w:r>
      <w:r>
        <w:rPr>
          <w:rFonts w:ascii="Times New Roman" w:hAnsi="Times New Roman" w:cs="Times New Roman" w:eastAsia="Times New Roman" w:hint="default"/>
        </w:rPr>
        <w:t>Incorporated</w:t>
      </w:r>
      <w:r>
        <w:rPr/>
        <w:t>（菲律宾乾嘉服务公司）、</w:t>
      </w:r>
      <w:r>
        <w:rPr>
          <w:rFonts w:ascii="Times New Roman" w:hAnsi="Times New Roman" w:cs="Times New Roman" w:eastAsia="Times New Roman" w:hint="default"/>
        </w:rPr>
        <w:t>H&amp;Shun</w:t>
      </w:r>
      <w:r>
        <w:rPr>
          <w:rFonts w:ascii="Times New Roman" w:hAnsi="Times New Roman" w:cs="Times New Roman" w:eastAsia="Times New Roman" w:hint="default"/>
          <w:spacing w:val="-11"/>
        </w:rPr>
        <w:t> </w:t>
      </w:r>
      <w:r>
        <w:rPr>
          <w:rFonts w:ascii="Times New Roman" w:hAnsi="Times New Roman" w:cs="Times New Roman" w:eastAsia="Times New Roman" w:hint="default"/>
        </w:rPr>
        <w:t>International</w:t>
      </w:r>
      <w:r>
        <w:rPr>
          <w:rFonts w:ascii="Times New Roman" w:hAnsi="Times New Roman" w:cs="Times New Roman" w:eastAsia="Times New Roman" w:hint="default"/>
          <w:spacing w:val="-12"/>
        </w:rPr>
        <w:t> </w:t>
      </w:r>
      <w:r>
        <w:rPr>
          <w:rFonts w:ascii="Times New Roman" w:hAnsi="Times New Roman" w:cs="Times New Roman" w:eastAsia="Times New Roman" w:hint="default"/>
        </w:rPr>
        <w:t>Holdings</w:t>
      </w:r>
      <w:r>
        <w:rPr>
          <w:rFonts w:ascii="Times New Roman" w:hAnsi="Times New Roman" w:cs="Times New Roman" w:eastAsia="Times New Roman" w:hint="default"/>
          <w:w w:val="99"/>
        </w:rPr>
        <w:t> </w:t>
      </w:r>
      <w:r>
        <w:rPr>
          <w:rFonts w:ascii="Times New Roman" w:hAnsi="Times New Roman" w:cs="Times New Roman" w:eastAsia="Times New Roman" w:hint="default"/>
        </w:rPr>
        <w:t>Hong</w:t>
      </w:r>
      <w:r>
        <w:rPr>
          <w:rFonts w:ascii="Times New Roman" w:hAnsi="Times New Roman" w:cs="Times New Roman" w:eastAsia="Times New Roman" w:hint="default"/>
          <w:spacing w:val="-13"/>
        </w:rPr>
        <w:t> </w:t>
      </w:r>
      <w:r>
        <w:rPr>
          <w:rFonts w:ascii="Times New Roman" w:hAnsi="Times New Roman" w:cs="Times New Roman" w:eastAsia="Times New Roman" w:hint="default"/>
        </w:rPr>
        <w:t>Kong</w:t>
      </w:r>
      <w:r>
        <w:rPr>
          <w:rFonts w:ascii="Times New Roman" w:hAnsi="Times New Roman" w:cs="Times New Roman" w:eastAsia="Times New Roman" w:hint="default"/>
          <w:spacing w:val="-13"/>
        </w:rPr>
        <w:t> </w:t>
      </w:r>
      <w:r>
        <w:rPr>
          <w:rFonts w:ascii="Times New Roman" w:hAnsi="Times New Roman" w:cs="Times New Roman" w:eastAsia="Times New Roman" w:hint="default"/>
        </w:rPr>
        <w:t>Limited</w:t>
      </w:r>
      <w:r>
        <w:rPr>
          <w:rFonts w:ascii="Times New Roman" w:hAnsi="Times New Roman" w:cs="Times New Roman" w:eastAsia="Times New Roman" w:hint="default"/>
          <w:spacing w:val="26"/>
        </w:rPr>
        <w:t> </w:t>
      </w:r>
      <w:r>
        <w:rPr/>
        <w:t>（恒顺（香港）国际控股有限公司）、</w:t>
      </w:r>
      <w:r>
        <w:rPr>
          <w:rFonts w:ascii="Times New Roman" w:hAnsi="Times New Roman" w:cs="Times New Roman" w:eastAsia="Times New Roman" w:hint="default"/>
        </w:rPr>
        <w:t>China</w:t>
      </w:r>
      <w:r>
        <w:rPr>
          <w:rFonts w:ascii="Times New Roman" w:hAnsi="Times New Roman" w:cs="Times New Roman" w:eastAsia="Times New Roman" w:hint="default"/>
          <w:spacing w:val="-12"/>
        </w:rPr>
        <w:t> </w:t>
      </w:r>
      <w:r>
        <w:rPr>
          <w:rFonts w:ascii="Times New Roman" w:hAnsi="Times New Roman" w:cs="Times New Roman" w:eastAsia="Times New Roman" w:hint="default"/>
        </w:rPr>
        <w:t>Africa</w:t>
      </w:r>
      <w:r>
        <w:rPr>
          <w:rFonts w:ascii="Times New Roman" w:hAnsi="Times New Roman" w:cs="Times New Roman" w:eastAsia="Times New Roman" w:hint="default"/>
          <w:spacing w:val="-12"/>
        </w:rPr>
        <w:t> </w:t>
      </w:r>
      <w:r>
        <w:rPr>
          <w:rFonts w:ascii="Times New Roman" w:hAnsi="Times New Roman" w:cs="Times New Roman" w:eastAsia="Times New Roman" w:hint="default"/>
        </w:rPr>
        <w:t>Cigarette</w:t>
      </w:r>
      <w:r>
        <w:rPr>
          <w:rFonts w:ascii="Times New Roman" w:hAnsi="Times New Roman" w:cs="Times New Roman" w:eastAsia="Times New Roman" w:hint="default"/>
          <w:spacing w:val="-12"/>
        </w:rPr>
        <w:t> </w:t>
      </w:r>
      <w:r>
        <w:rPr>
          <w:rFonts w:ascii="Times New Roman" w:hAnsi="Times New Roman" w:cs="Times New Roman" w:eastAsia="Times New Roman" w:hint="default"/>
        </w:rPr>
        <w:t>Company</w:t>
      </w:r>
      <w:r>
        <w:rPr>
          <w:rFonts w:ascii="Times New Roman" w:hAnsi="Times New Roman" w:cs="Times New Roman" w:eastAsia="Times New Roman" w:hint="default"/>
          <w:spacing w:val="-15"/>
        </w:rPr>
        <w:t> </w:t>
      </w:r>
      <w:r>
        <w:rPr>
          <w:rFonts w:ascii="Times New Roman" w:hAnsi="Times New Roman" w:cs="Times New Roman" w:eastAsia="Times New Roman" w:hint="default"/>
        </w:rPr>
        <w:t>(Private)</w:t>
      </w:r>
      <w:r>
        <w:rPr>
          <w:rFonts w:ascii="Times New Roman" w:hAnsi="Times New Roman" w:cs="Times New Roman" w:eastAsia="Times New Roman" w:hint="default"/>
          <w:spacing w:val="-9"/>
        </w:rPr>
        <w:t> </w:t>
      </w:r>
      <w:r>
        <w:rPr>
          <w:rFonts w:ascii="Times New Roman" w:hAnsi="Times New Roman" w:cs="Times New Roman" w:eastAsia="Times New Roman" w:hint="default"/>
        </w:rPr>
        <w:t>Limited</w:t>
      </w:r>
      <w:r>
        <w:rPr/>
        <w:t>（中非香烟有限公</w:t>
      </w:r>
      <w:r>
        <w:rPr>
          <w:w w:val="99"/>
        </w:rPr>
        <w:t> </w:t>
      </w:r>
      <w:r>
        <w:rPr/>
        <w:t>司）、青岛恒顺众昇电力工程技术研究院四个全资子公司，自设立之日起集团将其纳入合并范围。</w:t>
      </w:r>
    </w:p>
    <w:p>
      <w:pPr>
        <w:spacing w:after="0" w:line="300"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35"/>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35"/>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35"/>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1,521,026,464.91</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99.92%</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3.01%</w:t>
            </w:r>
          </w:p>
        </w:tc>
      </w:tr>
    </w:tbl>
    <w:p>
      <w:pPr>
        <w:pStyle w:val="BodyText"/>
        <w:spacing w:line="240" w:lineRule="auto" w:before="49"/>
        <w:ind w:right="135"/>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Energy Logics</w:t>
            </w:r>
            <w:r>
              <w:rPr>
                <w:rFonts w:ascii="Times New Roman"/>
                <w:spacing w:val="-10"/>
                <w:sz w:val="18"/>
              </w:rPr>
              <w:t> </w:t>
            </w:r>
            <w:r>
              <w:rPr>
                <w:rFonts w:ascii="Times New Roman"/>
                <w:sz w:val="18"/>
              </w:rPr>
              <w:t>Philippines,Inc</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1,416,795,331.66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93.07%</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pacing w:val="-5"/>
                <w:sz w:val="18"/>
              </w:rPr>
              <w:t>PT. </w:t>
            </w:r>
            <w:r>
              <w:rPr>
                <w:rFonts w:ascii="Times New Roman"/>
                <w:sz w:val="18"/>
              </w:rPr>
              <w:t>Pembangkit Sumber Daya</w:t>
            </w:r>
            <w:r>
              <w:rPr>
                <w:rFonts w:ascii="Times New Roman"/>
                <w:spacing w:val="-6"/>
                <w:sz w:val="18"/>
              </w:rPr>
              <w:t> </w:t>
            </w:r>
            <w:r>
              <w:rPr>
                <w:rFonts w:ascii="Times New Roman"/>
                <w:sz w:val="18"/>
              </w:rPr>
              <w:t>Indonesia</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42,195,570.33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2.77%</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PT.Metal Smeltindo</w:t>
            </w:r>
            <w:r>
              <w:rPr>
                <w:rFonts w:ascii="Times New Roman"/>
                <w:spacing w:val="-24"/>
                <w:sz w:val="18"/>
              </w:rPr>
              <w:t> </w:t>
            </w:r>
            <w:r>
              <w:rPr>
                <w:rFonts w:ascii="Times New Roman"/>
                <w:sz w:val="18"/>
              </w:rPr>
              <w:t>Selaras</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45,792,740.63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PT.Artabumi Sentra</w:t>
            </w:r>
            <w:r>
              <w:rPr>
                <w:rFonts w:ascii="Times New Roman"/>
                <w:spacing w:val="-19"/>
                <w:sz w:val="18"/>
              </w:rPr>
              <w:t> </w:t>
            </w:r>
            <w:r>
              <w:rPr>
                <w:rFonts w:ascii="Times New Roman"/>
                <w:sz w:val="18"/>
              </w:rPr>
              <w:t>Industri</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14,249,127.79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0.94%</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北京久日曼驰科技有限公司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1,993,694.50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0.13%</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1,521,026,464.91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99.92%</w:t>
            </w:r>
          </w:p>
        </w:tc>
      </w:tr>
    </w:tbl>
    <w:p>
      <w:pPr>
        <w:pStyle w:val="BodyText"/>
        <w:spacing w:line="240" w:lineRule="auto" w:before="49"/>
        <w:ind w:right="135"/>
        <w:jc w:val="left"/>
      </w:pPr>
      <w:r>
        <w:rPr/>
        <w:t>主要客户其他情况说明</w:t>
      </w:r>
    </w:p>
    <w:p>
      <w:pPr>
        <w:pStyle w:val="BodyText"/>
        <w:spacing w:line="338" w:lineRule="auto" w:before="117"/>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796,731,123.38</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91.84%</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35"/>
        <w:jc w:val="left"/>
      </w:pPr>
      <w:r>
        <w:rPr/>
        <w:t>公司前</w:t>
      </w:r>
      <w:r>
        <w:rPr>
          <w:spacing w:val="-45"/>
        </w:rPr>
        <w:t> </w:t>
      </w:r>
      <w:r>
        <w:rPr>
          <w:rFonts w:ascii="Times New Roman" w:hAnsi="Times New Roman" w:cs="Times New Roman" w:eastAsia="Times New Roman" w:hint="default"/>
        </w:rPr>
        <w:t>5 </w:t>
      </w:r>
      <w:r>
        <w:rPr/>
        <w:t>名供应商资料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上海电力设计院物资有限公司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428,505,938.98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49.40%</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四川省西点电力设计有限公司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250,874,289.96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28.92%</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隆基乐叶光伏科技有限公司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64,636,752.16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7.45%</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江苏中信博新能源科技股份有限公司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28,476,962.79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中建材信息技术股份有限公司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24,237,179.49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796,731,123.38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91.84%</w:t>
            </w:r>
          </w:p>
        </w:tc>
      </w:tr>
    </w:tbl>
    <w:p>
      <w:pPr>
        <w:pStyle w:val="BodyText"/>
        <w:spacing w:line="240" w:lineRule="auto" w:before="49"/>
        <w:ind w:right="135"/>
        <w:jc w:val="left"/>
      </w:pPr>
      <w:r>
        <w:rPr/>
        <w:t>主要供应商其他情况说明</w:t>
      </w:r>
    </w:p>
    <w:p>
      <w:pPr>
        <w:pStyle w:val="BodyText"/>
        <w:spacing w:line="240" w:lineRule="auto" w:before="115"/>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35"/>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9"/>
      </w:tblGrid>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7,031,081.14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18,254,184.25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-61.48%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本报告期发船较少，导致港杂费减少</w:t>
            </w: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102,104,125.32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108,452,593.36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32,600,751.30</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9" w:right="0"/>
              <w:jc w:val="left"/>
              <w:rPr>
                <w:rFonts w:ascii="Times New Roman" w:hAnsi="Times New Roman" w:cs="Times New Roman" w:eastAsia="Times New Roman" w:hint="default"/>
                <w:sz w:val="18"/>
                <w:szCs w:val="18"/>
              </w:rPr>
            </w:pPr>
            <w:r>
              <w:rPr>
                <w:rFonts w:ascii="Times New Roman"/>
                <w:sz w:val="18"/>
              </w:rPr>
              <w:t>1,891,582.33</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8" w:right="0"/>
              <w:jc w:val="left"/>
              <w:rPr>
                <w:rFonts w:ascii="Times New Roman" w:hAnsi="Times New Roman" w:cs="Times New Roman" w:eastAsia="Times New Roman" w:hint="default"/>
                <w:sz w:val="18"/>
                <w:szCs w:val="18"/>
              </w:rPr>
            </w:pPr>
            <w:r>
              <w:rPr>
                <w:rFonts w:ascii="Times New Roman"/>
                <w:sz w:val="18"/>
              </w:rPr>
              <w:t>1,623.46%</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3"/>
              <w:jc w:val="left"/>
              <w:rPr>
                <w:rFonts w:ascii="宋体" w:hAnsi="宋体" w:cs="宋体" w:eastAsia="宋体" w:hint="default"/>
                <w:sz w:val="18"/>
                <w:szCs w:val="18"/>
              </w:rPr>
            </w:pPr>
            <w:r>
              <w:rPr>
                <w:rFonts w:ascii="宋体" w:hAnsi="宋体" w:cs="宋体" w:eastAsia="宋体" w:hint="default"/>
                <w:sz w:val="18"/>
                <w:szCs w:val="18"/>
              </w:rPr>
              <w:t>本报告期利息支出和汇兑损失增加， 利息支出增加是由于投资和生产经 营需要的资金较多所致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35"/>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513" w:right="218"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报告期内公司研发支出</w:t>
      </w:r>
      <w:r>
        <w:rPr>
          <w:rFonts w:ascii="Times New Roman" w:hAnsi="Times New Roman" w:cs="Times New Roman" w:eastAsia="Times New Roman" w:hint="default"/>
        </w:rPr>
        <w:t>3,829.31</w:t>
      </w:r>
      <w:r>
        <w:rPr/>
        <w:t>万元，占报告期内营业收入的比重为</w:t>
      </w:r>
      <w:r>
        <w:rPr>
          <w:rFonts w:ascii="Times New Roman" w:hAnsi="Times New Roman" w:cs="Times New Roman" w:eastAsia="Times New Roman" w:hint="default"/>
        </w:rPr>
        <w:t>2.52%</w:t>
      </w:r>
      <w:r>
        <w:rPr/>
        <w:t>。公司为高新技术企业，一直将研发创新纳</w:t>
      </w:r>
    </w:p>
    <w:p>
      <w:pPr>
        <w:pStyle w:val="BodyText"/>
        <w:spacing w:line="215" w:lineRule="exact"/>
        <w:ind w:right="0"/>
        <w:jc w:val="left"/>
      </w:pPr>
      <w:r>
        <w:rPr/>
        <w:t>入公司的战略规划。报告期主要开展了镍铁特种冶炼余热发电技术研究、矿热电炉镍铁冶炼渣综合利用技术研究、虚拟与现</w:t>
      </w:r>
    </w:p>
    <w:p>
      <w:pPr>
        <w:pStyle w:val="BodyText"/>
        <w:spacing w:line="316" w:lineRule="auto" w:before="76"/>
        <w:ind w:right="135"/>
        <w:jc w:val="left"/>
      </w:pPr>
      <w:r>
        <w:rPr>
          <w:spacing w:val="-2"/>
        </w:rPr>
        <w:t>实智慧工业园技术开发、棉秆沼气化中试工艺研发、特高压输电线路保护方案研究、高效率聚光光伏系统研究、风电机组抗</w:t>
      </w:r>
      <w:r>
        <w:rPr>
          <w:spacing w:val="-65"/>
        </w:rPr>
        <w:t> </w:t>
      </w:r>
      <w:r>
        <w:rPr>
          <w:spacing w:val="-65"/>
        </w:rPr>
      </w:r>
      <w:r>
        <w:rPr/>
        <w:t>高温研究等研发项目，并取得预期进展。</w:t>
      </w:r>
    </w:p>
    <w:p>
      <w:pPr>
        <w:pStyle w:val="BodyText"/>
        <w:spacing w:line="240" w:lineRule="auto" w:before="59"/>
        <w:ind w:right="135"/>
        <w:jc w:val="left"/>
      </w:pPr>
      <w:r>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26</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38,293,063.36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33,143,583.45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43,572,013.90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35"/>
        <w:jc w:val="left"/>
      </w:pPr>
      <w:r>
        <w:rPr/>
        <w:t>研发投入总额占营业收入的比重较上年发生显著变化的原因</w:t>
      </w:r>
    </w:p>
    <w:p>
      <w:pPr>
        <w:pStyle w:val="BodyText"/>
        <w:spacing w:line="34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研发投入资本化率大幅变动的原因及其合理性说明</w:t>
      </w:r>
    </w:p>
    <w:p>
      <w:pPr>
        <w:pStyle w:val="BodyText"/>
        <w:spacing w:line="240" w:lineRule="auto" w:before="41"/>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35"/>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570,775,857.52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399,490,818.10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42.88%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698,492,039.64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581,444,863.83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20.13%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-127,716,182.12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-181,954,045.73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29.81%</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23,000,316.51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9,270,578.14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148.10%</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-23,000,316.51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-9,269,578.14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-148.13%</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539,588,669.85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333,134,510.00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61.97%</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350,684,699.36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377,545,779.29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-7.11%</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188,903,970.49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-44,411,269.29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525.35%</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38,327,352.58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-217,064,276.56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117.66%</w:t>
            </w:r>
          </w:p>
        </w:tc>
      </w:tr>
    </w:tbl>
    <w:p>
      <w:pPr>
        <w:pStyle w:val="BodyText"/>
        <w:spacing w:line="240" w:lineRule="auto" w:before="49"/>
        <w:ind w:right="135"/>
        <w:jc w:val="left"/>
      </w:pPr>
      <w:r>
        <w:rPr/>
        <w:t>相关数据同比发生重大变动的主要影响因素说明</w:t>
      </w:r>
    </w:p>
    <w:p>
      <w:pPr>
        <w:pStyle w:val="BodyText"/>
        <w:spacing w:line="240" w:lineRule="auto" w:before="115"/>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35"/>
        <w:jc w:val="left"/>
      </w:pPr>
      <w:r>
        <w:rPr>
          <w:spacing w:val="-1"/>
        </w:rPr>
        <w:t>（</w:t>
      </w:r>
      <w:r>
        <w:rPr>
          <w:rFonts w:ascii="Times New Roman" w:hAnsi="Times New Roman" w:cs="Times New Roman" w:eastAsia="Times New Roman" w:hint="default"/>
          <w:spacing w:val="-1"/>
        </w:rPr>
        <w:t>1</w:t>
      </w:r>
      <w:r>
        <w:rPr>
          <w:spacing w:val="-1"/>
        </w:rPr>
        <w:t>）经营活动产生的现金流量净额：</w:t>
      </w:r>
      <w:r>
        <w:rPr>
          <w:rFonts w:ascii="Times New Roman" w:hAnsi="Times New Roman" w:cs="Times New Roman" w:eastAsia="Times New Roman" w:hint="default"/>
          <w:spacing w:val="-1"/>
        </w:rPr>
        <w:t>2017</w:t>
      </w:r>
      <w:r>
        <w:rPr>
          <w:spacing w:val="-1"/>
        </w:rPr>
        <w:t>年较</w:t>
      </w:r>
      <w:r>
        <w:rPr>
          <w:rFonts w:ascii="Times New Roman" w:hAnsi="Times New Roman" w:cs="Times New Roman" w:eastAsia="Times New Roman" w:hint="default"/>
          <w:spacing w:val="-1"/>
        </w:rPr>
        <w:t>2016</w:t>
      </w:r>
      <w:r>
        <w:rPr>
          <w:spacing w:val="-1"/>
        </w:rPr>
        <w:t>年增加</w:t>
      </w:r>
      <w:r>
        <w:rPr>
          <w:rFonts w:ascii="Times New Roman" w:hAnsi="Times New Roman" w:cs="Times New Roman" w:eastAsia="Times New Roman" w:hint="default"/>
          <w:spacing w:val="-1"/>
        </w:rPr>
        <w:t>29.81%</w:t>
      </w:r>
      <w:r>
        <w:rPr>
          <w:spacing w:val="-1"/>
        </w:rPr>
        <w:t>，主要原因是本报告期管理层加强应收账款管理，使得回</w:t>
      </w:r>
      <w:r>
        <w:rPr>
          <w:spacing w:val="-42"/>
        </w:rPr>
        <w:t> </w:t>
      </w:r>
      <w:r>
        <w:rPr>
          <w:spacing w:val="-42"/>
        </w:rPr>
      </w:r>
      <w:r>
        <w:rPr/>
        <w:t>款增加所致。</w:t>
      </w:r>
    </w:p>
    <w:p>
      <w:pPr>
        <w:pStyle w:val="BodyText"/>
        <w:spacing w:line="300" w:lineRule="auto" w:before="31"/>
        <w:ind w:right="146"/>
        <w:jc w:val="left"/>
      </w:pPr>
      <w:r>
        <w:rPr/>
        <w:t>（</w:t>
      </w:r>
      <w:r>
        <w:rPr>
          <w:rFonts w:ascii="Times New Roman" w:hAnsi="Times New Roman" w:cs="Times New Roman" w:eastAsia="Times New Roman" w:hint="default"/>
        </w:rPr>
        <w:t>2</w:t>
      </w:r>
      <w:r>
        <w:rPr/>
        <w:t>）投资活动产生的现金流量净额：</w:t>
      </w:r>
      <w:r>
        <w:rPr>
          <w:spacing w:val="-17"/>
        </w:rPr>
        <w:t> </w:t>
      </w:r>
      <w:r>
        <w:rPr>
          <w:rFonts w:ascii="Times New Roman" w:hAnsi="Times New Roman" w:cs="Times New Roman" w:eastAsia="Times New Roman" w:hint="default"/>
        </w:rPr>
        <w:t>2017</w:t>
      </w:r>
      <w:r>
        <w:rPr/>
        <w:t>年较</w:t>
      </w:r>
      <w:r>
        <w:rPr>
          <w:rFonts w:ascii="Times New Roman" w:hAnsi="Times New Roman" w:cs="Times New Roman" w:eastAsia="Times New Roman" w:hint="default"/>
        </w:rPr>
        <w:t>2016</w:t>
      </w:r>
      <w:r>
        <w:rPr/>
        <w:t>年减少</w:t>
      </w:r>
      <w:r>
        <w:rPr>
          <w:rFonts w:ascii="Times New Roman" w:hAnsi="Times New Roman" w:cs="Times New Roman" w:eastAsia="Times New Roman" w:hint="default"/>
        </w:rPr>
        <w:t>148.13%</w:t>
      </w:r>
      <w:r>
        <w:rPr/>
        <w:t>，主要原因是本报告期管理层积极推进海外项目，使得 投资增加所致。</w:t>
      </w:r>
    </w:p>
    <w:p>
      <w:pPr>
        <w:pStyle w:val="BodyText"/>
        <w:spacing w:line="300" w:lineRule="auto" w:before="31"/>
        <w:ind w:right="135"/>
        <w:jc w:val="left"/>
      </w:pPr>
      <w:r>
        <w:rPr/>
        <w:t>（</w:t>
      </w:r>
      <w:r>
        <w:rPr>
          <w:rFonts w:ascii="Times New Roman" w:hAnsi="Times New Roman" w:cs="Times New Roman" w:eastAsia="Times New Roman" w:hint="default"/>
        </w:rPr>
        <w:t>3</w:t>
      </w:r>
      <w:r>
        <w:rPr/>
        <w:t>）筹资活动产生的现金流量净额：</w:t>
      </w:r>
      <w:r>
        <w:rPr>
          <w:rFonts w:ascii="Times New Roman" w:hAnsi="Times New Roman" w:cs="Times New Roman" w:eastAsia="Times New Roman" w:hint="default"/>
        </w:rPr>
        <w:t>2017</w:t>
      </w:r>
      <w:r>
        <w:rPr/>
        <w:t>年较</w:t>
      </w:r>
      <w:r>
        <w:rPr>
          <w:rFonts w:ascii="Times New Roman" w:hAnsi="Times New Roman" w:cs="Times New Roman" w:eastAsia="Times New Roman" w:hint="default"/>
        </w:rPr>
        <w:t>2016</w:t>
      </w:r>
      <w:r>
        <w:rPr/>
        <w:t>年增加</w:t>
      </w:r>
      <w:r>
        <w:rPr>
          <w:rFonts w:ascii="Times New Roman" w:hAnsi="Times New Roman" w:cs="Times New Roman" w:eastAsia="Times New Roman" w:hint="default"/>
        </w:rPr>
        <w:t>525.35%</w:t>
      </w:r>
      <w:r>
        <w:rPr/>
        <w:t>，主要原因是本报告期生产经营及投资所需资金较多，</w:t>
      </w:r>
      <w:r>
        <w:rPr>
          <w:spacing w:val="-20"/>
        </w:rPr>
        <w:t> </w:t>
      </w:r>
      <w:r>
        <w:rPr>
          <w:spacing w:val="-20"/>
        </w:rPr>
      </w:r>
      <w:r>
        <w:rPr/>
        <w:t>管理层加大筹资力度，使得借款增加所致。</w:t>
      </w:r>
    </w:p>
    <w:p>
      <w:pPr>
        <w:spacing w:line="240" w:lineRule="auto" w:before="0"/>
        <w:rPr>
          <w:rFonts w:ascii="宋体" w:hAnsi="宋体" w:cs="宋体" w:eastAsia="宋体" w:hint="default"/>
          <w:sz w:val="18"/>
          <w:szCs w:val="18"/>
        </w:rPr>
      </w:pPr>
    </w:p>
    <w:p>
      <w:pPr>
        <w:pStyle w:val="BodyText"/>
        <w:spacing w:line="240" w:lineRule="auto" w:before="149"/>
        <w:ind w:right="135"/>
        <w:jc w:val="left"/>
      </w:pPr>
      <w:r>
        <w:rPr/>
        <w:t>报告期内公司经营活动产生的现金净流量与本年度净利润存在重大差异的原因说明</w:t>
      </w:r>
    </w:p>
    <w:p>
      <w:pPr>
        <w:pStyle w:val="BodyText"/>
        <w:spacing w:line="340" w:lineRule="auto" w:before="115"/>
        <w:ind w:right="47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公司按照建造合同形成的已完工产品确认收入但尚未结算所致。</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5"/>
          <w:szCs w:val="25"/>
        </w:rPr>
      </w:pPr>
    </w:p>
    <w:p>
      <w:pPr>
        <w:pStyle w:val="Heading2"/>
        <w:spacing w:line="240" w:lineRule="auto"/>
        <w:ind w:right="135"/>
        <w:jc w:val="left"/>
        <w:rPr>
          <w:b w:val="0"/>
          <w:bCs w:val="0"/>
        </w:rPr>
      </w:pPr>
      <w:r>
        <w:rPr/>
        <w:t>三、非主营业务情况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35"/>
        <w:jc w:val="left"/>
        <w:rPr>
          <w:b w:val="0"/>
          <w:bCs w:val="0"/>
        </w:rPr>
      </w:pP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35"/>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164"/>
        <w:gridCol w:w="1064"/>
        <w:gridCol w:w="1195"/>
        <w:gridCol w:w="1064"/>
        <w:gridCol w:w="797"/>
        <w:gridCol w:w="2919"/>
      </w:tblGrid>
      <w:tr>
        <w:trPr>
          <w:trHeight w:val="380" w:hRule="exact"/>
        </w:trPr>
        <w:tc>
          <w:tcPr>
            <w:tcW w:w="135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9"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6"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282,833,696.1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7.27%</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168,906,559.47</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6.09%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1.18%</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0"/>
              <w:ind w:left="87" w:right="0"/>
              <w:jc w:val="left"/>
              <w:rPr>
                <w:rFonts w:ascii="Times New Roman" w:hAnsi="Times New Roman" w:cs="Times New Roman" w:eastAsia="Times New Roman" w:hint="default"/>
                <w:sz w:val="18"/>
                <w:szCs w:val="18"/>
              </w:rPr>
            </w:pPr>
            <w:r>
              <w:rPr>
                <w:rFonts w:ascii="Times New Roman"/>
                <w:sz w:val="18"/>
              </w:rPr>
              <w:t>602,328,827.6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8" w:right="0"/>
              <w:jc w:val="left"/>
              <w:rPr>
                <w:rFonts w:ascii="Times New Roman" w:hAnsi="Times New Roman" w:cs="Times New Roman" w:eastAsia="Times New Roman" w:hint="default"/>
                <w:sz w:val="18"/>
                <w:szCs w:val="18"/>
              </w:rPr>
            </w:pPr>
            <w:r>
              <w:rPr>
                <w:rFonts w:ascii="Times New Roman"/>
                <w:sz w:val="18"/>
              </w:rPr>
              <w:t>15.48%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3" w:right="0"/>
              <w:jc w:val="left"/>
              <w:rPr>
                <w:rFonts w:ascii="Times New Roman" w:hAnsi="Times New Roman" w:cs="Times New Roman" w:eastAsia="Times New Roman" w:hint="default"/>
                <w:sz w:val="18"/>
                <w:szCs w:val="18"/>
              </w:rPr>
            </w:pPr>
            <w:r>
              <w:rPr>
                <w:rFonts w:ascii="Times New Roman"/>
                <w:sz w:val="18"/>
              </w:rPr>
              <w:t>1,139,234,129.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8" w:right="0"/>
              <w:jc w:val="left"/>
              <w:rPr>
                <w:rFonts w:ascii="Times New Roman" w:hAnsi="Times New Roman" w:cs="Times New Roman" w:eastAsia="Times New Roman" w:hint="default"/>
                <w:sz w:val="18"/>
                <w:szCs w:val="18"/>
              </w:rPr>
            </w:pPr>
            <w:r>
              <w:rPr>
                <w:rFonts w:ascii="Times New Roman"/>
                <w:sz w:val="18"/>
              </w:rPr>
              <w:t>41.05%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1" w:right="0"/>
              <w:jc w:val="left"/>
              <w:rPr>
                <w:rFonts w:ascii="Times New Roman" w:hAnsi="Times New Roman" w:cs="Times New Roman" w:eastAsia="Times New Roman" w:hint="default"/>
                <w:sz w:val="18"/>
                <w:szCs w:val="18"/>
              </w:rPr>
            </w:pPr>
            <w:r>
              <w:rPr>
                <w:rFonts w:ascii="Times New Roman"/>
                <w:sz w:val="18"/>
              </w:rPr>
              <w:t>-25.57%</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164"/>
        <w:gridCol w:w="1064"/>
        <w:gridCol w:w="1195"/>
        <w:gridCol w:w="1064"/>
        <w:gridCol w:w="797"/>
        <w:gridCol w:w="2919"/>
      </w:tblGrid>
      <w:tr>
        <w:trPr>
          <w:trHeight w:val="36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41</w:t>
            </w:r>
          </w:p>
        </w:tc>
        <w:tc>
          <w:tcPr>
            <w:tcW w:w="106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1,714,640,169.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44.05%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267,605,994.29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34.41%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本报告期部分建造合同形成的已完 工资产未结算所致</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3,630,130.33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4,086,197.88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164,235,883.6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194,130,093.35</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274,121,357.7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242,029,469.94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419,564,105.1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10.78%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415,807,904.54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312,163,049.9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136,688,157.70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1,084,649,229.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27.87%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693,444,772.87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24.99%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2.88%</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35"/>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35"/>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9"/>
        <w:jc w:val="right"/>
      </w:pPr>
      <w:r>
        <w:rPr/>
        <w:t>单位：元</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327"/>
        <w:gridCol w:w="3058"/>
        <w:gridCol w:w="3185"/>
      </w:tblGrid>
      <w:tr>
        <w:trPr>
          <w:trHeight w:val="425" w:hRule="exact"/>
        </w:trPr>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981"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27" w:hRule="exact"/>
        </w:trPr>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72,656,864.89</w:t>
            </w:r>
          </w:p>
        </w:tc>
        <w:tc>
          <w:tcPr>
            <w:tcW w:w="3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银行借款抵押物</w:t>
            </w:r>
          </w:p>
        </w:tc>
      </w:tr>
      <w:tr>
        <w:trPr>
          <w:trHeight w:val="428" w:hRule="exact"/>
        </w:trPr>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5,417,952.74</w:t>
            </w:r>
          </w:p>
        </w:tc>
        <w:tc>
          <w:tcPr>
            <w:tcW w:w="3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银行借款抵押物</w:t>
            </w:r>
          </w:p>
        </w:tc>
      </w:tr>
      <w:tr>
        <w:trPr>
          <w:trHeight w:val="427" w:hRule="exact"/>
        </w:trPr>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78,074,817.63</w:t>
            </w:r>
          </w:p>
        </w:tc>
        <w:tc>
          <w:tcPr>
            <w:tcW w:w="318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before="26"/>
        <w:ind w:right="135"/>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35"/>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34,285,507.66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74,164,695.66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-53.77%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35"/>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35"/>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35"/>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3"/>
        <w:spacing w:line="240" w:lineRule="auto"/>
        <w:ind w:right="135"/>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公司报告期无募集资金使用情况。</w:t>
      </w:r>
    </w:p>
    <w:p>
      <w:pPr>
        <w:spacing w:line="240" w:lineRule="auto" w:before="4"/>
        <w:rPr>
          <w:rFonts w:ascii="宋体" w:hAnsi="宋体" w:cs="宋体" w:eastAsia="宋体" w:hint="default"/>
          <w:sz w:val="19"/>
          <w:szCs w:val="19"/>
        </w:rPr>
      </w:pPr>
    </w:p>
    <w:p>
      <w:pPr>
        <w:pStyle w:val="Heading2"/>
        <w:spacing w:line="240" w:lineRule="auto"/>
        <w:ind w:right="135"/>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35"/>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3"/>
        <w:rPr>
          <w:rFonts w:ascii="宋体" w:hAnsi="宋体" w:cs="宋体" w:eastAsia="宋体" w:hint="default"/>
          <w:sz w:val="21"/>
          <w:szCs w:val="21"/>
        </w:rPr>
      </w:pPr>
    </w:p>
    <w:p>
      <w:pPr>
        <w:pStyle w:val="Heading3"/>
        <w:spacing w:line="240" w:lineRule="auto"/>
        <w:ind w:right="135"/>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35"/>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79" w:top="1060" w:bottom="1160" w:left="980" w:right="98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4851" w:space="4069"/>
            <w:col w:w="103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227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26"/>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Heng</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Shun</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
                <w:sz w:val="18"/>
                <w:szCs w:val="18"/>
              </w:rPr>
              <w:t>Tian</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Cheng</w:t>
            </w:r>
            <w:r>
              <w:rPr>
                <w:rFonts w:ascii="Times New Roman" w:hAnsi="Times New Roman" w:cs="Times New Roman" w:eastAsia="Times New Roman" w:hint="default"/>
                <w:sz w:val="18"/>
                <w:szCs w:val="18"/>
              </w:rPr>
              <w:t> EPC Pte.</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Ltd.</w:t>
            </w:r>
            <w:r>
              <w:rPr>
                <w:rFonts w:ascii="Times New Roman" w:hAnsi="Times New Roman" w:cs="Times New Roman" w:eastAsia="Times New Roman" w:hint="default"/>
                <w:sz w:val="18"/>
                <w:szCs w:val="18"/>
              </w:rPr>
              <w:t> (</w:t>
            </w:r>
            <w:r>
              <w:rPr>
                <w:rFonts w:ascii="宋体" w:hAnsi="宋体" w:cs="宋体" w:eastAsia="宋体" w:hint="default"/>
                <w:sz w:val="18"/>
                <w:szCs w:val="18"/>
              </w:rPr>
              <w:t>恒顺新加坡 天成工程总 承包有限公 司</w:t>
            </w:r>
            <w:r>
              <w:rPr>
                <w:rFonts w:ascii="Times New Roman" w:hAnsi="Times New Roman" w:cs="Times New Roman" w:eastAsia="Times New Roman" w:hint="default"/>
                <w:sz w:val="18"/>
                <w:szCs w:val="18"/>
              </w:rPr>
              <w:t>)</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 w:right="452"/>
              <w:jc w:val="left"/>
              <w:rPr>
                <w:rFonts w:ascii="Times New Roman" w:hAnsi="Times New Roman" w:cs="Times New Roman" w:eastAsia="Times New Roman" w:hint="default"/>
                <w:sz w:val="18"/>
                <w:szCs w:val="18"/>
              </w:rPr>
            </w:pPr>
            <w:r>
              <w:rPr>
                <w:rFonts w:ascii="宋体" w:hAnsi="宋体" w:cs="宋体" w:eastAsia="宋体" w:hint="default"/>
                <w:sz w:val="18"/>
                <w:szCs w:val="18"/>
              </w:rPr>
              <w:t>煤炭贸 易</w:t>
            </w:r>
            <w:r>
              <w:rPr>
                <w:rFonts w:ascii="Times New Roman" w:hAnsi="Times New Roman" w:cs="Times New Roman" w:eastAsia="Times New Roman" w:hint="default"/>
                <w:sz w:val="18"/>
                <w:szCs w:val="18"/>
              </w:rPr>
              <w:t>,EPC</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2,947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美元</w:t>
            </w:r>
            <w:r>
              <w:rPr>
                <w:rFonts w:ascii="Times New Roman" w:hAnsi="Times New Roman" w:cs="Times New Roman" w:eastAsia="Times New Roman" w:hint="default"/>
                <w:sz w:val="18"/>
                <w:szCs w:val="18"/>
              </w:rPr>
              <w:t>+1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元新币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539,741,851.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267,989,658.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1,416,795,33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1.66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323,443,894.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268,458,432.</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28</w:t>
            </w:r>
          </w:p>
        </w:tc>
      </w:tr>
    </w:tbl>
    <w:p>
      <w:pPr>
        <w:pStyle w:val="BodyText"/>
        <w:spacing w:line="240" w:lineRule="auto" w:before="49"/>
        <w:ind w:right="135"/>
        <w:jc w:val="left"/>
      </w:pPr>
      <w:r>
        <w:rPr/>
        <w:t>报告期内取得和处置子公司的情况</w:t>
      </w:r>
    </w:p>
    <w:p>
      <w:pPr>
        <w:pStyle w:val="BodyText"/>
        <w:spacing w:line="240" w:lineRule="auto" w:before="115"/>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Philippines Qian Jia Services</w:t>
            </w:r>
            <w:r>
              <w:rPr>
                <w:rFonts w:ascii="Times New Roman"/>
                <w:spacing w:val="-8"/>
                <w:sz w:val="18"/>
              </w:rPr>
              <w:t> </w:t>
            </w:r>
            <w:r>
              <w:rPr>
                <w:rFonts w:ascii="Times New Roman"/>
                <w:sz w:val="18"/>
              </w:rPr>
              <w:t>Incorporated</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（菲律宾乾嘉服务公司）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91"/>
              <w:ind w:left="24" w:right="68"/>
              <w:jc w:val="left"/>
              <w:rPr>
                <w:rFonts w:ascii="宋体" w:hAnsi="宋体" w:cs="宋体" w:eastAsia="宋体" w:hint="default"/>
                <w:sz w:val="18"/>
                <w:szCs w:val="18"/>
              </w:rPr>
            </w:pPr>
            <w:r>
              <w:rPr>
                <w:rFonts w:ascii="Times New Roman" w:hAnsi="Times New Roman" w:cs="Times New Roman" w:eastAsia="Times New Roman" w:hint="default"/>
                <w:sz w:val="18"/>
                <w:szCs w:val="18"/>
              </w:rPr>
              <w:t>H&amp;Shun International Holdings</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Hong</w:t>
            </w:r>
            <w:r>
              <w:rPr>
                <w:rFonts w:ascii="Times New Roman" w:hAnsi="Times New Roman" w:cs="Times New Roman" w:eastAsia="Times New Roman" w:hint="default"/>
                <w:sz w:val="18"/>
                <w:szCs w:val="18"/>
              </w:rPr>
              <w:t> Kong Limited</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（恒顺（香港）国际控股 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93"/>
              <w:ind w:left="24"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China Africa Cigarette Company</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(Private)</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（中非香烟有限公司）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青岛恒顺众昇电力工程技术研究院</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6754"/>
        <w:jc w:val="left"/>
      </w:pPr>
      <w:r>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right="93"/>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6754"/>
        <w:jc w:val="left"/>
        <w:rPr>
          <w:b w:val="0"/>
          <w:bCs w:val="0"/>
        </w:rPr>
      </w:pPr>
      <w:r>
        <w:rPr/>
        <w:t>九、公司未来发展的展望</w:t>
      </w:r>
      <w:r>
        <w:rPr>
          <w:b w:val="0"/>
          <w:bCs w:val="0"/>
        </w:rPr>
      </w:r>
    </w:p>
    <w:p>
      <w:pPr>
        <w:spacing w:line="240" w:lineRule="auto" w:before="4"/>
        <w:rPr>
          <w:rFonts w:ascii="宋体" w:hAnsi="宋体" w:cs="宋体" w:eastAsia="宋体" w:hint="default"/>
          <w:b/>
          <w:bCs/>
          <w:sz w:val="26"/>
          <w:szCs w:val="26"/>
        </w:rPr>
      </w:pPr>
    </w:p>
    <w:p>
      <w:pPr>
        <w:pStyle w:val="Heading4"/>
        <w:spacing w:line="240" w:lineRule="auto" w:before="0"/>
        <w:ind w:left="419" w:right="6754"/>
        <w:jc w:val="left"/>
        <w:rPr>
          <w:b w:val="0"/>
          <w:bCs w:val="0"/>
        </w:rPr>
      </w:pPr>
      <w:r>
        <w:rPr/>
        <w:t>（一）行业格局和趋势</w:t>
      </w:r>
      <w:r>
        <w:rPr>
          <w:b w:val="0"/>
          <w:bCs w:val="0"/>
        </w:rPr>
      </w:r>
    </w:p>
    <w:p>
      <w:pPr>
        <w:pStyle w:val="BodyText"/>
        <w:spacing w:line="300" w:lineRule="auto" w:before="76"/>
        <w:ind w:right="184" w:firstLine="36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年国有企业改革稳步推进，混合所有制已成为国有企业改革的重要抓手。城投金控与公司进行了大胆尝试，将 两种所有制形式有机的结合起来，使公司能够依托城投集团雄厚的资金实力，全力投入到国内外优势项目中。</w:t>
      </w:r>
    </w:p>
    <w:p>
      <w:pPr>
        <w:pStyle w:val="BodyText"/>
        <w:spacing w:line="312" w:lineRule="auto" w:before="32"/>
        <w:ind w:right="193" w:firstLine="360"/>
        <w:jc w:val="both"/>
      </w:pPr>
      <w:r>
        <w:rPr>
          <w:rFonts w:ascii="Times New Roman" w:hAnsi="Times New Roman" w:cs="Times New Roman" w:eastAsia="Times New Roman" w:hint="default"/>
        </w:rPr>
        <w:t>2</w:t>
      </w:r>
      <w:r>
        <w:rPr/>
        <w:t>、公司目前投资的海外国家如印尼、南非、津巴布韦、菲律宾等，电力基础设施建设水平较为落后，但资源丰富。随 </w:t>
      </w:r>
      <w:r>
        <w:rPr>
          <w:spacing w:val="-2"/>
        </w:rPr>
        <w:t>着世界工业化发展的进程，上述国家推进国内工业化水平建设的需求十分迫切。公司在印尼建设的青岛印尼综合产业园首创</w:t>
      </w:r>
      <w:r>
        <w:rPr>
          <w:spacing w:val="-64"/>
        </w:rPr>
        <w:t> </w:t>
      </w:r>
      <w:r>
        <w:rPr>
          <w:spacing w:val="-64"/>
        </w:rPr>
      </w:r>
      <w:r>
        <w:rPr>
          <w:spacing w:val="-2"/>
        </w:rPr>
        <w:t>了综合服务一体化的商业运营模式，为其他企业海外投资建园起到了示范作用，越来越多的企业也投身到探索海外矿产及园</w:t>
      </w:r>
      <w:r>
        <w:rPr>
          <w:spacing w:val="-64"/>
        </w:rPr>
        <w:t> </w:t>
      </w:r>
      <w:r>
        <w:rPr>
          <w:spacing w:val="-64"/>
        </w:rPr>
      </w:r>
      <w:r>
        <w:rPr/>
        <w:t>区建设当中。</w:t>
      </w:r>
    </w:p>
    <w:p>
      <w:pPr>
        <w:pStyle w:val="BodyText"/>
        <w:spacing w:line="309" w:lineRule="auto" w:before="22"/>
        <w:ind w:left="513" w:right="93" w:hanging="8"/>
        <w:jc w:val="left"/>
      </w:pPr>
      <w:r>
        <w:rPr>
          <w:rFonts w:ascii="宋体" w:hAnsi="宋体" w:cs="宋体" w:eastAsia="宋体" w:hint="default"/>
          <w:b/>
          <w:bCs/>
        </w:rPr>
        <w:t>（二）公司发展战略</w:t>
      </w:r>
      <w:r>
        <w:rPr>
          <w:rFonts w:ascii="宋体" w:hAnsi="宋体" w:cs="宋体" w:eastAsia="宋体" w:hint="default"/>
          <w:b/>
          <w:bCs/>
          <w:w w:val="99"/>
        </w:rPr>
        <w:t> </w:t>
      </w:r>
      <w:r>
        <w:rPr/>
        <w:t>公司将紧跟国家</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走出去</w:t>
      </w:r>
      <w:r>
        <w:rPr>
          <w:rFonts w:ascii="Times New Roman" w:hAnsi="Times New Roman" w:cs="Times New Roman" w:eastAsia="Times New Roman" w:hint="default"/>
        </w:rPr>
        <w:t>”</w:t>
      </w:r>
      <w:r>
        <w:rPr/>
        <w:t>的发展战略，坚持</w:t>
      </w:r>
      <w:r>
        <w:rPr>
          <w:rFonts w:ascii="Times New Roman" w:hAnsi="Times New Roman" w:cs="Times New Roman" w:eastAsia="Times New Roman" w:hint="default"/>
        </w:rPr>
        <w:t>“</w:t>
      </w:r>
      <w:r>
        <w:rPr/>
        <w:t>一体两翼、国内外双轮驱动</w:t>
      </w:r>
      <w:r>
        <w:rPr>
          <w:rFonts w:ascii="Times New Roman" w:hAnsi="Times New Roman" w:cs="Times New Roman" w:eastAsia="Times New Roman" w:hint="default"/>
        </w:rPr>
        <w:t>”</w:t>
      </w:r>
      <w:r>
        <w:rPr/>
        <w:t>的产业布局。 </w:t>
      </w:r>
      <w:r>
        <w:rPr>
          <w:spacing w:val="-2"/>
        </w:rPr>
        <w:t>在海外，公司一方面充分发挥自主投资带动工程承包、设备成套、技术服务出口的海外经营模式；同时，对我国稀缺的</w:t>
      </w:r>
    </w:p>
    <w:p>
      <w:pPr>
        <w:pStyle w:val="BodyText"/>
        <w:spacing w:line="319" w:lineRule="auto" w:before="24"/>
        <w:ind w:right="94"/>
        <w:jc w:val="left"/>
      </w:pPr>
      <w:r>
        <w:rPr>
          <w:spacing w:val="-2"/>
        </w:rPr>
        <w:t>资源，加强海外优质标的资源的储备及深耕，充分挖掘资源的产业价值；再次，充分复制青岛印尼综合产业园的模式，匹配</w:t>
      </w:r>
      <w:r>
        <w:rPr>
          <w:spacing w:val="-67"/>
        </w:rPr>
        <w:t> </w:t>
      </w:r>
      <w:r>
        <w:rPr>
          <w:spacing w:val="-67"/>
        </w:rPr>
      </w:r>
      <w:r>
        <w:rPr/>
        <w:t>城市发展战略，将公司逐步打造成为青岛城投集团在海外投资项目实体的运作平台。在国内，加强新能源领域项目的投资、 </w:t>
      </w:r>
      <w:r>
        <w:rPr>
          <w:spacing w:val="-2"/>
        </w:rPr>
        <w:t>开发与利用及技术储备；加大虚拟与现实及人工智能新技术的研发与市场化应用推广，推进科技创新产业发展；探索国内产</w:t>
      </w:r>
      <w:r>
        <w:rPr>
          <w:spacing w:val="-62"/>
        </w:rPr>
        <w:t> </w:t>
      </w:r>
      <w:r>
        <w:rPr>
          <w:spacing w:val="-62"/>
        </w:rPr>
      </w:r>
      <w:r>
        <w:rPr>
          <w:spacing w:val="-2"/>
        </w:rPr>
        <w:t>城融合的园区建设模式，实现国内外联动；与国内大型企业联合打造有色行业全产业链联动的产业发展基金；开展投融资相</w:t>
      </w:r>
      <w:r>
        <w:rPr>
          <w:spacing w:val="-63"/>
        </w:rPr>
        <w:t> </w:t>
      </w:r>
      <w:r>
        <w:rPr>
          <w:spacing w:val="-63"/>
        </w:rPr>
      </w:r>
      <w:r>
        <w:rPr/>
        <w:t>关业务。</w:t>
      </w:r>
    </w:p>
    <w:p>
      <w:pPr>
        <w:pStyle w:val="Heading4"/>
        <w:spacing w:line="240" w:lineRule="auto" w:before="17"/>
        <w:ind w:right="6754"/>
        <w:jc w:val="left"/>
        <w:rPr>
          <w:b w:val="0"/>
          <w:bCs w:val="0"/>
        </w:rPr>
      </w:pPr>
      <w:r>
        <w:rPr/>
        <w:t>（三）</w:t>
      </w:r>
      <w:r>
        <w:rPr>
          <w:rFonts w:ascii="Times New Roman" w:hAnsi="Times New Roman" w:cs="Times New Roman" w:eastAsia="Times New Roman" w:hint="default"/>
        </w:rPr>
        <w:t>2018</w:t>
      </w:r>
      <w:r>
        <w:rPr/>
        <w:t>年经营计划</w:t>
      </w:r>
      <w:r>
        <w:rPr>
          <w:b w:val="0"/>
          <w:bCs w:val="0"/>
        </w:rPr>
      </w:r>
    </w:p>
    <w:p>
      <w:pPr>
        <w:pStyle w:val="BodyText"/>
        <w:spacing w:line="240" w:lineRule="auto" w:before="63"/>
        <w:ind w:left="513" w:right="93"/>
        <w:jc w:val="left"/>
      </w:pPr>
      <w:r>
        <w:rPr>
          <w:rFonts w:ascii="Times New Roman" w:hAnsi="Times New Roman" w:cs="Times New Roman" w:eastAsia="Times New Roman" w:hint="default"/>
        </w:rPr>
        <w:t>1</w:t>
      </w:r>
      <w:r>
        <w:rPr/>
        <w:t>、持续加大创新转型投入，推进海外项目建设。</w:t>
      </w:r>
    </w:p>
    <w:p>
      <w:pPr>
        <w:pStyle w:val="BodyText"/>
        <w:spacing w:line="300" w:lineRule="auto" w:before="63"/>
        <w:ind w:left="513" w:right="93"/>
        <w:jc w:val="left"/>
      </w:pPr>
      <w:r>
        <w:rPr/>
        <w:t>（</w:t>
      </w:r>
      <w:r>
        <w:rPr>
          <w:rFonts w:ascii="Times New Roman" w:hAnsi="Times New Roman" w:cs="Times New Roman" w:eastAsia="Times New Roman" w:hint="default"/>
        </w:rPr>
        <w:t>1</w:t>
      </w:r>
      <w:r>
        <w:rPr/>
        <w:t>）大力推进印尼园区建设 </w:t>
      </w:r>
      <w:r>
        <w:rPr>
          <w:spacing w:val="-2"/>
        </w:rPr>
        <w:t>公司将继续寻求优质资源标的进行储备，引进有实质合作意向的大型国有企业入园，对园区进行扩容升级。提升园区综</w:t>
      </w:r>
    </w:p>
    <w:p>
      <w:pPr>
        <w:pStyle w:val="BodyText"/>
        <w:spacing w:line="316" w:lineRule="auto" w:before="31"/>
        <w:ind w:right="93"/>
        <w:jc w:val="left"/>
      </w:pPr>
      <w:r>
        <w:rPr>
          <w:spacing w:val="-2"/>
        </w:rPr>
        <w:t>合服务能力，大力推进互联网信息技术应用，构建智能电力、智能矿业解决方案的海外园区。加快技术、品牌、商业模式升</w:t>
      </w:r>
      <w:r>
        <w:rPr>
          <w:spacing w:val="-70"/>
        </w:rPr>
        <w:t> </w:t>
      </w:r>
      <w:r>
        <w:rPr>
          <w:spacing w:val="-70"/>
        </w:rPr>
      </w:r>
      <w:r>
        <w:rPr/>
        <w:t>级。</w:t>
      </w:r>
    </w:p>
    <w:p>
      <w:pPr>
        <w:pStyle w:val="BodyText"/>
        <w:spacing w:line="240" w:lineRule="auto" w:before="19"/>
        <w:ind w:left="424" w:right="6754"/>
        <w:jc w:val="left"/>
      </w:pPr>
      <w:r>
        <w:rPr/>
        <w:t>（</w:t>
      </w:r>
      <w:r>
        <w:rPr>
          <w:rFonts w:ascii="Times New Roman" w:hAnsi="Times New Roman" w:cs="Times New Roman" w:eastAsia="Times New Roman" w:hint="default"/>
        </w:rPr>
        <w:t>2</w:t>
      </w:r>
      <w:r>
        <w:rPr/>
        <w:t>）深入探索非洲地区的开发</w:t>
      </w:r>
    </w:p>
    <w:p>
      <w:pPr>
        <w:pStyle w:val="BodyText"/>
        <w:spacing w:line="300" w:lineRule="auto" w:before="63"/>
        <w:ind w:right="93" w:firstLine="360"/>
        <w:jc w:val="left"/>
      </w:pPr>
      <w:r>
        <w:rPr>
          <w:rFonts w:ascii="Times New Roman" w:hAnsi="Times New Roman" w:cs="Times New Roman" w:eastAsia="Times New Roman" w:hint="default"/>
          <w:spacing w:val="-2"/>
        </w:rPr>
        <w:t>2018</w:t>
      </w:r>
      <w:r>
        <w:rPr>
          <w:spacing w:val="-2"/>
        </w:rPr>
        <w:t>年，公司将在扎根现有投资国的基础上，继续加大对国际市场的开拓力度。以在建标志性项目为引导，以津巴布韦</w:t>
      </w:r>
      <w:r>
        <w:rPr/>
        <w:t> 为中心，探索在非洲地区开展相关业务，依托当地优质资源，力争取得深层次、多样化、高产出的项目合作机会。</w:t>
      </w:r>
    </w:p>
    <w:p>
      <w:pPr>
        <w:pStyle w:val="BodyText"/>
        <w:spacing w:line="240" w:lineRule="auto" w:before="32"/>
        <w:ind w:left="513" w:right="6754"/>
        <w:jc w:val="left"/>
      </w:pPr>
      <w:r>
        <w:rPr>
          <w:rFonts w:ascii="Times New Roman" w:hAnsi="Times New Roman" w:cs="Times New Roman" w:eastAsia="Times New Roman" w:hint="default"/>
        </w:rPr>
        <w:t>2</w:t>
      </w:r>
      <w:r>
        <w:rPr/>
        <w:t>、推动产业发展基金的设立</w:t>
      </w:r>
    </w:p>
    <w:p>
      <w:pPr>
        <w:pStyle w:val="BodyText"/>
        <w:spacing w:line="240" w:lineRule="auto" w:before="63"/>
        <w:ind w:left="513" w:right="93"/>
        <w:jc w:val="left"/>
      </w:pPr>
      <w:r>
        <w:rPr/>
        <w:t>为参与国内不锈钢产业链条的整合，并为公司的镍资源（包括但不限于原矿、</w:t>
      </w:r>
      <w:r>
        <w:rPr>
          <w:spacing w:val="4"/>
        </w:rPr>
        <w:t> </w:t>
      </w:r>
      <w:r>
        <w:rPr/>
        <w:t>镍铁、钢坯等）寻求良好出口，与国内</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94"/>
        <w:jc w:val="left"/>
      </w:pPr>
      <w:r>
        <w:rPr>
          <w:spacing w:val="-2"/>
        </w:rPr>
        <w:t>企业形成持续稳定的上下游供应链关系，公司拟对外合资设立产业发展基金。公司将与已签署的合作意向方积极商定设立产</w:t>
      </w:r>
      <w:r>
        <w:rPr>
          <w:spacing w:val="-64"/>
        </w:rPr>
        <w:t> </w:t>
      </w:r>
      <w:r>
        <w:rPr>
          <w:spacing w:val="-64"/>
        </w:rPr>
      </w:r>
      <w:r>
        <w:rPr/>
        <w:t>业发展基金的具体细节及要件，全力推进产业发展基金的设立，以打造一体化不锈钢产业链条，提升全产业链的运作效率。</w:t>
      </w:r>
      <w:r>
        <w:rPr/>
        <w:t> 随着未来的发展规划，产业发展基金的投资范围将不仅限于不锈钢产业。</w:t>
      </w:r>
    </w:p>
    <w:p>
      <w:pPr>
        <w:pStyle w:val="BodyText"/>
        <w:spacing w:line="240" w:lineRule="auto" w:before="19"/>
        <w:ind w:left="513" w:right="93"/>
        <w:jc w:val="left"/>
      </w:pPr>
      <w:r>
        <w:rPr>
          <w:rFonts w:ascii="Times New Roman" w:hAnsi="Times New Roman" w:cs="Times New Roman" w:eastAsia="Times New Roman" w:hint="default"/>
        </w:rPr>
        <w:t>3</w:t>
      </w:r>
      <w:r>
        <w:rPr/>
        <w:t>、匹配城市发展战略，拓展科技创新领域</w:t>
      </w:r>
    </w:p>
    <w:p>
      <w:pPr>
        <w:pStyle w:val="BodyText"/>
        <w:spacing w:line="307" w:lineRule="auto" w:before="63"/>
        <w:ind w:right="94" w:firstLine="360"/>
        <w:jc w:val="left"/>
      </w:pPr>
      <w:r>
        <w:rPr>
          <w:rFonts w:ascii="Times New Roman" w:hAnsi="Times New Roman" w:cs="Times New Roman" w:eastAsia="Times New Roman" w:hint="default"/>
        </w:rPr>
        <w:t>2017</w:t>
      </w:r>
      <w:r>
        <w:rPr/>
        <w:t>年，北京科程成功在科普行业开发实施了虚拟现实、物联网等科普产品。</w:t>
      </w:r>
      <w:r>
        <w:rPr>
          <w:rFonts w:ascii="Times New Roman" w:hAnsi="Times New Roman" w:cs="Times New Roman" w:eastAsia="Times New Roman" w:hint="default"/>
        </w:rPr>
        <w:t>2018</w:t>
      </w:r>
      <w:r>
        <w:rPr/>
        <w:t>年将业务拓展到快消品新零售行业， 运用自主研发的人工智能</w:t>
      </w:r>
      <w:r>
        <w:rPr>
          <w:rFonts w:ascii="Times New Roman" w:hAnsi="Times New Roman" w:cs="Times New Roman" w:eastAsia="Times New Roman" w:hint="default"/>
        </w:rPr>
        <w:t>AI</w:t>
      </w:r>
      <w:r>
        <w:rPr/>
        <w:t>技术结合大数据处理技术，为行业提供垂直领域的技术支撑，力争在行业内的细分市场占据一</w:t>
      </w:r>
      <w:r>
        <w:rPr>
          <w:spacing w:val="-18"/>
        </w:rPr>
        <w:t> </w:t>
      </w:r>
      <w:r>
        <w:rPr>
          <w:spacing w:val="-18"/>
        </w:rPr>
      </w:r>
      <w:r>
        <w:rPr>
          <w:spacing w:val="-4"/>
        </w:rPr>
        <w:t>定的份额。同时抓住山东新旧动能转换综合实验区的历史机遇，结合与联想新世界、青岛城投集团签约的三方战略合作计划，</w:t>
      </w:r>
      <w:r>
        <w:rPr>
          <w:spacing w:val="-44"/>
        </w:rPr>
        <w:t> </w:t>
      </w:r>
      <w:r>
        <w:rPr>
          <w:spacing w:val="-44"/>
        </w:rPr>
      </w:r>
      <w:r>
        <w:rPr/>
        <w:t>以市场的力量和专业的高新技术能力，以新产业、新业态、新模式为核心，助力山东地方产业、经济和社会的创新与升级。</w:t>
      </w:r>
    </w:p>
    <w:p>
      <w:pPr>
        <w:pStyle w:val="BodyText"/>
        <w:spacing w:line="240" w:lineRule="auto" w:before="26"/>
        <w:ind w:left="513" w:right="6754"/>
        <w:jc w:val="left"/>
      </w:pPr>
      <w:r>
        <w:rPr>
          <w:rFonts w:ascii="Times New Roman" w:hAnsi="Times New Roman" w:cs="Times New Roman" w:eastAsia="Times New Roman" w:hint="default"/>
        </w:rPr>
        <w:t>4</w:t>
      </w:r>
      <w:r>
        <w:rPr/>
        <w:t>、提升投资效益，促进产融结合</w:t>
      </w:r>
    </w:p>
    <w:p>
      <w:pPr>
        <w:pStyle w:val="BodyText"/>
        <w:spacing w:line="319" w:lineRule="auto" w:before="63"/>
        <w:ind w:right="194" w:firstLine="360"/>
        <w:jc w:val="both"/>
      </w:pPr>
      <w:r>
        <w:rPr/>
        <w:t>公司将加强金融财务体系建设，深入研究金融工具，把金融创新和运营产业</w:t>
      </w:r>
      <w:r>
        <w:rPr>
          <w:spacing w:val="3"/>
        </w:rPr>
        <w:t> </w:t>
      </w:r>
      <w:r>
        <w:rPr/>
        <w:t>做有机融合，进一步向轻资产模式转变，</w:t>
      </w:r>
      <w:r>
        <w:rPr/>
        <w:t> </w:t>
      </w:r>
      <w:r>
        <w:rPr>
          <w:spacing w:val="-2"/>
        </w:rPr>
        <w:t>保证投建运营的可持续发展。在金融发展上要链接资源、整合资源、开发资源，让金融资源为运营所用，形成对运营产业的</w:t>
      </w:r>
      <w:r>
        <w:rPr>
          <w:spacing w:val="-67"/>
        </w:rPr>
        <w:t> </w:t>
      </w:r>
      <w:r>
        <w:rPr>
          <w:spacing w:val="-67"/>
        </w:rPr>
      </w:r>
      <w:r>
        <w:rPr/>
        <w:t>支撑。</w:t>
      </w:r>
    </w:p>
    <w:p>
      <w:pPr>
        <w:pStyle w:val="BodyText"/>
        <w:spacing w:line="300" w:lineRule="auto" w:before="17"/>
        <w:ind w:left="513" w:right="93"/>
        <w:jc w:val="left"/>
      </w:pPr>
      <w:r>
        <w:rPr>
          <w:rFonts w:ascii="Times New Roman" w:hAnsi="Times New Roman" w:cs="Times New Roman" w:eastAsia="Times New Roman" w:hint="default"/>
        </w:rPr>
        <w:t>5</w:t>
      </w:r>
      <w:r>
        <w:rPr/>
        <w:t>、重视企业海外形象建设，借助国内外媒体渠道积极做好园区的宣传推广工作。 </w:t>
      </w:r>
      <w:r>
        <w:rPr>
          <w:spacing w:val="-2"/>
        </w:rPr>
        <w:t>企业海外形象深入</w:t>
      </w:r>
      <w:r>
        <w:rPr>
          <w:rFonts w:ascii="Times New Roman" w:hAnsi="Times New Roman" w:cs="Times New Roman" w:eastAsia="Times New Roman" w:hint="default"/>
          <w:spacing w:val="-2"/>
        </w:rPr>
        <w:t>“</w:t>
      </w:r>
      <w:r>
        <w:rPr>
          <w:spacing w:val="-2"/>
        </w:rPr>
        <w:t>一带一路</w:t>
      </w:r>
      <w:r>
        <w:rPr>
          <w:rFonts w:ascii="Times New Roman" w:hAnsi="Times New Roman" w:cs="Times New Roman" w:eastAsia="Times New Roman" w:hint="default"/>
          <w:spacing w:val="-2"/>
        </w:rPr>
        <w:t>”</w:t>
      </w:r>
      <w:r>
        <w:rPr>
          <w:spacing w:val="-2"/>
        </w:rPr>
        <w:t>的过程，也是传递中国品牌力量和中国文化的过程。公司结合企业重点业务拓展地区的需</w:t>
      </w:r>
    </w:p>
    <w:p>
      <w:pPr>
        <w:pStyle w:val="BodyText"/>
        <w:spacing w:line="316" w:lineRule="auto" w:before="13"/>
        <w:ind w:right="93"/>
        <w:jc w:val="left"/>
      </w:pPr>
      <w:r>
        <w:rPr>
          <w:spacing w:val="-2"/>
        </w:rPr>
        <w:t>求，提供本地化语言的推广，积极搭建与当地公众沟通交流的窗口。同时，提升与所在国媒体、非政府组织的交流深度，借</w:t>
      </w:r>
      <w:r>
        <w:rPr>
          <w:spacing w:val="-68"/>
        </w:rPr>
        <w:t> </w:t>
      </w:r>
      <w:r>
        <w:rPr>
          <w:spacing w:val="-68"/>
        </w:rPr>
      </w:r>
      <w:r>
        <w:rPr/>
        <w:t>助当地媒体、专家等向公众宣传正面积极的企业形象，并通过公益事业的投入来扩大企业在当地社会的影响力。</w:t>
      </w:r>
    </w:p>
    <w:p>
      <w:pPr>
        <w:pStyle w:val="BodyText"/>
        <w:spacing w:line="300" w:lineRule="auto" w:before="19"/>
        <w:ind w:left="513" w:right="93"/>
        <w:jc w:val="left"/>
      </w:pPr>
      <w:r>
        <w:rPr>
          <w:rFonts w:ascii="Times New Roman" w:hAnsi="Times New Roman" w:cs="Times New Roman" w:eastAsia="Times New Roman" w:hint="default"/>
        </w:rPr>
        <w:t>6</w:t>
      </w:r>
      <w:r>
        <w:rPr/>
        <w:t>、建立健全坚实有力的人才保障体系 </w:t>
      </w:r>
      <w:r>
        <w:rPr>
          <w:spacing w:val="-2"/>
        </w:rPr>
        <w:t>一是制定公司</w:t>
      </w:r>
      <w:r>
        <w:rPr>
          <w:rFonts w:ascii="Times New Roman" w:hAnsi="Times New Roman" w:cs="Times New Roman" w:eastAsia="Times New Roman" w:hint="default"/>
          <w:spacing w:val="-2"/>
        </w:rPr>
        <w:t>“</w:t>
      </w:r>
      <w:r>
        <w:rPr>
          <w:spacing w:val="-2"/>
        </w:rPr>
        <w:t>人才登高计划</w:t>
      </w:r>
      <w:r>
        <w:rPr>
          <w:rFonts w:ascii="Times New Roman" w:hAnsi="Times New Roman" w:cs="Times New Roman" w:eastAsia="Times New Roman" w:hint="default"/>
          <w:spacing w:val="-2"/>
        </w:rPr>
        <w:t>”</w:t>
      </w:r>
      <w:r>
        <w:rPr>
          <w:spacing w:val="-2"/>
        </w:rPr>
        <w:t>，力争用</w:t>
      </w:r>
      <w:r>
        <w:rPr>
          <w:rFonts w:ascii="Times New Roman" w:hAnsi="Times New Roman" w:cs="Times New Roman" w:eastAsia="Times New Roman" w:hint="default"/>
          <w:spacing w:val="-2"/>
        </w:rPr>
        <w:t>3</w:t>
      </w:r>
      <w:r>
        <w:rPr>
          <w:spacing w:val="-2"/>
        </w:rPr>
        <w:t>年左右的时间，实现公司人才的</w:t>
      </w:r>
      <w:r>
        <w:rPr>
          <w:rFonts w:ascii="Times New Roman" w:hAnsi="Times New Roman" w:cs="Times New Roman" w:eastAsia="Times New Roman" w:hint="default"/>
          <w:spacing w:val="-2"/>
        </w:rPr>
        <w:t>“8311”</w:t>
      </w:r>
      <w:r>
        <w:rPr>
          <w:spacing w:val="-2"/>
        </w:rPr>
        <w:t>目标，即</w:t>
      </w:r>
      <w:r>
        <w:rPr>
          <w:rFonts w:ascii="Times New Roman" w:hAnsi="Times New Roman" w:cs="Times New Roman" w:eastAsia="Times New Roman" w:hint="default"/>
          <w:spacing w:val="-2"/>
        </w:rPr>
        <w:t>80%</w:t>
      </w:r>
      <w:r>
        <w:rPr>
          <w:spacing w:val="-2"/>
        </w:rPr>
        <w:t>的员工为本科学历，</w:t>
      </w:r>
      <w:r>
        <w:rPr>
          <w:rFonts w:ascii="Times New Roman" w:hAnsi="Times New Roman" w:cs="Times New Roman" w:eastAsia="Times New Roman" w:hint="default"/>
          <w:spacing w:val="-2"/>
        </w:rPr>
        <w:t>30%</w:t>
      </w:r>
      <w:r>
        <w:rPr>
          <w:spacing w:val="-2"/>
        </w:rPr>
        <w:t>为</w:t>
      </w:r>
    </w:p>
    <w:p>
      <w:pPr>
        <w:pStyle w:val="BodyText"/>
        <w:spacing w:line="304" w:lineRule="auto" w:before="13"/>
        <w:ind w:right="188"/>
        <w:jc w:val="both"/>
      </w:pPr>
      <w:r>
        <w:rPr>
          <w:spacing w:val="-2"/>
        </w:rPr>
        <w:t>硕士研究生学历，</w:t>
      </w:r>
      <w:r>
        <w:rPr>
          <w:rFonts w:ascii="Times New Roman" w:hAnsi="Times New Roman" w:cs="Times New Roman" w:eastAsia="Times New Roman" w:hint="default"/>
          <w:spacing w:val="-2"/>
        </w:rPr>
        <w:t>1%</w:t>
      </w:r>
      <w:r>
        <w:rPr>
          <w:spacing w:val="-2"/>
        </w:rPr>
        <w:t>为博士研究生学历，</w:t>
      </w:r>
      <w:r>
        <w:rPr>
          <w:rFonts w:ascii="Times New Roman" w:hAnsi="Times New Roman" w:cs="Times New Roman" w:eastAsia="Times New Roman" w:hint="default"/>
          <w:spacing w:val="-2"/>
        </w:rPr>
        <w:t>1%</w:t>
      </w:r>
      <w:r>
        <w:rPr>
          <w:spacing w:val="-2"/>
        </w:rPr>
        <w:t>为行业的专家或技术带头人。二是制定公司</w:t>
      </w:r>
      <w:r>
        <w:rPr>
          <w:rFonts w:ascii="Times New Roman" w:hAnsi="Times New Roman" w:cs="Times New Roman" w:eastAsia="Times New Roman" w:hint="default"/>
          <w:spacing w:val="-2"/>
        </w:rPr>
        <w:t>“</w:t>
      </w:r>
      <w:r>
        <w:rPr>
          <w:spacing w:val="-2"/>
        </w:rPr>
        <w:t>人才补充计划</w:t>
      </w:r>
      <w:r>
        <w:rPr>
          <w:rFonts w:ascii="Times New Roman" w:hAnsi="Times New Roman" w:cs="Times New Roman" w:eastAsia="Times New Roman" w:hint="default"/>
          <w:spacing w:val="-2"/>
        </w:rPr>
        <w:t>”</w:t>
      </w:r>
      <w:r>
        <w:rPr>
          <w:spacing w:val="-2"/>
        </w:rPr>
        <w:t>，力争引进享受</w:t>
      </w:r>
      <w:r>
        <w:rPr>
          <w:rFonts w:ascii="Times New Roman" w:hAnsi="Times New Roman" w:cs="Times New Roman" w:eastAsia="Times New Roman" w:hint="default"/>
          <w:spacing w:val="-2"/>
        </w:rPr>
        <w:t>“</w:t>
      </w:r>
      <w:r>
        <w:rPr>
          <w:spacing w:val="-2"/>
        </w:rPr>
        <w:t>政</w:t>
      </w:r>
      <w:r>
        <w:rPr>
          <w:spacing w:val="-59"/>
        </w:rPr>
        <w:t> </w:t>
      </w:r>
      <w:r>
        <w:rPr/>
        <w:t>府特贴</w:t>
      </w:r>
      <w:r>
        <w:rPr>
          <w:rFonts w:ascii="Times New Roman" w:hAnsi="Times New Roman" w:cs="Times New Roman" w:eastAsia="Times New Roman" w:hint="default"/>
        </w:rPr>
        <w:t>”</w:t>
      </w:r>
      <w:r>
        <w:rPr/>
        <w:t>和获得</w:t>
      </w:r>
      <w:r>
        <w:rPr>
          <w:rFonts w:ascii="Times New Roman" w:hAnsi="Times New Roman" w:cs="Times New Roman" w:eastAsia="Times New Roman" w:hint="default"/>
        </w:rPr>
        <w:t>“</w:t>
      </w:r>
      <w:r>
        <w:rPr/>
        <w:t>长江学者</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泰山学者</w:t>
      </w:r>
      <w:r>
        <w:rPr>
          <w:rFonts w:ascii="Times New Roman" w:hAnsi="Times New Roman" w:cs="Times New Roman" w:eastAsia="Times New Roman" w:hint="default"/>
        </w:rPr>
        <w:t>”</w:t>
      </w:r>
      <w:r>
        <w:rPr/>
        <w:t>等荣誉称号的专家学者；并根据新市场和新业务的拓展需求，在公司现有人力资源</w:t>
      </w:r>
      <w:r>
        <w:rPr>
          <w:spacing w:val="-41"/>
        </w:rPr>
        <w:t> </w:t>
      </w:r>
      <w:r>
        <w:rPr>
          <w:spacing w:val="-41"/>
        </w:rPr>
      </w:r>
      <w:r>
        <w:rPr>
          <w:spacing w:val="-2"/>
        </w:rPr>
        <w:t>的基础上，下大力气开展金融、财税、海外运营等相关业务培训，实现人才的内部转型升级；还要引进和培养公司转型发展</w:t>
      </w:r>
      <w:r>
        <w:rPr>
          <w:spacing w:val="-67"/>
        </w:rPr>
        <w:t> </w:t>
      </w:r>
      <w:r>
        <w:rPr>
          <w:spacing w:val="-67"/>
        </w:rPr>
      </w:r>
      <w:r>
        <w:rPr/>
        <w:t>所需的专业技术带头人和行业精英人才，力争在</w:t>
      </w:r>
      <w:r>
        <w:rPr>
          <w:rFonts w:ascii="Times New Roman" w:hAnsi="Times New Roman" w:cs="Times New Roman" w:eastAsia="Times New Roman" w:hint="default"/>
        </w:rPr>
        <w:t>1-2</w:t>
      </w:r>
      <w:r>
        <w:rPr/>
        <w:t>年内取得实质性突破；同时，加强与院校和相关行业企业等战略合作伙</w:t>
      </w:r>
      <w:r>
        <w:rPr>
          <w:spacing w:val="-57"/>
        </w:rPr>
        <w:t> </w:t>
      </w:r>
      <w:r>
        <w:rPr>
          <w:spacing w:val="-57"/>
        </w:rPr>
      </w:r>
      <w:r>
        <w:rPr/>
        <w:t>伴在人才定向培养和人才交深度流层面的合作，并要在</w:t>
      </w:r>
      <w:r>
        <w:rPr>
          <w:rFonts w:ascii="Times New Roman" w:hAnsi="Times New Roman" w:cs="Times New Roman" w:eastAsia="Times New Roman" w:hint="default"/>
        </w:rPr>
        <w:t>2018</w:t>
      </w:r>
      <w:r>
        <w:rPr/>
        <w:t>年取得实质性成果。</w:t>
      </w:r>
    </w:p>
    <w:p>
      <w:pPr>
        <w:pStyle w:val="BodyText"/>
        <w:spacing w:line="240" w:lineRule="auto" w:before="9"/>
        <w:ind w:left="513" w:right="93"/>
        <w:jc w:val="left"/>
      </w:pPr>
      <w:r>
        <w:rPr>
          <w:rFonts w:ascii="Times New Roman" w:hAnsi="Times New Roman" w:cs="Times New Roman" w:eastAsia="Times New Roman" w:hint="default"/>
        </w:rPr>
        <w:t>7</w:t>
      </w:r>
      <w:r>
        <w:rPr/>
        <w:t>、强化全员绩效考核，推动内部管理升级</w:t>
      </w:r>
    </w:p>
    <w:p>
      <w:pPr>
        <w:pStyle w:val="BodyText"/>
        <w:spacing w:line="304" w:lineRule="auto" w:before="63"/>
        <w:ind w:right="190" w:firstLine="360"/>
        <w:jc w:val="both"/>
      </w:pPr>
      <w:r>
        <w:rPr>
          <w:rFonts w:ascii="Times New Roman" w:hAnsi="Times New Roman" w:cs="Times New Roman" w:eastAsia="Times New Roman" w:hint="default"/>
          <w:spacing w:val="-2"/>
        </w:rPr>
        <w:t>2018</w:t>
      </w:r>
      <w:r>
        <w:rPr>
          <w:spacing w:val="-2"/>
        </w:rPr>
        <w:t>年公司要为员工创造公平公正的工作环境。以业绩为导向，进一步建立完善与公司发展相适应的绩效考核机制，科</w:t>
      </w:r>
      <w:r>
        <w:rPr/>
        <w:t> </w:t>
      </w:r>
      <w:r>
        <w:rPr>
          <w:spacing w:val="-2"/>
        </w:rPr>
        <w:t>学评价员工价值贡献，做到合理拉开收入差距、奖惩分明，切实发挥绩效考核甄别优劣、调动员工积极性的作用，促进员工</w:t>
      </w:r>
      <w:r>
        <w:rPr>
          <w:spacing w:val="-67"/>
        </w:rPr>
        <w:t> </w:t>
      </w:r>
      <w:r>
        <w:rPr>
          <w:spacing w:val="-67"/>
        </w:rPr>
      </w:r>
      <w:r>
        <w:rPr/>
        <w:t>所得与公司业绩共同提升。强化干部的考核机制，进一步以干部考核评价的结果为依据，形成</w:t>
      </w:r>
      <w:r>
        <w:rPr>
          <w:rFonts w:ascii="Times New Roman" w:hAnsi="Times New Roman" w:cs="Times New Roman" w:eastAsia="Times New Roman" w:hint="default"/>
        </w:rPr>
        <w:t>“</w:t>
      </w:r>
      <w:r>
        <w:rPr/>
        <w:t>能者上、平者让、庸者下</w:t>
      </w:r>
      <w:r>
        <w:rPr>
          <w:rFonts w:ascii="Times New Roman" w:hAnsi="Times New Roman" w:cs="Times New Roman" w:eastAsia="Times New Roman" w:hint="default"/>
        </w:rPr>
        <w:t>”</w:t>
      </w:r>
      <w:r>
        <w:rPr>
          <w:rFonts w:ascii="Times New Roman" w:hAnsi="Times New Roman" w:cs="Times New Roman" w:eastAsia="Times New Roman" w:hint="default"/>
          <w:spacing w:val="7"/>
        </w:rPr>
        <w:t> </w:t>
      </w:r>
      <w:r>
        <w:rPr>
          <w:spacing w:val="-2"/>
        </w:rPr>
        <w:t>的干部用人机制。建立</w:t>
      </w:r>
      <w:r>
        <w:rPr>
          <w:rFonts w:ascii="Times New Roman" w:hAnsi="Times New Roman" w:cs="Times New Roman" w:eastAsia="Times New Roman" w:hint="default"/>
          <w:spacing w:val="-2"/>
        </w:rPr>
        <w:t>“</w:t>
      </w:r>
      <w:r>
        <w:rPr>
          <w:spacing w:val="-2"/>
        </w:rPr>
        <w:t>竞争上岗，定岗定薪</w:t>
      </w:r>
      <w:r>
        <w:rPr>
          <w:rFonts w:ascii="Times New Roman" w:hAnsi="Times New Roman" w:cs="Times New Roman" w:eastAsia="Times New Roman" w:hint="default"/>
          <w:spacing w:val="-2"/>
        </w:rPr>
        <w:t>”</w:t>
      </w:r>
      <w:r>
        <w:rPr>
          <w:spacing w:val="-2"/>
        </w:rPr>
        <w:t>的竞争激励机制，挖掘员工创新才能、提高员工竞争意识、发挥个人主动性和</w:t>
      </w:r>
      <w:r>
        <w:rPr>
          <w:spacing w:val="-47"/>
        </w:rPr>
        <w:t> </w:t>
      </w:r>
      <w:r>
        <w:rPr>
          <w:spacing w:val="-47"/>
        </w:rPr>
      </w:r>
      <w:r>
        <w:rPr/>
        <w:t>积极性。</w:t>
      </w:r>
    </w:p>
    <w:p>
      <w:pPr>
        <w:pStyle w:val="BodyText"/>
        <w:spacing w:line="240" w:lineRule="auto" w:before="28"/>
        <w:ind w:left="513" w:right="93"/>
        <w:jc w:val="left"/>
      </w:pPr>
      <w:r>
        <w:rPr>
          <w:rFonts w:ascii="Times New Roman" w:hAnsi="Times New Roman" w:cs="Times New Roman" w:eastAsia="Times New Roman" w:hint="default"/>
        </w:rPr>
        <w:t>8</w:t>
      </w:r>
      <w:r>
        <w:rPr/>
        <w:t>、进一步推进制度体系建设，加强执行过程的监督检查</w:t>
      </w:r>
    </w:p>
    <w:p>
      <w:pPr>
        <w:pStyle w:val="BodyText"/>
        <w:spacing w:line="309" w:lineRule="auto" w:before="63"/>
        <w:ind w:right="190" w:firstLine="360"/>
        <w:jc w:val="both"/>
      </w:pPr>
      <w:r>
        <w:rPr>
          <w:rFonts w:ascii="Times New Roman" w:hAnsi="Times New Roman" w:cs="Times New Roman" w:eastAsia="Times New Roman" w:hint="default"/>
          <w:spacing w:val="-2"/>
        </w:rPr>
        <w:t>2018</w:t>
      </w:r>
      <w:r>
        <w:rPr>
          <w:spacing w:val="-2"/>
        </w:rPr>
        <w:t>年公司将着重进行恒顺众昇集团总部制度体系框架的建立，基于总部主要职能的管理定位，推进战略管理、计划管</w:t>
      </w:r>
      <w:r>
        <w:rPr/>
        <w:t> </w:t>
      </w:r>
      <w:r>
        <w:rPr>
          <w:spacing w:val="-2"/>
        </w:rPr>
        <w:t>理、风险管理、投融资管理、股权管理、资产运营、财务管理、审计监察、内部控制、人力资源管理、信息资源管理、公共</w:t>
      </w:r>
      <w:r>
        <w:rPr>
          <w:spacing w:val="-72"/>
        </w:rPr>
        <w:t> </w:t>
      </w:r>
      <w:r>
        <w:rPr>
          <w:spacing w:val="-72"/>
        </w:rPr>
      </w:r>
      <w:r>
        <w:rPr/>
        <w:t>关系管理、基本建设管理、生产管理、经营管理、党群工作、精神文明建设和企业文化建设等方面的体系建设。</w:t>
      </w:r>
    </w:p>
    <w:p>
      <w:pPr>
        <w:pStyle w:val="Heading4"/>
        <w:spacing w:line="240" w:lineRule="auto"/>
        <w:ind w:right="6754"/>
        <w:jc w:val="left"/>
        <w:rPr>
          <w:b w:val="0"/>
          <w:bCs w:val="0"/>
        </w:rPr>
      </w:pPr>
      <w:r>
        <w:rPr/>
        <w:t>（四）存在的风险及应对措施</w:t>
      </w:r>
      <w:r>
        <w:rPr>
          <w:b w:val="0"/>
          <w:bCs w:val="0"/>
        </w:rPr>
      </w:r>
    </w:p>
    <w:p>
      <w:pPr>
        <w:pStyle w:val="BodyText"/>
        <w:spacing w:line="300" w:lineRule="auto" w:before="76"/>
        <w:ind w:left="513" w:right="93"/>
        <w:jc w:val="left"/>
      </w:pPr>
      <w:r>
        <w:rPr>
          <w:rFonts w:ascii="Times New Roman" w:hAnsi="Times New Roman" w:cs="Times New Roman" w:eastAsia="Times New Roman" w:hint="default"/>
        </w:rPr>
        <w:t>1</w:t>
      </w:r>
      <w:r>
        <w:rPr/>
        <w:t>、海外投资政治环境的风险 </w:t>
      </w:r>
      <w:r>
        <w:rPr>
          <w:spacing w:val="-4"/>
        </w:rPr>
        <w:t>目前，海外业务已成为公司收入的重要来源。公司目前在海外投资的项目主要在印尼、南非、津巴布韦、菲律宾等国家，</w:t>
      </w:r>
    </w:p>
    <w:p>
      <w:pPr>
        <w:pStyle w:val="BodyText"/>
        <w:spacing w:line="314" w:lineRule="auto" w:before="31"/>
        <w:ind w:right="114"/>
        <w:jc w:val="left"/>
      </w:pPr>
      <w:r>
        <w:rPr>
          <w:spacing w:val="-2"/>
        </w:rPr>
        <w:t>上述地区属于发展中国家，近年来，政治民主环境逐步改善，但政治环境仍相对较为复杂，市场开放有限，对外投资存在限</w:t>
      </w:r>
      <w:r>
        <w:rPr>
          <w:spacing w:val="-67"/>
        </w:rPr>
        <w:t> </w:t>
      </w:r>
      <w:r>
        <w:rPr>
          <w:spacing w:val="-67"/>
        </w:rPr>
      </w:r>
      <w:r>
        <w:rPr>
          <w:spacing w:val="-2"/>
        </w:rPr>
        <w:t>制，公司仍可能面临上述国家政策的变化带来的不利影响。随着公司海外业务的不断开拓，因海外业务所在国政治经济格局</w:t>
      </w:r>
      <w:r>
        <w:rPr>
          <w:spacing w:val="-62"/>
        </w:rPr>
        <w:t> </w:t>
      </w:r>
      <w:r>
        <w:rPr>
          <w:spacing w:val="-62"/>
        </w:rPr>
      </w:r>
      <w:r>
        <w:rPr/>
        <w:t>变化引发的风险可能性在上升，公司与海外业主方、合作方可能发生的商业争端风险也在不断增加。 </w:t>
      </w:r>
      <w:r>
        <w:rPr>
          <w:spacing w:val="-2"/>
        </w:rPr>
        <w:t>针对以上风险，公司与上述国家的政府部门及大使馆保持积极良好的沟通，在印尼是印尼政府重点关注支持企业；在津巴布</w:t>
      </w:r>
      <w:r>
        <w:rPr>
          <w:spacing w:val="-63"/>
        </w:rPr>
        <w:t> </w:t>
      </w:r>
      <w:r>
        <w:rPr>
          <w:spacing w:val="-63"/>
        </w:rPr>
      </w:r>
      <w:r>
        <w:rPr/>
        <w:t>韦，公司与津巴布韦成立</w:t>
      </w:r>
      <w:r>
        <w:rPr>
          <w:rFonts w:ascii="Times New Roman" w:hAnsi="Times New Roman" w:cs="Times New Roman" w:eastAsia="Times New Roman" w:hint="default"/>
        </w:rPr>
        <w:t>“</w:t>
      </w:r>
      <w:r>
        <w:rPr/>
        <w:t>恒顺众昇津巴布韦政府总统奖学金</w:t>
      </w:r>
      <w:r>
        <w:rPr>
          <w:rFonts w:ascii="Times New Roman" w:hAnsi="Times New Roman" w:cs="Times New Roman" w:eastAsia="Times New Roman" w:hint="default"/>
        </w:rPr>
        <w:t>”</w:t>
      </w:r>
      <w:r>
        <w:rPr/>
        <w:t>，每年出资培养</w:t>
      </w:r>
      <w:r>
        <w:rPr>
          <w:rFonts w:ascii="Times New Roman" w:hAnsi="Times New Roman" w:cs="Times New Roman" w:eastAsia="Times New Roman" w:hint="default"/>
        </w:rPr>
        <w:t>50</w:t>
      </w:r>
      <w:r>
        <w:rPr/>
        <w:t>名留学生来华学习，具有良好的群众基础； 在菲律宾，公司项目合作对象为菲律宾的龙头企业，为公司在上述国家开展投资项目提供了保障。</w:t>
      </w:r>
    </w:p>
    <w:p>
      <w:pPr>
        <w:pStyle w:val="BodyText"/>
        <w:spacing w:line="300" w:lineRule="auto" w:before="21"/>
        <w:ind w:left="513" w:right="93"/>
        <w:jc w:val="left"/>
      </w:pPr>
      <w:r>
        <w:rPr>
          <w:rFonts w:ascii="Times New Roman" w:hAnsi="Times New Roman" w:cs="Times New Roman" w:eastAsia="Times New Roman" w:hint="default"/>
        </w:rPr>
        <w:t>2</w:t>
      </w:r>
      <w:r>
        <w:rPr/>
        <w:t>、公司管理的风险 </w:t>
      </w:r>
      <w:r>
        <w:rPr>
          <w:spacing w:val="-2"/>
        </w:rPr>
        <w:t>随着公司集团化进程的推进，公司资产规模和经营规模都将迅速扩张，在经营管理、资源整合、市场开拓、统筹管理等</w:t>
      </w:r>
    </w:p>
    <w:p>
      <w:pPr>
        <w:spacing w:after="0" w:line="30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93"/>
        <w:jc w:val="left"/>
      </w:pPr>
      <w:r>
        <w:rPr>
          <w:spacing w:val="-2"/>
        </w:rPr>
        <w:t>方面对公司的管理层提出更高的要求。如公司不能有效地进一步提升管理标准及理念、完善管理流程和内部控制制度，将会</w:t>
      </w:r>
      <w:r>
        <w:rPr>
          <w:spacing w:val="-63"/>
        </w:rPr>
        <w:t> </w:t>
      </w:r>
      <w:r>
        <w:rPr>
          <w:spacing w:val="-63"/>
        </w:rPr>
      </w:r>
      <w:r>
        <w:rPr>
          <w:spacing w:val="-4"/>
        </w:rPr>
        <w:t>对公司的整体运营带来一定风险。同时，公司在并购海外公司后的业务整合、人员整合、文化整合等方面也面临相应的风险。</w:t>
      </w:r>
      <w:r>
        <w:rPr>
          <w:spacing w:val="-46"/>
        </w:rPr>
        <w:t> </w:t>
      </w:r>
      <w:r>
        <w:rPr>
          <w:spacing w:val="-46"/>
        </w:rPr>
      </w:r>
      <w:r>
        <w:rPr>
          <w:spacing w:val="-2"/>
        </w:rPr>
        <w:t>针对以上风险，公司已不断完善组织结构、加强人才队伍建设和管理制度建设。为不断吸引新的技术人才加盟，增强公司的</w:t>
      </w:r>
      <w:r>
        <w:rPr>
          <w:spacing w:val="-65"/>
        </w:rPr>
        <w:t> </w:t>
      </w:r>
      <w:r>
        <w:rPr>
          <w:spacing w:val="-65"/>
        </w:rPr>
      </w:r>
      <w:r>
        <w:rPr>
          <w:spacing w:val="-2"/>
        </w:rPr>
        <w:t>技术实力，公司制定了有竞争力的薪酬体系和职业发展规划，并对核心技术和管理人员进行股权激励，同时与核心人员签订</w:t>
      </w:r>
      <w:r>
        <w:rPr>
          <w:spacing w:val="-63"/>
        </w:rPr>
        <w:t> </w:t>
      </w:r>
      <w:r>
        <w:rPr>
          <w:spacing w:val="-63"/>
        </w:rPr>
      </w:r>
      <w:r>
        <w:rPr>
          <w:spacing w:val="-2"/>
        </w:rPr>
        <w:t>了保密协议，对竞业禁止义务和责任等进行了明确约定，尽可能降低或消除核心人员流失及由此带来的技术扩散风险。对于</w:t>
      </w:r>
      <w:r>
        <w:rPr>
          <w:spacing w:val="-63"/>
        </w:rPr>
        <w:t> </w:t>
      </w:r>
      <w:r>
        <w:rPr>
          <w:spacing w:val="-63"/>
        </w:rPr>
      </w:r>
      <w:r>
        <w:rPr/>
        <w:t>海外收购的企业，以尊重当地文化为主旨，互相融合，加强沟通，逐步消除因文化差异存在的障碍。</w:t>
      </w:r>
    </w:p>
    <w:p>
      <w:pPr>
        <w:pStyle w:val="BodyText"/>
        <w:spacing w:line="300" w:lineRule="auto" w:before="19"/>
        <w:ind w:left="513" w:right="93"/>
        <w:jc w:val="left"/>
      </w:pPr>
      <w:r>
        <w:rPr>
          <w:rFonts w:ascii="Times New Roman" w:hAnsi="Times New Roman" w:cs="Times New Roman" w:eastAsia="Times New Roman" w:hint="default"/>
        </w:rPr>
        <w:t>3</w:t>
      </w:r>
      <w:r>
        <w:rPr/>
        <w:t>、投资项目实施的风险 </w:t>
      </w:r>
      <w:r>
        <w:rPr>
          <w:spacing w:val="-4"/>
        </w:rPr>
        <w:t>公司在海外投资及拟收购的项目，虽然在前期已请相关专业机构进行了充分论证，并经过了董事会及股东会的审议研究，</w:t>
      </w:r>
    </w:p>
    <w:p>
      <w:pPr>
        <w:pStyle w:val="BodyText"/>
        <w:spacing w:line="319" w:lineRule="auto" w:before="31"/>
        <w:ind w:right="93"/>
        <w:jc w:val="left"/>
      </w:pPr>
      <w:r>
        <w:rPr>
          <w:spacing w:val="-2"/>
        </w:rPr>
        <w:t>但由于在项目实施及营运过程中可能会由于市场的变化、政策的调整、投资地人文环境的不适应、市场拓展不力、人力资源</w:t>
      </w:r>
      <w:r>
        <w:rPr>
          <w:spacing w:val="-64"/>
        </w:rPr>
        <w:t> </w:t>
      </w:r>
      <w:r>
        <w:rPr>
          <w:spacing w:val="-64"/>
        </w:rPr>
      </w:r>
      <w:r>
        <w:rPr/>
        <w:t>的不足等问题，存在投资项目时间进度不能按照计划进行或项目收益无法达到预期的风险。 </w:t>
      </w:r>
      <w:r>
        <w:rPr>
          <w:spacing w:val="-2"/>
        </w:rPr>
        <w:t>针对以上风险，在项目时间进度方面，公司会对各项目的进展情况及时跟踪，及时处理项目实施过程中出现的问题，尽可能</w:t>
      </w:r>
      <w:r>
        <w:rPr>
          <w:spacing w:val="-65"/>
        </w:rPr>
        <w:t> </w:t>
      </w:r>
      <w:r>
        <w:rPr>
          <w:spacing w:val="-65"/>
        </w:rPr>
      </w:r>
      <w:r>
        <w:rPr>
          <w:spacing w:val="-2"/>
        </w:rPr>
        <w:t>使项目时间按计划进度进行。公司将积极开展融资，进一步开拓思路，通过寻求有资金实力的合作伙伴、争取资本市场直接</w:t>
      </w:r>
      <w:r>
        <w:rPr>
          <w:spacing w:val="-65"/>
        </w:rPr>
        <w:t> </w:t>
      </w:r>
      <w:r>
        <w:rPr>
          <w:spacing w:val="-65"/>
        </w:rPr>
      </w:r>
      <w:r>
        <w:rPr/>
        <w:t>融资等方式，解决项目资金需求、降低财务成本。</w:t>
      </w:r>
    </w:p>
    <w:p>
      <w:pPr>
        <w:pStyle w:val="BodyText"/>
        <w:spacing w:line="300" w:lineRule="auto" w:before="17"/>
        <w:ind w:left="513" w:right="93"/>
        <w:jc w:val="left"/>
      </w:pPr>
      <w:r>
        <w:rPr>
          <w:rFonts w:ascii="Times New Roman" w:hAnsi="Times New Roman" w:cs="Times New Roman" w:eastAsia="Times New Roman" w:hint="default"/>
        </w:rPr>
        <w:t>4</w:t>
      </w:r>
      <w:r>
        <w:rPr/>
        <w:t>、境外法律风险 </w:t>
      </w:r>
      <w:r>
        <w:rPr>
          <w:spacing w:val="-2"/>
        </w:rPr>
        <w:t>公司境外项目所布局国家的法律体系大多比较完整，但操作性差，且不同法律存在矛盾和冲突，给人治因素留下较大空</w:t>
      </w:r>
    </w:p>
    <w:p>
      <w:pPr>
        <w:pStyle w:val="BodyText"/>
        <w:spacing w:line="240" w:lineRule="auto" w:before="31"/>
        <w:ind w:right="6754"/>
        <w:jc w:val="left"/>
      </w:pPr>
      <w:r>
        <w:rPr/>
        <w:t>间。</w:t>
      </w:r>
    </w:p>
    <w:p>
      <w:pPr>
        <w:pStyle w:val="BodyText"/>
        <w:spacing w:line="240" w:lineRule="auto" w:before="76"/>
        <w:ind w:left="513" w:right="0"/>
        <w:jc w:val="left"/>
      </w:pPr>
      <w:r>
        <w:rPr/>
        <w:t>针对以上风险，公司方需充分利用国际经济活动中的法律和规则，通过以下几种方式规避法律风险：海外工程施工更重</w:t>
      </w:r>
    </w:p>
    <w:p>
      <w:pPr>
        <w:pStyle w:val="BodyText"/>
        <w:spacing w:line="319" w:lineRule="auto" w:before="76"/>
        <w:ind w:right="190"/>
        <w:jc w:val="both"/>
      </w:pPr>
      <w:r>
        <w:rPr>
          <w:spacing w:val="-2"/>
        </w:rPr>
        <w:t>视合同内容，可与施工企业依靠双方的合同约定来调整双方关系、依据合同追究相应责任，并选择在背景、经验及管理上更</w:t>
      </w:r>
      <w:r>
        <w:rPr>
          <w:spacing w:val="-64"/>
        </w:rPr>
        <w:t> </w:t>
      </w:r>
      <w:r>
        <w:rPr>
          <w:spacing w:val="-64"/>
        </w:rPr>
      </w:r>
      <w:r>
        <w:rPr>
          <w:spacing w:val="-2"/>
        </w:rPr>
        <w:t>成熟的中国公司进行合作，弱化外部因素影响；寻求熟悉中外双重法律体系和跨境法律服务的当地律所或在当地有分支机构</w:t>
      </w:r>
      <w:r>
        <w:rPr>
          <w:spacing w:val="-64"/>
        </w:rPr>
        <w:t> </w:t>
      </w:r>
      <w:r>
        <w:rPr>
          <w:spacing w:val="-64"/>
        </w:rPr>
      </w:r>
      <w:r>
        <w:rPr>
          <w:spacing w:val="-2"/>
        </w:rPr>
        <w:t>的国内知名律所合作；聘请本地执业律师，与本国律师一起组建自身的法务团队，在分析当地法律法规的基础上，结合中国</w:t>
      </w:r>
      <w:r>
        <w:rPr>
          <w:spacing w:val="-65"/>
        </w:rPr>
        <w:t> </w:t>
      </w:r>
      <w:r>
        <w:rPr>
          <w:spacing w:val="-65"/>
        </w:rPr>
      </w:r>
      <w:r>
        <w:rPr>
          <w:spacing w:val="-2"/>
        </w:rPr>
        <w:t>的管理理念，指导开展日常工作；组建国内精英管理团队，并聘请熟悉当地注册、税务、劳务等政策的资深人员，针对当地</w:t>
      </w:r>
      <w:r>
        <w:rPr>
          <w:spacing w:val="-68"/>
        </w:rPr>
        <w:t> </w:t>
      </w:r>
      <w:r>
        <w:rPr>
          <w:spacing w:val="-68"/>
        </w:rPr>
      </w:r>
      <w:r>
        <w:rPr/>
        <w:t>有冲突或者不明确的法律条文，充分沟通磨合，并要求对相关法律条文进行解释。</w:t>
      </w:r>
    </w:p>
    <w:p>
      <w:pPr>
        <w:pStyle w:val="BodyText"/>
        <w:spacing w:line="300" w:lineRule="auto" w:before="17"/>
        <w:ind w:left="513" w:right="93"/>
        <w:jc w:val="left"/>
      </w:pPr>
      <w:r>
        <w:rPr>
          <w:rFonts w:ascii="Times New Roman" w:hAnsi="Times New Roman" w:cs="Times New Roman" w:eastAsia="Times New Roman" w:hint="default"/>
        </w:rPr>
        <w:t>5</w:t>
      </w:r>
      <w:r>
        <w:rPr/>
        <w:t>、汇率变动的风险 </w:t>
      </w:r>
      <w:r>
        <w:rPr>
          <w:spacing w:val="-2"/>
        </w:rPr>
        <w:t>公司签署的合作项目，目前在执行的合同多以外币为结算货币，虽然在合同中约定了相关的汇率变化调整条款，但仍存</w:t>
      </w:r>
    </w:p>
    <w:p>
      <w:pPr>
        <w:pStyle w:val="BodyText"/>
        <w:spacing w:line="316" w:lineRule="auto" w:before="31"/>
        <w:ind w:left="513" w:right="4773" w:hanging="361"/>
        <w:jc w:val="left"/>
      </w:pPr>
      <w:r>
        <w:rPr/>
        <w:t>在一定的风险。 针对以上风险，公司将进一步完善合同中汇率调整的条款。</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5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公司报告期内未发生接待调研、沟通、采访等活动。</w:t>
      </w:r>
    </w:p>
    <w:p>
      <w:pPr>
        <w:spacing w:after="0" w:line="340" w:lineRule="auto"/>
        <w:jc w:val="left"/>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29" w:right="3465"/>
        <w:jc w:val="center"/>
        <w:rPr>
          <w:b w:val="0"/>
          <w:bCs w:val="0"/>
        </w:rPr>
      </w:pPr>
      <w:bookmarkStart w:name="_bookmark4" w:id="5"/>
      <w:bookmarkEnd w:id="5"/>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3"/>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3"/>
        <w:jc w:val="left"/>
      </w:pPr>
      <w:r>
        <w:rPr/>
        <w:t>报告期内普通股利润分配政策，特别是现金分红政策的制定、执行或调整情况</w:t>
      </w:r>
    </w:p>
    <w:p>
      <w:pPr>
        <w:pStyle w:val="BodyText"/>
        <w:spacing w:line="338" w:lineRule="auto" w:before="117"/>
        <w:ind w:right="2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公司报告期利润分配预案及资本公积金转增股本预案与公司章程和分红管理办法等的相关规定一致</w:t>
      </w:r>
    </w:p>
    <w:p>
      <w:pPr>
        <w:pStyle w:val="BodyText"/>
        <w:spacing w:line="348" w:lineRule="auto" w:before="43"/>
        <w:ind w:right="3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本年度利润分配及资本公积金转增股本预案</w:t>
      </w:r>
    </w:p>
    <w:p>
      <w:pPr>
        <w:spacing w:line="240" w:lineRule="auto" w:before="2"/>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3696"/>
        <w:gridCol w:w="5863"/>
      </w:tblGrid>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765,525,000</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573,366,278.39</w:t>
            </w:r>
          </w:p>
        </w:tc>
      </w:tr>
      <w:tr>
        <w:trPr>
          <w:trHeight w:val="404"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年度，公司计划不派发现金红利，不送红股，不以公积金转增股本。</w:t>
            </w:r>
          </w:p>
        </w:tc>
      </w:tr>
    </w:tbl>
    <w:p>
      <w:pPr>
        <w:pStyle w:val="BodyText"/>
        <w:spacing w:line="319" w:lineRule="auto" w:before="49"/>
        <w:ind w:right="93"/>
        <w:jc w:val="left"/>
        <w:rPr>
          <w:rFonts w:ascii="Times New Roman" w:hAnsi="Times New Roman" w:cs="Times New Roman" w:eastAsia="Times New Roman" w:hint="default"/>
        </w:rPr>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61"/>
        </w:rPr>
        <w:t> </w:t>
      </w:r>
      <w:r>
        <w:rPr>
          <w:spacing w:val="-61"/>
        </w:rPr>
      </w:r>
      <w:r>
        <w:rPr>
          <w:spacing w:val="-5"/>
        </w:rPr>
        <w:t>公司于</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9</w:t>
      </w:r>
      <w:r>
        <w:rPr>
          <w:spacing w:val="-5"/>
        </w:rPr>
        <w:t>月</w:t>
      </w:r>
      <w:r>
        <w:rPr>
          <w:rFonts w:ascii="Times New Roman" w:hAnsi="Times New Roman" w:cs="Times New Roman" w:eastAsia="Times New Roman" w:hint="default"/>
          <w:spacing w:val="-5"/>
        </w:rPr>
        <w:t>7</w:t>
      </w:r>
      <w:r>
        <w:rPr>
          <w:spacing w:val="-5"/>
        </w:rPr>
        <w:t>日召开</w:t>
      </w:r>
      <w:r>
        <w:rPr>
          <w:rFonts w:ascii="Times New Roman" w:hAnsi="Times New Roman" w:cs="Times New Roman" w:eastAsia="Times New Roman" w:hint="default"/>
          <w:spacing w:val="-5"/>
        </w:rPr>
        <w:t>2015</w:t>
      </w:r>
      <w:r>
        <w:rPr>
          <w:spacing w:val="-5"/>
        </w:rPr>
        <w:t>年第四次临时股东大会审议通过了《关于公司</w:t>
      </w:r>
      <w:r>
        <w:rPr>
          <w:rFonts w:ascii="Times New Roman" w:hAnsi="Times New Roman" w:cs="Times New Roman" w:eastAsia="Times New Roman" w:hint="default"/>
          <w:spacing w:val="-5"/>
        </w:rPr>
        <w:t>2015</w:t>
      </w:r>
      <w:r>
        <w:rPr>
          <w:spacing w:val="-5"/>
        </w:rPr>
        <w:t>年半年度利润分配预案的议案》，以截至</w:t>
      </w:r>
      <w:r>
        <w:rPr>
          <w:rFonts w:ascii="Times New Roman" w:hAnsi="Times New Roman" w:cs="Times New Roman" w:eastAsia="Times New Roman" w:hint="default"/>
          <w:spacing w:val="-5"/>
        </w:rPr>
        <w:t>2015</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日公司总股本</w:t>
      </w:r>
      <w:r>
        <w:rPr>
          <w:rFonts w:ascii="Times New Roman" w:hAnsi="Times New Roman" w:cs="Times New Roman" w:eastAsia="Times New Roman" w:hint="default"/>
        </w:rPr>
        <w:t>30,661</w:t>
      </w:r>
      <w:r>
        <w:rPr/>
        <w:t>万股为基数，向全体股东每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0.6</w:t>
      </w:r>
      <w:r>
        <w:rPr/>
        <w:t>元人民币（含税），同时以公司总股本</w:t>
      </w:r>
      <w:r>
        <w:rPr>
          <w:rFonts w:ascii="Times New Roman" w:hAnsi="Times New Roman" w:cs="Times New Roman" w:eastAsia="Times New Roman" w:hint="default"/>
        </w:rPr>
        <w:t>30,661</w:t>
      </w:r>
    </w:p>
    <w:p>
      <w:pPr>
        <w:pStyle w:val="BodyText"/>
        <w:spacing w:line="321" w:lineRule="auto"/>
        <w:ind w:right="102"/>
        <w:jc w:val="both"/>
      </w:pPr>
      <w:r>
        <w:rPr>
          <w:spacing w:val="-2"/>
        </w:rPr>
        <w:t>万股为基数，向全体股东每</w:t>
      </w:r>
      <w:r>
        <w:rPr>
          <w:rFonts w:ascii="Times New Roman" w:hAnsi="Times New Roman" w:cs="Times New Roman" w:eastAsia="Times New Roman" w:hint="default"/>
          <w:spacing w:val="-2"/>
        </w:rPr>
        <w:t>10</w:t>
      </w:r>
      <w:r>
        <w:rPr>
          <w:spacing w:val="-2"/>
        </w:rPr>
        <w:t>股送红股</w:t>
      </w:r>
      <w:r>
        <w:rPr>
          <w:rFonts w:ascii="Times New Roman" w:hAnsi="Times New Roman" w:cs="Times New Roman" w:eastAsia="Times New Roman" w:hint="default"/>
          <w:spacing w:val="-2"/>
        </w:rPr>
        <w:t>5</w:t>
      </w:r>
      <w:r>
        <w:rPr>
          <w:spacing w:val="-2"/>
        </w:rPr>
        <w:t>股（含税）；并以资本公积金每</w:t>
      </w:r>
      <w:r>
        <w:rPr>
          <w:rFonts w:ascii="Times New Roman" w:hAnsi="Times New Roman" w:cs="Times New Roman" w:eastAsia="Times New Roman" w:hint="default"/>
          <w:spacing w:val="-2"/>
        </w:rPr>
        <w:t>10</w:t>
      </w:r>
      <w:r>
        <w:rPr>
          <w:spacing w:val="-2"/>
        </w:rPr>
        <w:t>股向全体股东转增</w:t>
      </w:r>
      <w:r>
        <w:rPr>
          <w:rFonts w:ascii="Times New Roman" w:hAnsi="Times New Roman" w:cs="Times New Roman" w:eastAsia="Times New Roman" w:hint="default"/>
          <w:spacing w:val="-2"/>
        </w:rPr>
        <w:t>10</w:t>
      </w:r>
      <w:r>
        <w:rPr>
          <w:spacing w:val="-2"/>
        </w:rPr>
        <w:t>股，共计送增</w:t>
      </w:r>
      <w:r>
        <w:rPr>
          <w:rFonts w:ascii="Times New Roman" w:hAnsi="Times New Roman" w:cs="Times New Roman" w:eastAsia="Times New Roman" w:hint="default"/>
          <w:spacing w:val="-2"/>
        </w:rPr>
        <w:t>45,991.50</w:t>
      </w:r>
      <w:r>
        <w:rPr>
          <w:spacing w:val="-2"/>
        </w:rPr>
        <w:t>万股。</w:t>
      </w:r>
      <w:r>
        <w:rPr>
          <w:spacing w:val="-57"/>
        </w:rPr>
        <w:t> </w:t>
      </w:r>
      <w:r>
        <w:rPr>
          <w:spacing w:val="-57"/>
        </w:rPr>
      </w:r>
      <w:r>
        <w:rPr/>
        <w:t>权益分派的股权登记日为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日，除权除息日为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日，权益分派完成后，公司总股本增至</w:t>
      </w:r>
      <w:r>
        <w:rPr>
          <w:rFonts w:ascii="Times New Roman" w:hAnsi="Times New Roman" w:cs="Times New Roman" w:eastAsia="Times New Roman" w:hint="default"/>
        </w:rPr>
        <w:t>76,652.50</w:t>
      </w:r>
      <w:r>
        <w:rPr/>
        <w:t>万股。 公司近三年（包括本报告期）普通股现金分红情况表</w:t>
      </w:r>
    </w:p>
    <w:p>
      <w:pPr>
        <w:pStyle w:val="BodyText"/>
        <w:spacing w:line="240" w:lineRule="auto" w:before="53"/>
        <w:ind w:left="0" w:right="19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4"/>
        <w:gridCol w:w="1594"/>
        <w:gridCol w:w="1594"/>
        <w:gridCol w:w="1596"/>
        <w:gridCol w:w="1594"/>
        <w:gridCol w:w="1594"/>
      </w:tblGrid>
      <w:tr>
        <w:trPr>
          <w:trHeight w:val="317" w:hRule="exact"/>
        </w:trPr>
        <w:tc>
          <w:tcPr>
            <w:tcW w:w="1584"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2"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156" w:hRule="exact"/>
        </w:trPr>
        <w:tc>
          <w:tcPr>
            <w:tcW w:w="1584"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94"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156" w:hRule="exact"/>
        </w:trPr>
        <w:tc>
          <w:tcPr>
            <w:tcW w:w="1584"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17" w:hRule="exact"/>
        </w:trPr>
        <w:tc>
          <w:tcPr>
            <w:tcW w:w="158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334,144,677.37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252,786,403.20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18,396,600.00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338,648,755.97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3"/>
        <w:jc w:val="left"/>
      </w:pPr>
      <w:r>
        <w:rPr/>
        <w:t>公司报告期内盈利且母公司可供普通股股东分配利润为正但未提出普通股现金红利分配预案</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135"/>
        <w:jc w:val="left"/>
      </w:pPr>
      <w:r>
        <w:rPr/>
        <w:pict>
          <v:group style="position:absolute;margin-left:297.290009pt;margin-top:71.151703pt;width:236.45pt;height:17.650pt;mso-position-horizontal-relative:page;mso-position-vertical-relative:paragraph;z-index:-819232" coordorigin="5946,1423" coordsize="4729,353">
            <v:shape style="position:absolute;left:5946;top:1423;width:4729;height:353" coordorigin="5946,1423" coordsize="4729,353" path="m5946,1776l10675,1776,10675,1423,5946,1423,5946,1776xe" filled="true" fillcolor="#ffffff" stroked="false">
              <v:path arrowok="t"/>
              <v:fill type="solid"/>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71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37" w:right="44" w:hanging="990"/>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 出普通股现金红利分配预案的原因</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7"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1651" w:hRule="exact"/>
        </w:trPr>
        <w:tc>
          <w:tcPr>
            <w:tcW w:w="4784" w:type="dxa"/>
            <w:tcBorders>
              <w:top w:val="single" w:sz="4" w:space="0" w:color="000000"/>
              <w:left w:val="single" w:sz="4" w:space="0" w:color="000000"/>
              <w:bottom w:val="single" w:sz="4" w:space="0" w:color="000000"/>
              <w:right w:val="single" w:sz="13" w:space="0" w:color="FFFFFF"/>
            </w:tcBorders>
          </w:tcPr>
          <w:p>
            <w:pPr>
              <w:pStyle w:val="TableParagraph"/>
              <w:spacing w:line="314"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考虑到公司目前的经营模式、发展阶段、重大资金支出安排 </w:t>
            </w:r>
            <w:r>
              <w:rPr>
                <w:rFonts w:ascii="宋体" w:hAnsi="宋体" w:cs="宋体" w:eastAsia="宋体" w:hint="default"/>
                <w:spacing w:val="-3"/>
                <w:sz w:val="18"/>
                <w:szCs w:val="18"/>
              </w:rPr>
              <w:t>等因素，为了不影响公司未来的发展，保护公司投资者利益、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把握公司发展机遇，根据《公司法》、《公司章程》及公司目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前的实际情况，</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年度暂不进行利润分配，也不进行资本 公积转增股本。</w:t>
            </w:r>
          </w:p>
        </w:tc>
        <w:tc>
          <w:tcPr>
            <w:tcW w:w="478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 w:right="72"/>
              <w:jc w:val="both"/>
              <w:rPr>
                <w:rFonts w:ascii="宋体" w:hAnsi="宋体" w:cs="宋体" w:eastAsia="宋体" w:hint="default"/>
                <w:sz w:val="18"/>
                <w:szCs w:val="18"/>
              </w:rPr>
            </w:pPr>
            <w:r>
              <w:rPr>
                <w:rFonts w:ascii="宋体" w:hAnsi="宋体" w:cs="宋体" w:eastAsia="宋体" w:hint="default"/>
                <w:sz w:val="18"/>
                <w:szCs w:val="18"/>
              </w:rPr>
              <w:t>公司未分配的利润将用于公司未来经营发展和战略规划。公 司将严格按照相关法律法规和《公司章程》的规定，与投资 者共享公司发展的成果。</w:t>
            </w:r>
          </w:p>
        </w:tc>
      </w:tr>
    </w:tbl>
    <w:p>
      <w:pPr>
        <w:spacing w:line="240" w:lineRule="auto" w:before="1"/>
        <w:rPr>
          <w:rFonts w:ascii="宋体" w:hAnsi="宋体" w:cs="宋体" w:eastAsia="宋体" w:hint="default"/>
          <w:sz w:val="18"/>
          <w:szCs w:val="18"/>
        </w:rPr>
      </w:pPr>
    </w:p>
    <w:p>
      <w:pPr>
        <w:pStyle w:val="Heading2"/>
        <w:spacing w:line="240" w:lineRule="auto" w:before="26"/>
        <w:ind w:right="135"/>
        <w:jc w:val="left"/>
        <w:rPr>
          <w:b w:val="0"/>
          <w:bCs w:val="0"/>
        </w:rPr>
      </w:pPr>
      <w:r>
        <w:rPr/>
        <w:t>二、承诺事项履行情况</w:t>
      </w:r>
      <w:r>
        <w:rPr>
          <w:b w:val="0"/>
          <w:bCs w:val="0"/>
        </w:rPr>
      </w:r>
    </w:p>
    <w:p>
      <w:pPr>
        <w:spacing w:line="240" w:lineRule="auto" w:before="10"/>
        <w:rPr>
          <w:rFonts w:ascii="宋体" w:hAnsi="宋体" w:cs="宋体" w:eastAsia="宋体" w:hint="default"/>
          <w:b/>
          <w:bCs/>
          <w:sz w:val="24"/>
          <w:szCs w:val="24"/>
        </w:rPr>
      </w:pPr>
    </w:p>
    <w:p>
      <w:pPr>
        <w:pStyle w:val="Heading3"/>
        <w:spacing w:line="259" w:lineRule="auto"/>
        <w:ind w:right="135"/>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14"/>
        <w:gridCol w:w="1135"/>
        <w:gridCol w:w="1128"/>
        <w:gridCol w:w="1126"/>
        <w:gridCol w:w="1126"/>
        <w:gridCol w:w="1121"/>
        <w:gridCol w:w="1106"/>
      </w:tblGrid>
      <w:tr>
        <w:trPr>
          <w:trHeight w:val="403"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3"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9"/>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35"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35"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35"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35"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2501" w:hRule="exact"/>
        </w:trPr>
        <w:tc>
          <w:tcPr>
            <w:tcW w:w="2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5"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贾晓钰</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增持承诺</w:t>
            </w:r>
          </w:p>
        </w:tc>
        <w:tc>
          <w:tcPr>
            <w:tcW w:w="1126"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143"/>
              <w:jc w:val="left"/>
              <w:rPr>
                <w:rFonts w:ascii="Times New Roman" w:hAnsi="Times New Roman" w:cs="Times New Roman" w:eastAsia="Times New Roman" w:hint="default"/>
                <w:sz w:val="18"/>
                <w:szCs w:val="18"/>
              </w:rPr>
            </w:pPr>
            <w:r>
              <w:rPr>
                <w:rFonts w:ascii="宋体" w:hAnsi="宋体" w:cs="宋体" w:eastAsia="宋体" w:hint="default"/>
                <w:sz w:val="18"/>
                <w:szCs w:val="18"/>
              </w:rPr>
              <w:t>贾晓钰先生 计划自</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p>
          <w:p>
            <w:pPr>
              <w:pStyle w:val="TableParagraph"/>
              <w:spacing w:line="307" w:lineRule="auto" w:before="1"/>
              <w:ind w:left="23" w:right="19"/>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起，</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w:t>
            </w:r>
            <w:r>
              <w:rPr>
                <w:rFonts w:ascii="宋体" w:hAnsi="宋体" w:cs="宋体" w:eastAsia="宋体" w:hint="default"/>
                <w:spacing w:val="-2"/>
                <w:sz w:val="18"/>
                <w:szCs w:val="18"/>
              </w:rPr>
              <w:t>内，累计增持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不低于公司 总股本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不超过公司 总股本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的 股份</w:t>
            </w:r>
            <w:r>
              <w:rPr>
                <w:rFonts w:ascii="Times New Roman" w:hAnsi="Times New Roman" w:cs="Times New Roman" w:eastAsia="Times New Roman" w:hint="default"/>
                <w:sz w:val="18"/>
                <w:szCs w:val="18"/>
              </w:rPr>
              <w:t>(</w:t>
            </w:r>
            <w:r>
              <w:rPr>
                <w:rFonts w:ascii="宋体" w:hAnsi="宋体" w:cs="宋体" w:eastAsia="宋体" w:hint="default"/>
                <w:sz w:val="18"/>
                <w:szCs w:val="18"/>
              </w:rPr>
              <w:t>即不低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76.6525 </w:t>
            </w:r>
            <w:r>
              <w:rPr>
                <w:rFonts w:ascii="宋体" w:hAnsi="宋体" w:cs="宋体" w:eastAsia="宋体" w:hint="default"/>
                <w:sz w:val="18"/>
                <w:szCs w:val="18"/>
              </w:rPr>
              <w:t>万</w:t>
            </w:r>
          </w:p>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sz w:val="18"/>
                <w:szCs w:val="18"/>
              </w:rPr>
              <w:t>股，不超过</w:t>
            </w:r>
          </w:p>
          <w:p>
            <w:pPr>
              <w:pStyle w:val="TableParagraph"/>
              <w:spacing w:line="309" w:lineRule="auto" w:before="76"/>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1533.05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w:t>
            </w:r>
            <w:r>
              <w:rPr>
                <w:rFonts w:ascii="宋体" w:hAnsi="宋体" w:cs="宋体" w:eastAsia="宋体" w:hint="default"/>
                <w:spacing w:val="-10"/>
                <w:sz w:val="18"/>
                <w:szCs w:val="18"/>
              </w:rPr>
              <w:t>股</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。增持所需</w:t>
            </w:r>
            <w:r>
              <w:rPr>
                <w:rFonts w:ascii="宋体" w:hAnsi="宋体" w:cs="宋体" w:eastAsia="宋体" w:hint="default"/>
                <w:sz w:val="18"/>
                <w:szCs w:val="18"/>
              </w:rPr>
              <w:t> 资金由贾晓 钰先生自筹 取得。</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92" w:hRule="exact"/>
        </w:trPr>
        <w:tc>
          <w:tcPr>
            <w:tcW w:w="28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35" w:type="dxa"/>
            <w:vMerge/>
            <w:tcBorders>
              <w:left w:val="single" w:sz="10" w:space="0" w:color="D2D2D2"/>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2501" w:hRule="exact"/>
        </w:trPr>
        <w:tc>
          <w:tcPr>
            <w:tcW w:w="2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5" w:type="dxa"/>
            <w:vMerge/>
            <w:tcBorders>
              <w:left w:val="single" w:sz="10" w:space="0" w:color="D2D2D2"/>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403"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35" w:type="dxa"/>
            <w:tcBorders>
              <w:top w:val="single" w:sz="4" w:space="0" w:color="000000"/>
              <w:left w:val="single" w:sz="13" w:space="0" w:color="D2D2D2"/>
              <w:bottom w:val="single" w:sz="4" w:space="0" w:color="000000"/>
              <w:right w:val="single" w:sz="14" w:space="0" w:color="D2D2D2"/>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43"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59" w:lineRule="auto" w:before="36"/>
        <w:ind w:right="9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3"/>
        </w:rPr>
        <w:t> </w:t>
      </w:r>
      <w:r>
        <w:rPr>
          <w:spacing w:val="-63"/>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3"/>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93"/>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3"/>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338" w:lineRule="auto"/>
        <w:ind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Times New Roman" w:hAnsi="Times New Roman" w:cs="Times New Roman" w:eastAsia="Times New Roman" w:hint="default"/>
        </w:rPr>
        <w:t>1</w:t>
      </w:r>
      <w:r>
        <w:rPr/>
        <w:t>、董事会关于对会计师事务所出具的带强调事项段的无保留意见审计报告涉及事项的专项说明： 山东和信会计师事务所（特殊普通合伙）对公司</w:t>
      </w:r>
      <w:r>
        <w:rPr>
          <w:rFonts w:ascii="Times New Roman" w:hAnsi="Times New Roman" w:cs="Times New Roman" w:eastAsia="Times New Roman" w:hint="default"/>
        </w:rPr>
        <w:t>2017</w:t>
      </w:r>
      <w:r>
        <w:rPr/>
        <w:t>年度财务报表出具了带强调事项段的无保留意见审计报告。 强调事项内容如下：</w:t>
      </w:r>
    </w:p>
    <w:p>
      <w:pPr>
        <w:pStyle w:val="BodyText"/>
        <w:spacing w:line="240" w:lineRule="auto" w:before="43"/>
        <w:ind w:right="93"/>
        <w:jc w:val="left"/>
      </w:pPr>
      <w:r>
        <w:rPr>
          <w:rFonts w:ascii="Times New Roman" w:hAnsi="Times New Roman" w:cs="Times New Roman" w:eastAsia="Times New Roman" w:hint="default"/>
        </w:rPr>
        <w:t>“</w:t>
      </w:r>
      <w:r>
        <w:rPr/>
        <w:t>我们提醒财务报表使用者关注如下事项：</w:t>
      </w:r>
    </w:p>
    <w:p>
      <w:pPr>
        <w:pStyle w:val="BodyText"/>
        <w:spacing w:line="300" w:lineRule="auto" w:before="104"/>
        <w:ind w:right="93"/>
        <w:jc w:val="left"/>
      </w:pPr>
      <w:r>
        <w:rPr>
          <w:spacing w:val="-2"/>
        </w:rPr>
        <w:t>（一）如财务报表附注十四所述，恒顺公司于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13</w:t>
      </w:r>
      <w:r>
        <w:rPr>
          <w:spacing w:val="-2"/>
        </w:rPr>
        <w:t>日收到中国证券监督管理委员会《行政处罚及市场禁入事先告知</w:t>
      </w:r>
      <w:r>
        <w:rPr>
          <w:spacing w:val="-58"/>
        </w:rPr>
        <w:t> </w:t>
      </w:r>
      <w:r>
        <w:rPr>
          <w:spacing w:val="-58"/>
        </w:rPr>
      </w:r>
      <w:r>
        <w:rPr>
          <w:spacing w:val="-1"/>
        </w:rPr>
        <w:t>书》（处罚字</w:t>
      </w:r>
      <w:r>
        <w:rPr>
          <w:rFonts w:ascii="Times New Roman" w:hAnsi="Times New Roman" w:cs="Times New Roman" w:eastAsia="Times New Roman" w:hint="default"/>
          <w:spacing w:val="-1"/>
        </w:rPr>
        <w:t>[2017]101</w:t>
      </w:r>
      <w:r>
        <w:rPr>
          <w:spacing w:val="-1"/>
        </w:rPr>
        <w:t>号），就恒顺公司涉嫌信息披露违法一案，拟对恒顺公司及有关人员作出行政处罚及市场禁入措施，</w:t>
      </w:r>
      <w:r>
        <w:rPr>
          <w:spacing w:val="-60"/>
        </w:rPr>
        <w:t> </w:t>
      </w:r>
      <w:r>
        <w:rPr>
          <w:spacing w:val="-60"/>
        </w:rPr>
      </w:r>
      <w:r>
        <w:rPr/>
        <w:t>恒顺公司及相关人员要求进行听证并对拟处罚事项进行了申辩。截至审计报告日，恒顺公司尚未收到行政处罚决定书。</w:t>
      </w:r>
    </w:p>
    <w:p>
      <w:pPr>
        <w:pStyle w:val="BodyText"/>
        <w:spacing w:line="300" w:lineRule="auto" w:before="70"/>
        <w:ind w:right="102"/>
        <w:jc w:val="both"/>
      </w:pPr>
      <w:r>
        <w:rPr/>
        <w:t>（二）如财务报表附注五</w:t>
      </w:r>
      <w:r>
        <w:rPr>
          <w:rFonts w:ascii="Times New Roman" w:hAnsi="Times New Roman" w:cs="Times New Roman" w:eastAsia="Times New Roman" w:hint="default"/>
        </w:rPr>
        <w:t>.37</w:t>
      </w:r>
      <w:r>
        <w:rPr/>
        <w:t>所述，</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月，恒顺公司对与</w:t>
      </w:r>
      <w:r>
        <w:rPr>
          <w:rFonts w:ascii="Times New Roman" w:hAnsi="Times New Roman" w:cs="Times New Roman" w:eastAsia="Times New Roman" w:hint="default"/>
        </w:rPr>
        <w:t>ENERGY LOGICS</w:t>
      </w:r>
      <w:r>
        <w:rPr>
          <w:rFonts w:ascii="Times New Roman" w:hAnsi="Times New Roman" w:cs="Times New Roman" w:eastAsia="Times New Roman" w:hint="default"/>
          <w:spacing w:val="-24"/>
        </w:rPr>
        <w:t> </w:t>
      </w:r>
      <w:r>
        <w:rPr>
          <w:rFonts w:ascii="Times New Roman" w:hAnsi="Times New Roman" w:cs="Times New Roman" w:eastAsia="Times New Roman" w:hint="default"/>
        </w:rPr>
        <w:t>PHILIPPINES,INC</w:t>
      </w:r>
      <w:r>
        <w:rPr/>
        <w:t>（以下简称</w:t>
      </w:r>
      <w:r>
        <w:rPr>
          <w:rFonts w:ascii="Times New Roman" w:hAnsi="Times New Roman" w:cs="Times New Roman" w:eastAsia="Times New Roman" w:hint="default"/>
        </w:rPr>
        <w:t>“</w:t>
      </w:r>
      <w:r>
        <w:rPr/>
        <w:t>业主方</w:t>
      </w:r>
      <w:r>
        <w:rPr>
          <w:rFonts w:ascii="Times New Roman" w:hAnsi="Times New Roman" w:cs="Times New Roman" w:eastAsia="Times New Roman" w:hint="default"/>
        </w:rPr>
        <w:t>”</w:t>
      </w:r>
      <w:r>
        <w:rPr/>
        <w:t>）之 间签署的《</w:t>
      </w:r>
      <w:r>
        <w:rPr>
          <w:rFonts w:ascii="Times New Roman" w:hAnsi="Times New Roman" w:cs="Times New Roman" w:eastAsia="Times New Roman" w:hint="default"/>
        </w:rPr>
        <w:t>Engineering,</w:t>
      </w:r>
      <w:r>
        <w:rPr>
          <w:rFonts w:ascii="Times New Roman" w:hAnsi="Times New Roman" w:cs="Times New Roman" w:eastAsia="Times New Roman" w:hint="default"/>
          <w:spacing w:val="22"/>
        </w:rPr>
        <w:t> </w:t>
      </w:r>
      <w:r>
        <w:rPr>
          <w:rFonts w:ascii="Times New Roman" w:hAnsi="Times New Roman" w:cs="Times New Roman" w:eastAsia="Times New Roman" w:hint="default"/>
        </w:rPr>
        <w:t>Procurement,</w:t>
      </w:r>
      <w:r>
        <w:rPr>
          <w:rFonts w:ascii="Times New Roman" w:hAnsi="Times New Roman" w:cs="Times New Roman" w:eastAsia="Times New Roman" w:hint="default"/>
          <w:spacing w:val="25"/>
        </w:rPr>
        <w:t> </w:t>
      </w:r>
      <w:r>
        <w:rPr>
          <w:rFonts w:ascii="Times New Roman" w:hAnsi="Times New Roman" w:cs="Times New Roman" w:eastAsia="Times New Roman" w:hint="default"/>
        </w:rPr>
        <w:t>and</w:t>
      </w:r>
      <w:r>
        <w:rPr>
          <w:rFonts w:ascii="Times New Roman" w:hAnsi="Times New Roman" w:cs="Times New Roman" w:eastAsia="Times New Roman" w:hint="default"/>
          <w:spacing w:val="23"/>
        </w:rPr>
        <w:t> </w:t>
      </w:r>
      <w:r>
        <w:rPr>
          <w:rFonts w:ascii="Times New Roman" w:hAnsi="Times New Roman" w:cs="Times New Roman" w:eastAsia="Times New Roman" w:hint="default"/>
        </w:rPr>
        <w:t>Construction</w:t>
      </w:r>
      <w:r>
        <w:rPr>
          <w:rFonts w:ascii="Times New Roman" w:hAnsi="Times New Roman" w:cs="Times New Roman" w:eastAsia="Times New Roman" w:hint="default"/>
          <w:spacing w:val="23"/>
        </w:rPr>
        <w:t> </w:t>
      </w:r>
      <w:r>
        <w:rPr>
          <w:rFonts w:ascii="Times New Roman" w:hAnsi="Times New Roman" w:cs="Times New Roman" w:eastAsia="Times New Roman" w:hint="default"/>
        </w:rPr>
        <w:t>(EPC)</w:t>
      </w:r>
      <w:r>
        <w:rPr>
          <w:rFonts w:ascii="Times New Roman" w:hAnsi="Times New Roman" w:cs="Times New Roman" w:eastAsia="Times New Roman" w:hint="default"/>
          <w:spacing w:val="22"/>
        </w:rPr>
        <w:t> </w:t>
      </w:r>
      <w:r>
        <w:rPr>
          <w:rFonts w:ascii="Times New Roman" w:hAnsi="Times New Roman" w:cs="Times New Roman" w:eastAsia="Times New Roman" w:hint="default"/>
        </w:rPr>
        <w:t>Contract</w:t>
      </w:r>
      <w:r>
        <w:rPr>
          <w:rFonts w:ascii="Times New Roman" w:hAnsi="Times New Roman" w:cs="Times New Roman" w:eastAsia="Times New Roman" w:hint="default"/>
          <w:spacing w:val="25"/>
        </w:rPr>
        <w:t> </w:t>
      </w:r>
      <w:r>
        <w:rPr>
          <w:rFonts w:ascii="Times New Roman" w:hAnsi="Times New Roman" w:cs="Times New Roman" w:eastAsia="Times New Roman" w:hint="default"/>
        </w:rPr>
        <w:t>for</w:t>
      </w:r>
      <w:r>
        <w:rPr>
          <w:rFonts w:ascii="Times New Roman" w:hAnsi="Times New Roman" w:cs="Times New Roman" w:eastAsia="Times New Roman" w:hint="default"/>
          <w:spacing w:val="24"/>
        </w:rPr>
        <w:t> </w:t>
      </w:r>
      <w:r>
        <w:rPr>
          <w:rFonts w:ascii="Times New Roman" w:hAnsi="Times New Roman" w:cs="Times New Roman" w:eastAsia="Times New Roman" w:hint="default"/>
        </w:rPr>
        <w:t>a</w:t>
      </w:r>
      <w:r>
        <w:rPr>
          <w:rFonts w:ascii="Times New Roman" w:hAnsi="Times New Roman" w:cs="Times New Roman" w:eastAsia="Times New Roman" w:hint="default"/>
          <w:spacing w:val="21"/>
        </w:rPr>
        <w:t> </w:t>
      </w:r>
      <w:r>
        <w:rPr>
          <w:rFonts w:ascii="Times New Roman" w:hAnsi="Times New Roman" w:cs="Times New Roman" w:eastAsia="Times New Roman" w:hint="default"/>
        </w:rPr>
        <w:t>Pasuquin</w:t>
      </w:r>
      <w:r>
        <w:rPr>
          <w:rFonts w:ascii="Times New Roman" w:hAnsi="Times New Roman" w:cs="Times New Roman" w:eastAsia="Times New Roman" w:hint="default"/>
          <w:spacing w:val="23"/>
        </w:rPr>
        <w:t> </w:t>
      </w:r>
      <w:r>
        <w:rPr>
          <w:rFonts w:ascii="Times New Roman" w:hAnsi="Times New Roman" w:cs="Times New Roman" w:eastAsia="Times New Roman" w:hint="default"/>
        </w:rPr>
        <w:t>Wind</w:t>
      </w:r>
      <w:r>
        <w:rPr>
          <w:rFonts w:ascii="Times New Roman" w:hAnsi="Times New Roman" w:cs="Times New Roman" w:eastAsia="Times New Roman" w:hint="default"/>
          <w:spacing w:val="23"/>
        </w:rPr>
        <w:t> </w:t>
      </w:r>
      <w:r>
        <w:rPr>
          <w:rFonts w:ascii="Times New Roman" w:hAnsi="Times New Roman" w:cs="Times New Roman" w:eastAsia="Times New Roman" w:hint="default"/>
        </w:rPr>
        <w:t>(132MW)-Solar</w:t>
      </w:r>
      <w:r>
        <w:rPr>
          <w:rFonts w:ascii="Times New Roman" w:hAnsi="Times New Roman" w:cs="Times New Roman" w:eastAsia="Times New Roman" w:hint="default"/>
          <w:spacing w:val="24"/>
        </w:rPr>
        <w:t> </w:t>
      </w:r>
      <w:r>
        <w:rPr>
          <w:rFonts w:ascii="Times New Roman" w:hAnsi="Times New Roman" w:cs="Times New Roman" w:eastAsia="Times New Roman" w:hint="default"/>
        </w:rPr>
        <w:t>(100MW)</w:t>
      </w:r>
      <w:r>
        <w:rPr>
          <w:rFonts w:ascii="Times New Roman" w:hAnsi="Times New Roman" w:cs="Times New Roman" w:eastAsia="Times New Roman" w:hint="default"/>
          <w:spacing w:val="24"/>
        </w:rPr>
        <w:t> </w:t>
      </w:r>
      <w:r>
        <w:rPr>
          <w:rFonts w:ascii="Times New Roman" w:hAnsi="Times New Roman" w:cs="Times New Roman" w:eastAsia="Times New Roman" w:hint="default"/>
        </w:rPr>
        <w:t>Hybrid</w:t>
      </w:r>
      <w:r>
        <w:rPr>
          <w:rFonts w:ascii="Times New Roman" w:hAnsi="Times New Roman" w:cs="Times New Roman" w:eastAsia="Times New Roman" w:hint="default"/>
        </w:rPr>
        <w:t> Project,</w:t>
      </w:r>
      <w:r>
        <w:rPr>
          <w:rFonts w:ascii="Times New Roman" w:hAnsi="Times New Roman" w:cs="Times New Roman" w:eastAsia="Times New Roman" w:hint="default"/>
          <w:spacing w:val="-23"/>
        </w:rPr>
        <w:t> </w:t>
      </w:r>
      <w:r>
        <w:rPr>
          <w:rFonts w:ascii="Times New Roman" w:hAnsi="Times New Roman" w:cs="Times New Roman" w:eastAsia="Times New Roman" w:hint="default"/>
        </w:rPr>
        <w:t>Philippines</w:t>
      </w:r>
      <w:r>
        <w:rPr/>
        <w:t>》合同进行了变更，合同金额维持不变，施工期限以及付款进程重新作出约定。</w:t>
      </w:r>
      <w:r>
        <w:rPr>
          <w:rFonts w:ascii="Times New Roman" w:hAnsi="Times New Roman" w:cs="Times New Roman" w:eastAsia="Times New Roman" w:hint="default"/>
        </w:rPr>
        <w:t>2017</w:t>
      </w:r>
      <w:r>
        <w:rPr/>
        <w:t>年度，恒顺公司按照 </w:t>
      </w:r>
      <w:r>
        <w:rPr>
          <w:spacing w:val="-2"/>
        </w:rPr>
        <w:t>企业会计准则第</w:t>
      </w:r>
      <w:r>
        <w:rPr>
          <w:rFonts w:ascii="Times New Roman" w:hAnsi="Times New Roman" w:cs="Times New Roman" w:eastAsia="Times New Roman" w:hint="default"/>
          <w:spacing w:val="-2"/>
        </w:rPr>
        <w:t>15</w:t>
      </w:r>
      <w:r>
        <w:rPr>
          <w:spacing w:val="-2"/>
        </w:rPr>
        <w:t>号《建造合同》完工百分比法（合同完工进度按照累计实际发生的合同成本占合同总成本的比例确定）累</w:t>
      </w:r>
      <w:r>
        <w:rPr>
          <w:spacing w:val="-64"/>
        </w:rPr>
        <w:t> </w:t>
      </w:r>
      <w:r>
        <w:rPr>
          <w:spacing w:val="-64"/>
        </w:rPr>
      </w:r>
      <w:r>
        <w:rPr/>
        <w:t>计确认收入</w:t>
      </w:r>
      <w:r>
        <w:rPr>
          <w:rFonts w:ascii="Times New Roman" w:hAnsi="Times New Roman" w:cs="Times New Roman" w:eastAsia="Times New Roman" w:hint="default"/>
        </w:rPr>
        <w:t>141,679.53</w:t>
      </w:r>
      <w:r>
        <w:rPr/>
        <w:t>万元，成本</w:t>
      </w:r>
      <w:r>
        <w:rPr>
          <w:rFonts w:ascii="Times New Roman" w:hAnsi="Times New Roman" w:cs="Times New Roman" w:eastAsia="Times New Roman" w:hint="default"/>
        </w:rPr>
        <w:t>85,548.65</w:t>
      </w:r>
      <w:r>
        <w:rPr/>
        <w:t>万元，毛利</w:t>
      </w:r>
      <w:r>
        <w:rPr>
          <w:rFonts w:ascii="Times New Roman" w:hAnsi="Times New Roman" w:cs="Times New Roman" w:eastAsia="Times New Roman" w:hint="default"/>
        </w:rPr>
        <w:t>56,130.88</w:t>
      </w:r>
      <w:r>
        <w:rPr/>
        <w:t>万元，占</w:t>
      </w:r>
      <w:r>
        <w:rPr>
          <w:rFonts w:ascii="Times New Roman" w:hAnsi="Times New Roman" w:cs="Times New Roman" w:eastAsia="Times New Roman" w:hint="default"/>
        </w:rPr>
        <w:t>2017</w:t>
      </w:r>
      <w:r>
        <w:rPr/>
        <w:t>年恒顺公司毛利的比例为</w:t>
      </w:r>
      <w:r>
        <w:rPr>
          <w:rFonts w:ascii="Times New Roman" w:hAnsi="Times New Roman" w:cs="Times New Roman" w:eastAsia="Times New Roman" w:hint="default"/>
        </w:rPr>
        <w:t>93.29%</w:t>
      </w:r>
      <w:r>
        <w:rPr/>
        <w:t>，该合同的执 </w:t>
      </w:r>
      <w:r>
        <w:rPr>
          <w:spacing w:val="-3"/>
        </w:rPr>
        <w:t>行对恒顺公司</w:t>
      </w:r>
      <w:r>
        <w:rPr>
          <w:rFonts w:ascii="Times New Roman" w:hAnsi="Times New Roman" w:cs="Times New Roman" w:eastAsia="Times New Roman" w:hint="default"/>
          <w:spacing w:val="-3"/>
        </w:rPr>
        <w:t>2017</w:t>
      </w:r>
      <w:r>
        <w:rPr>
          <w:spacing w:val="-3"/>
        </w:rPr>
        <w:t>年度的经营成果产生重大影响。截至</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日，尚未达到付款条件，恒顺公司未收到业主方合同款。</w:t>
      </w:r>
    </w:p>
    <w:p>
      <w:pPr>
        <w:pStyle w:val="BodyText"/>
        <w:spacing w:line="321" w:lineRule="auto" w:before="53"/>
        <w:ind w:right="179"/>
        <w:jc w:val="left"/>
        <w:rPr>
          <w:rFonts w:ascii="Times New Roman" w:hAnsi="Times New Roman" w:cs="Times New Roman" w:eastAsia="Times New Roman" w:hint="default"/>
        </w:rPr>
      </w:pPr>
      <w:r>
        <w:rPr/>
        <w:t>本段内容不影响已发表的审计意见。</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针对上述事项，董事会作出如下说明：</w:t>
      </w: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日收到中国证券监督管理委员会《行政处罚及市场禁入事先</w:t>
      </w:r>
      <w:r>
        <w:rPr>
          <w:spacing w:val="-85"/>
        </w:rPr>
        <w:t> </w:t>
      </w:r>
      <w:r>
        <w:rPr>
          <w:spacing w:val="-85"/>
        </w:rPr>
      </w:r>
      <w:r>
        <w:rPr/>
        <w:t>告知书》</w:t>
      </w:r>
      <w:r>
        <w:rPr>
          <w:rFonts w:ascii="Times New Roman" w:hAnsi="Times New Roman" w:cs="Times New Roman" w:eastAsia="Times New Roman" w:hint="default"/>
        </w:rPr>
        <w:t>(</w:t>
      </w:r>
      <w:r>
        <w:rPr/>
        <w:t>处罚字</w:t>
      </w:r>
      <w:r>
        <w:rPr>
          <w:rFonts w:ascii="Times New Roman" w:hAnsi="Times New Roman" w:cs="Times New Roman" w:eastAsia="Times New Roman" w:hint="default"/>
        </w:rPr>
        <w:t>[2017]101</w:t>
      </w:r>
      <w:r>
        <w:rPr>
          <w:rFonts w:ascii="Times New Roman" w:hAnsi="Times New Roman" w:cs="Times New Roman" w:eastAsia="Times New Roman" w:hint="default"/>
          <w:spacing w:val="35"/>
        </w:rPr>
        <w:t> </w:t>
      </w:r>
      <w:r>
        <w:rPr>
          <w:spacing w:val="-3"/>
        </w:rPr>
        <w:t>号</w:t>
      </w:r>
      <w:r>
        <w:rPr>
          <w:rFonts w:ascii="Times New Roman" w:hAnsi="Times New Roman" w:cs="Times New Roman" w:eastAsia="Times New Roman" w:hint="default"/>
          <w:spacing w:val="-3"/>
        </w:rPr>
        <w:t>)</w:t>
      </w:r>
      <w:r>
        <w:rPr>
          <w:spacing w:val="-3"/>
        </w:rPr>
        <w:t>，对恒顺公司涉嫌信息披露违法一案，拟对恒顺公司作出行政处罚及市场禁入措施，截至</w:t>
      </w:r>
      <w:r>
        <w:rPr>
          <w:rFonts w:ascii="Times New Roman" w:hAnsi="Times New Roman" w:cs="Times New Roman" w:eastAsia="Times New Roman" w:hint="default"/>
          <w:spacing w:val="-3"/>
        </w:rPr>
        <w:t>2018</w:t>
      </w:r>
      <w:r>
        <w:rPr>
          <w:rFonts w:ascii="Times New Roman" w:hAnsi="Times New Roman" w:cs="Times New Roman" w:eastAsia="Times New Roman" w:hint="default"/>
        </w:rPr>
      </w:r>
    </w:p>
    <w:p>
      <w:pPr>
        <w:pStyle w:val="BodyText"/>
        <w:spacing w:line="300" w:lineRule="auto"/>
        <w:ind w:right="184"/>
        <w:jc w:val="left"/>
      </w:pP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日公司第三届董事会第八次会议召开之日，公司尚未收到中国证券监督管理委员会出具的最终行政处罚决定及市场</w:t>
      </w:r>
      <w:r>
        <w:rPr>
          <w:spacing w:val="-85"/>
        </w:rPr>
        <w:t> </w:t>
      </w:r>
      <w:r>
        <w:rPr>
          <w:spacing w:val="-85"/>
        </w:rPr>
      </w:r>
      <w:r>
        <w:rPr/>
        <w:t>禁入措施结果。公司将在收到正式文书后，及时披露该事项的相关进展。目前，公司内外部经营环境一切正常。</w:t>
      </w:r>
    </w:p>
    <w:p>
      <w:pPr>
        <w:pStyle w:val="BodyText"/>
        <w:spacing w:line="300" w:lineRule="auto" w:before="70"/>
        <w:ind w:right="189"/>
        <w:jc w:val="both"/>
      </w:pPr>
      <w:r>
        <w:rPr>
          <w:rFonts w:ascii="Times New Roman" w:hAnsi="Times New Roman" w:cs="Times New Roman" w:eastAsia="Times New Roman" w:hint="default"/>
          <w:spacing w:val="-10"/>
        </w:rPr>
        <w:t>2</w:t>
      </w:r>
      <w:r>
        <w:rPr>
          <w:spacing w:val="-10"/>
        </w:rPr>
        <w:t>、</w:t>
      </w:r>
      <w:r>
        <w:rPr>
          <w:rFonts w:ascii="Times New Roman" w:hAnsi="Times New Roman" w:cs="Times New Roman" w:eastAsia="Times New Roman" w:hint="default"/>
          <w:spacing w:val="-10"/>
        </w:rPr>
        <w:t>2016</w:t>
      </w:r>
      <w:r>
        <w:rPr>
          <w:spacing w:val="-10"/>
        </w:rPr>
        <w:t>年</w:t>
      </w:r>
      <w:r>
        <w:rPr>
          <w:rFonts w:ascii="Times New Roman" w:hAnsi="Times New Roman" w:cs="Times New Roman" w:eastAsia="Times New Roman" w:hint="default"/>
          <w:spacing w:val="-10"/>
        </w:rPr>
        <w:t>11</w:t>
      </w:r>
      <w:r>
        <w:rPr>
          <w:spacing w:val="-10"/>
        </w:rPr>
        <w:t>月份，公司与菲律宾</w:t>
      </w:r>
      <w:r>
        <w:rPr/>
        <w:t> </w:t>
      </w:r>
      <w:r>
        <w:rPr>
          <w:rFonts w:ascii="Times New Roman" w:hAnsi="Times New Roman" w:cs="Times New Roman" w:eastAsia="Times New Roman" w:hint="default"/>
          <w:spacing w:val="-1"/>
          <w:w w:val="99"/>
        </w:rPr>
        <w:t>ENERGY</w:t>
      </w:r>
      <w:r>
        <w:rPr>
          <w:rFonts w:ascii="Times New Roman" w:hAnsi="Times New Roman" w:cs="Times New Roman" w:eastAsia="Times New Roman" w:hint="default"/>
          <w:w w:val="99"/>
        </w:rPr>
        <w:t> </w:t>
      </w:r>
      <w:r>
        <w:rPr>
          <w:rFonts w:ascii="Times New Roman" w:hAnsi="Times New Roman" w:cs="Times New Roman" w:eastAsia="Times New Roman" w:hint="default"/>
          <w:spacing w:val="-1"/>
          <w:w w:val="99"/>
        </w:rPr>
        <w:t>LOGICS</w:t>
      </w:r>
      <w:r>
        <w:rPr>
          <w:rFonts w:ascii="Times New Roman" w:hAnsi="Times New Roman" w:cs="Times New Roman" w:eastAsia="Times New Roman" w:hint="default"/>
          <w:w w:val="99"/>
        </w:rPr>
        <w:t> </w:t>
      </w:r>
      <w:r>
        <w:rPr>
          <w:rFonts w:ascii="Times New Roman" w:hAnsi="Times New Roman" w:cs="Times New Roman" w:eastAsia="Times New Roman" w:hint="default"/>
          <w:spacing w:val="-1"/>
          <w:w w:val="99"/>
        </w:rPr>
        <w:t>PHILIPPINES,INC</w:t>
      </w:r>
      <w:r>
        <w:rPr>
          <w:rFonts w:ascii="Times New Roman" w:hAnsi="Times New Roman" w:cs="Times New Roman" w:eastAsia="Times New Roman" w:hint="default"/>
          <w:w w:val="99"/>
        </w:rPr>
        <w:t> </w:t>
      </w:r>
      <w:r>
        <w:rPr>
          <w:spacing w:val="-5"/>
        </w:rPr>
        <w:t>公司签订了《</w:t>
      </w:r>
      <w:r>
        <w:rPr>
          <w:rFonts w:ascii="Times New Roman" w:hAnsi="Times New Roman" w:cs="Times New Roman" w:eastAsia="Times New Roman" w:hint="default"/>
          <w:spacing w:val="-5"/>
        </w:rPr>
        <w:t>Engineering,</w:t>
      </w:r>
      <w:r>
        <w:rPr>
          <w:rFonts w:ascii="Times New Roman" w:hAnsi="Times New Roman" w:cs="Times New Roman" w:eastAsia="Times New Roman" w:hint="default"/>
        </w:rPr>
        <w:t> </w:t>
      </w:r>
      <w:r>
        <w:rPr>
          <w:rFonts w:ascii="Times New Roman" w:hAnsi="Times New Roman" w:cs="Times New Roman" w:eastAsia="Times New Roman" w:hint="default"/>
          <w:spacing w:val="-1"/>
          <w:w w:val="99"/>
        </w:rPr>
        <w:t>Procurement,</w:t>
      </w:r>
      <w:r>
        <w:rPr>
          <w:rFonts w:ascii="Times New Roman" w:hAnsi="Times New Roman" w:cs="Times New Roman" w:eastAsia="Times New Roman" w:hint="default"/>
          <w:w w:val="99"/>
        </w:rPr>
        <w:t> </w:t>
      </w:r>
      <w:r>
        <w:rPr>
          <w:rFonts w:ascii="Times New Roman" w:hAnsi="Times New Roman" w:cs="Times New Roman" w:eastAsia="Times New Roman" w:hint="default"/>
          <w:w w:val="99"/>
        </w:rPr>
        <w:t>and </w:t>
      </w:r>
      <w:r>
        <w:rPr>
          <w:rFonts w:ascii="Times New Roman" w:hAnsi="Times New Roman" w:cs="Times New Roman" w:eastAsia="Times New Roman" w:hint="default"/>
          <w:spacing w:val="-1"/>
          <w:w w:val="99"/>
        </w:rPr>
        <w:t>Construction</w:t>
      </w:r>
      <w:r>
        <w:rPr>
          <w:rFonts w:ascii="Times New Roman" w:hAnsi="Times New Roman" w:cs="Times New Roman" w:eastAsia="Times New Roman" w:hint="default"/>
          <w:spacing w:val="-32"/>
          <w:w w:val="99"/>
        </w:rPr>
        <w:t> </w:t>
      </w:r>
      <w:r>
        <w:rPr>
          <w:rFonts w:ascii="Times New Roman" w:hAnsi="Times New Roman" w:cs="Times New Roman" w:eastAsia="Times New Roman" w:hint="default"/>
          <w:spacing w:val="-32"/>
          <w:w w:val="99"/>
        </w:rPr>
      </w:r>
      <w:r>
        <w:rPr>
          <w:rFonts w:ascii="Times New Roman" w:hAnsi="Times New Roman" w:cs="Times New Roman" w:eastAsia="Times New Roman" w:hint="default"/>
        </w:rPr>
        <w:t>(EPC)</w:t>
      </w:r>
      <w:r>
        <w:rPr>
          <w:rFonts w:ascii="Times New Roman" w:hAnsi="Times New Roman" w:cs="Times New Roman" w:eastAsia="Times New Roman" w:hint="default"/>
          <w:spacing w:val="-9"/>
        </w:rPr>
        <w:t> </w:t>
      </w:r>
      <w:r>
        <w:rPr>
          <w:rFonts w:ascii="Times New Roman" w:hAnsi="Times New Roman" w:cs="Times New Roman" w:eastAsia="Times New Roman" w:hint="default"/>
        </w:rPr>
        <w:t>Contract</w:t>
      </w:r>
      <w:r>
        <w:rPr>
          <w:rFonts w:ascii="Times New Roman" w:hAnsi="Times New Roman" w:cs="Times New Roman" w:eastAsia="Times New Roman" w:hint="default"/>
          <w:spacing w:val="-9"/>
        </w:rPr>
        <w:t> </w:t>
      </w:r>
      <w:r>
        <w:rPr>
          <w:rFonts w:ascii="Times New Roman" w:hAnsi="Times New Roman" w:cs="Times New Roman" w:eastAsia="Times New Roman" w:hint="default"/>
        </w:rPr>
        <w:t>for</w:t>
      </w:r>
      <w:r>
        <w:rPr>
          <w:rFonts w:ascii="Times New Roman" w:hAnsi="Times New Roman" w:cs="Times New Roman" w:eastAsia="Times New Roman" w:hint="default"/>
          <w:spacing w:val="-9"/>
        </w:rPr>
        <w:t> </w:t>
      </w:r>
      <w:r>
        <w:rPr>
          <w:rFonts w:ascii="Times New Roman" w:hAnsi="Times New Roman" w:cs="Times New Roman" w:eastAsia="Times New Roman" w:hint="default"/>
        </w:rPr>
        <w:t>a</w:t>
      </w:r>
      <w:r>
        <w:rPr>
          <w:rFonts w:ascii="Times New Roman" w:hAnsi="Times New Roman" w:cs="Times New Roman" w:eastAsia="Times New Roman" w:hint="default"/>
          <w:spacing w:val="-10"/>
        </w:rPr>
        <w:t> </w:t>
      </w:r>
      <w:r>
        <w:rPr>
          <w:rFonts w:ascii="Times New Roman" w:hAnsi="Times New Roman" w:cs="Times New Roman" w:eastAsia="Times New Roman" w:hint="default"/>
        </w:rPr>
        <w:t>Pasuquin</w:t>
      </w:r>
      <w:r>
        <w:rPr>
          <w:rFonts w:ascii="Times New Roman" w:hAnsi="Times New Roman" w:cs="Times New Roman" w:eastAsia="Times New Roman" w:hint="default"/>
          <w:spacing w:val="-8"/>
        </w:rPr>
        <w:t> </w:t>
      </w:r>
      <w:r>
        <w:rPr>
          <w:rFonts w:ascii="Times New Roman" w:hAnsi="Times New Roman" w:cs="Times New Roman" w:eastAsia="Times New Roman" w:hint="default"/>
        </w:rPr>
        <w:t>Wind</w:t>
      </w:r>
      <w:r>
        <w:rPr>
          <w:rFonts w:ascii="Times New Roman" w:hAnsi="Times New Roman" w:cs="Times New Roman" w:eastAsia="Times New Roman" w:hint="default"/>
          <w:spacing w:val="-8"/>
        </w:rPr>
        <w:t> </w:t>
      </w:r>
      <w:r>
        <w:rPr>
          <w:rFonts w:ascii="Times New Roman" w:hAnsi="Times New Roman" w:cs="Times New Roman" w:eastAsia="Times New Roman" w:hint="default"/>
        </w:rPr>
        <w:t>(132MW)-Solar</w:t>
      </w:r>
      <w:r>
        <w:rPr>
          <w:rFonts w:ascii="Times New Roman" w:hAnsi="Times New Roman" w:cs="Times New Roman" w:eastAsia="Times New Roman" w:hint="default"/>
          <w:spacing w:val="-10"/>
        </w:rPr>
        <w:t> </w:t>
      </w:r>
      <w:r>
        <w:rPr>
          <w:rFonts w:ascii="Times New Roman" w:hAnsi="Times New Roman" w:cs="Times New Roman" w:eastAsia="Times New Roman" w:hint="default"/>
        </w:rPr>
        <w:t>(100MW)</w:t>
      </w:r>
      <w:r>
        <w:rPr>
          <w:rFonts w:ascii="Times New Roman" w:hAnsi="Times New Roman" w:cs="Times New Roman" w:eastAsia="Times New Roman" w:hint="default"/>
          <w:spacing w:val="-9"/>
        </w:rPr>
        <w:t> </w:t>
      </w:r>
      <w:r>
        <w:rPr>
          <w:rFonts w:ascii="Times New Roman" w:hAnsi="Times New Roman" w:cs="Times New Roman" w:eastAsia="Times New Roman" w:hint="default"/>
        </w:rPr>
        <w:t>Hybrid</w:t>
      </w:r>
      <w:r>
        <w:rPr>
          <w:rFonts w:ascii="Times New Roman" w:hAnsi="Times New Roman" w:cs="Times New Roman" w:eastAsia="Times New Roman" w:hint="default"/>
          <w:spacing w:val="-10"/>
        </w:rPr>
        <w:t> </w:t>
      </w:r>
      <w:r>
        <w:rPr>
          <w:rFonts w:ascii="Times New Roman" w:hAnsi="Times New Roman" w:cs="Times New Roman" w:eastAsia="Times New Roman" w:hint="default"/>
        </w:rPr>
        <w:t>Project,</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5"/>
        </w:rPr>
        <w:t>Philippines</w:t>
      </w:r>
      <w:r>
        <w:rPr>
          <w:spacing w:val="-5"/>
        </w:rPr>
        <w:t>》，公司承接位于菲律宾</w:t>
      </w:r>
      <w:r>
        <w:rPr>
          <w:spacing w:val="-18"/>
        </w:rPr>
        <w:t> </w:t>
      </w:r>
      <w:r>
        <w:rPr>
          <w:rFonts w:ascii="Times New Roman" w:hAnsi="Times New Roman" w:cs="Times New Roman" w:eastAsia="Times New Roman" w:hint="default"/>
        </w:rPr>
        <w:t>Ilocos</w:t>
      </w:r>
      <w:r>
        <w:rPr>
          <w:rFonts w:ascii="Times New Roman" w:hAnsi="Times New Roman" w:cs="Times New Roman" w:eastAsia="Times New Roman" w:hint="default"/>
          <w:spacing w:val="-10"/>
        </w:rPr>
        <w:t> </w:t>
      </w:r>
      <w:r>
        <w:rPr>
          <w:rFonts w:ascii="Times New Roman" w:hAnsi="Times New Roman" w:cs="Times New Roman" w:eastAsia="Times New Roman" w:hint="default"/>
        </w:rPr>
        <w:t>Norte</w:t>
      </w:r>
      <w:r>
        <w:rPr>
          <w:rFonts w:ascii="Times New Roman" w:hAnsi="Times New Roman" w:cs="Times New Roman" w:eastAsia="Times New Roman" w:hint="default"/>
          <w:spacing w:val="24"/>
        </w:rPr>
        <w:t> </w:t>
      </w:r>
      <w:r>
        <w:rPr/>
        <w:t>省</w:t>
      </w:r>
      <w:r>
        <w:rPr>
          <w:w w:val="99"/>
        </w:rPr>
        <w:t> </w:t>
      </w:r>
      <w:r>
        <w:rPr>
          <w:rFonts w:ascii="Times New Roman" w:hAnsi="Times New Roman" w:cs="Times New Roman" w:eastAsia="Times New Roman" w:hint="default"/>
        </w:rPr>
        <w:t>Pasuquin  </w:t>
      </w:r>
      <w:r>
        <w:rPr/>
        <w:t>和 </w:t>
      </w:r>
      <w:r>
        <w:rPr>
          <w:rFonts w:ascii="Times New Roman" w:hAnsi="Times New Roman" w:cs="Times New Roman" w:eastAsia="Times New Roman" w:hint="default"/>
        </w:rPr>
        <w:t>Burgos </w:t>
      </w:r>
      <w:r>
        <w:rPr/>
        <w:t>地区的 </w:t>
      </w:r>
      <w:r>
        <w:rPr>
          <w:rFonts w:ascii="Times New Roman" w:hAnsi="Times New Roman" w:cs="Times New Roman" w:eastAsia="Times New Roman" w:hint="default"/>
        </w:rPr>
        <w:t>132MW </w:t>
      </w:r>
      <w:r>
        <w:rPr/>
        <w:t>风电</w:t>
      </w:r>
      <w:r>
        <w:rPr>
          <w:rFonts w:ascii="Times New Roman" w:hAnsi="Times New Roman" w:cs="Times New Roman" w:eastAsia="Times New Roman" w:hint="default"/>
        </w:rPr>
        <w:t>+100MW </w:t>
      </w:r>
      <w:r>
        <w:rPr/>
        <w:t>太阳能及风能发电的风光一体化项目，合同总金额为</w:t>
      </w:r>
      <w:r>
        <w:rPr>
          <w:rFonts w:ascii="Times New Roman" w:hAnsi="Times New Roman" w:cs="Times New Roman" w:eastAsia="Times New Roman" w:hint="default"/>
        </w:rPr>
        <w:t>43,778</w:t>
      </w:r>
      <w:r>
        <w:rPr>
          <w:rFonts w:ascii="Times New Roman" w:hAnsi="Times New Roman" w:cs="Times New Roman" w:eastAsia="Times New Roman" w:hint="default"/>
          <w:spacing w:val="44"/>
        </w:rPr>
        <w:t> </w:t>
      </w:r>
      <w:r>
        <w:rPr/>
        <w:t>万美元。</w:t>
      </w:r>
    </w:p>
    <w:p>
      <w:pPr>
        <w:pStyle w:val="BodyText"/>
        <w:spacing w:line="319" w:lineRule="auto" w:before="53"/>
        <w:ind w:right="189"/>
        <w:jc w:val="both"/>
      </w:pPr>
      <w:r>
        <w:rPr>
          <w:spacing w:val="-5"/>
        </w:rPr>
        <w:t>合同执行中，公司与</w:t>
      </w:r>
      <w:r>
        <w:rPr>
          <w:rFonts w:ascii="Times New Roman" w:hAnsi="Times New Roman" w:cs="Times New Roman" w:eastAsia="Times New Roman" w:hint="default"/>
          <w:spacing w:val="-5"/>
        </w:rPr>
        <w:t>ENERGY</w:t>
      </w:r>
      <w:r>
        <w:rPr>
          <w:rFonts w:ascii="Times New Roman" w:hAnsi="Times New Roman" w:cs="Times New Roman" w:eastAsia="Times New Roman" w:hint="default"/>
          <w:spacing w:val="9"/>
        </w:rPr>
        <w:t> </w:t>
      </w:r>
      <w:r>
        <w:rPr>
          <w:rFonts w:ascii="Times New Roman" w:hAnsi="Times New Roman" w:cs="Times New Roman" w:eastAsia="Times New Roman" w:hint="default"/>
        </w:rPr>
        <w:t>LOGICS</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3"/>
        </w:rPr>
        <w:t>PHILIPPINES,INC</w:t>
      </w:r>
      <w:r>
        <w:rPr>
          <w:spacing w:val="-3"/>
        </w:rPr>
        <w:t>对工期和付款方式重新做了约定，于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w:t>
      </w:r>
      <w:r>
        <w:rPr>
          <w:spacing w:val="-3"/>
        </w:rPr>
        <w:t>月签订了《</w:t>
      </w:r>
      <w:r>
        <w:rPr>
          <w:rFonts w:ascii="Times New Roman" w:hAnsi="Times New Roman" w:cs="Times New Roman" w:eastAsia="Times New Roman" w:hint="default"/>
          <w:spacing w:val="-3"/>
        </w:rPr>
        <w:t>Engineering,</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rFonts w:ascii="Times New Roman" w:hAnsi="Times New Roman" w:cs="Times New Roman" w:eastAsia="Times New Roman" w:hint="default"/>
        </w:rPr>
        <w:t>Procurement, and Construction (EPC) Contract for a Pasuquin Wind (132MW)-Solar (100MW) Hybrid Project,</w:t>
      </w:r>
      <w:r>
        <w:rPr>
          <w:rFonts w:ascii="Times New Roman" w:hAnsi="Times New Roman" w:cs="Times New Roman" w:eastAsia="Times New Roman" w:hint="default"/>
          <w:spacing w:val="18"/>
        </w:rPr>
        <w:t> </w:t>
      </w:r>
      <w:r>
        <w:rPr>
          <w:rFonts w:ascii="Times New Roman" w:hAnsi="Times New Roman" w:cs="Times New Roman" w:eastAsia="Times New Roman" w:hint="default"/>
        </w:rPr>
        <w:t>Philippines</w:t>
      </w:r>
      <w:r>
        <w:rPr>
          <w:rFonts w:ascii="Times New Roman" w:hAnsi="Times New Roman" w:cs="Times New Roman" w:eastAsia="Times New Roman" w:hint="default"/>
          <w:w w:val="99"/>
        </w:rPr>
        <w:t> </w:t>
      </w:r>
      <w:r>
        <w:rPr>
          <w:rFonts w:ascii="Times New Roman" w:hAnsi="Times New Roman" w:cs="Times New Roman" w:eastAsia="Times New Roman" w:hint="default"/>
        </w:rPr>
        <w:t>Amendment</w:t>
      </w:r>
      <w:r>
        <w:rPr>
          <w:rFonts w:ascii="Times New Roman" w:hAnsi="Times New Roman" w:cs="Times New Roman" w:eastAsia="Times New Roman" w:hint="default"/>
          <w:spacing w:val="-29"/>
        </w:rPr>
        <w:t> </w:t>
      </w:r>
      <w:r>
        <w:rPr>
          <w:rFonts w:ascii="Times New Roman" w:hAnsi="Times New Roman" w:cs="Times New Roman" w:eastAsia="Times New Roman" w:hint="default"/>
        </w:rPr>
        <w:t>Agreement</w:t>
      </w:r>
      <w:r>
        <w:rPr/>
        <w:t>》</w:t>
      </w:r>
      <w:r>
        <w:rPr>
          <w:rFonts w:ascii="Times New Roman" w:hAnsi="Times New Roman" w:cs="Times New Roman" w:eastAsia="Times New Roman" w:hint="default"/>
        </w:rPr>
        <w:t>,</w:t>
      </w:r>
      <w:r>
        <w:rPr/>
        <w:t>协议中双方同意变更付款方式为：光伏工程及风电工程完工</w:t>
      </w:r>
      <w:r>
        <w:rPr>
          <w:rFonts w:ascii="Times New Roman" w:hAnsi="Times New Roman" w:cs="Times New Roman" w:eastAsia="Times New Roman" w:hint="default"/>
        </w:rPr>
        <w:t>50%</w:t>
      </w:r>
      <w:r>
        <w:rPr/>
        <w:t>后，雇主开始按照光伏及风电工程 </w:t>
      </w:r>
      <w:r>
        <w:rPr>
          <w:spacing w:val="-2"/>
        </w:rPr>
        <w:t>各自的完工进度支付对应的合同金额给承包商至各自工程合同金额的</w:t>
      </w:r>
      <w:r>
        <w:rPr>
          <w:rFonts w:ascii="Times New Roman" w:hAnsi="Times New Roman" w:cs="Times New Roman" w:eastAsia="Times New Roman" w:hint="default"/>
          <w:spacing w:val="-2"/>
        </w:rPr>
        <w:t>85%</w:t>
      </w:r>
      <w:r>
        <w:rPr>
          <w:spacing w:val="-2"/>
        </w:rPr>
        <w:t>，商业运行及验收后分别支付</w:t>
      </w:r>
      <w:r>
        <w:rPr>
          <w:rFonts w:ascii="Times New Roman" w:hAnsi="Times New Roman" w:cs="Times New Roman" w:eastAsia="Times New Roman" w:hint="default"/>
          <w:spacing w:val="-2"/>
        </w:rPr>
        <w:t>5%</w:t>
      </w:r>
      <w:r>
        <w:rPr>
          <w:spacing w:val="-2"/>
        </w:rPr>
        <w:t>和</w:t>
      </w:r>
      <w:r>
        <w:rPr>
          <w:rFonts w:ascii="Times New Roman" w:hAnsi="Times New Roman" w:cs="Times New Roman" w:eastAsia="Times New Roman" w:hint="default"/>
          <w:spacing w:val="-2"/>
        </w:rPr>
        <w:t>10%</w:t>
      </w:r>
      <w:r>
        <w:rPr>
          <w:spacing w:val="-2"/>
        </w:rPr>
        <w:t>；双方同意</w:t>
      </w:r>
      <w:r>
        <w:rPr/>
      </w:r>
    </w:p>
    <w:p>
      <w:pPr>
        <w:pStyle w:val="BodyText"/>
        <w:spacing w:line="246" w:lineRule="exact"/>
        <w:ind w:right="93"/>
        <w:jc w:val="left"/>
      </w:pPr>
      <w:r>
        <w:rPr/>
        <w:t>变更最长工期为：光伏工程于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日前完工并通过试运行，风电工程于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日前完工并通过试运行。</w:t>
      </w:r>
    </w:p>
    <w:p>
      <w:pPr>
        <w:spacing w:after="0" w:line="246" w:lineRule="exact"/>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00" w:lineRule="auto" w:before="44"/>
        <w:ind w:right="190"/>
        <w:jc w:val="both"/>
      </w:pPr>
      <w:r>
        <w:rPr>
          <w:spacing w:val="-1"/>
        </w:rPr>
        <w:t>该合同变更条款不影响收入确认，因地质条件差异导致工期延长，对经营成果没有实质影响，上述变更是为了确保</w:t>
      </w:r>
      <w:r>
        <w:rPr>
          <w:rFonts w:ascii="Times New Roman" w:hAnsi="Times New Roman" w:cs="Times New Roman" w:eastAsia="Times New Roman" w:hint="default"/>
          <w:spacing w:val="-1"/>
        </w:rPr>
        <w:t>EPC</w:t>
      </w:r>
      <w:r>
        <w:rPr>
          <w:spacing w:val="-1"/>
        </w:rPr>
        <w:t>总承</w:t>
      </w:r>
      <w:r>
        <w:rPr>
          <w:spacing w:val="-88"/>
        </w:rPr>
        <w:t> </w:t>
      </w:r>
      <w:r>
        <w:rPr>
          <w:spacing w:val="5"/>
        </w:rPr>
        <w:t>包合同继续顺利执行。</w:t>
      </w:r>
      <w:r>
        <w:rPr>
          <w:rFonts w:ascii="Times New Roman" w:hAnsi="Times New Roman" w:cs="Times New Roman" w:eastAsia="Times New Roman" w:hint="default"/>
          <w:spacing w:val="5"/>
        </w:rPr>
        <w:t>2017</w:t>
      </w:r>
      <w:r>
        <w:rPr>
          <w:spacing w:val="5"/>
        </w:rPr>
        <w:t>年度该项目共确认收入</w:t>
      </w:r>
      <w:r>
        <w:rPr>
          <w:rFonts w:ascii="Times New Roman" w:hAnsi="Times New Roman" w:cs="Times New Roman" w:eastAsia="Times New Roman" w:hint="default"/>
          <w:spacing w:val="5"/>
        </w:rPr>
        <w:t>141,679.53</w:t>
      </w:r>
      <w:r>
        <w:rPr>
          <w:spacing w:val="5"/>
        </w:rPr>
        <w:t>万元，确认毛利</w:t>
      </w:r>
      <w:r>
        <w:rPr>
          <w:rFonts w:ascii="Times New Roman" w:hAnsi="Times New Roman" w:cs="Times New Roman" w:eastAsia="Times New Roman" w:hint="default"/>
          <w:spacing w:val="5"/>
        </w:rPr>
        <w:t>56,130.88</w:t>
      </w:r>
      <w:r>
        <w:rPr>
          <w:spacing w:val="5"/>
        </w:rPr>
        <w:t>万元，占</w:t>
      </w:r>
      <w:r>
        <w:rPr>
          <w:rFonts w:ascii="Times New Roman" w:hAnsi="Times New Roman" w:cs="Times New Roman" w:eastAsia="Times New Roman" w:hint="default"/>
          <w:spacing w:val="5"/>
        </w:rPr>
        <w:t>2017</w:t>
      </w:r>
      <w:r>
        <w:rPr>
          <w:spacing w:val="5"/>
        </w:rPr>
        <w:t>年总毛利的比例为</w:t>
      </w:r>
      <w:r>
        <w:rPr>
          <w:spacing w:val="-72"/>
        </w:rPr>
        <w:t> </w:t>
      </w:r>
      <w:r>
        <w:rPr>
          <w:spacing w:val="-72"/>
        </w:rPr>
      </w:r>
      <w:r>
        <w:rPr>
          <w:rFonts w:ascii="Times New Roman" w:hAnsi="Times New Roman" w:cs="Times New Roman" w:eastAsia="Times New Roman" w:hint="default"/>
        </w:rPr>
        <w:t>93.29%</w:t>
      </w:r>
      <w:r>
        <w:rPr/>
        <w:t>。</w:t>
      </w:r>
    </w:p>
    <w:p>
      <w:pPr>
        <w:pStyle w:val="BodyText"/>
        <w:spacing w:line="352" w:lineRule="auto" w:before="53"/>
        <w:ind w:right="93"/>
        <w:jc w:val="left"/>
      </w:pPr>
      <w:r>
        <w:rPr/>
        <w:t>董事会提醒广大投资者谨慎投资，注意投资风险。 </w:t>
      </w:r>
      <w:r>
        <w:rPr>
          <w:rFonts w:ascii="Times New Roman" w:hAnsi="Times New Roman" w:cs="Times New Roman" w:eastAsia="Times New Roman" w:hint="default"/>
        </w:rPr>
        <w:t>2</w:t>
      </w:r>
      <w:r>
        <w:rPr/>
        <w:t>、监事会对董事会关于对会计师事务所出具的带强调事项段的无保留意见审计报告涉及事项的专项说明的意见： 公司监事会认为，该说明符合公司的实际情况，同意公司董事会的意见。 </w:t>
      </w:r>
      <w:r>
        <w:rPr>
          <w:rFonts w:ascii="Times New Roman" w:hAnsi="Times New Roman" w:cs="Times New Roman" w:eastAsia="Times New Roman" w:hint="default"/>
        </w:rPr>
        <w:t>3</w:t>
      </w:r>
      <w:r>
        <w:rPr/>
        <w:t>、独立董事对会计师事务所出具的带强调事项段的无保留审计意见的独立意见：</w:t>
      </w:r>
    </w:p>
    <w:p>
      <w:pPr>
        <w:pStyle w:val="BodyText"/>
        <w:spacing w:line="312" w:lineRule="auto" w:before="7"/>
        <w:ind w:right="94"/>
        <w:jc w:val="left"/>
      </w:pPr>
      <w:r>
        <w:rPr>
          <w:spacing w:val="-2"/>
        </w:rPr>
        <w:t>独立董事对公司</w:t>
      </w:r>
      <w:r>
        <w:rPr>
          <w:rFonts w:ascii="Times New Roman" w:hAnsi="Times New Roman" w:cs="Times New Roman" w:eastAsia="Times New Roman" w:hint="default"/>
          <w:spacing w:val="-2"/>
        </w:rPr>
        <w:t>2017</w:t>
      </w:r>
      <w:r>
        <w:rPr>
          <w:spacing w:val="-2"/>
        </w:rPr>
        <w:t>年度的财务报告及山东和信会计师事务所（特殊普通合伙）出具的带强调事项段的无保留意见审计报告</w:t>
      </w:r>
      <w:r>
        <w:rPr>
          <w:spacing w:val="-62"/>
        </w:rPr>
        <w:t> </w:t>
      </w:r>
      <w:r>
        <w:rPr>
          <w:spacing w:val="-62"/>
        </w:rPr>
      </w:r>
      <w:r>
        <w:rPr>
          <w:spacing w:val="-2"/>
        </w:rPr>
        <w:t>进行了认真审阅，并对财务报告和审计报告的有关内容与注册会计师、公司管理层等进行了专门交谈沟通，独立董事认可审</w:t>
      </w:r>
      <w:r>
        <w:rPr>
          <w:spacing w:val="-63"/>
        </w:rPr>
        <w:t> </w:t>
      </w:r>
      <w:r>
        <w:rPr>
          <w:spacing w:val="-63"/>
        </w:rPr>
      </w:r>
      <w:r>
        <w:rPr/>
        <w:t>计报告的强调事项内容，也同意公司董事会对该事项的相关说明及处理意见。希望董事会和管理层积极配合证监会的调查， 使公司持续、稳定、健康发展。</w:t>
      </w:r>
    </w:p>
    <w:p>
      <w:pPr>
        <w:spacing w:line="240" w:lineRule="auto" w:before="2"/>
        <w:rPr>
          <w:rFonts w:ascii="宋体" w:hAnsi="宋体" w:cs="宋体" w:eastAsia="宋体" w:hint="default"/>
          <w:sz w:val="21"/>
          <w:szCs w:val="21"/>
        </w:rPr>
      </w:pPr>
    </w:p>
    <w:p>
      <w:pPr>
        <w:pStyle w:val="Heading2"/>
        <w:spacing w:line="240" w:lineRule="auto"/>
        <w:ind w:right="93"/>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3"/>
        <w:jc w:val="left"/>
        <w:rPr>
          <w:b w:val="0"/>
          <w:bCs w:val="0"/>
        </w:rPr>
      </w:pPr>
      <w:r>
        <w:rPr/>
        <w:t>七、与上年度财务报告相比，合并报表范围发生变化的情况说明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93"/>
        <w:jc w:val="left"/>
      </w:pPr>
      <w:r>
        <w:rPr/>
        <w:t>报告期内公司投资设立</w:t>
      </w:r>
      <w:r>
        <w:rPr>
          <w:rFonts w:ascii="Times New Roman" w:hAnsi="Times New Roman" w:cs="Times New Roman" w:eastAsia="Times New Roman" w:hint="default"/>
        </w:rPr>
        <w:t>Philippines</w:t>
      </w:r>
      <w:r>
        <w:rPr>
          <w:rFonts w:ascii="Times New Roman" w:hAnsi="Times New Roman" w:cs="Times New Roman" w:eastAsia="Times New Roman" w:hint="default"/>
          <w:spacing w:val="-11"/>
        </w:rPr>
        <w:t> </w:t>
      </w:r>
      <w:r>
        <w:rPr>
          <w:rFonts w:ascii="Times New Roman" w:hAnsi="Times New Roman" w:cs="Times New Roman" w:eastAsia="Times New Roman" w:hint="default"/>
        </w:rPr>
        <w:t>Qian</w:t>
      </w:r>
      <w:r>
        <w:rPr>
          <w:rFonts w:ascii="Times New Roman" w:hAnsi="Times New Roman" w:cs="Times New Roman" w:eastAsia="Times New Roman" w:hint="default"/>
          <w:spacing w:val="-9"/>
        </w:rPr>
        <w:t> </w:t>
      </w:r>
      <w:r>
        <w:rPr>
          <w:rFonts w:ascii="Times New Roman" w:hAnsi="Times New Roman" w:cs="Times New Roman" w:eastAsia="Times New Roman" w:hint="default"/>
        </w:rPr>
        <w:t>Jia</w:t>
      </w:r>
      <w:r>
        <w:rPr>
          <w:rFonts w:ascii="Times New Roman" w:hAnsi="Times New Roman" w:cs="Times New Roman" w:eastAsia="Times New Roman" w:hint="default"/>
          <w:spacing w:val="-11"/>
        </w:rPr>
        <w:t> </w:t>
      </w:r>
      <w:r>
        <w:rPr>
          <w:rFonts w:ascii="Times New Roman" w:hAnsi="Times New Roman" w:cs="Times New Roman" w:eastAsia="Times New Roman" w:hint="default"/>
        </w:rPr>
        <w:t>Services</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3"/>
        </w:rPr>
        <w:t>Incorporated</w:t>
      </w:r>
      <w:r>
        <w:rPr>
          <w:spacing w:val="-3"/>
        </w:rPr>
        <w:t>（菲律宾乾嘉服务公司）、</w:t>
      </w:r>
      <w:r>
        <w:rPr>
          <w:rFonts w:ascii="Times New Roman" w:hAnsi="Times New Roman" w:cs="Times New Roman" w:eastAsia="Times New Roman" w:hint="default"/>
          <w:spacing w:val="-3"/>
        </w:rPr>
        <w:t>H&amp;Shun</w:t>
      </w:r>
      <w:r>
        <w:rPr>
          <w:rFonts w:ascii="Times New Roman" w:hAnsi="Times New Roman" w:cs="Times New Roman" w:eastAsia="Times New Roman" w:hint="default"/>
          <w:spacing w:val="-9"/>
        </w:rPr>
        <w:t> </w:t>
      </w:r>
      <w:r>
        <w:rPr>
          <w:rFonts w:ascii="Times New Roman" w:hAnsi="Times New Roman" w:cs="Times New Roman" w:eastAsia="Times New Roman" w:hint="default"/>
        </w:rPr>
        <w:t>International</w:t>
      </w:r>
      <w:r>
        <w:rPr>
          <w:rFonts w:ascii="Times New Roman" w:hAnsi="Times New Roman" w:cs="Times New Roman" w:eastAsia="Times New Roman" w:hint="default"/>
          <w:spacing w:val="-10"/>
        </w:rPr>
        <w:t> </w:t>
      </w:r>
      <w:r>
        <w:rPr>
          <w:rFonts w:ascii="Times New Roman" w:hAnsi="Times New Roman" w:cs="Times New Roman" w:eastAsia="Times New Roman" w:hint="default"/>
        </w:rPr>
        <w:t>Holdings</w:t>
      </w:r>
      <w:r>
        <w:rPr>
          <w:rFonts w:ascii="Times New Roman" w:hAnsi="Times New Roman" w:cs="Times New Roman" w:eastAsia="Times New Roman" w:hint="default"/>
          <w:spacing w:val="-11"/>
        </w:rPr>
        <w:t> </w:t>
      </w:r>
      <w:r>
        <w:rPr>
          <w:rFonts w:ascii="Times New Roman" w:hAnsi="Times New Roman" w:cs="Times New Roman" w:eastAsia="Times New Roman" w:hint="default"/>
        </w:rPr>
        <w:t>Hong</w:t>
      </w:r>
      <w:r>
        <w:rPr>
          <w:rFonts w:ascii="Times New Roman" w:hAnsi="Times New Roman" w:cs="Times New Roman" w:eastAsia="Times New Roman" w:hint="default"/>
        </w:rPr>
        <w:t> Kong</w:t>
      </w:r>
      <w:r>
        <w:rPr>
          <w:rFonts w:ascii="Times New Roman" w:hAnsi="Times New Roman" w:cs="Times New Roman" w:eastAsia="Times New Roman" w:hint="default"/>
          <w:spacing w:val="-14"/>
        </w:rPr>
        <w:t> </w:t>
      </w:r>
      <w:r>
        <w:rPr>
          <w:rFonts w:ascii="Times New Roman" w:hAnsi="Times New Roman" w:cs="Times New Roman" w:eastAsia="Times New Roman" w:hint="default"/>
        </w:rPr>
        <w:t>Limited</w:t>
      </w:r>
      <w:r>
        <w:rPr>
          <w:rFonts w:ascii="Times New Roman" w:hAnsi="Times New Roman" w:cs="Times New Roman" w:eastAsia="Times New Roman" w:hint="default"/>
          <w:spacing w:val="19"/>
        </w:rPr>
        <w:t> </w:t>
      </w:r>
      <w:r>
        <w:rPr/>
        <w:t>（恒顺（香港）国际控股有限公司）、</w:t>
      </w:r>
      <w:r>
        <w:rPr>
          <w:rFonts w:ascii="Times New Roman" w:hAnsi="Times New Roman" w:cs="Times New Roman" w:eastAsia="Times New Roman" w:hint="default"/>
        </w:rPr>
        <w:t>China</w:t>
      </w:r>
      <w:r>
        <w:rPr>
          <w:rFonts w:ascii="Times New Roman" w:hAnsi="Times New Roman" w:cs="Times New Roman" w:eastAsia="Times New Roman" w:hint="default"/>
          <w:spacing w:val="-14"/>
        </w:rPr>
        <w:t> </w:t>
      </w:r>
      <w:r>
        <w:rPr>
          <w:rFonts w:ascii="Times New Roman" w:hAnsi="Times New Roman" w:cs="Times New Roman" w:eastAsia="Times New Roman" w:hint="default"/>
        </w:rPr>
        <w:t>Africa</w:t>
      </w:r>
      <w:r>
        <w:rPr>
          <w:rFonts w:ascii="Times New Roman" w:hAnsi="Times New Roman" w:cs="Times New Roman" w:eastAsia="Times New Roman" w:hint="default"/>
          <w:spacing w:val="-14"/>
        </w:rPr>
        <w:t> </w:t>
      </w:r>
      <w:r>
        <w:rPr>
          <w:rFonts w:ascii="Times New Roman" w:hAnsi="Times New Roman" w:cs="Times New Roman" w:eastAsia="Times New Roman" w:hint="default"/>
        </w:rPr>
        <w:t>Cigarette</w:t>
      </w:r>
      <w:r>
        <w:rPr>
          <w:rFonts w:ascii="Times New Roman" w:hAnsi="Times New Roman" w:cs="Times New Roman" w:eastAsia="Times New Roman" w:hint="default"/>
          <w:spacing w:val="-14"/>
        </w:rPr>
        <w:t> </w:t>
      </w:r>
      <w:r>
        <w:rPr>
          <w:rFonts w:ascii="Times New Roman" w:hAnsi="Times New Roman" w:cs="Times New Roman" w:eastAsia="Times New Roman" w:hint="default"/>
        </w:rPr>
        <w:t>Company</w:t>
      </w:r>
      <w:r>
        <w:rPr>
          <w:rFonts w:ascii="Times New Roman" w:hAnsi="Times New Roman" w:cs="Times New Roman" w:eastAsia="Times New Roman" w:hint="default"/>
          <w:spacing w:val="-16"/>
        </w:rPr>
        <w:t> </w:t>
      </w:r>
      <w:r>
        <w:rPr>
          <w:rFonts w:ascii="Times New Roman" w:hAnsi="Times New Roman" w:cs="Times New Roman" w:eastAsia="Times New Roman" w:hint="default"/>
        </w:rPr>
        <w:t>(Private)</w:t>
      </w:r>
      <w:r>
        <w:rPr>
          <w:rFonts w:ascii="Times New Roman" w:hAnsi="Times New Roman" w:cs="Times New Roman" w:eastAsia="Times New Roman" w:hint="default"/>
          <w:spacing w:val="-11"/>
        </w:rPr>
        <w:t> </w:t>
      </w:r>
      <w:r>
        <w:rPr>
          <w:rFonts w:ascii="Times New Roman" w:hAnsi="Times New Roman" w:cs="Times New Roman" w:eastAsia="Times New Roman" w:hint="default"/>
        </w:rPr>
        <w:t>Limited</w:t>
      </w:r>
      <w:r>
        <w:rPr/>
        <w:t>（中非香烟有限公司）、</w:t>
      </w:r>
      <w:r>
        <w:rPr>
          <w:w w:val="99"/>
        </w:rPr>
        <w:t> </w:t>
      </w:r>
      <w:r>
        <w:rPr/>
        <w:t>青岛恒顺众昇电力工程技术研究院四个全资子公司，自设立之日起集团将其纳入合并范围。</w:t>
      </w:r>
    </w:p>
    <w:p>
      <w:pPr>
        <w:spacing w:line="240" w:lineRule="auto" w:before="11"/>
        <w:rPr>
          <w:rFonts w:ascii="宋体" w:hAnsi="宋体" w:cs="宋体" w:eastAsia="宋体" w:hint="default"/>
          <w:sz w:val="21"/>
          <w:szCs w:val="21"/>
        </w:rPr>
      </w:pPr>
    </w:p>
    <w:p>
      <w:pPr>
        <w:pStyle w:val="Heading2"/>
        <w:spacing w:line="240" w:lineRule="auto"/>
        <w:ind w:right="93"/>
        <w:jc w:val="left"/>
        <w:rPr>
          <w:b w:val="0"/>
          <w:bCs w:val="0"/>
        </w:rPr>
      </w:pP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6754"/>
        <w:jc w:val="left"/>
      </w:pPr>
      <w:r>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山东和信会计师事务所（特殊普通合伙）</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万元人民币</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左伟、杨国</w:t>
            </w:r>
          </w:p>
        </w:tc>
      </w:tr>
      <w:tr>
        <w:trPr>
          <w:trHeight w:val="404"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49"/>
        <w:ind w:right="6754"/>
        <w:jc w:val="left"/>
      </w:pPr>
      <w:r>
        <w:rPr/>
        <w:t>是否改聘会计师事务所</w:t>
      </w:r>
    </w:p>
    <w:p>
      <w:pPr>
        <w:pStyle w:val="BodyText"/>
        <w:spacing w:line="340" w:lineRule="auto" w:before="115"/>
        <w:ind w:right="53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1"/>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3"/>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135"/>
        <w:jc w:val="left"/>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135"/>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8"/>
        <w:rPr>
          <w:rFonts w:ascii="宋体" w:hAnsi="宋体" w:cs="宋体" w:eastAsia="宋体" w:hint="default"/>
          <w:sz w:val="19"/>
          <w:szCs w:val="19"/>
        </w:rPr>
      </w:pPr>
    </w:p>
    <w:p>
      <w:pPr>
        <w:pStyle w:val="Heading2"/>
        <w:spacing w:line="240" w:lineRule="auto"/>
        <w:ind w:right="135"/>
        <w:jc w:val="left"/>
        <w:rPr>
          <w:b w:val="0"/>
          <w:bCs w:val="0"/>
        </w:rPr>
      </w:pP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71"/>
        <w:gridCol w:w="1366"/>
        <w:gridCol w:w="1368"/>
        <w:gridCol w:w="1366"/>
        <w:gridCol w:w="1366"/>
        <w:gridCol w:w="1366"/>
        <w:gridCol w:w="1370"/>
      </w:tblGrid>
      <w:tr>
        <w:trPr>
          <w:trHeight w:val="401"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5"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w:t>
            </w:r>
            <w:r>
              <w:rPr>
                <w:rFonts w:ascii="宋体" w:hAnsi="宋体" w:cs="宋体" w:eastAsia="宋体" w:hint="default"/>
                <w:sz w:val="18"/>
                <w:szCs w:val="18"/>
              </w:rPr>
              <w:t>姓名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原因</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调查处罚类型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结论（如有）</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75"/>
              <w:jc w:val="both"/>
              <w:rPr>
                <w:rFonts w:ascii="宋体" w:hAnsi="宋体" w:cs="宋体" w:eastAsia="宋体" w:hint="default"/>
                <w:sz w:val="18"/>
                <w:szCs w:val="18"/>
              </w:rPr>
            </w:pPr>
            <w:r>
              <w:rPr>
                <w:rFonts w:ascii="宋体" w:hAnsi="宋体" w:cs="宋体" w:eastAsia="宋体" w:hint="default"/>
                <w:sz w:val="18"/>
                <w:szCs w:val="18"/>
              </w:rPr>
              <w:t>青岛市恒顺众昇 集团股份有限公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71"/>
              <w:jc w:val="left"/>
              <w:rPr>
                <w:rFonts w:ascii="宋体" w:hAnsi="宋体" w:cs="宋体" w:eastAsia="宋体" w:hint="default"/>
                <w:sz w:val="18"/>
                <w:szCs w:val="18"/>
              </w:rPr>
            </w:pPr>
            <w:r>
              <w:rPr>
                <w:rFonts w:ascii="宋体" w:hAnsi="宋体" w:cs="宋体" w:eastAsia="宋体" w:hint="default"/>
                <w:sz w:val="18"/>
                <w:szCs w:val="18"/>
              </w:rPr>
              <w:t>涉嫌信息披露违 规</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70"/>
              <w:jc w:val="both"/>
              <w:rPr>
                <w:rFonts w:ascii="宋体" w:hAnsi="宋体" w:cs="宋体" w:eastAsia="宋体" w:hint="default"/>
                <w:sz w:val="18"/>
                <w:szCs w:val="18"/>
              </w:rPr>
            </w:pPr>
            <w:r>
              <w:rPr>
                <w:rFonts w:ascii="宋体" w:hAnsi="宋体" w:cs="宋体" w:eastAsia="宋体" w:hint="default"/>
                <w:sz w:val="18"/>
                <w:szCs w:val="18"/>
              </w:rPr>
              <w:t>被中国证监会立 案调查或行政处 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71"/>
              <w:jc w:val="left"/>
              <w:rPr>
                <w:rFonts w:ascii="Times New Roman" w:hAnsi="Times New Roman" w:cs="Times New Roman" w:eastAsia="Times New Roman" w:hint="default"/>
                <w:sz w:val="18"/>
                <w:szCs w:val="18"/>
              </w:rPr>
            </w:pPr>
            <w:r>
              <w:rPr>
                <w:rFonts w:ascii="宋体" w:hAnsi="宋体" w:cs="宋体" w:eastAsia="宋体" w:hint="default"/>
                <w:sz w:val="18"/>
                <w:szCs w:val="18"/>
              </w:rPr>
              <w:t>《行政处罚及市 场禁入事先告知 书》</w:t>
            </w:r>
            <w:r>
              <w:rPr>
                <w:rFonts w:ascii="Times New Roman" w:hAnsi="Times New Roman" w:cs="Times New Roman" w:eastAsia="Times New Roman" w:hint="default"/>
                <w:sz w:val="18"/>
                <w:szCs w:val="18"/>
              </w:rPr>
              <w:t>(</w:t>
            </w:r>
            <w:r>
              <w:rPr>
                <w:rFonts w:ascii="宋体" w:hAnsi="宋体" w:cs="宋体" w:eastAsia="宋体" w:hint="default"/>
                <w:sz w:val="18"/>
                <w:szCs w:val="18"/>
              </w:rPr>
              <w:t>处罚字 </w:t>
            </w:r>
            <w:r>
              <w:rPr>
                <w:rFonts w:ascii="Times New Roman" w:hAnsi="Times New Roman" w:cs="Times New Roman" w:eastAsia="Times New Roman" w:hint="default"/>
                <w:sz w:val="18"/>
                <w:szCs w:val="18"/>
              </w:rPr>
              <w:t>[2017]101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6"/>
              <w:ind w:left="24" w:right="83"/>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http://www.cni</w:t>
            </w:r>
            <w:r>
              <w:rPr>
                <w:rFonts w:ascii="Times New Roman" w:hAnsi="Times New Roman" w:cs="Times New Roman" w:eastAsia="Times New Roman" w:hint="default"/>
                <w:spacing w:val="-32"/>
                <w:sz w:val="18"/>
                <w:szCs w:val="18"/>
              </w:rPr>
              <w:t> </w:t>
            </w:r>
            <w:r>
              <w:rPr>
                <w:rFonts w:ascii="Times New Roman" w:hAnsi="Times New Roman" w:cs="Times New Roman" w:eastAsia="Times New Roman" w:hint="default"/>
                <w:spacing w:val="-32"/>
                <w:sz w:val="18"/>
                <w:szCs w:val="18"/>
              </w:rPr>
            </w:r>
            <w:r>
              <w:rPr>
                <w:rFonts w:ascii="Times New Roman" w:hAnsi="Times New Roman" w:cs="Times New Roman" w:eastAsia="Times New Roman" w:hint="default"/>
                <w:sz w:val="18"/>
                <w:szCs w:val="18"/>
              </w:rPr>
              <w:t>nfo.com.cn</w:t>
            </w:r>
            <w:r>
              <w:rPr>
                <w:rFonts w:ascii="宋体" w:hAnsi="宋体" w:cs="宋体" w:eastAsia="宋体" w:hint="default"/>
                <w:sz w:val="18"/>
                <w:szCs w:val="18"/>
              </w:rPr>
              <w:t>）</w:t>
            </w:r>
          </w:p>
        </w:tc>
      </w:tr>
    </w:tbl>
    <w:p>
      <w:pPr>
        <w:pStyle w:val="BodyText"/>
        <w:spacing w:line="240" w:lineRule="auto" w:before="49"/>
        <w:ind w:right="135"/>
        <w:jc w:val="left"/>
      </w:pPr>
      <w:r>
        <w:rPr/>
        <w:t>董事、监事、高级管理人员、持股</w:t>
      </w:r>
      <w:r>
        <w:rPr>
          <w:spacing w:val="-45"/>
        </w:rPr>
        <w:t> </w:t>
      </w:r>
      <w:r>
        <w:rPr>
          <w:rFonts w:ascii="Times New Roman" w:hAnsi="Times New Roman" w:cs="Times New Roman" w:eastAsia="Times New Roman" w:hint="default"/>
        </w:rPr>
        <w:t>5%</w:t>
      </w:r>
      <w:r>
        <w:rPr/>
        <w:t>以上的股东违规买卖公司股票情况</w:t>
      </w:r>
    </w:p>
    <w:p>
      <w:pPr>
        <w:pStyle w:val="BodyText"/>
        <w:spacing w:line="240" w:lineRule="auto" w:before="101"/>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35"/>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35"/>
        <w:jc w:val="left"/>
        <w:rPr>
          <w:b w:val="0"/>
          <w:bCs w:val="0"/>
        </w:rPr>
      </w:pP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27</w:t>
      </w:r>
      <w:r>
        <w:rPr>
          <w:spacing w:val="-2"/>
        </w:rPr>
        <w:t>日，公司第三届董事会第六次会议审议通过了《关于回购注销部分限制性股票的议案》，鉴于激励对象付大志</w:t>
      </w:r>
      <w:r>
        <w:rPr>
          <w:spacing w:val="-60"/>
        </w:rPr>
        <w:t> </w:t>
      </w:r>
      <w:r>
        <w:rPr>
          <w:spacing w:val="-60"/>
        </w:rPr>
      </w:r>
      <w:r>
        <w:rPr/>
        <w:t>因个人原因离职，公司董事会决议回购并注销其已获授但尚未解锁的全部限制性股票共</w:t>
      </w:r>
      <w:r>
        <w:rPr>
          <w:rFonts w:ascii="Times New Roman" w:hAnsi="Times New Roman" w:cs="Times New Roman" w:eastAsia="Times New Roman" w:hint="default"/>
        </w:rPr>
        <w:t>100</w:t>
      </w:r>
      <w:r>
        <w:rPr/>
        <w:t>万股。</w:t>
      </w:r>
    </w:p>
    <w:p>
      <w:pPr>
        <w:spacing w:line="240" w:lineRule="auto" w:before="3"/>
        <w:rPr>
          <w:rFonts w:ascii="宋体" w:hAnsi="宋体" w:cs="宋体" w:eastAsia="宋体" w:hint="default"/>
          <w:sz w:val="19"/>
          <w:szCs w:val="19"/>
        </w:rPr>
      </w:pPr>
    </w:p>
    <w:p>
      <w:pPr>
        <w:pStyle w:val="Heading2"/>
        <w:spacing w:line="240" w:lineRule="auto"/>
        <w:ind w:right="135"/>
        <w:jc w:val="left"/>
        <w:rPr>
          <w:b w:val="0"/>
          <w:bCs w:val="0"/>
        </w:rPr>
      </w:pP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35"/>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3"/>
        <w:rPr>
          <w:rFonts w:ascii="宋体" w:hAnsi="宋体" w:cs="宋体" w:eastAsia="宋体" w:hint="default"/>
          <w:sz w:val="21"/>
          <w:szCs w:val="21"/>
        </w:rPr>
      </w:pPr>
    </w:p>
    <w:p>
      <w:pPr>
        <w:pStyle w:val="Heading3"/>
        <w:spacing w:line="240" w:lineRule="auto"/>
        <w:ind w:right="135"/>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after="0" w:line="340" w:lineRule="auto"/>
        <w:jc w:val="left"/>
        <w:sectPr>
          <w:footerReference w:type="default" r:id="rId12"/>
          <w:pgSz w:w="11910" w:h="16840"/>
          <w:pgMar w:footer="979" w:header="745" w:top="1060" w:bottom="1160" w:left="980" w:right="980"/>
          <w:pgNumType w:start="30"/>
        </w:sectPr>
      </w:pPr>
    </w:p>
    <w:p>
      <w:pPr>
        <w:spacing w:line="240" w:lineRule="auto" w:before="10"/>
        <w:rPr>
          <w:rFonts w:ascii="宋体" w:hAnsi="宋体" w:cs="宋体" w:eastAsia="宋体" w:hint="default"/>
          <w:sz w:val="24"/>
          <w:szCs w:val="24"/>
        </w:rPr>
      </w:pPr>
    </w:p>
    <w:p>
      <w:pPr>
        <w:pStyle w:val="Heading3"/>
        <w:spacing w:line="240" w:lineRule="auto" w:before="36"/>
        <w:ind w:right="135"/>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7"/>
        <w:rPr>
          <w:rFonts w:ascii="宋体" w:hAnsi="宋体" w:cs="宋体" w:eastAsia="宋体" w:hint="default"/>
          <w:sz w:val="21"/>
          <w:szCs w:val="21"/>
        </w:rPr>
      </w:pPr>
    </w:p>
    <w:p>
      <w:pPr>
        <w:pStyle w:val="Heading3"/>
        <w:spacing w:line="240" w:lineRule="auto"/>
        <w:ind w:right="135"/>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是否存在非经营性关联债权债务往来</w:t>
      </w:r>
    </w:p>
    <w:p>
      <w:pPr>
        <w:pStyle w:val="BodyText"/>
        <w:spacing w:line="340" w:lineRule="auto" w:before="43"/>
        <w:ind w:right="85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应付关联方债务</w:t>
      </w:r>
    </w:p>
    <w:p>
      <w:pPr>
        <w:spacing w:line="240" w:lineRule="auto" w:before="6"/>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160"/>
        <w:gridCol w:w="1037"/>
        <w:gridCol w:w="1045"/>
        <w:gridCol w:w="1044"/>
        <w:gridCol w:w="1044"/>
        <w:gridCol w:w="1044"/>
        <w:gridCol w:w="1044"/>
        <w:gridCol w:w="1045"/>
        <w:gridCol w:w="1109"/>
      </w:tblGrid>
      <w:tr>
        <w:trPr>
          <w:trHeight w:val="714" w:hRule="exact"/>
        </w:trPr>
        <w:tc>
          <w:tcPr>
            <w:tcW w:w="1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0"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4"/>
              <w:ind w:left="16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9" w:right="63"/>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9" w:right="62"/>
              <w:jc w:val="left"/>
              <w:rPr>
                <w:rFonts w:ascii="宋体" w:hAnsi="宋体" w:cs="宋体" w:eastAsia="宋体" w:hint="default"/>
                <w:sz w:val="18"/>
                <w:szCs w:val="18"/>
              </w:rPr>
            </w:pPr>
            <w:r>
              <w:rPr>
                <w:rFonts w:ascii="宋体" w:hAnsi="宋体" w:cs="宋体" w:eastAsia="宋体" w:hint="default"/>
                <w:sz w:val="18"/>
                <w:szCs w:val="18"/>
              </w:rPr>
              <w:t>本期归还金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0"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4"/>
              <w:ind w:left="16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71" w:right="19" w:hanging="346"/>
              <w:jc w:val="left"/>
              <w:rPr>
                <w:rFonts w:ascii="宋体" w:hAnsi="宋体" w:cs="宋体" w:eastAsia="宋体" w:hint="default"/>
                <w:sz w:val="18"/>
                <w:szCs w:val="18"/>
              </w:rPr>
            </w:pPr>
            <w:r>
              <w:rPr>
                <w:rFonts w:ascii="宋体" w:hAnsi="宋体" w:cs="宋体" w:eastAsia="宋体" w:hint="default"/>
                <w:spacing w:val="-5"/>
                <w:sz w:val="18"/>
                <w:szCs w:val="18"/>
              </w:rPr>
              <w:t>期末余额（万</w:t>
            </w:r>
            <w:r>
              <w:rPr>
                <w:rFonts w:ascii="宋体" w:hAnsi="宋体" w:cs="宋体" w:eastAsia="宋体" w:hint="default"/>
                <w:sz w:val="18"/>
                <w:szCs w:val="18"/>
              </w:rPr>
              <w:t> 元）</w:t>
            </w:r>
          </w:p>
        </w:tc>
      </w:tr>
      <w:tr>
        <w:trPr>
          <w:trHeight w:val="1025"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5"/>
              <w:jc w:val="both"/>
              <w:rPr>
                <w:rFonts w:ascii="宋体" w:hAnsi="宋体" w:cs="宋体" w:eastAsia="宋体" w:hint="default"/>
                <w:sz w:val="18"/>
                <w:szCs w:val="18"/>
              </w:rPr>
            </w:pPr>
            <w:r>
              <w:rPr>
                <w:rFonts w:ascii="宋体" w:hAnsi="宋体" w:cs="宋体" w:eastAsia="宋体" w:hint="default"/>
                <w:sz w:val="18"/>
                <w:szCs w:val="18"/>
              </w:rPr>
              <w:t>青岛城投金融 控股集团有限 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 w:right="175"/>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 上股东</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0"/>
              <w:jc w:val="left"/>
              <w:rPr>
                <w:rFonts w:ascii="宋体" w:hAnsi="宋体" w:cs="宋体" w:eastAsia="宋体" w:hint="default"/>
                <w:sz w:val="18"/>
                <w:szCs w:val="18"/>
              </w:rPr>
            </w:pPr>
            <w:r>
              <w:rPr>
                <w:rFonts w:ascii="宋体" w:hAnsi="宋体" w:cs="宋体" w:eastAsia="宋体" w:hint="default"/>
                <w:sz w:val="18"/>
                <w:szCs w:val="18"/>
              </w:rPr>
              <w:t>日常经营借 款</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30,921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30,921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195.31</w:t>
            </w: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45"/>
              <w:jc w:val="left"/>
              <w:rPr>
                <w:rFonts w:ascii="宋体" w:hAnsi="宋体" w:cs="宋体" w:eastAsia="宋体" w:hint="default"/>
                <w:sz w:val="18"/>
                <w:szCs w:val="18"/>
              </w:rPr>
            </w:pPr>
            <w:r>
              <w:rPr>
                <w:rFonts w:ascii="宋体" w:hAnsi="宋体" w:cs="宋体" w:eastAsia="宋体" w:hint="default"/>
                <w:sz w:val="18"/>
                <w:szCs w:val="18"/>
              </w:rPr>
              <w:t>青岛金桥船舶 工程有限公司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101"/>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 上股东直接 或间接控制</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10"/>
              <w:jc w:val="left"/>
              <w:rPr>
                <w:rFonts w:ascii="宋体" w:hAnsi="宋体" w:cs="宋体" w:eastAsia="宋体" w:hint="default"/>
                <w:sz w:val="18"/>
                <w:szCs w:val="18"/>
              </w:rPr>
            </w:pPr>
            <w:r>
              <w:rPr>
                <w:rFonts w:ascii="宋体" w:hAnsi="宋体" w:cs="宋体" w:eastAsia="宋体" w:hint="default"/>
                <w:sz w:val="18"/>
                <w:szCs w:val="18"/>
              </w:rPr>
              <w:t>日常经营借 款</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154.38</w:t>
            </w: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45"/>
              <w:jc w:val="left"/>
              <w:rPr>
                <w:rFonts w:ascii="宋体" w:hAnsi="宋体" w:cs="宋体" w:eastAsia="宋体" w:hint="default"/>
                <w:sz w:val="18"/>
                <w:szCs w:val="18"/>
              </w:rPr>
            </w:pPr>
            <w:r>
              <w:rPr>
                <w:rFonts w:ascii="宋体" w:hAnsi="宋体" w:cs="宋体" w:eastAsia="宋体" w:hint="default"/>
                <w:sz w:val="18"/>
                <w:szCs w:val="18"/>
              </w:rPr>
              <w:t>青岛熹源控股 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1"/>
              <w:jc w:val="both"/>
              <w:rPr>
                <w:rFonts w:ascii="宋体" w:hAnsi="宋体" w:cs="宋体" w:eastAsia="宋体" w:hint="default"/>
                <w:sz w:val="18"/>
                <w:szCs w:val="18"/>
              </w:rPr>
            </w:pPr>
            <w:r>
              <w:rPr>
                <w:rFonts w:ascii="宋体" w:hAnsi="宋体" w:cs="宋体" w:eastAsia="宋体" w:hint="default"/>
                <w:sz w:val="18"/>
                <w:szCs w:val="18"/>
              </w:rPr>
              <w:t>公司关联自 然人直接或 间接控制</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0"/>
              <w:jc w:val="left"/>
              <w:rPr>
                <w:rFonts w:ascii="宋体" w:hAnsi="宋体" w:cs="宋体" w:eastAsia="宋体" w:hint="default"/>
                <w:sz w:val="18"/>
                <w:szCs w:val="18"/>
              </w:rPr>
            </w:pPr>
            <w:r>
              <w:rPr>
                <w:rFonts w:ascii="宋体" w:hAnsi="宋体" w:cs="宋体" w:eastAsia="宋体" w:hint="default"/>
                <w:sz w:val="18"/>
                <w:szCs w:val="18"/>
              </w:rPr>
              <w:t>日常经营借 款</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2,900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13,500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16,400</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35"/>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135"/>
        <w:jc w:val="left"/>
        <w:rPr>
          <w:b w:val="0"/>
          <w:bCs w:val="0"/>
        </w:rPr>
      </w:pP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35"/>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35"/>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5"/>
        <w:rPr>
          <w:rFonts w:ascii="宋体" w:hAnsi="宋体" w:cs="宋体" w:eastAsia="宋体" w:hint="default"/>
          <w:sz w:val="21"/>
          <w:szCs w:val="21"/>
        </w:rPr>
      </w:pPr>
    </w:p>
    <w:p>
      <w:pPr>
        <w:pStyle w:val="Heading3"/>
        <w:spacing w:line="240" w:lineRule="auto"/>
        <w:ind w:right="135"/>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after="0" w:line="338"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35"/>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7"/>
        <w:rPr>
          <w:rFonts w:ascii="宋体" w:hAnsi="宋体" w:cs="宋体" w:eastAsia="宋体" w:hint="default"/>
          <w:sz w:val="21"/>
          <w:szCs w:val="21"/>
        </w:rPr>
      </w:pPr>
    </w:p>
    <w:p>
      <w:pPr>
        <w:pStyle w:val="Heading3"/>
        <w:spacing w:line="240" w:lineRule="auto"/>
        <w:ind w:right="135"/>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7"/>
        <w:rPr>
          <w:rFonts w:ascii="宋体" w:hAnsi="宋体" w:cs="宋体" w:eastAsia="宋体" w:hint="default"/>
          <w:sz w:val="21"/>
          <w:szCs w:val="21"/>
        </w:rPr>
      </w:pPr>
    </w:p>
    <w:p>
      <w:pPr>
        <w:pStyle w:val="Heading3"/>
        <w:spacing w:line="240" w:lineRule="auto"/>
        <w:ind w:right="135"/>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35"/>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公司报告期不存在委托理财。</w:t>
      </w:r>
    </w:p>
    <w:p>
      <w:pPr>
        <w:spacing w:line="240" w:lineRule="auto" w:before="5"/>
        <w:rPr>
          <w:rFonts w:ascii="宋体" w:hAnsi="宋体" w:cs="宋体" w:eastAsia="宋体" w:hint="default"/>
          <w:sz w:val="21"/>
          <w:szCs w:val="21"/>
        </w:rPr>
      </w:pPr>
    </w:p>
    <w:p>
      <w:pPr>
        <w:pStyle w:val="Heading3"/>
        <w:spacing w:line="240" w:lineRule="auto"/>
        <w:ind w:right="135"/>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8"/>
        <w:rPr>
          <w:rFonts w:ascii="宋体" w:hAnsi="宋体" w:cs="宋体" w:eastAsia="宋体" w:hint="default"/>
          <w:sz w:val="21"/>
          <w:szCs w:val="21"/>
        </w:rPr>
      </w:pPr>
    </w:p>
    <w:p>
      <w:pPr>
        <w:pStyle w:val="Heading3"/>
        <w:spacing w:line="240" w:lineRule="auto"/>
        <w:ind w:right="135"/>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4"/>
        <w:rPr>
          <w:rFonts w:ascii="宋体" w:hAnsi="宋体" w:cs="宋体" w:eastAsia="宋体" w:hint="default"/>
          <w:sz w:val="19"/>
          <w:szCs w:val="19"/>
        </w:rPr>
      </w:pPr>
    </w:p>
    <w:p>
      <w:pPr>
        <w:spacing w:line="506" w:lineRule="auto" w:before="0"/>
        <w:ind w:left="152" w:right="7605" w:firstLine="0"/>
        <w:jc w:val="left"/>
        <w:rPr>
          <w:rFonts w:ascii="宋体" w:hAnsi="宋体" w:cs="宋体" w:eastAsia="宋体" w:hint="default"/>
          <w:sz w:val="18"/>
          <w:szCs w:val="18"/>
        </w:rPr>
      </w:pPr>
      <w:r>
        <w:rPr>
          <w:rFonts w:ascii="宋体" w:hAnsi="宋体" w:cs="宋体" w:eastAsia="宋体" w:hint="default"/>
          <w:b/>
          <w:bCs/>
          <w:sz w:val="24"/>
          <w:szCs w:val="24"/>
        </w:rPr>
        <w:t>十七、社会责任情况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w w:val="100"/>
          <w:sz w:val="21"/>
          <w:szCs w:val="21"/>
        </w:rPr>
        <w:t> </w:t>
      </w:r>
      <w:r>
        <w:rPr>
          <w:rFonts w:ascii="宋体" w:hAnsi="宋体" w:cs="宋体" w:eastAsia="宋体" w:hint="default"/>
          <w:sz w:val="18"/>
          <w:szCs w:val="18"/>
        </w:rPr>
        <w:t>不适用。</w:t>
      </w:r>
    </w:p>
    <w:p>
      <w:pPr>
        <w:pStyle w:val="Heading3"/>
        <w:spacing w:line="240" w:lineRule="auto" w:before="156"/>
        <w:ind w:right="135"/>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35"/>
        <w:jc w:val="left"/>
        <w:rPr>
          <w:b w:val="0"/>
          <w:bCs w:val="0"/>
        </w:rPr>
      </w:pPr>
      <w:r>
        <w:rPr/>
        <w:t>（</w:t>
      </w:r>
      <w:r>
        <w:rPr>
          <w:rFonts w:ascii="Times New Roman" w:hAnsi="Times New Roman" w:cs="Times New Roman" w:eastAsia="Times New Roman" w:hint="default"/>
        </w:rPr>
        <w:t>1</w:t>
      </w:r>
      <w:r>
        <w:rPr/>
        <w:t>）精准扶贫规划</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35"/>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35"/>
        <w:jc w:val="left"/>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35"/>
        <w:jc w:val="left"/>
      </w:pPr>
      <w:r>
        <w:rPr/>
        <w:t>不适用。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6754"/>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4774"/>
        <w:jc w:val="left"/>
      </w:pPr>
      <w:r>
        <w:rPr/>
        <w:t>上市公司及其子公司是否属于环境保护部门公布的重点排污单位 否</w:t>
      </w:r>
    </w:p>
    <w:p>
      <w:pPr>
        <w:pStyle w:val="BodyText"/>
        <w:spacing w:line="240" w:lineRule="auto" w:before="29"/>
        <w:ind w:right="0"/>
        <w:jc w:val="left"/>
      </w:pPr>
      <w:r>
        <w:rPr/>
        <w:t>公司不属于环境保护部门公布的重点排污单位，取得上海质量体系审核中心颁发的《环境管理体系认证证书》，证书编号：</w:t>
      </w:r>
    </w:p>
    <w:p>
      <w:pPr>
        <w:pStyle w:val="BodyText"/>
        <w:spacing w:line="240" w:lineRule="auto" w:before="76"/>
        <w:ind w:right="93"/>
        <w:jc w:val="left"/>
      </w:pPr>
      <w:r>
        <w:rPr>
          <w:rFonts w:ascii="Times New Roman" w:hAnsi="Times New Roman" w:cs="Times New Roman" w:eastAsia="Times New Roman" w:hint="default"/>
        </w:rPr>
        <w:t>00317E10025R0M</w:t>
      </w:r>
      <w:r>
        <w:rPr/>
        <w:t>，证书有效期为：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w:t>
      </w:r>
    </w:p>
    <w:p>
      <w:pPr>
        <w:spacing w:line="240" w:lineRule="auto" w:before="3"/>
        <w:rPr>
          <w:rFonts w:ascii="宋体" w:hAnsi="宋体" w:cs="宋体" w:eastAsia="宋体" w:hint="default"/>
          <w:sz w:val="24"/>
          <w:szCs w:val="24"/>
        </w:rPr>
      </w:pPr>
    </w:p>
    <w:p>
      <w:pPr>
        <w:pStyle w:val="Heading2"/>
        <w:spacing w:line="240" w:lineRule="auto"/>
        <w:ind w:right="6754"/>
        <w:jc w:val="left"/>
        <w:rPr>
          <w:b w:val="0"/>
          <w:bCs w:val="0"/>
        </w:rPr>
      </w:pPr>
      <w:r>
        <w:rPr/>
        <w:t>十八、其他重大事项的说明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93"/>
        <w:jc w:val="left"/>
      </w:pP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8</w:t>
      </w:r>
      <w:r>
        <w:rPr/>
        <w:t>日披露《青岛市恒顺电气股份有限公司用超募资金投资南加里曼丹印尼</w:t>
      </w:r>
      <w:r>
        <w:rPr>
          <w:rFonts w:ascii="Times New Roman" w:hAnsi="Times New Roman" w:cs="Times New Roman" w:eastAsia="Times New Roman" w:hint="default"/>
        </w:rPr>
        <w:t>ASAM-ASAM</w:t>
      </w:r>
      <w:r>
        <w:rPr/>
        <w:t>发电厂扩建</w:t>
      </w:r>
    </w:p>
    <w:p>
      <w:pPr>
        <w:pStyle w:val="BodyText"/>
        <w:spacing w:line="302" w:lineRule="auto" w:before="63"/>
        <w:ind w:right="183"/>
        <w:jc w:val="left"/>
      </w:pPr>
      <w:r>
        <w:rPr>
          <w:rFonts w:ascii="Times New Roman" w:hAnsi="Times New Roman" w:cs="Times New Roman" w:eastAsia="Times New Roman" w:hint="default"/>
        </w:rPr>
        <w:t>3×65MW</w:t>
      </w:r>
      <w:r>
        <w:rPr>
          <w:rFonts w:ascii="Times New Roman" w:hAnsi="Times New Roman" w:cs="Times New Roman" w:eastAsia="Times New Roman" w:hint="default"/>
          <w:spacing w:val="19"/>
        </w:rPr>
        <w:t> </w:t>
      </w:r>
      <w:r>
        <w:rPr/>
        <w:t>程项目公告》公告编号（</w:t>
      </w:r>
      <w:r>
        <w:rPr>
          <w:rFonts w:ascii="Times New Roman" w:hAnsi="Times New Roman" w:cs="Times New Roman" w:eastAsia="Times New Roman" w:hint="default"/>
        </w:rPr>
        <w:t>2012-036</w:t>
      </w:r>
      <w:r>
        <w:rPr/>
        <w:t>），公司与杭州锅炉集团股份有限公司、江西久盛国际机电设备有限公司、</w:t>
      </w:r>
      <w:r>
        <w:rPr>
          <w:rFonts w:ascii="Times New Roman" w:hAnsi="Times New Roman" w:cs="Times New Roman" w:eastAsia="Times New Roman" w:hint="default"/>
        </w:rPr>
        <w:t>PT. Central Daya Energi</w:t>
      </w:r>
      <w:r>
        <w:rPr/>
        <w:t>拟投资南加里曼丹发电厂</w:t>
      </w:r>
      <w:r>
        <w:rPr>
          <w:rFonts w:ascii="Times New Roman" w:hAnsi="Times New Roman" w:cs="Times New Roman" w:eastAsia="Times New Roman" w:hint="default"/>
        </w:rPr>
        <w:t>ASAM-ASAM </w:t>
      </w:r>
      <w:r>
        <w:rPr/>
        <w:t>发电厂扩建 </w:t>
      </w:r>
      <w:r>
        <w:rPr>
          <w:rFonts w:ascii="Times New Roman" w:hAnsi="Times New Roman" w:cs="Times New Roman" w:eastAsia="Times New Roman" w:hint="default"/>
        </w:rPr>
        <w:t>3×65MW</w:t>
      </w:r>
      <w:r>
        <w:rPr>
          <w:rFonts w:ascii="Times New Roman" w:hAnsi="Times New Roman" w:cs="Times New Roman" w:eastAsia="Times New Roman" w:hint="default"/>
          <w:spacing w:val="-21"/>
        </w:rPr>
        <w:t> </w:t>
      </w:r>
      <w:r>
        <w:rPr/>
        <w:t>工程项目，因印尼国家电力公司未能批复 发股东间的四方变更协议，此项目终止履行。 </w:t>
      </w:r>
      <w:r>
        <w:rPr>
          <w:rFonts w:ascii="Times New Roman" w:hAnsi="Times New Roman" w:cs="Times New Roman" w:eastAsia="Times New Roman" w:hint="default"/>
          <w:spacing w:val="-2"/>
        </w:rPr>
        <w:t>2</w:t>
      </w:r>
      <w:r>
        <w:rPr>
          <w:spacing w:val="-2"/>
        </w:rPr>
        <w:t>、公司于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18</w:t>
      </w:r>
      <w:r>
        <w:rPr>
          <w:spacing w:val="-2"/>
        </w:rPr>
        <w:t>日停牌，披露了《关于筹划重大事项停牌的公告》，于</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8</w:t>
      </w:r>
      <w:r>
        <w:rPr>
          <w:spacing w:val="-2"/>
        </w:rPr>
        <w:t>日披露了《关于拟收购青岛城乡建设融资</w:t>
      </w:r>
      <w:r>
        <w:rPr>
          <w:spacing w:val="-61"/>
        </w:rPr>
        <w:t> </w:t>
      </w:r>
      <w:r>
        <w:rPr>
          <w:spacing w:val="-61"/>
        </w:rPr>
      </w:r>
      <w:r>
        <w:rPr>
          <w:spacing w:val="-2"/>
        </w:rPr>
        <w:t>租赁有限公司</w:t>
      </w:r>
      <w:r>
        <w:rPr>
          <w:rFonts w:ascii="Times New Roman" w:hAnsi="Times New Roman" w:cs="Times New Roman" w:eastAsia="Times New Roman" w:hint="default"/>
          <w:spacing w:val="-2"/>
        </w:rPr>
        <w:t>18%</w:t>
      </w:r>
      <w:r>
        <w:rPr>
          <w:spacing w:val="-2"/>
        </w:rPr>
        <w:t>股权暨关联交易的公告》，同时公司股票复牌。公司计划使用现金收购城投金控持有的城建租赁的</w:t>
      </w:r>
      <w:r>
        <w:rPr>
          <w:rFonts w:ascii="Times New Roman" w:hAnsi="Times New Roman" w:cs="Times New Roman" w:eastAsia="Times New Roman" w:hint="default"/>
          <w:spacing w:val="-2"/>
        </w:rPr>
        <w:t>6.451%</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spacing w:val="-1"/>
        </w:rPr>
        <w:t>股权和万事利持有的城建租赁的</w:t>
      </w:r>
      <w:r>
        <w:rPr>
          <w:rFonts w:ascii="Times New Roman" w:hAnsi="Times New Roman" w:cs="Times New Roman" w:eastAsia="Times New Roman" w:hint="default"/>
          <w:spacing w:val="-1"/>
        </w:rPr>
        <w:t>11.549%</w:t>
      </w:r>
      <w:r>
        <w:rPr>
          <w:spacing w:val="-1"/>
        </w:rPr>
        <w:t>股权。因青岛城乡建设融资租赁有限公司控股股东城投金控于</w:t>
      </w:r>
      <w:r>
        <w:rPr>
          <w:rFonts w:ascii="宋体" w:hAnsi="宋体" w:cs="宋体" w:eastAsia="宋体" w:hint="default"/>
          <w:spacing w:val="-1"/>
        </w:rPr>
        <w:t>2017</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26</w:t>
      </w:r>
      <w:r>
        <w:rPr>
          <w:spacing w:val="-1"/>
        </w:rPr>
        <w:t>日变更</w:t>
      </w:r>
      <w:r>
        <w:rPr>
          <w:spacing w:val="-40"/>
        </w:rPr>
        <w:t> </w:t>
      </w:r>
      <w:r>
        <w:rPr>
          <w:spacing w:val="-40"/>
        </w:rPr>
      </w:r>
      <w:r>
        <w:rPr/>
        <w:t>为上市公司控股股东，此次收购终止履行。</w:t>
      </w:r>
    </w:p>
    <w:p>
      <w:pPr>
        <w:spacing w:line="240" w:lineRule="auto" w:before="9"/>
        <w:rPr>
          <w:rFonts w:ascii="宋体" w:hAnsi="宋体" w:cs="宋体" w:eastAsia="宋体" w:hint="default"/>
          <w:sz w:val="21"/>
          <w:szCs w:val="21"/>
        </w:rPr>
      </w:pPr>
    </w:p>
    <w:p>
      <w:pPr>
        <w:pStyle w:val="Heading2"/>
        <w:spacing w:line="240" w:lineRule="auto"/>
        <w:ind w:right="6754"/>
        <w:jc w:val="left"/>
        <w:rPr>
          <w:b w:val="0"/>
          <w:bCs w:val="0"/>
        </w:rPr>
      </w:pP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4" w:right="135"/>
        <w:jc w:val="left"/>
        <w:rPr>
          <w:b w:val="0"/>
          <w:bCs w:val="0"/>
        </w:rPr>
      </w:pPr>
      <w:bookmarkStart w:name="_bookmark5" w:id="6"/>
      <w:bookmarkEnd w:id="6"/>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35"/>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35"/>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4"/>
        <w:gridCol w:w="823"/>
        <w:gridCol w:w="823"/>
        <w:gridCol w:w="821"/>
        <w:gridCol w:w="823"/>
        <w:gridCol w:w="821"/>
        <w:gridCol w:w="824"/>
        <w:gridCol w:w="794"/>
        <w:gridCol w:w="792"/>
      </w:tblGrid>
      <w:tr>
        <w:trPr>
          <w:trHeight w:val="40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9"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158,315,8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20.65%</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28,136,68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28,136,68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186,452,4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24.36%</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158,315,8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20.65%</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28,136,68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28,136,68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186,452,4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24.36%</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158,315,8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20.65%</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28,136,68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28,136,68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186,452,4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24.36%</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608,209,1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79.35%</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-29,136,6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-29,136,6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579,072,5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75.64%</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608,209,1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79.35%</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-29,136,6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-29,136,6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579,072,5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75.64%</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766,525,0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765,525,0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35"/>
        <w:jc w:val="left"/>
      </w:pPr>
      <w:r>
        <w:rPr/>
        <w:t>股份变动的原因</w:t>
      </w:r>
    </w:p>
    <w:p>
      <w:pPr>
        <w:pStyle w:val="BodyText"/>
        <w:spacing w:line="340" w:lineRule="auto" w:before="115"/>
        <w:ind w:right="32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详见</w:t>
      </w:r>
      <w:r>
        <w:rPr>
          <w:rFonts w:ascii="Times New Roman" w:hAnsi="Times New Roman" w:cs="Times New Roman" w:eastAsia="Times New Roman" w:hint="default"/>
        </w:rPr>
        <w:t>“</w:t>
      </w:r>
      <w:r>
        <w:rPr/>
        <w:t>第六节、股份变动及股东情况，一、股份变动情况，</w:t>
      </w:r>
      <w:r>
        <w:rPr>
          <w:rFonts w:ascii="Times New Roman" w:hAnsi="Times New Roman" w:cs="Times New Roman" w:eastAsia="Times New Roman" w:hint="default"/>
        </w:rPr>
        <w:t>2</w:t>
      </w:r>
      <w:r>
        <w:rPr/>
        <w:t>、限售股份变动情况</w:t>
      </w:r>
      <w:r>
        <w:rPr>
          <w:rFonts w:ascii="Times New Roman" w:hAnsi="Times New Roman" w:cs="Times New Roman" w:eastAsia="Times New Roman" w:hint="default"/>
        </w:rPr>
        <w:t>”</w:t>
      </w:r>
      <w:r>
        <w:rPr/>
        <w:t>。 股份变动的批准情况</w:t>
      </w:r>
    </w:p>
    <w:p>
      <w:pPr>
        <w:pStyle w:val="BodyText"/>
        <w:spacing w:line="240" w:lineRule="auto" w:before="39"/>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00" w:lineRule="auto" w:before="44"/>
        <w:ind w:right="15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27</w:t>
      </w:r>
      <w:r>
        <w:rPr>
          <w:spacing w:val="-2"/>
        </w:rPr>
        <w:t>日，公司第三届董事会第六次会议审议通过了《关于回购注销部分限制性股票的议案》，鉴于激励对象付大志</w:t>
      </w:r>
      <w:r>
        <w:rPr>
          <w:spacing w:val="-60"/>
        </w:rPr>
        <w:t> </w:t>
      </w:r>
      <w:r>
        <w:rPr>
          <w:spacing w:val="-60"/>
        </w:rPr>
      </w:r>
      <w:r>
        <w:rPr/>
        <w:t>因个人原因离职，公司董事会决议回购并注销其已获授但尚未解锁的全部限制性股票共</w:t>
      </w:r>
      <w:r>
        <w:rPr>
          <w:rFonts w:ascii="Times New Roman" w:hAnsi="Times New Roman" w:cs="Times New Roman" w:eastAsia="Times New Roman" w:hint="default"/>
        </w:rPr>
        <w:t>100</w:t>
      </w:r>
      <w:r>
        <w:rPr/>
        <w:t>万股。公司支付减资款后，山东 和信会计师事务所于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日出具了和信验字（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000147</w:t>
      </w:r>
      <w:r>
        <w:rPr/>
        <w:t>号验资报告，公司于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25</w:t>
      </w:r>
      <w:r>
        <w:rPr/>
        <w:t>日在中国证券登记 结算有限责任公司深圳分公司完成回购注销手续。</w:t>
      </w:r>
    </w:p>
    <w:p>
      <w:pPr>
        <w:pStyle w:val="BodyText"/>
        <w:spacing w:line="240" w:lineRule="auto" w:before="72"/>
        <w:ind w:right="0"/>
        <w:jc w:val="both"/>
      </w:pPr>
      <w:r>
        <w:rPr/>
        <w:t>股份变动的过户情况</w:t>
      </w:r>
    </w:p>
    <w:p>
      <w:pPr>
        <w:pStyle w:val="BodyText"/>
        <w:spacing w:line="340" w:lineRule="auto" w:before="115"/>
        <w:ind w:right="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38" w:lineRule="auto" w:before="41"/>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pStyle w:val="BodyText"/>
        <w:spacing w:line="240" w:lineRule="auto" w:before="43"/>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4"/>
        <w:gridCol w:w="1369"/>
        <w:gridCol w:w="1368"/>
        <w:gridCol w:w="1371"/>
        <w:gridCol w:w="1368"/>
        <w:gridCol w:w="1371"/>
        <w:gridCol w:w="1361"/>
      </w:tblGrid>
      <w:tr>
        <w:trPr>
          <w:trHeight w:val="713"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0"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0"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1340"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贾全臣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75,218,440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36,432,183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111,650,623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97" w:lineRule="auto" w:before="128"/>
              <w:ind w:left="23" w:right="72"/>
              <w:jc w:val="left"/>
              <w:rPr>
                <w:rFonts w:ascii="宋体" w:hAnsi="宋体" w:cs="宋体" w:eastAsia="宋体" w:hint="default"/>
                <w:sz w:val="18"/>
                <w:szCs w:val="18"/>
              </w:rPr>
            </w:pPr>
            <w:r>
              <w:rPr>
                <w:rFonts w:ascii="宋体" w:hAnsi="宋体" w:cs="宋体" w:eastAsia="宋体" w:hint="default"/>
                <w:sz w:val="18"/>
                <w:szCs w:val="18"/>
              </w:rPr>
              <w:t>离任后股份</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锁定</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319" w:lineRule="auto" w:before="60"/>
              <w:ind w:left="23"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日任期届满前， 每年解锁持股总 数的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102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贾晓钰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56,710,875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56,710,875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left"/>
              <w:rPr>
                <w:rFonts w:ascii="宋体" w:hAnsi="宋体" w:cs="宋体" w:eastAsia="宋体" w:hint="default"/>
                <w:sz w:val="18"/>
                <w:szCs w:val="18"/>
              </w:rPr>
            </w:pPr>
            <w:r>
              <w:rPr>
                <w:rFonts w:ascii="宋体" w:hAnsi="宋体" w:cs="宋体" w:eastAsia="宋体" w:hint="default"/>
                <w:sz w:val="18"/>
                <w:szCs w:val="18"/>
              </w:rPr>
              <w:t>每年初按照上年 末持股总数的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102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袁瑞峰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20,625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5"/>
              <w:jc w:val="left"/>
              <w:rPr>
                <w:rFonts w:ascii="宋体" w:hAnsi="宋体" w:cs="宋体" w:eastAsia="宋体" w:hint="default"/>
                <w:sz w:val="18"/>
                <w:szCs w:val="18"/>
              </w:rPr>
            </w:pPr>
            <w:r>
              <w:rPr>
                <w:rFonts w:ascii="宋体" w:hAnsi="宋体" w:cs="宋体" w:eastAsia="宋体" w:hint="default"/>
                <w:sz w:val="18"/>
                <w:szCs w:val="18"/>
              </w:rPr>
              <w:t>每年初按照上年 末持股总数的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102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莫柏欣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2,320,500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699,875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3,020,375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5"/>
              <w:jc w:val="left"/>
              <w:rPr>
                <w:rFonts w:ascii="宋体" w:hAnsi="宋体" w:cs="宋体" w:eastAsia="宋体" w:hint="default"/>
                <w:sz w:val="18"/>
                <w:szCs w:val="18"/>
              </w:rPr>
            </w:pPr>
            <w:r>
              <w:rPr>
                <w:rFonts w:ascii="宋体" w:hAnsi="宋体" w:cs="宋体" w:eastAsia="宋体" w:hint="default"/>
                <w:sz w:val="18"/>
                <w:szCs w:val="18"/>
              </w:rPr>
              <w:t>高管锁定股及股 权激励限售股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left"/>
              <w:rPr>
                <w:rFonts w:ascii="宋体" w:hAnsi="宋体" w:cs="宋体" w:eastAsia="宋体" w:hint="default"/>
                <w:sz w:val="18"/>
                <w:szCs w:val="18"/>
              </w:rPr>
            </w:pPr>
            <w:r>
              <w:rPr>
                <w:rFonts w:ascii="宋体" w:hAnsi="宋体" w:cs="宋体" w:eastAsia="宋体" w:hint="default"/>
                <w:sz w:val="18"/>
                <w:szCs w:val="18"/>
              </w:rPr>
              <w:t>每年初按照上年 末持股总数的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227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p>
            <w:pPr>
              <w:pStyle w:val="TableParagraph"/>
              <w:spacing w:line="316" w:lineRule="auto" w:before="74"/>
              <w:ind w:left="24" w:right="69"/>
              <w:jc w:val="left"/>
              <w:rPr>
                <w:rFonts w:ascii="宋体" w:hAnsi="宋体" w:cs="宋体" w:eastAsia="宋体" w:hint="default"/>
                <w:sz w:val="18"/>
                <w:szCs w:val="18"/>
              </w:rPr>
            </w:pPr>
            <w:r>
              <w:rPr>
                <w:rFonts w:ascii="宋体" w:hAnsi="宋体" w:cs="宋体" w:eastAsia="宋体" w:hint="default"/>
                <w:sz w:val="18"/>
                <w:szCs w:val="18"/>
              </w:rPr>
              <w:t>（不含莫柏欣、 刘涛）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14,050,000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62"/>
              <w:jc w:val="left"/>
              <w:rPr>
                <w:rFonts w:ascii="宋体" w:hAnsi="宋体" w:cs="宋体" w:eastAsia="宋体" w:hint="default"/>
                <w:sz w:val="18"/>
                <w:szCs w:val="18"/>
              </w:rPr>
            </w:pPr>
            <w:r>
              <w:rPr>
                <w:rFonts w:ascii="宋体" w:hAnsi="宋体" w:cs="宋体" w:eastAsia="宋体" w:hint="default"/>
                <w:sz w:val="18"/>
                <w:szCs w:val="18"/>
              </w:rPr>
              <w:t>第三次解锁：自 授权日起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月后的首个交易 日起至授权日起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个月内的最 后一个交易日当 日止</w:t>
            </w: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王天文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823,875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823,875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离任后股份</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内锁定</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6"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3,797,500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2,797,500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离任后股份</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锁定</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4"/>
        <w:gridCol w:w="1369"/>
        <w:gridCol w:w="1368"/>
        <w:gridCol w:w="1371"/>
        <w:gridCol w:w="1368"/>
        <w:gridCol w:w="1371"/>
        <w:gridCol w:w="1361"/>
      </w:tblGrid>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严冬梅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4,374,000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4,374,000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离任后股份</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内锁定</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158,315,815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7,995,375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37,132,058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186,452,498</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135"/>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35"/>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135"/>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35"/>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35"/>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35"/>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pict>
          <v:shape style="position:absolute;margin-left:449.22699pt;margin-top:70.791733pt;width:85.75pt;height:31.2pt;mso-position-horizontal-relative:page;mso-position-vertical-relative:paragraph;z-index:-819208" type="#_x0000_t202" filled="false" stroked="false">
            <v:textbox inset="0,0,0,0">
              <w:txbxContent>
                <w:p>
                  <w:pPr>
                    <w:pStyle w:val="BodyText"/>
                    <w:spacing w:line="203" w:lineRule="exact"/>
                    <w:ind w:left="0" w:right="0"/>
                    <w:jc w:val="left"/>
                  </w:pPr>
                  <w:r>
                    <w:rPr/>
                    <w:t>（如有）</w:t>
                  </w:r>
                </w:p>
              </w:txbxContent>
            </v:textbox>
            <w10:wrap type="none"/>
          </v:shape>
        </w:pict>
      </w:r>
      <w:r>
        <w:rPr/>
        <w:pict>
          <v:group style="position:absolute;margin-left:482.5pt;margin-top:70.791733pt;width:52.45pt;height:31.2pt;mso-position-horizontal-relative:page;mso-position-vertical-relative:paragraph;z-index:-819184" coordorigin="9650,1416" coordsize="1049,624">
            <v:shape style="position:absolute;left:9650;top:1416;width:1049;height:624" coordorigin="9650,1416" coordsize="1049,624" path="m9650,2040l10699,2040,10699,1416,9650,1416,9650,2040xe" filled="true" fillcolor="#ffffff" stroked="false">
              <v:path arrowok="t"/>
              <v:fill type="solid"/>
            </v:shape>
            <w10:wrap type="none"/>
          </v:group>
        </w:pict>
      </w: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24"/>
        <w:gridCol w:w="145"/>
        <w:gridCol w:w="674"/>
        <w:gridCol w:w="737"/>
        <w:gridCol w:w="744"/>
        <w:gridCol w:w="830"/>
        <w:gridCol w:w="346"/>
        <w:gridCol w:w="444"/>
        <w:gridCol w:w="823"/>
        <w:gridCol w:w="802"/>
        <w:gridCol w:w="322"/>
        <w:gridCol w:w="1028"/>
        <w:gridCol w:w="280"/>
        <w:gridCol w:w="512"/>
        <w:gridCol w:w="557"/>
      </w:tblGrid>
      <w:tr>
        <w:trPr>
          <w:trHeight w:val="161" w:hRule="exact"/>
        </w:trPr>
        <w:tc>
          <w:tcPr>
            <w:tcW w:w="1324" w:type="dxa"/>
            <w:vMerge w:val="restart"/>
            <w:tcBorders>
              <w:top w:val="single" w:sz="4" w:space="0" w:color="000000"/>
              <w:left w:val="single" w:sz="4" w:space="0" w:color="000000"/>
              <w:right w:val="single" w:sz="4" w:space="0" w:color="000000"/>
            </w:tcBorders>
            <w:shd w:val="clear" w:color="auto" w:fill="D2D2D2"/>
          </w:tcPr>
          <w:p>
            <w:pPr/>
          </w:p>
        </w:tc>
        <w:tc>
          <w:tcPr>
            <w:tcW w:w="820"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30,045</w:t>
            </w:r>
          </w:p>
        </w:tc>
        <w:tc>
          <w:tcPr>
            <w:tcW w:w="1481" w:type="dxa"/>
            <w:gridSpan w:val="2"/>
            <w:vMerge w:val="restart"/>
            <w:tcBorders>
              <w:top w:val="single" w:sz="4" w:space="0" w:color="000000"/>
              <w:left w:val="single" w:sz="4" w:space="0" w:color="000000"/>
              <w:right w:val="single" w:sz="4" w:space="0" w:color="000000"/>
            </w:tcBorders>
            <w:shd w:val="clear" w:color="auto" w:fill="D2D2D2"/>
          </w:tcPr>
          <w:p>
            <w:pPr/>
          </w:p>
        </w:tc>
        <w:tc>
          <w:tcPr>
            <w:tcW w:w="1176" w:type="dxa"/>
            <w:gridSpan w:val="2"/>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31" w:right="0"/>
              <w:jc w:val="left"/>
              <w:rPr>
                <w:rFonts w:ascii="Times New Roman" w:hAnsi="Times New Roman" w:cs="Times New Roman" w:eastAsia="Times New Roman" w:hint="default"/>
                <w:sz w:val="18"/>
                <w:szCs w:val="18"/>
              </w:rPr>
            </w:pPr>
            <w:r>
              <w:rPr>
                <w:rFonts w:ascii="Times New Roman"/>
                <w:sz w:val="18"/>
              </w:rPr>
              <w:t>32,380</w:t>
            </w:r>
          </w:p>
        </w:tc>
        <w:tc>
          <w:tcPr>
            <w:tcW w:w="126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4"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0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 w:right="23"/>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9"/>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2" w:type="dxa"/>
            <w:vMerge w:val="restart"/>
            <w:tcBorders>
              <w:top w:val="single" w:sz="4" w:space="0" w:color="000000"/>
              <w:left w:val="single" w:sz="12" w:space="0" w:color="D2D2D2"/>
              <w:right w:val="nil" w:sz="6" w:space="0" w:color="auto"/>
            </w:tcBorders>
          </w:tcPr>
          <w:p>
            <w:pPr/>
          </w:p>
        </w:tc>
        <w:tc>
          <w:tcPr>
            <w:tcW w:w="557"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24" w:type="dxa"/>
            <w:vMerge/>
            <w:tcBorders>
              <w:left w:val="single" w:sz="4" w:space="0" w:color="000000"/>
              <w:right w:val="single" w:sz="4" w:space="0" w:color="000000"/>
            </w:tcBorders>
            <w:shd w:val="clear" w:color="auto" w:fill="D2D2D2"/>
          </w:tcPr>
          <w:p>
            <w:pPr/>
          </w:p>
        </w:tc>
        <w:tc>
          <w:tcPr>
            <w:tcW w:w="820" w:type="dxa"/>
            <w:gridSpan w:val="2"/>
            <w:vMerge/>
            <w:tcBorders>
              <w:left w:val="single" w:sz="9" w:space="0" w:color="D2D2D2"/>
              <w:right w:val="single" w:sz="10" w:space="0" w:color="D2D2D2"/>
            </w:tcBorders>
          </w:tcPr>
          <w:p>
            <w:pPr/>
          </w:p>
        </w:tc>
        <w:tc>
          <w:tcPr>
            <w:tcW w:w="1481" w:type="dxa"/>
            <w:gridSpan w:val="2"/>
            <w:vMerge/>
            <w:tcBorders>
              <w:left w:val="single" w:sz="4" w:space="0" w:color="000000"/>
              <w:bottom w:val="nil" w:sz="6" w:space="0" w:color="auto"/>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26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15"/>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24" w:type="dxa"/>
            <w:vMerge/>
            <w:tcBorders>
              <w:left w:val="single" w:sz="4" w:space="0" w:color="000000"/>
              <w:bottom w:val="nil" w:sz="6" w:space="0" w:color="auto"/>
              <w:right w:val="single" w:sz="4" w:space="0" w:color="000000"/>
            </w:tcBorders>
            <w:shd w:val="clear" w:color="auto" w:fill="D2D2D2"/>
          </w:tcPr>
          <w:p>
            <w:pPr/>
          </w:p>
        </w:tc>
        <w:tc>
          <w:tcPr>
            <w:tcW w:w="820" w:type="dxa"/>
            <w:gridSpan w:val="2"/>
            <w:vMerge/>
            <w:tcBorders>
              <w:left w:val="single" w:sz="9" w:space="0" w:color="D2D2D2"/>
              <w:right w:val="single" w:sz="10" w:space="0" w:color="D2D2D2"/>
            </w:tcBorders>
          </w:tcPr>
          <w:p>
            <w:pPr/>
          </w:p>
        </w:tc>
        <w:tc>
          <w:tcPr>
            <w:tcW w:w="14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197"/>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6" w:type="dxa"/>
            <w:gridSpan w:val="2"/>
            <w:vMerge/>
            <w:tcBorders>
              <w:left w:val="single" w:sz="10" w:space="0" w:color="D2D2D2"/>
              <w:right w:val="single" w:sz="10" w:space="0" w:color="D2D2D2"/>
            </w:tcBorders>
          </w:tcPr>
          <w:p>
            <w:pPr/>
          </w:p>
        </w:tc>
        <w:tc>
          <w:tcPr>
            <w:tcW w:w="1267" w:type="dxa"/>
            <w:gridSpan w:val="2"/>
            <w:vMerge/>
            <w:tcBorders>
              <w:left w:val="single" w:sz="4" w:space="0" w:color="000000"/>
              <w:right w:val="single" w:sz="4" w:space="0" w:color="000000"/>
            </w:tcBorders>
            <w:shd w:val="clear" w:color="auto" w:fill="D2D2D2"/>
          </w:tcPr>
          <w:p>
            <w:pP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706" w:hRule="exact"/>
        </w:trPr>
        <w:tc>
          <w:tcPr>
            <w:tcW w:w="13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28"/>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20" w:type="dxa"/>
            <w:gridSpan w:val="2"/>
            <w:vMerge/>
            <w:tcBorders>
              <w:left w:val="single" w:sz="9" w:space="0" w:color="D2D2D2"/>
              <w:right w:val="single" w:sz="10" w:space="0" w:color="D2D2D2"/>
            </w:tcBorders>
          </w:tcPr>
          <w:p>
            <w:pPr/>
          </w:p>
        </w:tc>
        <w:tc>
          <w:tcPr>
            <w:tcW w:w="1481" w:type="dxa"/>
            <w:gridSpan w:val="2"/>
            <w:vMerge/>
            <w:tcBorders>
              <w:left w:val="single" w:sz="4" w:space="0" w:color="000000"/>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267" w:type="dxa"/>
            <w:gridSpan w:val="2"/>
            <w:vMerge/>
            <w:tcBorders>
              <w:left w:val="single" w:sz="4" w:space="0" w:color="000000"/>
              <w:right w:val="single" w:sz="4" w:space="0" w:color="000000"/>
            </w:tcBorders>
            <w:shd w:val="clear" w:color="auto" w:fill="D2D2D2"/>
          </w:tcPr>
          <w:p>
            <w:pP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24" w:type="dxa"/>
            <w:vMerge w:val="restart"/>
            <w:tcBorders>
              <w:top w:val="nil" w:sz="6" w:space="0" w:color="auto"/>
              <w:left w:val="single" w:sz="4" w:space="0" w:color="000000"/>
              <w:right w:val="single" w:sz="4" w:space="0" w:color="000000"/>
            </w:tcBorders>
            <w:shd w:val="clear" w:color="auto" w:fill="D2D2D2"/>
          </w:tcPr>
          <w:p>
            <w:pPr/>
          </w:p>
        </w:tc>
        <w:tc>
          <w:tcPr>
            <w:tcW w:w="820" w:type="dxa"/>
            <w:gridSpan w:val="2"/>
            <w:vMerge/>
            <w:tcBorders>
              <w:left w:val="single" w:sz="9" w:space="0" w:color="D2D2D2"/>
              <w:right w:val="single" w:sz="10" w:space="0" w:color="D2D2D2"/>
            </w:tcBorders>
          </w:tcPr>
          <w:p>
            <w:pPr/>
          </w:p>
        </w:tc>
        <w:tc>
          <w:tcPr>
            <w:tcW w:w="1481" w:type="dxa"/>
            <w:gridSpan w:val="2"/>
            <w:vMerge/>
            <w:tcBorders>
              <w:left w:val="single" w:sz="4" w:space="0" w:color="000000"/>
              <w:bottom w:val="nil" w:sz="6" w:space="0" w:color="auto"/>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267" w:type="dxa"/>
            <w:gridSpan w:val="2"/>
            <w:vMerge/>
            <w:tcBorders>
              <w:left w:val="single" w:sz="4" w:space="0" w:color="000000"/>
              <w:right w:val="single" w:sz="4" w:space="0" w:color="000000"/>
            </w:tcBorders>
            <w:shd w:val="clear" w:color="auto" w:fill="D2D2D2"/>
          </w:tcPr>
          <w:p>
            <w:pP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24" w:type="dxa"/>
            <w:vMerge/>
            <w:tcBorders>
              <w:left w:val="single" w:sz="4" w:space="0" w:color="000000"/>
              <w:right w:val="single" w:sz="4" w:space="0" w:color="000000"/>
            </w:tcBorders>
            <w:shd w:val="clear" w:color="auto" w:fill="D2D2D2"/>
          </w:tcPr>
          <w:p>
            <w:pPr/>
          </w:p>
        </w:tc>
        <w:tc>
          <w:tcPr>
            <w:tcW w:w="820" w:type="dxa"/>
            <w:gridSpan w:val="2"/>
            <w:vMerge/>
            <w:tcBorders>
              <w:left w:val="single" w:sz="9" w:space="0" w:color="D2D2D2"/>
              <w:right w:val="single" w:sz="10" w:space="0" w:color="D2D2D2"/>
            </w:tcBorders>
          </w:tcPr>
          <w:p>
            <w:pPr/>
          </w:p>
        </w:tc>
        <w:tc>
          <w:tcPr>
            <w:tcW w:w="1481" w:type="dxa"/>
            <w:gridSpan w:val="2"/>
            <w:vMerge w:val="restart"/>
            <w:tcBorders>
              <w:top w:val="nil" w:sz="6" w:space="0" w:color="auto"/>
              <w:left w:val="single" w:sz="4" w:space="0" w:color="000000"/>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267" w:type="dxa"/>
            <w:gridSpan w:val="2"/>
            <w:vMerge/>
            <w:tcBorders>
              <w:left w:val="single" w:sz="4" w:space="0" w:color="000000"/>
              <w:bottom w:val="nil" w:sz="6" w:space="0" w:color="auto"/>
              <w:right w:val="single" w:sz="4" w:space="0" w:color="000000"/>
            </w:tcBorders>
            <w:shd w:val="clear" w:color="auto" w:fill="D2D2D2"/>
          </w:tcPr>
          <w:p>
            <w:pP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24" w:type="dxa"/>
            <w:vMerge/>
            <w:tcBorders>
              <w:left w:val="single" w:sz="4" w:space="0" w:color="000000"/>
              <w:bottom w:val="single" w:sz="4" w:space="0" w:color="000000"/>
              <w:right w:val="single" w:sz="4" w:space="0" w:color="000000"/>
            </w:tcBorders>
            <w:shd w:val="clear" w:color="auto" w:fill="D2D2D2"/>
          </w:tcPr>
          <w:p>
            <w:pPr/>
          </w:p>
        </w:tc>
        <w:tc>
          <w:tcPr>
            <w:tcW w:w="820" w:type="dxa"/>
            <w:gridSpan w:val="2"/>
            <w:vMerge/>
            <w:tcBorders>
              <w:left w:val="single" w:sz="9" w:space="0" w:color="D2D2D2"/>
              <w:bottom w:val="single" w:sz="4" w:space="0" w:color="000000"/>
              <w:right w:val="single" w:sz="10" w:space="0" w:color="D2D2D2"/>
            </w:tcBorders>
          </w:tcPr>
          <w:p>
            <w:pPr/>
          </w:p>
        </w:tc>
        <w:tc>
          <w:tcPr>
            <w:tcW w:w="1481" w:type="dxa"/>
            <w:gridSpan w:val="2"/>
            <w:vMerge/>
            <w:tcBorders>
              <w:left w:val="single" w:sz="4" w:space="0" w:color="000000"/>
              <w:bottom w:val="single" w:sz="4" w:space="0" w:color="000000"/>
              <w:right w:val="single" w:sz="4" w:space="0" w:color="000000"/>
            </w:tcBorders>
            <w:shd w:val="clear" w:color="auto" w:fill="D2D2D2"/>
          </w:tcPr>
          <w:p>
            <w:pPr/>
          </w:p>
        </w:tc>
        <w:tc>
          <w:tcPr>
            <w:tcW w:w="1176" w:type="dxa"/>
            <w:gridSpan w:val="2"/>
            <w:vMerge/>
            <w:tcBorders>
              <w:left w:val="single" w:sz="10" w:space="0" w:color="D2D2D2"/>
              <w:bottom w:val="single" w:sz="4" w:space="0" w:color="000000"/>
              <w:right w:val="single" w:sz="10" w:space="0" w:color="D2D2D2"/>
            </w:tcBorders>
          </w:tcPr>
          <w:p>
            <w:pPr/>
          </w:p>
        </w:tc>
        <w:tc>
          <w:tcPr>
            <w:tcW w:w="126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4" w:type="dxa"/>
            <w:gridSpan w:val="2"/>
            <w:vMerge/>
            <w:tcBorders>
              <w:left w:val="single" w:sz="10" w:space="0" w:color="D2D2D2"/>
              <w:bottom w:val="single" w:sz="4" w:space="0" w:color="000000"/>
              <w:right w:val="single" w:sz="13" w:space="0" w:color="D2D2D2"/>
            </w:tcBorders>
          </w:tcPr>
          <w:p>
            <w:pPr/>
          </w:p>
        </w:tc>
        <w:tc>
          <w:tcPr>
            <w:tcW w:w="1307" w:type="dxa"/>
            <w:gridSpan w:val="2"/>
            <w:vMerge/>
            <w:tcBorders>
              <w:left w:val="single" w:sz="4" w:space="0" w:color="000000"/>
              <w:bottom w:val="single" w:sz="4" w:space="0" w:color="000000"/>
              <w:right w:val="single" w:sz="4" w:space="0" w:color="000000"/>
            </w:tcBorders>
            <w:shd w:val="clear" w:color="auto" w:fill="D2D2D2"/>
          </w:tcPr>
          <w:p>
            <w:pPr/>
          </w:p>
        </w:tc>
        <w:tc>
          <w:tcPr>
            <w:tcW w:w="512" w:type="dxa"/>
            <w:vMerge/>
            <w:tcBorders>
              <w:left w:val="single" w:sz="12" w:space="0" w:color="D2D2D2"/>
              <w:bottom w:val="single" w:sz="4" w:space="0" w:color="000000"/>
              <w:right w:val="nil" w:sz="6" w:space="0" w:color="auto"/>
            </w:tcBorders>
          </w:tcPr>
          <w:p>
            <w:pPr/>
          </w:p>
        </w:tc>
        <w:tc>
          <w:tcPr>
            <w:tcW w:w="557" w:type="dxa"/>
            <w:tcBorders>
              <w:top w:val="nil" w:sz="6" w:space="0" w:color="auto"/>
              <w:left w:val="nil" w:sz="6" w:space="0" w:color="auto"/>
              <w:bottom w:val="single" w:sz="4" w:space="0" w:color="000000"/>
              <w:right w:val="single" w:sz="4" w:space="0" w:color="000000"/>
            </w:tcBorders>
          </w:tcPr>
          <w:p>
            <w:pPr/>
          </w:p>
        </w:tc>
      </w:tr>
      <w:tr>
        <w:trPr>
          <w:trHeight w:val="391" w:hRule="exact"/>
        </w:trPr>
        <w:tc>
          <w:tcPr>
            <w:tcW w:w="956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28" w:right="6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7"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1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72" w:right="2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8" w:type="dxa"/>
            <w:gridSpan w:val="5"/>
            <w:vMerge/>
            <w:tcBorders>
              <w:left w:val="single" w:sz="4" w:space="0" w:color="000000"/>
              <w:right w:val="single" w:sz="4" w:space="0" w:color="000000"/>
            </w:tcBorders>
            <w:shd w:val="clear" w:color="auto" w:fill="D2D2D2"/>
          </w:tcPr>
          <w:p>
            <w:pPr/>
          </w:p>
        </w:tc>
      </w:tr>
      <w:tr>
        <w:trPr>
          <w:trHeight w:val="142"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0"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8" w:type="dxa"/>
            <w:gridSpan w:val="5"/>
            <w:vMerge/>
            <w:tcBorders>
              <w:left w:val="single" w:sz="4" w:space="0" w:color="000000"/>
              <w:bottom w:val="single" w:sz="4" w:space="0" w:color="000000"/>
              <w:right w:val="single" w:sz="4" w:space="0" w:color="000000"/>
            </w:tcBorders>
            <w:shd w:val="clear" w:color="auto" w:fill="D2D2D2"/>
          </w:tcPr>
          <w:p>
            <w:pPr/>
          </w:p>
        </w:tc>
      </w:tr>
      <w:tr>
        <w:trPr>
          <w:trHeight w:val="253"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0"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0" w:type="dxa"/>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9"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3"/>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青岛城投金融控 股集团有限公司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20.32%</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155,735,8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26</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18,969,05</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155,735,8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26</w:t>
            </w:r>
          </w:p>
        </w:tc>
        <w:tc>
          <w:tcPr>
            <w:tcW w:w="1349" w:type="dxa"/>
            <w:gridSpan w:val="2"/>
            <w:tcBorders>
              <w:top w:val="single" w:sz="49" w:space="0" w:color="D2D2D2"/>
              <w:left w:val="single" w:sz="4" w:space="0" w:color="000000"/>
              <w:bottom w:val="single" w:sz="4" w:space="0" w:color="000000"/>
              <w:right w:val="single" w:sz="4" w:space="0" w:color="000000"/>
            </w:tcBorders>
          </w:tcPr>
          <w:p>
            <w:pPr/>
          </w:p>
        </w:tc>
        <w:tc>
          <w:tcPr>
            <w:tcW w:w="1349" w:type="dxa"/>
            <w:gridSpan w:val="3"/>
            <w:tcBorders>
              <w:top w:val="single" w:sz="49" w:space="0" w:color="D2D2D2"/>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贾全臣</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14.57%</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111,650,6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23</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
              <w:jc w:val="right"/>
              <w:rPr>
                <w:rFonts w:ascii="Times New Roman" w:hAnsi="Times New Roman" w:cs="Times New Roman" w:eastAsia="Times New Roman" w:hint="default"/>
                <w:sz w:val="18"/>
                <w:szCs w:val="18"/>
              </w:rPr>
            </w:pPr>
            <w:r>
              <w:rPr>
                <w:rFonts w:ascii="Times New Roman"/>
                <w:spacing w:val="-2"/>
                <w:sz w:val="18"/>
              </w:rPr>
              <w:t>111,650,6</w:t>
            </w:r>
          </w:p>
          <w:p>
            <w:pPr>
              <w:pStyle w:val="TableParagraph"/>
              <w:spacing w:line="240" w:lineRule="auto" w:before="105"/>
              <w:ind w:right="55"/>
              <w:jc w:val="right"/>
              <w:rPr>
                <w:rFonts w:ascii="Times New Roman" w:hAnsi="Times New Roman" w:cs="Times New Roman" w:eastAsia="Times New Roman" w:hint="default"/>
                <w:sz w:val="18"/>
                <w:szCs w:val="18"/>
              </w:rPr>
            </w:pPr>
            <w:r>
              <w:rPr>
                <w:rFonts w:ascii="Times New Roman"/>
                <w:sz w:val="18"/>
              </w:rPr>
              <w:t>23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111,499,999</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戴一鸣</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10.25%</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78,572,88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78,572,88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78,500,000</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贾晓钰</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9.86%</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75,614,50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7"/>
              <w:jc w:val="right"/>
              <w:rPr>
                <w:rFonts w:ascii="Times New Roman" w:hAnsi="Times New Roman" w:cs="Times New Roman" w:eastAsia="Times New Roman" w:hint="default"/>
                <w:sz w:val="18"/>
                <w:szCs w:val="18"/>
              </w:rPr>
            </w:pPr>
            <w:r>
              <w:rPr>
                <w:rFonts w:ascii="Times New Roman"/>
                <w:spacing w:val="-1"/>
                <w:sz w:val="18"/>
              </w:rPr>
              <w:t>56,710,87</w:t>
            </w:r>
          </w:p>
          <w:p>
            <w:pPr>
              <w:pStyle w:val="TableParagraph"/>
              <w:spacing w:line="240" w:lineRule="auto" w:before="105"/>
              <w:ind w:right="58"/>
              <w:jc w:val="right"/>
              <w:rPr>
                <w:rFonts w:ascii="Times New Roman" w:hAnsi="Times New Roman" w:cs="Times New Roman" w:eastAsia="Times New Roman" w:hint="default"/>
                <w:sz w:val="18"/>
                <w:szCs w:val="18"/>
              </w:rPr>
            </w:pPr>
            <w:r>
              <w:rPr>
                <w:rFonts w:ascii="Times New Roman"/>
                <w:sz w:val="18"/>
              </w:rPr>
              <w:t>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18,903,62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75,612,600</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全国社保基金一 一四组合</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1.39%</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10,670,74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10,670,74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69"/>
        <w:gridCol w:w="1412"/>
        <w:gridCol w:w="787"/>
        <w:gridCol w:w="787"/>
        <w:gridCol w:w="790"/>
        <w:gridCol w:w="785"/>
        <w:gridCol w:w="840"/>
        <w:gridCol w:w="1349"/>
        <w:gridCol w:w="1349"/>
      </w:tblGrid>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贾玉兰</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5,749,875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5,749,875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严冬梅</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left"/>
              <w:rPr>
                <w:rFonts w:ascii="Times New Roman" w:hAnsi="Times New Roman" w:cs="Times New Roman" w:eastAsia="Times New Roman" w:hint="default"/>
                <w:sz w:val="18"/>
                <w:szCs w:val="18"/>
              </w:rPr>
            </w:pPr>
            <w:r>
              <w:rPr>
                <w:rFonts w:ascii="Times New Roman"/>
                <w:sz w:val="18"/>
              </w:rPr>
              <w:t>4,374,000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4,374,000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梅卉</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3,162,100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3,162,100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莫柏欣</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left"/>
              <w:rPr>
                <w:rFonts w:ascii="Times New Roman" w:hAnsi="Times New Roman" w:cs="Times New Roman" w:eastAsia="Times New Roman" w:hint="default"/>
                <w:sz w:val="18"/>
                <w:szCs w:val="18"/>
              </w:rPr>
            </w:pPr>
            <w:r>
              <w:rPr>
                <w:rFonts w:ascii="Times New Roman"/>
                <w:sz w:val="18"/>
              </w:rPr>
              <w:t>3,094,000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3,020,375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73,625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1,450,000</w:t>
            </w: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成善杰</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3,075,150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-153,700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3,075,150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1"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7"/>
            <w:vMerge w:val="restart"/>
            <w:tcBorders>
              <w:top w:val="single" w:sz="4" w:space="0" w:color="000000"/>
              <w:left w:val="single" w:sz="9" w:space="0" w:color="D2D2D2"/>
              <w:right w:val="single" w:sz="4" w:space="0" w:color="000000"/>
            </w:tcBorders>
          </w:tcPr>
          <w:p>
            <w:pPr>
              <w:pStyle w:val="TableParagraph"/>
              <w:spacing w:line="309" w:lineRule="auto" w:before="49"/>
              <w:ind w:left="17" w:right="20"/>
              <w:jc w:val="both"/>
              <w:rPr>
                <w:rFonts w:ascii="宋体" w:hAnsi="宋体" w:cs="宋体" w:eastAsia="宋体" w:hint="default"/>
                <w:sz w:val="18"/>
                <w:szCs w:val="18"/>
              </w:rPr>
            </w:pPr>
            <w:r>
              <w:rPr>
                <w:rFonts w:ascii="宋体" w:hAnsi="宋体" w:cs="宋体" w:eastAsia="宋体" w:hint="default"/>
                <w:spacing w:val="-1"/>
                <w:sz w:val="18"/>
                <w:szCs w:val="18"/>
              </w:rPr>
              <w:t>上述股东中，贾全臣与贾玉兰是兄妹关系，贾全臣与贾晓钰为父子关系，贾玉兰与戴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一鸣是母子关系。公司未知其他前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名股东之间是否存在关联关系，也未知是否属 于《上市公司收购管理办法》规定的一致行动人。</w:t>
            </w:r>
          </w:p>
        </w:tc>
      </w:tr>
      <w:tr>
        <w:trPr>
          <w:trHeight w:val="704" w:hRule="exact"/>
        </w:trPr>
        <w:tc>
          <w:tcPr>
            <w:tcW w:w="288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vMerge/>
            <w:tcBorders>
              <w:left w:val="single" w:sz="9" w:space="0" w:color="D2D2D2"/>
              <w:right w:val="single" w:sz="4" w:space="0" w:color="000000"/>
            </w:tcBorders>
          </w:tcPr>
          <w:p>
            <w:pPr/>
          </w:p>
        </w:tc>
      </w:tr>
      <w:tr>
        <w:trPr>
          <w:trHeight w:val="162"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7"/>
            <w:vMerge/>
            <w:tcBorders>
              <w:left w:val="single" w:sz="9" w:space="0" w:color="D2D2D2"/>
              <w:bottom w:val="single" w:sz="4" w:space="0" w:color="000000"/>
              <w:right w:val="single" w:sz="4" w:space="0" w:color="000000"/>
            </w:tcBorders>
          </w:tcPr>
          <w:p>
            <w:pP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8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1"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青岛城投金融控股集团有限公司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155,735,826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155,735,826</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戴一鸣</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78,572,882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78,572,882</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贾晓钰</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18,903,625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18,903,625</w:t>
            </w:r>
          </w:p>
        </w:tc>
      </w:tr>
      <w:tr>
        <w:trPr>
          <w:trHeight w:val="404"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全国社保基金一一四组合</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10,670,748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10,670,748</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贾玉兰</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5,749,875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5,749,875</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严冬梅</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4,374,000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4,374,000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梅卉</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3,162,100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3,162,100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成善杰</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3,075,150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3,075,150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中国国际金融股份有限公司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2,938,459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2,938,459</w:t>
            </w:r>
          </w:p>
        </w:tc>
      </w:tr>
      <w:tr>
        <w:trPr>
          <w:trHeight w:val="1027"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中融国际信托有限公司－中融－日 进斗金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号证券投资集合资金信托 计划</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2,426,207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2,426,207</w:t>
            </w:r>
          </w:p>
        </w:tc>
      </w:tr>
      <w:tr>
        <w:trPr>
          <w:trHeight w:val="1337"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23" w:right="20"/>
              <w:jc w:val="both"/>
              <w:rPr>
                <w:rFonts w:ascii="宋体" w:hAnsi="宋体" w:cs="宋体" w:eastAsia="宋体" w:hint="default"/>
                <w:sz w:val="18"/>
                <w:szCs w:val="18"/>
              </w:rPr>
            </w:pPr>
            <w:r>
              <w:rPr>
                <w:rFonts w:ascii="宋体" w:hAnsi="宋体" w:cs="宋体" w:eastAsia="宋体" w:hint="default"/>
                <w:spacing w:val="-1"/>
                <w:sz w:val="18"/>
                <w:szCs w:val="18"/>
              </w:rPr>
              <w:t>上述股东中，贾全臣与贾玉兰是兄妹关系，贾全臣与贾晓钰为父子关系，贾玉兰与戴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一鸣是母子关系。公司未知其他前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名股东之间是否存在关联关系，也未知是否属 于《上市公司收购管理办法》规定的一致行动人。</w:t>
            </w:r>
          </w:p>
        </w:tc>
      </w:tr>
      <w:tr>
        <w:trPr>
          <w:trHeight w:val="715"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公司股东贾玉兰除通过普通证券账户持有</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750,000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股外</w:t>
            </w:r>
            <w:r>
              <w:rPr>
                <w:rFonts w:ascii="Times New Roman" w:hAnsi="Times New Roman" w:cs="Times New Roman" w:eastAsia="Times New Roman" w:hint="default"/>
                <w:sz w:val="18"/>
                <w:szCs w:val="18"/>
              </w:rPr>
              <w:t>,</w:t>
            </w:r>
            <w:r>
              <w:rPr>
                <w:rFonts w:ascii="宋体" w:hAnsi="宋体" w:cs="宋体" w:eastAsia="宋体" w:hint="default"/>
                <w:sz w:val="18"/>
                <w:szCs w:val="18"/>
              </w:rPr>
              <w:t>还通过招商证券股份有限公司</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客户信用交易担保证券账户持有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4,999,875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5,749,875 </w:t>
            </w:r>
            <w:r>
              <w:rPr>
                <w:rFonts w:ascii="宋体" w:hAnsi="宋体" w:cs="宋体" w:eastAsia="宋体" w:hint="default"/>
                <w:sz w:val="18"/>
                <w:szCs w:val="18"/>
              </w:rPr>
              <w:t>股。</w:t>
            </w:r>
          </w:p>
        </w:tc>
      </w:tr>
    </w:tbl>
    <w:p>
      <w:pPr>
        <w:pStyle w:val="BodyText"/>
        <w:spacing w:line="240" w:lineRule="auto" w:before="49"/>
        <w:ind w:right="135"/>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13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135"/>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35"/>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434"/>
        <w:jc w:val="left"/>
      </w:pPr>
      <w:r>
        <w:rPr/>
        <w:pict>
          <v:group style="position:absolute;margin-left:56.400002pt;margin-top:34.511723pt;width:479.05pt;height:631.3pt;mso-position-horizontal-relative:page;mso-position-vertical-relative:paragraph;z-index:-819160" coordorigin="1128,690" coordsize="9581,12626">
            <v:group style="position:absolute;left:1140;top:705;width:2190;height:156" coordorigin="1140,705" coordsize="2190,156">
              <v:shape style="position:absolute;left:1140;top:705;width:2190;height:156" coordorigin="1140,705" coordsize="2190,156" path="m1140,861l3329,861,3329,705,1140,705,1140,861xe" filled="true" fillcolor="#d2d2d2" stroked="false">
                <v:path arrowok="t"/>
                <v:fill type="solid"/>
              </v:shape>
            </v:group>
            <v:group style="position:absolute;left:1151;top:861;width:2;height:392" coordorigin="1151,861" coordsize="2,392">
              <v:shape style="position:absolute;left:1151;top:861;width:2;height:392" coordorigin="1151,861" coordsize="0,392" path="m1151,861l1151,1252e" filled="false" stroked="true" strokeweight="1.08pt" strokecolor="#d2d2d2">
                <v:path arrowok="t"/>
              </v:shape>
            </v:group>
            <v:group style="position:absolute;left:3317;top:861;width:2;height:392" coordorigin="3317,861" coordsize="2,392">
              <v:shape style="position:absolute;left:3317;top:861;width:2;height:392" coordorigin="3317,861" coordsize="0,392" path="m3317,861l3317,1252e" filled="false" stroked="true" strokeweight="1.2pt" strokecolor="#d2d2d2">
                <v:path arrowok="t"/>
              </v:shape>
            </v:group>
            <v:group style="position:absolute;left:1140;top:1252;width:2190;height:156" coordorigin="1140,1252" coordsize="2190,156">
              <v:shape style="position:absolute;left:1140;top:1252;width:2190;height:156" coordorigin="1140,1252" coordsize="2190,156" path="m1140,1408l3329,1408,3329,1252,1140,1252,1140,1408xe" filled="true" fillcolor="#d2d2d2" stroked="false">
                <v:path arrowok="t"/>
                <v:fill type="solid"/>
              </v:shape>
            </v:group>
            <v:group style="position:absolute;left:1162;top:861;width:2144;height:392" coordorigin="1162,861" coordsize="2144,392">
              <v:shape style="position:absolute;left:1162;top:861;width:2144;height:392" coordorigin="1162,861" coordsize="2144,392" path="m1162,1252l3305,1252,3305,861,1162,861,1162,1252xe" filled="true" fillcolor="#d2d2d2" stroked="false">
                <v:path arrowok="t"/>
                <v:fill type="solid"/>
              </v:shape>
            </v:group>
            <v:group style="position:absolute;left:3350;top:705;width:2;height:704" coordorigin="3350,705" coordsize="2,704">
              <v:shape style="position:absolute;left:3350;top:705;width:2;height:704" coordorigin="3350,705" coordsize="0,704" path="m3350,705l3350,1408e" filled="false" stroked="true" strokeweight="1.08pt" strokecolor="#d2d2d2">
                <v:path arrowok="t"/>
              </v:shape>
            </v:group>
            <v:group style="position:absolute;left:5109;top:705;width:2;height:704" coordorigin="5109,705" coordsize="2,704">
              <v:shape style="position:absolute;left:5109;top:705;width:2;height:704" coordorigin="5109,705" coordsize="0,704" path="m5109,705l5109,1408e" filled="false" stroked="true" strokeweight="1.08pt" strokecolor="#d2d2d2">
                <v:path arrowok="t"/>
              </v:shape>
            </v:group>
            <v:group style="position:absolute;left:3360;top:705;width:1739;height:353" coordorigin="3360,705" coordsize="1739,353">
              <v:shape style="position:absolute;left:3360;top:705;width:1739;height:353" coordorigin="3360,705" coordsize="1739,353" path="m3360,1057l5098,1057,5098,705,3360,705,3360,1057xe" filled="true" fillcolor="#d2d2d2" stroked="false">
                <v:path arrowok="t"/>
                <v:fill type="solid"/>
              </v:shape>
            </v:group>
            <v:group style="position:absolute;left:3360;top:1057;width:1739;height:351" coordorigin="3360,1057" coordsize="1739,351">
              <v:shape style="position:absolute;left:3360;top:1057;width:1739;height:351" coordorigin="3360,1057" coordsize="1739,351" path="m3360,1408l5098,1408,5098,1057,3360,1057,3360,1408xe" filled="true" fillcolor="#d2d2d2" stroked="false">
                <v:path arrowok="t"/>
                <v:fill type="solid"/>
              </v:shape>
            </v:group>
            <v:group style="position:absolute;left:5132;top:705;width:1583;height:156" coordorigin="5132,705" coordsize="1583,156">
              <v:shape style="position:absolute;left:5132;top:705;width:1583;height:156" coordorigin="5132,705" coordsize="1583,156" path="m5132,861l6714,861,6714,705,5132,705,5132,861xe" filled="true" fillcolor="#d2d2d2" stroked="false">
                <v:path arrowok="t"/>
                <v:fill type="solid"/>
              </v:shape>
            </v:group>
            <v:group style="position:absolute;left:5143;top:861;width:2;height:392" coordorigin="5143,861" coordsize="2,392">
              <v:shape style="position:absolute;left:5143;top:861;width:2;height:392" coordorigin="5143,861" coordsize="0,392" path="m5143,861l5143,1252e" filled="false" stroked="true" strokeweight="1.08pt" strokecolor="#d2d2d2">
                <v:path arrowok="t"/>
              </v:shape>
            </v:group>
            <v:group style="position:absolute;left:6703;top:861;width:2;height:392" coordorigin="6703,861" coordsize="2,392">
              <v:shape style="position:absolute;left:6703;top:861;width:2;height:392" coordorigin="6703,861" coordsize="0,392" path="m6703,861l6703,1252e" filled="false" stroked="true" strokeweight="1.08pt" strokecolor="#d2d2d2">
                <v:path arrowok="t"/>
              </v:shape>
            </v:group>
            <v:group style="position:absolute;left:5132;top:1252;width:1583;height:156" coordorigin="5132,1252" coordsize="1583,156">
              <v:shape style="position:absolute;left:5132;top:1252;width:1583;height:156" coordorigin="5132,1252" coordsize="1583,156" path="m5132,1408l6714,1408,6714,1252,5132,1252,5132,1408xe" filled="true" fillcolor="#d2d2d2" stroked="false">
                <v:path arrowok="t"/>
                <v:fill type="solid"/>
              </v:shape>
            </v:group>
            <v:group style="position:absolute;left:5154;top:861;width:1539;height:392" coordorigin="5154,861" coordsize="1539,392">
              <v:shape style="position:absolute;left:5154;top:861;width:1539;height:392" coordorigin="5154,861" coordsize="1539,392" path="m5154,1252l6693,1252,6693,861,5154,861,5154,1252xe" filled="true" fillcolor="#d2d2d2" stroked="false">
                <v:path arrowok="t"/>
                <v:fill type="solid"/>
              </v:shape>
            </v:group>
            <v:group style="position:absolute;left:6724;top:705;width:1743;height:156" coordorigin="6724,705" coordsize="1743,156">
              <v:shape style="position:absolute;left:6724;top:705;width:1743;height:156" coordorigin="6724,705" coordsize="1743,156" path="m6724,861l8466,861,8466,705,6724,705,6724,861xe" filled="true" fillcolor="#d2d2d2" stroked="false">
                <v:path arrowok="t"/>
                <v:fill type="solid"/>
              </v:shape>
            </v:group>
            <v:group style="position:absolute;left:6736;top:861;width:2;height:392" coordorigin="6736,861" coordsize="2,392">
              <v:shape style="position:absolute;left:6736;top:861;width:2;height:392" coordorigin="6736,861" coordsize="0,392" path="m6736,861l6736,1252e" filled="false" stroked="true" strokeweight="1.2pt" strokecolor="#d2d2d2">
                <v:path arrowok="t"/>
              </v:shape>
            </v:group>
            <v:group style="position:absolute;left:8455;top:861;width:2;height:392" coordorigin="8455,861" coordsize="2,392">
              <v:shape style="position:absolute;left:8455;top:861;width:2;height:392" coordorigin="8455,861" coordsize="0,392" path="m8455,861l8455,1252e" filled="false" stroked="true" strokeweight="1.08pt" strokecolor="#d2d2d2">
                <v:path arrowok="t"/>
              </v:shape>
            </v:group>
            <v:group style="position:absolute;left:6724;top:1252;width:1743;height:156" coordorigin="6724,1252" coordsize="1743,156">
              <v:shape style="position:absolute;left:6724;top:1252;width:1743;height:156" coordorigin="6724,1252" coordsize="1743,156" path="m6724,1408l8466,1408,8466,1252,6724,1252,6724,1408xe" filled="true" fillcolor="#d2d2d2" stroked="false">
                <v:path arrowok="t"/>
                <v:fill type="solid"/>
              </v:shape>
            </v:group>
            <v:group style="position:absolute;left:6748;top:861;width:1697;height:392" coordorigin="6748,861" coordsize="1697,392">
              <v:shape style="position:absolute;left:6748;top:861;width:1697;height:392" coordorigin="6748,861" coordsize="1697,392" path="m6748,1252l8445,1252,8445,861,6748,861,6748,1252xe" filled="true" fillcolor="#d2d2d2" stroked="false">
                <v:path arrowok="t"/>
                <v:fill type="solid"/>
              </v:shape>
            </v:group>
            <v:group style="position:absolute;left:8478;top:705;width:2221;height:156" coordorigin="8478,705" coordsize="2221,156">
              <v:shape style="position:absolute;left:8478;top:705;width:2221;height:156" coordorigin="8478,705" coordsize="2221,156" path="m8478,861l10699,861,10699,705,8478,705,8478,861xe" filled="true" fillcolor="#d2d2d2" stroked="false">
                <v:path arrowok="t"/>
                <v:fill type="solid"/>
              </v:shape>
            </v:group>
            <v:group style="position:absolute;left:8489;top:861;width:2;height:392" coordorigin="8489,861" coordsize="2,392">
              <v:shape style="position:absolute;left:8489;top:861;width:2;height:392" coordorigin="8489,861" coordsize="0,392" path="m8489,861l8489,1252e" filled="false" stroked="true" strokeweight="1.08pt" strokecolor="#d2d2d2">
                <v:path arrowok="t"/>
              </v:shape>
            </v:group>
            <v:group style="position:absolute;left:10687;top:861;width:2;height:392" coordorigin="10687,861" coordsize="2,392">
              <v:shape style="position:absolute;left:10687;top:861;width:2;height:392" coordorigin="10687,861" coordsize="0,392" path="m10687,861l10687,1252e" filled="false" stroked="true" strokeweight="1.2pt" strokecolor="#d2d2d2">
                <v:path arrowok="t"/>
              </v:shape>
            </v:group>
            <v:group style="position:absolute;left:8478;top:1252;width:2221;height:156" coordorigin="8478,1252" coordsize="2221,156">
              <v:shape style="position:absolute;left:8478;top:1252;width:2221;height:156" coordorigin="8478,1252" coordsize="2221,156" path="m8478,1408l10699,1408,10699,1252,8478,1252,8478,1408xe" filled="true" fillcolor="#d2d2d2" stroked="false">
                <v:path arrowok="t"/>
                <v:fill type="solid"/>
              </v:shape>
            </v:group>
            <v:group style="position:absolute;left:8500;top:861;width:2175;height:392" coordorigin="8500,861" coordsize="2175,392">
              <v:shape style="position:absolute;left:8500;top:861;width:2175;height:392" coordorigin="8500,861" coordsize="2175,392" path="m8500,1252l10675,1252,10675,861,8500,861,8500,1252xe" filled="true" fillcolor="#d2d2d2" stroked="false">
                <v:path arrowok="t"/>
                <v:fill type="solid"/>
              </v:shape>
            </v:group>
            <v:group style="position:absolute;left:1138;top:700;width:2190;height:2" coordorigin="1138,700" coordsize="2190,2">
              <v:shape style="position:absolute;left:1138;top:700;width:2190;height:2" coordorigin="1138,700" coordsize="2190,0" path="m1138,700l3327,700e" filled="false" stroked="true" strokeweight=".48pt" strokecolor="#000000">
                <v:path arrowok="t"/>
              </v:shape>
            </v:group>
            <v:group style="position:absolute;left:3336;top:700;width:1784;height:2" coordorigin="3336,700" coordsize="1784,2">
              <v:shape style="position:absolute;left:3336;top:700;width:1784;height:2" coordorigin="3336,700" coordsize="1784,0" path="m3336,700l5120,700e" filled="false" stroked="true" strokeweight=".48pt" strokecolor="#000000">
                <v:path arrowok="t"/>
              </v:shape>
            </v:group>
            <v:group style="position:absolute;left:5130;top:700;width:1585;height:2" coordorigin="5130,700" coordsize="1585,2">
              <v:shape style="position:absolute;left:5130;top:700;width:1585;height:2" coordorigin="5130,700" coordsize="1585,0" path="m5130,700l6714,700e" filled="false" stroked="true" strokeweight=".48pt" strokecolor="#000000">
                <v:path arrowok="t"/>
              </v:shape>
            </v:group>
            <v:group style="position:absolute;left:6724;top:700;width:1743;height:2" coordorigin="6724,700" coordsize="1743,2">
              <v:shape style="position:absolute;left:6724;top:700;width:1743;height:2" coordorigin="6724,700" coordsize="1743,0" path="m6724,700l8466,700e" filled="false" stroked="true" strokeweight=".48pt" strokecolor="#000000">
                <v:path arrowok="t"/>
              </v:shape>
            </v:group>
            <v:group style="position:absolute;left:8476;top:700;width:2223;height:2" coordorigin="8476,700" coordsize="2223,2">
              <v:shape style="position:absolute;left:8476;top:700;width:2223;height:2" coordorigin="8476,700" coordsize="2223,0" path="m8476,700l10699,700e" filled="false" stroked="true" strokeweight=".48pt" strokecolor="#000000">
                <v:path arrowok="t"/>
              </v:shape>
            </v:group>
            <v:group style="position:absolute;left:1138;top:1413;width:2190;height:2" coordorigin="1138,1413" coordsize="2190,2">
              <v:shape style="position:absolute;left:1138;top:1413;width:2190;height:2" coordorigin="1138,1413" coordsize="2190,0" path="m1138,1413l3327,1413e" filled="false" stroked="true" strokeweight=".48pt" strokecolor="#000000">
                <v:path arrowok="t"/>
              </v:shape>
            </v:group>
            <v:group style="position:absolute;left:3336;top:1413;width:1784;height:2" coordorigin="3336,1413" coordsize="1784,2">
              <v:shape style="position:absolute;left:3336;top:1413;width:1784;height:2" coordorigin="3336,1413" coordsize="1784,0" path="m3336,1413l5120,1413e" filled="false" stroked="true" strokeweight=".48pt" strokecolor="#000000">
                <v:path arrowok="t"/>
              </v:shape>
            </v:group>
            <v:group style="position:absolute;left:5130;top:1413;width:1585;height:2" coordorigin="5130,1413" coordsize="1585,2">
              <v:shape style="position:absolute;left:5130;top:1413;width:1585;height:2" coordorigin="5130,1413" coordsize="1585,0" path="m5130,1413l6714,1413e" filled="false" stroked="true" strokeweight=".48pt" strokecolor="#000000">
                <v:path arrowok="t"/>
              </v:shape>
            </v:group>
            <v:group style="position:absolute;left:6724;top:1413;width:1743;height:2" coordorigin="6724,1413" coordsize="1743,2">
              <v:shape style="position:absolute;left:6724;top:1413;width:1743;height:2" coordorigin="6724,1413" coordsize="1743,0" path="m6724,1413l8466,1413e" filled="false" stroked="true" strokeweight=".48pt" strokecolor="#000000">
                <v:path arrowok="t"/>
              </v:shape>
            </v:group>
            <v:group style="position:absolute;left:8476;top:1413;width:2223;height:2" coordorigin="8476,1413" coordsize="2223,2">
              <v:shape style="position:absolute;left:8476;top:1413;width:2223;height:2" coordorigin="8476,1413" coordsize="2223,0" path="m8476,1413l10699,1413e" filled="false" stroked="true" strokeweight=".48pt" strokecolor="#000000">
                <v:path arrowok="t"/>
              </v:shape>
            </v:group>
            <v:group style="position:absolute;left:5125;top:695;width:2;height:2999" coordorigin="5125,695" coordsize="2,2999">
              <v:shape style="position:absolute;left:5125;top:695;width:2;height:2999" coordorigin="5125,695" coordsize="0,2999" path="m5125,695l5125,3693e" filled="false" stroked="true" strokeweight=".48001pt" strokecolor="#000000">
                <v:path arrowok="t"/>
              </v:shape>
            </v:group>
            <v:group style="position:absolute;left:6719;top:695;width:2;height:2999" coordorigin="6719,695" coordsize="2,2999">
              <v:shape style="position:absolute;left:6719;top:695;width:2;height:2999" coordorigin="6719,695" coordsize="0,2999" path="m6719,695l6719,3693e" filled="false" stroked="true" strokeweight=".48001pt" strokecolor="#000000">
                <v:path arrowok="t"/>
              </v:shape>
            </v:group>
            <v:group style="position:absolute;left:8471;top:695;width:2;height:2999" coordorigin="8471,695" coordsize="2,2999">
              <v:shape style="position:absolute;left:8471;top:695;width:2;height:2999" coordorigin="8471,695" coordsize="0,2999" path="m8471,695l8471,3693e" filled="false" stroked="true" strokeweight=".47998pt" strokecolor="#000000">
                <v:path arrowok="t"/>
              </v:shape>
            </v:group>
            <v:group style="position:absolute;left:1140;top:3693;width:2190;height:4297" coordorigin="1140,3693" coordsize="2190,4297">
              <v:shape style="position:absolute;left:1140;top:3693;width:2190;height:4297" coordorigin="1140,3693" coordsize="2190,4297" path="m1140,7990l3329,7990,3329,3693,1140,3693,1140,7990xe" filled="true" fillcolor="#d2d2d2" stroked="false">
                <v:path arrowok="t"/>
                <v:fill type="solid"/>
              </v:shape>
            </v:group>
            <v:group style="position:absolute;left:1151;top:7990;width:2;height:1016" coordorigin="1151,7990" coordsize="2,1016">
              <v:shape style="position:absolute;left:1151;top:7990;width:2;height:1016" coordorigin="1151,7990" coordsize="0,1016" path="m1151,7990l1151,9005e" filled="false" stroked="true" strokeweight="1.08pt" strokecolor="#d2d2d2">
                <v:path arrowok="t"/>
              </v:shape>
            </v:group>
            <v:group style="position:absolute;left:3317;top:7990;width:2;height:1016" coordorigin="3317,7990" coordsize="2,1016">
              <v:shape style="position:absolute;left:3317;top:7990;width:2;height:1016" coordorigin="3317,7990" coordsize="0,1016" path="m3317,7990l3317,9005e" filled="false" stroked="true" strokeweight="1.2pt" strokecolor="#d2d2d2">
                <v:path arrowok="t"/>
              </v:shape>
            </v:group>
            <v:group style="position:absolute;left:1140;top:9005;width:2190;height:4297" coordorigin="1140,9005" coordsize="2190,4297">
              <v:shape style="position:absolute;left:1140;top:9005;width:2190;height:4297" coordorigin="1140,9005" coordsize="2190,4297" path="m1140,13302l3329,13302,3329,9005,1140,9005,1140,13302xe" filled="true" fillcolor="#d2d2d2" stroked="false">
                <v:path arrowok="t"/>
                <v:fill type="solid"/>
              </v:shape>
            </v:group>
            <v:group style="position:absolute;left:1162;top:7990;width:2144;height:353" coordorigin="1162,7990" coordsize="2144,353">
              <v:shape style="position:absolute;left:1162;top:7990;width:2144;height:353" coordorigin="1162,7990" coordsize="2144,353" path="m1162,8342l3305,8342,3305,7990,1162,7990,1162,8342xe" filled="true" fillcolor="#d2d2d2" stroked="false">
                <v:path arrowok="t"/>
                <v:fill type="solid"/>
              </v:shape>
            </v:group>
            <v:group style="position:absolute;left:1162;top:8342;width:2144;height:312" coordorigin="1162,8342" coordsize="2144,312">
              <v:shape style="position:absolute;left:1162;top:8342;width:2144;height:312" coordorigin="1162,8342" coordsize="2144,312" path="m1162,8654l3305,8654,3305,8342,1162,8342,1162,8654xe" filled="true" fillcolor="#d2d2d2" stroked="false">
                <v:path arrowok="t"/>
                <v:fill type="solid"/>
              </v:shape>
            </v:group>
            <v:group style="position:absolute;left:1162;top:8654;width:2144;height:351" coordorigin="1162,8654" coordsize="2144,351">
              <v:shape style="position:absolute;left:1162;top:8654;width:2144;height:351" coordorigin="1162,8654" coordsize="2144,351" path="m1162,9005l3305,9005,3305,8654,1162,8654,1162,9005xe" filled="true" fillcolor="#d2d2d2" stroked="false">
                <v:path arrowok="t"/>
                <v:fill type="solid"/>
              </v:shape>
            </v:group>
            <v:group style="position:absolute;left:1138;top:3688;width:2190;height:2" coordorigin="1138,3688" coordsize="2190,2">
              <v:shape style="position:absolute;left:1138;top:3688;width:2190;height:2" coordorigin="1138,3688" coordsize="2190,0" path="m1138,3688l3327,3688e" filled="false" stroked="true" strokeweight=".48001pt" strokecolor="#000000">
                <v:path arrowok="t"/>
              </v:shape>
            </v:group>
            <v:group style="position:absolute;left:3336;top:3688;width:1784;height:2" coordorigin="3336,3688" coordsize="1784,2">
              <v:shape style="position:absolute;left:3336;top:3688;width:1784;height:2" coordorigin="3336,3688" coordsize="1784,0" path="m3336,3688l5120,3688e" filled="false" stroked="true" strokeweight=".48001pt" strokecolor="#000000">
                <v:path arrowok="t"/>
              </v:shape>
            </v:group>
            <v:group style="position:absolute;left:5130;top:3688;width:1585;height:2" coordorigin="5130,3688" coordsize="1585,2">
              <v:shape style="position:absolute;left:5130;top:3688;width:1585;height:2" coordorigin="5130,3688" coordsize="1585,0" path="m5130,3688l6714,3688e" filled="false" stroked="true" strokeweight=".48001pt" strokecolor="#000000">
                <v:path arrowok="t"/>
              </v:shape>
            </v:group>
            <v:group style="position:absolute;left:6724;top:3688;width:1743;height:2" coordorigin="6724,3688" coordsize="1743,2">
              <v:shape style="position:absolute;left:6724;top:3688;width:1743;height:2" coordorigin="6724,3688" coordsize="1743,0" path="m6724,3688l8466,3688e" filled="false" stroked="true" strokeweight=".48001pt" strokecolor="#000000">
                <v:path arrowok="t"/>
              </v:shape>
            </v:group>
            <v:group style="position:absolute;left:8476;top:3688;width:2223;height:2" coordorigin="8476,3688" coordsize="2223,2">
              <v:shape style="position:absolute;left:8476;top:3688;width:2223;height:2" coordorigin="8476,3688" coordsize="2223,0" path="m8476,3688l10699,3688e" filled="false" stroked="true" strokeweight=".48001pt" strokecolor="#000000">
                <v:path arrowok="t"/>
              </v:shape>
            </v:group>
            <v:group style="position:absolute;left:1133;top:695;width:2;height:12617" coordorigin="1133,695" coordsize="2,12617">
              <v:shape style="position:absolute;left:1133;top:695;width:2;height:12617" coordorigin="1133,695" coordsize="0,12617" path="m1133,695l1133,13311e" filled="false" stroked="true" strokeweight=".48pt" strokecolor="#000000">
                <v:path arrowok="t"/>
              </v:shape>
            </v:group>
            <v:group style="position:absolute;left:1138;top:13307;width:2190;height:2" coordorigin="1138,13307" coordsize="2190,2">
              <v:shape style="position:absolute;left:1138;top:13307;width:2190;height:2" coordorigin="1138,13307" coordsize="2190,0" path="m1138,13307l3327,13307e" filled="false" stroked="true" strokeweight=".48004pt" strokecolor="#000000">
                <v:path arrowok="t"/>
              </v:shape>
            </v:group>
            <v:group style="position:absolute;left:3332;top:695;width:2;height:12617" coordorigin="3332,695" coordsize="2,12617">
              <v:shape style="position:absolute;left:3332;top:695;width:2;height:12617" coordorigin="3332,695" coordsize="0,12617" path="m3332,695l3332,13311e" filled="false" stroked="true" strokeweight=".48001pt" strokecolor="#000000">
                <v:path arrowok="t"/>
              </v:shape>
            </v:group>
            <v:group style="position:absolute;left:3336;top:13307;width:7363;height:2" coordorigin="3336,13307" coordsize="7363,2">
              <v:shape style="position:absolute;left:3336;top:13307;width:7363;height:2" coordorigin="3336,13307" coordsize="7363,0" path="m3336,13307l10699,13307e" filled="false" stroked="true" strokeweight=".48004pt" strokecolor="#000000">
                <v:path arrowok="t"/>
              </v:shape>
            </v:group>
            <v:group style="position:absolute;left:10704;top:695;width:2;height:12617" coordorigin="10704,695" coordsize="2,12617">
              <v:shape style="position:absolute;left:10704;top:695;width:2;height:12617" coordorigin="10704,695" coordsize="0,12617" path="m10704,695l10704,13311e" filled="false" stroked="true" strokeweight=".47998pt" strokecolor="#000000">
                <v:path arrowok="t"/>
              </v:shape>
            </v:group>
            <w10:wrap type="none"/>
          </v:group>
        </w:pict>
      </w:r>
      <w:r>
        <w:rPr/>
        <w:t>控股股东性质：地方国有控股 控股股东类型：法人</w:t>
      </w:r>
    </w:p>
    <w:p>
      <w:pPr>
        <w:spacing w:after="0" w:line="357" w:lineRule="auto"/>
        <w:jc w:val="left"/>
        <w:sectPr>
          <w:pgSz w:w="11910" w:h="16840"/>
          <w:pgMar w:header="745" w:footer="979" w:top="1060" w:bottom="1160" w:left="980" w:right="980"/>
        </w:sectPr>
      </w:pPr>
    </w:p>
    <w:p>
      <w:pPr>
        <w:spacing w:line="240" w:lineRule="auto" w:before="13"/>
        <w:rPr>
          <w:rFonts w:ascii="宋体" w:hAnsi="宋体" w:cs="宋体" w:eastAsia="宋体" w:hint="default"/>
          <w:sz w:val="17"/>
          <w:szCs w:val="17"/>
        </w:rPr>
      </w:pPr>
    </w:p>
    <w:p>
      <w:pPr>
        <w:pStyle w:val="BodyText"/>
        <w:spacing w:line="240" w:lineRule="auto"/>
        <w:ind w:left="712" w:right="-20"/>
        <w:jc w:val="left"/>
      </w:pPr>
      <w:r>
        <w:rPr/>
        <w:t>控股股东名称</w:t>
      </w:r>
    </w:p>
    <w:p>
      <w:pPr>
        <w:pStyle w:val="BodyText"/>
        <w:spacing w:line="300" w:lineRule="auto" w:before="79"/>
        <w:ind w:left="1326" w:right="-19" w:hanging="747"/>
        <w:jc w:val="left"/>
      </w:pPr>
      <w:r>
        <w:rPr/>
        <w:br w:type="column"/>
      </w:r>
      <w:r>
        <w:rPr/>
        <w:t>法定代表人</w:t>
      </w:r>
      <w:r>
        <w:rPr>
          <w:rFonts w:ascii="Times New Roman" w:hAnsi="Times New Roman" w:cs="Times New Roman" w:eastAsia="Times New Roman" w:hint="default"/>
        </w:rPr>
        <w:t>/</w:t>
      </w:r>
      <w:r>
        <w:rPr/>
        <w:t>单位负责 人</w:t>
      </w:r>
    </w:p>
    <w:p>
      <w:pPr>
        <w:spacing w:line="240" w:lineRule="auto" w:before="13"/>
        <w:rPr>
          <w:rFonts w:ascii="宋体" w:hAnsi="宋体" w:cs="宋体" w:eastAsia="宋体" w:hint="default"/>
          <w:sz w:val="17"/>
          <w:szCs w:val="17"/>
        </w:rPr>
      </w:pPr>
      <w:r>
        <w:rPr/>
        <w:br w:type="column"/>
      </w:r>
      <w:r>
        <w:rPr>
          <w:rFonts w:ascii="宋体"/>
          <w:sz w:val="17"/>
        </w:rPr>
      </w:r>
    </w:p>
    <w:p>
      <w:pPr>
        <w:pStyle w:val="BodyText"/>
        <w:tabs>
          <w:tab w:pos="1952" w:val="left" w:leader="none"/>
          <w:tab w:pos="3944" w:val="left" w:leader="none"/>
        </w:tabs>
        <w:spacing w:line="240" w:lineRule="auto"/>
        <w:ind w:left="459" w:right="0"/>
        <w:jc w:val="left"/>
      </w:pPr>
      <w:r>
        <w:rPr/>
        <w:t>成立日期</w:t>
        <w:tab/>
        <w:t>组织机构代码</w:t>
        <w:tab/>
        <w:t>主要经营业务</w:t>
      </w:r>
    </w:p>
    <w:p>
      <w:pPr>
        <w:spacing w:after="0" w:line="240" w:lineRule="auto"/>
        <w:jc w:val="left"/>
        <w:sectPr>
          <w:type w:val="continuous"/>
          <w:pgSz w:w="11910" w:h="16840"/>
          <w:pgMar w:top="1060" w:bottom="1160" w:left="980" w:right="980"/>
          <w:cols w:num="3" w:equalWidth="0">
            <w:col w:w="1793" w:space="40"/>
            <w:col w:w="2251" w:space="40"/>
            <w:col w:w="5826"/>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4"/>
          <w:szCs w:val="14"/>
        </w:rPr>
      </w:pPr>
    </w:p>
    <w:p>
      <w:pPr>
        <w:pStyle w:val="BodyText"/>
        <w:spacing w:line="314" w:lineRule="auto"/>
        <w:ind w:left="181" w:right="-20"/>
        <w:jc w:val="left"/>
      </w:pPr>
      <w:r>
        <w:rPr/>
        <w:t>青岛城投金融控股集团有 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6"/>
          <w:szCs w:val="26"/>
        </w:rPr>
      </w:pPr>
    </w:p>
    <w:p>
      <w:pPr>
        <w:pStyle w:val="BodyText"/>
        <w:tabs>
          <w:tab w:pos="1972" w:val="left" w:leader="none"/>
        </w:tabs>
        <w:spacing w:line="240" w:lineRule="auto"/>
        <w:ind w:left="178" w:right="-6"/>
        <w:jc w:val="left"/>
        <w:rPr>
          <w:rFonts w:ascii="Times New Roman" w:hAnsi="Times New Roman" w:cs="Times New Roman" w:eastAsia="Times New Roman" w:hint="default"/>
        </w:rPr>
      </w:pPr>
      <w:r>
        <w:rPr/>
        <w:t>邱岳</w:t>
        <w:tab/>
      </w:r>
      <w:r>
        <w:rPr>
          <w:rFonts w:ascii="Times New Roman" w:hAnsi="Times New Roman" w:cs="Times New Roman" w:eastAsia="Times New Roman" w:hint="default"/>
        </w:rPr>
        <w:t>2014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05 </w:t>
      </w:r>
      <w:r>
        <w:rPr/>
        <w:t>日</w:t>
      </w:r>
      <w:r>
        <w:rPr>
          <w:spacing w:val="11"/>
        </w:rPr>
        <w:t> </w:t>
      </w:r>
      <w:r>
        <w:rPr>
          <w:rFonts w:ascii="Times New Roman" w:hAnsi="Times New Roman" w:cs="Times New Roman" w:eastAsia="Times New Roman" w:hint="default"/>
        </w:rPr>
        <w:t>913702123215149854</w:t>
      </w:r>
    </w:p>
    <w:p>
      <w:pPr>
        <w:pStyle w:val="BodyText"/>
        <w:spacing w:line="316" w:lineRule="auto" w:before="122"/>
        <w:ind w:left="92" w:right="144"/>
        <w:jc w:val="left"/>
      </w:pPr>
      <w:r>
        <w:rPr/>
        <w:br w:type="column"/>
      </w:r>
      <w:r>
        <w:rPr/>
        <w:t>金融及金融服务性机构的投 资与运营、资产管理与基金 </w:t>
      </w:r>
      <w:r>
        <w:rPr>
          <w:spacing w:val="-6"/>
        </w:rPr>
        <w:t>管理、股权投资及资本运营、</w:t>
      </w:r>
      <w:r>
        <w:rPr>
          <w:spacing w:val="-87"/>
        </w:rPr>
        <w:t> </w:t>
      </w:r>
      <w:r>
        <w:rPr>
          <w:spacing w:val="-87"/>
        </w:rPr>
      </w:r>
      <w:r>
        <w:rPr/>
        <w:t>证券与基金投资、投资策划 与咨询服务。经政府及有关 监管机构批准的其他资产投 资与运营。</w:t>
      </w:r>
    </w:p>
    <w:p>
      <w:pPr>
        <w:spacing w:after="0" w:line="316" w:lineRule="auto"/>
        <w:jc w:val="left"/>
        <w:sectPr>
          <w:type w:val="continuous"/>
          <w:pgSz w:w="11910" w:h="16840"/>
          <w:pgMar w:top="1060" w:bottom="1160" w:left="980" w:right="980"/>
          <w:cols w:num="3" w:equalWidth="0">
            <w:col w:w="2162" w:space="40"/>
            <w:col w:w="5186" w:space="40"/>
            <w:col w:w="2522"/>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2"/>
          <w:szCs w:val="12"/>
        </w:rPr>
      </w:pPr>
    </w:p>
    <w:p>
      <w:pPr>
        <w:pStyle w:val="BodyText"/>
        <w:spacing w:line="316" w:lineRule="auto"/>
        <w:ind w:left="181" w:right="0"/>
        <w:jc w:val="both"/>
      </w:pPr>
      <w:r>
        <w:rPr/>
        <w:t>控股股东报告期内控股和 参股的其他境内外上市公 司的股权情况</w:t>
      </w:r>
    </w:p>
    <w:p>
      <w:pPr>
        <w:pStyle w:val="BodyText"/>
        <w:spacing w:line="240" w:lineRule="auto" w:before="110"/>
        <w:ind w:left="178" w:right="0"/>
        <w:jc w:val="left"/>
      </w:pPr>
      <w:r>
        <w:rPr/>
        <w:br w:type="column"/>
      </w:r>
      <w:r>
        <w:rPr>
          <w:rFonts w:ascii="Times New Roman" w:hAnsi="Times New Roman" w:cs="Times New Roman" w:eastAsia="Times New Roman" w:hint="default"/>
        </w:rPr>
        <w:t>1</w:t>
      </w:r>
      <w:r>
        <w:rPr/>
        <w:t>、持有澳柯玛股份有限公司（股票简称：澳柯玛，股票代码：</w:t>
      </w:r>
      <w:r>
        <w:rPr>
          <w:rFonts w:ascii="Times New Roman" w:hAnsi="Times New Roman" w:cs="Times New Roman" w:eastAsia="Times New Roman" w:hint="default"/>
        </w:rPr>
        <w:t>600336</w:t>
      </w:r>
      <w:r>
        <w:rPr/>
        <w:t>）</w:t>
      </w:r>
      <w:r>
        <w:rPr>
          <w:rFonts w:ascii="Times New Roman" w:hAnsi="Times New Roman" w:cs="Times New Roman" w:eastAsia="Times New Roman" w:hint="default"/>
        </w:rPr>
        <w:t>8.96%</w:t>
      </w:r>
      <w:r>
        <w:rPr/>
        <w:t>的股权；</w:t>
      </w:r>
    </w:p>
    <w:p>
      <w:pPr>
        <w:pStyle w:val="BodyText"/>
        <w:spacing w:line="240" w:lineRule="auto" w:before="101"/>
        <w:ind w:left="178" w:right="0"/>
        <w:jc w:val="left"/>
      </w:pPr>
      <w:r>
        <w:rPr>
          <w:rFonts w:ascii="Times New Roman" w:hAnsi="Times New Roman" w:cs="Times New Roman" w:eastAsia="Times New Roman" w:hint="default"/>
          <w:spacing w:val="-4"/>
        </w:rPr>
        <w:t>2</w:t>
      </w:r>
      <w:r>
        <w:rPr>
          <w:spacing w:val="-4"/>
        </w:rPr>
        <w:t>、持有北京千方科技股份有限公司（股票简称：千方科技，股票代码：</w:t>
      </w:r>
      <w:r>
        <w:rPr>
          <w:rFonts w:ascii="Times New Roman" w:hAnsi="Times New Roman" w:cs="Times New Roman" w:eastAsia="Times New Roman" w:hint="default"/>
          <w:spacing w:val="-4"/>
        </w:rPr>
        <w:t>002373</w:t>
      </w:r>
      <w:r>
        <w:rPr>
          <w:spacing w:val="-4"/>
        </w:rPr>
        <w:t>）</w:t>
      </w:r>
      <w:r>
        <w:rPr>
          <w:rFonts w:ascii="Times New Roman" w:hAnsi="Times New Roman" w:cs="Times New Roman" w:eastAsia="Times New Roman" w:hint="default"/>
          <w:spacing w:val="-4"/>
        </w:rPr>
        <w:t>0.67%</w:t>
      </w:r>
      <w:r>
        <w:rPr>
          <w:spacing w:val="-4"/>
        </w:rPr>
        <w:t>的股权；</w:t>
      </w:r>
    </w:p>
    <w:p>
      <w:pPr>
        <w:pStyle w:val="BodyText"/>
        <w:spacing w:line="240" w:lineRule="auto" w:before="63"/>
        <w:ind w:left="178" w:right="0"/>
        <w:jc w:val="left"/>
      </w:pPr>
      <w:r>
        <w:rPr>
          <w:rFonts w:ascii="Times New Roman" w:hAnsi="Times New Roman" w:cs="Times New Roman" w:eastAsia="Times New Roman" w:hint="default"/>
          <w:spacing w:val="-6"/>
        </w:rPr>
        <w:t>3</w:t>
      </w:r>
      <w:r>
        <w:rPr>
          <w:spacing w:val="-6"/>
        </w:rPr>
        <w:t>、持有内蒙古蒙草生态环境（集团）股份有限公司（股票简称：蒙草生态，股票代码：</w:t>
      </w:r>
      <w:r>
        <w:rPr>
          <w:rFonts w:ascii="Times New Roman" w:hAnsi="Times New Roman" w:cs="Times New Roman" w:eastAsia="Times New Roman" w:hint="default"/>
          <w:spacing w:val="-6"/>
        </w:rPr>
        <w:t>300355</w:t>
      </w:r>
      <w:r>
        <w:rPr>
          <w:spacing w:val="-6"/>
        </w:rPr>
        <w:t>）</w:t>
      </w:r>
    </w:p>
    <w:p>
      <w:pPr>
        <w:pStyle w:val="BodyText"/>
        <w:spacing w:line="240" w:lineRule="auto" w:before="63"/>
        <w:ind w:left="178" w:right="0"/>
        <w:jc w:val="left"/>
      </w:pPr>
      <w:r>
        <w:rPr>
          <w:rFonts w:ascii="Times New Roman" w:hAnsi="Times New Roman" w:cs="Times New Roman" w:eastAsia="Times New Roman" w:hint="default"/>
        </w:rPr>
        <w:t>0.78%</w:t>
      </w:r>
      <w:r>
        <w:rPr/>
        <w:t>的股权；</w:t>
      </w:r>
    </w:p>
    <w:p>
      <w:pPr>
        <w:pStyle w:val="BodyText"/>
        <w:spacing w:line="240" w:lineRule="auto" w:before="103"/>
        <w:ind w:left="178" w:right="0"/>
        <w:jc w:val="left"/>
      </w:pPr>
      <w:r>
        <w:rPr>
          <w:rFonts w:ascii="Times New Roman" w:hAnsi="Times New Roman" w:cs="Times New Roman" w:eastAsia="Times New Roman" w:hint="default"/>
        </w:rPr>
        <w:t>4</w:t>
      </w:r>
      <w:r>
        <w:rPr/>
        <w:t>、持有宋城演艺发展股份有限公司（股票简称：宋城演艺，股票代码：</w:t>
      </w:r>
      <w:r>
        <w:rPr>
          <w:rFonts w:ascii="Times New Roman" w:hAnsi="Times New Roman" w:cs="Times New Roman" w:eastAsia="Times New Roman" w:hint="default"/>
        </w:rPr>
        <w:t>300144</w:t>
      </w:r>
      <w:r>
        <w:rPr/>
        <w:t>）</w:t>
      </w:r>
      <w:r>
        <w:rPr>
          <w:rFonts w:ascii="Times New Roman" w:hAnsi="Times New Roman" w:cs="Times New Roman" w:eastAsia="Times New Roman" w:hint="default"/>
        </w:rPr>
        <w:t>0.3%</w:t>
      </w:r>
      <w:r>
        <w:rPr/>
        <w:t>的股权；</w:t>
      </w:r>
    </w:p>
    <w:p>
      <w:pPr>
        <w:pStyle w:val="BodyText"/>
        <w:spacing w:line="240" w:lineRule="auto" w:before="63"/>
        <w:ind w:left="178" w:right="0"/>
        <w:jc w:val="left"/>
      </w:pPr>
      <w:r>
        <w:rPr>
          <w:rFonts w:ascii="Times New Roman" w:hAnsi="Times New Roman" w:cs="Times New Roman" w:eastAsia="Times New Roman" w:hint="default"/>
        </w:rPr>
        <w:t>5</w:t>
      </w:r>
      <w:r>
        <w:rPr/>
        <w:t>、持有苏宁环球股份有限公司（股票简称：苏宁环球，股票代码：</w:t>
      </w:r>
      <w:r>
        <w:rPr>
          <w:rFonts w:ascii="Times New Roman" w:hAnsi="Times New Roman" w:cs="Times New Roman" w:eastAsia="Times New Roman" w:hint="default"/>
        </w:rPr>
        <w:t>000718</w:t>
      </w:r>
      <w:r>
        <w:rPr/>
        <w:t>）</w:t>
      </w:r>
      <w:r>
        <w:rPr>
          <w:rFonts w:ascii="Times New Roman" w:hAnsi="Times New Roman" w:cs="Times New Roman" w:eastAsia="Times New Roman" w:hint="default"/>
        </w:rPr>
        <w:t>1.25%</w:t>
      </w:r>
      <w:r>
        <w:rPr/>
        <w:t>的股权；</w:t>
      </w:r>
    </w:p>
    <w:p>
      <w:pPr>
        <w:pStyle w:val="BodyText"/>
        <w:spacing w:line="240" w:lineRule="auto" w:before="103"/>
        <w:ind w:left="178" w:right="0"/>
        <w:jc w:val="left"/>
      </w:pPr>
      <w:r>
        <w:rPr>
          <w:rFonts w:ascii="Times New Roman" w:hAnsi="Times New Roman" w:cs="Times New Roman" w:eastAsia="Times New Roman" w:hint="default"/>
          <w:spacing w:val="-4"/>
        </w:rPr>
        <w:t>6</w:t>
      </w:r>
      <w:r>
        <w:rPr>
          <w:spacing w:val="-4"/>
        </w:rPr>
        <w:t>、持有神州高铁技术股份有限公司（股票简称：神州高铁，股票代码：</w:t>
      </w:r>
      <w:r>
        <w:rPr>
          <w:rFonts w:ascii="Times New Roman" w:hAnsi="Times New Roman" w:cs="Times New Roman" w:eastAsia="Times New Roman" w:hint="default"/>
          <w:spacing w:val="-4"/>
        </w:rPr>
        <w:t>000008</w:t>
      </w:r>
      <w:r>
        <w:rPr>
          <w:spacing w:val="-4"/>
        </w:rPr>
        <w:t>）</w:t>
      </w:r>
      <w:r>
        <w:rPr>
          <w:rFonts w:ascii="Times New Roman" w:hAnsi="Times New Roman" w:cs="Times New Roman" w:eastAsia="Times New Roman" w:hint="default"/>
          <w:spacing w:val="-4"/>
        </w:rPr>
        <w:t>1.09%</w:t>
      </w:r>
      <w:r>
        <w:rPr>
          <w:spacing w:val="-4"/>
        </w:rPr>
        <w:t>的股权；</w:t>
      </w:r>
    </w:p>
    <w:p>
      <w:pPr>
        <w:pStyle w:val="BodyText"/>
        <w:spacing w:line="240" w:lineRule="auto" w:before="63"/>
        <w:ind w:left="178" w:right="0"/>
        <w:jc w:val="left"/>
      </w:pPr>
      <w:r>
        <w:rPr>
          <w:rFonts w:ascii="Times New Roman" w:hAnsi="Times New Roman" w:cs="Times New Roman" w:eastAsia="Times New Roman" w:hint="default"/>
          <w:spacing w:val="-4"/>
        </w:rPr>
        <w:t>7</w:t>
      </w:r>
      <w:r>
        <w:rPr>
          <w:spacing w:val="-4"/>
        </w:rPr>
        <w:t>、持有北京掌趣科技股份有限公司（股票简称：掌趣科技，股票代码：</w:t>
      </w:r>
      <w:r>
        <w:rPr>
          <w:rFonts w:ascii="Times New Roman" w:hAnsi="Times New Roman" w:cs="Times New Roman" w:eastAsia="Times New Roman" w:hint="default"/>
          <w:spacing w:val="-4"/>
        </w:rPr>
        <w:t>300315</w:t>
      </w:r>
      <w:r>
        <w:rPr>
          <w:spacing w:val="-4"/>
        </w:rPr>
        <w:t>）</w:t>
      </w:r>
      <w:r>
        <w:rPr>
          <w:rFonts w:ascii="Times New Roman" w:hAnsi="Times New Roman" w:cs="Times New Roman" w:eastAsia="Times New Roman" w:hint="default"/>
          <w:spacing w:val="-4"/>
        </w:rPr>
        <w:t>0.84%</w:t>
      </w:r>
      <w:r>
        <w:rPr>
          <w:spacing w:val="-4"/>
        </w:rPr>
        <w:t>的股权；</w:t>
      </w:r>
    </w:p>
    <w:p>
      <w:pPr>
        <w:pStyle w:val="BodyText"/>
        <w:spacing w:line="240" w:lineRule="auto" w:before="63"/>
        <w:ind w:left="178" w:right="0"/>
        <w:jc w:val="left"/>
      </w:pPr>
      <w:r>
        <w:rPr>
          <w:rFonts w:ascii="Times New Roman" w:hAnsi="Times New Roman" w:cs="Times New Roman" w:eastAsia="Times New Roman" w:hint="default"/>
        </w:rPr>
        <w:t>8</w:t>
      </w:r>
      <w:r>
        <w:rPr/>
        <w:t>、持有东吴证券股份有限公司（股票简称：东吴证券，股票代码：</w:t>
      </w:r>
      <w:r>
        <w:rPr>
          <w:rFonts w:ascii="Times New Roman" w:hAnsi="Times New Roman" w:cs="Times New Roman" w:eastAsia="Times New Roman" w:hint="default"/>
        </w:rPr>
        <w:t>601555</w:t>
      </w:r>
      <w:r>
        <w:rPr/>
        <w:t>）</w:t>
      </w:r>
      <w:r>
        <w:rPr>
          <w:rFonts w:ascii="Times New Roman" w:hAnsi="Times New Roman" w:cs="Times New Roman" w:eastAsia="Times New Roman" w:hint="default"/>
        </w:rPr>
        <w:t>0.63%</w:t>
      </w:r>
      <w:r>
        <w:rPr/>
        <w:t>的股权；</w:t>
      </w:r>
    </w:p>
    <w:p>
      <w:pPr>
        <w:pStyle w:val="BodyText"/>
        <w:spacing w:line="240" w:lineRule="auto" w:before="101"/>
        <w:ind w:left="178" w:right="0"/>
        <w:jc w:val="left"/>
      </w:pPr>
      <w:r>
        <w:rPr>
          <w:rFonts w:ascii="Times New Roman" w:hAnsi="Times New Roman" w:cs="Times New Roman" w:eastAsia="Times New Roman" w:hint="default"/>
          <w:spacing w:val="-4"/>
        </w:rPr>
        <w:t>9</w:t>
      </w:r>
      <w:r>
        <w:rPr>
          <w:spacing w:val="-4"/>
        </w:rPr>
        <w:t>、持有华夏幸福基业股份有限公司（股票简称：华夏幸福，股票代码：</w:t>
      </w:r>
      <w:r>
        <w:rPr>
          <w:rFonts w:ascii="Times New Roman" w:hAnsi="Times New Roman" w:cs="Times New Roman" w:eastAsia="Times New Roman" w:hint="default"/>
          <w:spacing w:val="-4"/>
        </w:rPr>
        <w:t>600340</w:t>
      </w:r>
      <w:r>
        <w:rPr>
          <w:spacing w:val="-4"/>
        </w:rPr>
        <w:t>）</w:t>
      </w:r>
      <w:r>
        <w:rPr>
          <w:rFonts w:ascii="Times New Roman" w:hAnsi="Times New Roman" w:cs="Times New Roman" w:eastAsia="Times New Roman" w:hint="default"/>
          <w:spacing w:val="-4"/>
        </w:rPr>
        <w:t>0.79%</w:t>
      </w:r>
      <w:r>
        <w:rPr>
          <w:spacing w:val="-4"/>
        </w:rPr>
        <w:t>的股权；</w:t>
      </w:r>
    </w:p>
    <w:p>
      <w:pPr>
        <w:pStyle w:val="BodyText"/>
        <w:spacing w:line="240" w:lineRule="auto" w:before="103"/>
        <w:ind w:left="178" w:right="0"/>
        <w:jc w:val="left"/>
      </w:pPr>
      <w:r>
        <w:rPr>
          <w:rFonts w:ascii="Times New Roman" w:hAnsi="Times New Roman" w:cs="Times New Roman" w:eastAsia="Times New Roman" w:hint="default"/>
        </w:rPr>
        <w:t>10</w:t>
      </w:r>
      <w:r>
        <w:rPr/>
        <w:t>、持有嘉事堂药业股份有限公司</w:t>
      </w:r>
      <w:r>
        <w:rPr>
          <w:spacing w:val="-3"/>
        </w:rPr>
        <w:t> </w:t>
      </w:r>
      <w:r>
        <w:rPr/>
        <w:t>（股票简称：嘉事堂，股票代码：</w:t>
      </w:r>
      <w:r>
        <w:rPr>
          <w:rFonts w:ascii="Times New Roman" w:hAnsi="Times New Roman" w:cs="Times New Roman" w:eastAsia="Times New Roman" w:hint="default"/>
        </w:rPr>
        <w:t>002462</w:t>
      </w:r>
      <w:r>
        <w:rPr/>
        <w:t>）</w:t>
      </w:r>
      <w:r>
        <w:rPr>
          <w:rFonts w:ascii="Times New Roman" w:hAnsi="Times New Roman" w:cs="Times New Roman" w:eastAsia="Times New Roman" w:hint="default"/>
        </w:rPr>
        <w:t>0.42%</w:t>
      </w:r>
      <w:r>
        <w:rPr/>
        <w:t>的股权；</w:t>
      </w:r>
    </w:p>
    <w:p>
      <w:pPr>
        <w:pStyle w:val="BodyText"/>
        <w:spacing w:line="240" w:lineRule="auto" w:before="63"/>
        <w:ind w:left="178" w:right="0"/>
        <w:jc w:val="left"/>
        <w:rPr>
          <w:rFonts w:ascii="Times New Roman" w:hAnsi="Times New Roman" w:cs="Times New Roman" w:eastAsia="Times New Roman" w:hint="default"/>
        </w:rPr>
      </w:pPr>
      <w:r>
        <w:rPr>
          <w:rFonts w:ascii="Times New Roman" w:hAnsi="Times New Roman" w:cs="Times New Roman" w:eastAsia="Times New Roman" w:hint="default"/>
        </w:rPr>
        <w:t>11</w:t>
      </w:r>
      <w:r>
        <w:rPr/>
        <w:t>、持有北京中科金财科技股份有限公司（股票简称：中科金财，股票代码：</w:t>
      </w:r>
      <w:r>
        <w:rPr>
          <w:rFonts w:ascii="Times New Roman" w:hAnsi="Times New Roman" w:cs="Times New Roman" w:eastAsia="Times New Roman" w:hint="default"/>
        </w:rPr>
        <w:t>002657</w:t>
      </w:r>
      <w:r>
        <w:rPr/>
        <w:t>）</w:t>
      </w:r>
      <w:r>
        <w:rPr>
          <w:rFonts w:ascii="Times New Roman" w:hAnsi="Times New Roman" w:cs="Times New Roman" w:eastAsia="Times New Roman" w:hint="default"/>
        </w:rPr>
        <w:t>1.38%</w:t>
      </w:r>
    </w:p>
    <w:p>
      <w:pPr>
        <w:pStyle w:val="BodyText"/>
        <w:spacing w:line="240" w:lineRule="auto" w:before="63"/>
        <w:ind w:left="178" w:right="0"/>
        <w:jc w:val="left"/>
      </w:pPr>
      <w:r>
        <w:rPr/>
        <w:t>的股权；</w:t>
      </w:r>
    </w:p>
    <w:p>
      <w:pPr>
        <w:pStyle w:val="BodyText"/>
        <w:spacing w:line="300" w:lineRule="auto" w:before="117"/>
        <w:ind w:left="178" w:right="241"/>
        <w:jc w:val="left"/>
      </w:pPr>
      <w:r>
        <w:rPr>
          <w:rFonts w:ascii="Times New Roman" w:hAnsi="Times New Roman" w:cs="Times New Roman" w:eastAsia="Times New Roman" w:hint="default"/>
        </w:rPr>
        <w:t>12</w:t>
      </w:r>
      <w:r>
        <w:rPr/>
        <w:t>、持有上海吉祥航空股份有限公司（股票简称：吉祥航空，股票代码：</w:t>
      </w:r>
      <w:r>
        <w:rPr>
          <w:rFonts w:ascii="Times New Roman" w:hAnsi="Times New Roman" w:cs="Times New Roman" w:eastAsia="Times New Roman" w:hint="default"/>
        </w:rPr>
        <w:t>603885</w:t>
      </w:r>
      <w:r>
        <w:rPr/>
        <w:t>）</w:t>
      </w:r>
      <w:r>
        <w:rPr>
          <w:rFonts w:ascii="Times New Roman" w:hAnsi="Times New Roman" w:cs="Times New Roman" w:eastAsia="Times New Roman" w:hint="default"/>
        </w:rPr>
        <w:t>1.22%</w:t>
      </w:r>
      <w:r>
        <w:rPr/>
        <w:t>的股 权；</w:t>
      </w:r>
    </w:p>
    <w:p>
      <w:pPr>
        <w:pStyle w:val="BodyText"/>
        <w:spacing w:line="240" w:lineRule="auto" w:before="70"/>
        <w:ind w:left="178" w:right="0"/>
        <w:jc w:val="left"/>
      </w:pPr>
      <w:r>
        <w:rPr>
          <w:rFonts w:ascii="Times New Roman" w:hAnsi="Times New Roman" w:cs="Times New Roman" w:eastAsia="Times New Roman" w:hint="default"/>
        </w:rPr>
        <w:t>13</w:t>
      </w:r>
      <w:r>
        <w:rPr/>
        <w:t>、持有宜宾五粮液股份有限公司（股票简称：五粮液，股票代码：</w:t>
      </w:r>
      <w:r>
        <w:rPr>
          <w:rFonts w:ascii="Times New Roman" w:hAnsi="Times New Roman" w:cs="Times New Roman" w:eastAsia="Times New Roman" w:hint="default"/>
        </w:rPr>
        <w:t>000858</w:t>
      </w:r>
      <w:r>
        <w:rPr/>
        <w:t>）</w:t>
      </w:r>
      <w:r>
        <w:rPr>
          <w:rFonts w:ascii="Times New Roman" w:hAnsi="Times New Roman" w:cs="Times New Roman" w:eastAsia="Times New Roman" w:hint="default"/>
        </w:rPr>
        <w:t>0.13%</w:t>
      </w:r>
      <w:r>
        <w:rPr/>
        <w:t>的股权；</w:t>
      </w:r>
    </w:p>
    <w:p>
      <w:pPr>
        <w:pStyle w:val="BodyText"/>
        <w:spacing w:line="300" w:lineRule="auto" w:before="63"/>
        <w:ind w:left="178" w:right="245"/>
        <w:jc w:val="left"/>
      </w:pPr>
      <w:r>
        <w:rPr>
          <w:rFonts w:ascii="Times New Roman" w:hAnsi="Times New Roman" w:cs="Times New Roman" w:eastAsia="Times New Roman" w:hint="default"/>
          <w:spacing w:val="-2"/>
        </w:rPr>
        <w:t>14</w:t>
      </w:r>
      <w:r>
        <w:rPr>
          <w:spacing w:val="-2"/>
        </w:rPr>
        <w:t>、持有深圳市共进电子股份有限公司（股票简称：共进股份，股票代码：</w:t>
      </w:r>
      <w:r>
        <w:rPr>
          <w:rFonts w:ascii="Times New Roman" w:hAnsi="Times New Roman" w:cs="Times New Roman" w:eastAsia="Times New Roman" w:hint="default"/>
          <w:spacing w:val="-2"/>
        </w:rPr>
        <w:t>603118</w:t>
      </w:r>
      <w:r>
        <w:rPr>
          <w:spacing w:val="-2"/>
        </w:rPr>
        <w:t>）</w:t>
      </w:r>
      <w:r>
        <w:rPr>
          <w:rFonts w:ascii="Times New Roman" w:hAnsi="Times New Roman" w:cs="Times New Roman" w:eastAsia="Times New Roman" w:hint="default"/>
          <w:spacing w:val="-2"/>
        </w:rPr>
        <w:t>1.3%</w:t>
      </w:r>
      <w:r>
        <w:rPr>
          <w:spacing w:val="-2"/>
        </w:rPr>
        <w:t>的股</w:t>
      </w:r>
      <w:r>
        <w:rPr>
          <w:spacing w:val="-83"/>
        </w:rPr>
        <w:t> </w:t>
      </w:r>
      <w:r>
        <w:rPr/>
        <w:t>权；</w:t>
      </w:r>
    </w:p>
    <w:p>
      <w:pPr>
        <w:pStyle w:val="BodyText"/>
        <w:spacing w:line="240" w:lineRule="auto" w:before="72"/>
        <w:ind w:left="178" w:right="0"/>
        <w:jc w:val="left"/>
        <w:rPr>
          <w:rFonts w:ascii="Times New Roman" w:hAnsi="Times New Roman" w:cs="Times New Roman" w:eastAsia="Times New Roman" w:hint="default"/>
        </w:rPr>
      </w:pPr>
      <w:r>
        <w:rPr>
          <w:rFonts w:ascii="Times New Roman" w:hAnsi="Times New Roman" w:cs="Times New Roman" w:eastAsia="Times New Roman" w:hint="default"/>
        </w:rPr>
        <w:t>15</w:t>
      </w:r>
      <w:r>
        <w:rPr/>
        <w:t>、持有安徽江淮汽车集团股份有限公司（股票简称：江淮汽车，股票代码：</w:t>
      </w:r>
      <w:r>
        <w:rPr>
          <w:rFonts w:ascii="Times New Roman" w:hAnsi="Times New Roman" w:cs="Times New Roman" w:eastAsia="Times New Roman" w:hint="default"/>
        </w:rPr>
        <w:t>600418</w:t>
      </w:r>
      <w:r>
        <w:rPr/>
        <w:t>）</w:t>
      </w:r>
      <w:r>
        <w:rPr>
          <w:rFonts w:ascii="Times New Roman" w:hAnsi="Times New Roman" w:cs="Times New Roman" w:eastAsia="Times New Roman" w:hint="default"/>
        </w:rPr>
        <w:t>2.28%</w:t>
      </w:r>
    </w:p>
    <w:p>
      <w:pPr>
        <w:pStyle w:val="BodyText"/>
        <w:spacing w:line="240" w:lineRule="auto" w:before="63"/>
        <w:ind w:left="178" w:right="0"/>
        <w:jc w:val="left"/>
      </w:pPr>
      <w:r>
        <w:rPr/>
        <w:t>的股权；</w:t>
      </w:r>
    </w:p>
    <w:p>
      <w:pPr>
        <w:pStyle w:val="BodyText"/>
        <w:spacing w:line="300" w:lineRule="auto" w:before="117"/>
        <w:ind w:left="178" w:right="241"/>
        <w:jc w:val="left"/>
      </w:pPr>
      <w:r>
        <w:rPr>
          <w:rFonts w:ascii="Times New Roman" w:hAnsi="Times New Roman" w:cs="Times New Roman" w:eastAsia="Times New Roman" w:hint="default"/>
        </w:rPr>
        <w:t>16</w:t>
      </w:r>
      <w:r>
        <w:rPr/>
        <w:t>、持有常州星宇车灯股份有限公司（股票简称：星宇股份，股票代码：</w:t>
      </w:r>
      <w:r>
        <w:rPr>
          <w:rFonts w:ascii="Times New Roman" w:hAnsi="Times New Roman" w:cs="Times New Roman" w:eastAsia="Times New Roman" w:hint="default"/>
        </w:rPr>
        <w:t>601799</w:t>
      </w:r>
      <w:r>
        <w:rPr/>
        <w:t>）</w:t>
      </w:r>
      <w:r>
        <w:rPr>
          <w:rFonts w:ascii="Times New Roman" w:hAnsi="Times New Roman" w:cs="Times New Roman" w:eastAsia="Times New Roman" w:hint="default"/>
        </w:rPr>
        <w:t>2.64%</w:t>
      </w:r>
      <w:r>
        <w:rPr/>
        <w:t>的股 权；</w:t>
      </w:r>
    </w:p>
    <w:p>
      <w:pPr>
        <w:pStyle w:val="BodyText"/>
        <w:spacing w:line="300" w:lineRule="auto" w:before="70"/>
        <w:ind w:left="178" w:right="241"/>
        <w:jc w:val="left"/>
      </w:pPr>
      <w:r>
        <w:rPr>
          <w:rFonts w:ascii="Times New Roman" w:hAnsi="Times New Roman" w:cs="Times New Roman" w:eastAsia="Times New Roman" w:hint="default"/>
        </w:rPr>
        <w:t>17</w:t>
      </w:r>
      <w:r>
        <w:rPr/>
        <w:t>、持有隆基绿能科技股份有限公司（股票简称：隆基股份，股票代码：</w:t>
      </w:r>
      <w:r>
        <w:rPr>
          <w:rFonts w:ascii="Times New Roman" w:hAnsi="Times New Roman" w:cs="Times New Roman" w:eastAsia="Times New Roman" w:hint="default"/>
        </w:rPr>
        <w:t>601012</w:t>
      </w:r>
      <w:r>
        <w:rPr/>
        <w:t>）</w:t>
      </w:r>
      <w:r>
        <w:rPr>
          <w:rFonts w:ascii="Times New Roman" w:hAnsi="Times New Roman" w:cs="Times New Roman" w:eastAsia="Times New Roman" w:hint="default"/>
        </w:rPr>
        <w:t>1.37%</w:t>
      </w:r>
      <w:r>
        <w:rPr/>
        <w:t>的股 权；</w:t>
      </w:r>
    </w:p>
    <w:p>
      <w:pPr>
        <w:pStyle w:val="BodyText"/>
        <w:spacing w:line="300" w:lineRule="auto" w:before="72"/>
        <w:ind w:left="178" w:right="0"/>
        <w:jc w:val="left"/>
      </w:pPr>
      <w:r>
        <w:rPr>
          <w:rFonts w:ascii="Times New Roman" w:hAnsi="Times New Roman" w:cs="Times New Roman" w:eastAsia="Times New Roman" w:hint="default"/>
        </w:rPr>
        <w:t>18</w:t>
      </w:r>
      <w:r>
        <w:rPr/>
        <w:t>、持有天顺风能</w:t>
      </w:r>
      <w:r>
        <w:rPr>
          <w:rFonts w:ascii="Times New Roman" w:hAnsi="Times New Roman" w:cs="Times New Roman" w:eastAsia="Times New Roman" w:hint="default"/>
        </w:rPr>
        <w:t>(</w:t>
      </w:r>
      <w:r>
        <w:rPr/>
        <w:t>苏州</w:t>
      </w:r>
      <w:r>
        <w:rPr>
          <w:rFonts w:ascii="Times New Roman" w:hAnsi="Times New Roman" w:cs="Times New Roman" w:eastAsia="Times New Roman" w:hint="default"/>
        </w:rPr>
        <w:t>)</w:t>
      </w:r>
      <w:r>
        <w:rPr/>
        <w:t>股份有限公司（股票简称：天顺风能，股票代码：</w:t>
      </w:r>
      <w:r>
        <w:rPr>
          <w:rFonts w:ascii="Times New Roman" w:hAnsi="Times New Roman" w:cs="Times New Roman" w:eastAsia="Times New Roman" w:hint="default"/>
        </w:rPr>
        <w:t>002531</w:t>
      </w:r>
      <w:r>
        <w:rPr/>
        <w:t>）</w:t>
      </w:r>
      <w:r>
        <w:rPr>
          <w:rFonts w:ascii="Times New Roman" w:hAnsi="Times New Roman" w:cs="Times New Roman" w:eastAsia="Times New Roman" w:hint="default"/>
        </w:rPr>
        <w:t>1.67%</w:t>
      </w:r>
      <w:r>
        <w:rPr/>
        <w:t>的 股权；</w:t>
      </w:r>
    </w:p>
    <w:p>
      <w:pPr>
        <w:pStyle w:val="BodyText"/>
        <w:spacing w:line="300" w:lineRule="auto" w:before="72"/>
        <w:ind w:left="178" w:right="0"/>
        <w:jc w:val="left"/>
      </w:pPr>
      <w:r>
        <w:rPr>
          <w:rFonts w:ascii="Times New Roman" w:hAnsi="Times New Roman" w:cs="Times New Roman" w:eastAsia="Times New Roman" w:hint="default"/>
        </w:rPr>
        <w:t>19</w:t>
      </w:r>
      <w:r>
        <w:rPr/>
        <w:t>、持有河南平高电气股份有限公司（股票简称：平高电气，股票代码：</w:t>
      </w:r>
      <w:r>
        <w:rPr>
          <w:rFonts w:ascii="Times New Roman" w:hAnsi="Times New Roman" w:cs="Times New Roman" w:eastAsia="Times New Roman" w:hint="default"/>
        </w:rPr>
        <w:t>600312</w:t>
      </w:r>
      <w:r>
        <w:rPr/>
        <w:t>）</w:t>
      </w:r>
      <w:r>
        <w:rPr>
          <w:rFonts w:ascii="Times New Roman" w:hAnsi="Times New Roman" w:cs="Times New Roman" w:eastAsia="Times New Roman" w:hint="default"/>
        </w:rPr>
        <w:t>1.99%</w:t>
      </w:r>
      <w:r>
        <w:rPr/>
        <w:t>的股 权；</w:t>
      </w:r>
    </w:p>
    <w:p>
      <w:pPr>
        <w:pStyle w:val="BodyText"/>
        <w:spacing w:line="240" w:lineRule="auto" w:before="70"/>
        <w:ind w:left="178" w:right="0"/>
        <w:jc w:val="left"/>
      </w:pPr>
      <w:r>
        <w:rPr>
          <w:rFonts w:ascii="Times New Roman" w:hAnsi="Times New Roman" w:cs="Times New Roman" w:eastAsia="Times New Roman" w:hint="default"/>
          <w:spacing w:val="-4"/>
        </w:rPr>
        <w:t>20</w:t>
      </w:r>
      <w:r>
        <w:rPr>
          <w:spacing w:val="-4"/>
        </w:rPr>
        <w:t>、持有香港证券交易所上市公司：青岛控股国际有限公司（股票简称：青岛控股，股票代码：</w:t>
      </w:r>
    </w:p>
    <w:p>
      <w:pPr>
        <w:spacing w:after="0" w:line="240" w:lineRule="auto"/>
        <w:jc w:val="left"/>
        <w:sectPr>
          <w:type w:val="continuous"/>
          <w:pgSz w:w="11910" w:h="16840"/>
          <w:pgMar w:top="1060" w:bottom="1160" w:left="980" w:right="980"/>
          <w:cols w:num="2" w:equalWidth="0">
            <w:col w:w="2162" w:space="40"/>
            <w:col w:w="7748"/>
          </w:cols>
        </w:sectPr>
      </w:pPr>
    </w:p>
    <w:p>
      <w:pPr>
        <w:spacing w:line="240" w:lineRule="auto" w:before="2"/>
        <w:rPr>
          <w:rFonts w:ascii="宋体" w:hAnsi="宋体" w:cs="宋体" w:eastAsia="宋体" w:hint="default"/>
          <w:sz w:val="28"/>
          <w:szCs w:val="28"/>
        </w:rPr>
      </w:pPr>
    </w:p>
    <w:p>
      <w:pPr>
        <w:spacing w:line="38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19.1pt;mso-position-horizontal-relative:char;mso-position-vertical-relative:line" coordorigin="0,0" coordsize="9581,382">
            <v:group style="position:absolute;left:12;top:14;width:2190;height:354" coordorigin="12,14" coordsize="2190,354">
              <v:shape style="position:absolute;left:12;top:14;width:2190;height:354" coordorigin="12,14" coordsize="2190,354" path="m12,368l2201,368,2201,14,12,14,12,368xe" filled="true" fillcolor="#d2d2d2" stroked="false">
                <v:path arrowok="t"/>
                <v:fill type="solid"/>
              </v:shape>
            </v:group>
            <v:group style="position:absolute;left:10;top:10;width:2190;height:2" coordorigin="10,10" coordsize="2190,2">
              <v:shape style="position:absolute;left:10;top:10;width:2190;height:2" coordorigin="10,10" coordsize="2190,0" path="m10,10l2199,10e" filled="false" stroked="true" strokeweight=".48pt" strokecolor="#000000">
                <v:path arrowok="t"/>
              </v:shape>
            </v:group>
            <v:group style="position:absolute;left:2208;top:10;width:7363;height:2" coordorigin="2208,10" coordsize="7363,2">
              <v:shape style="position:absolute;left:2208;top:10;width:7363;height:2" coordorigin="2208,10" coordsize="7363,0" path="m2208,10l9571,10e" filled="false" stroked="true" strokeweight=".48pt" strokecolor="#000000">
                <v:path arrowok="t"/>
              </v:shape>
            </v:group>
            <v:group style="position:absolute;left:5;top:5;width:2;height:373" coordorigin="5,5" coordsize="2,373">
              <v:shape style="position:absolute;left:5;top:5;width:2;height:373" coordorigin="5,5" coordsize="0,373" path="m5,5l5,377e" filled="false" stroked="true" strokeweight=".48pt" strokecolor="#000000">
                <v:path arrowok="t"/>
              </v:shape>
            </v:group>
            <v:group style="position:absolute;left:10;top:372;width:2190;height:2" coordorigin="10,372" coordsize="2190,2">
              <v:shape style="position:absolute;left:10;top:372;width:2190;height:2" coordorigin="10,372" coordsize="2190,0" path="m10,372l2199,372e" filled="false" stroked="true" strokeweight=".48pt" strokecolor="#000000">
                <v:path arrowok="t"/>
              </v:shape>
            </v:group>
            <v:group style="position:absolute;left:2204;top:5;width:2;height:373" coordorigin="2204,5" coordsize="2,373">
              <v:shape style="position:absolute;left:2204;top:5;width:2;height:373" coordorigin="2204,5" coordsize="0,373" path="m2204,5l2204,377e" filled="false" stroked="true" strokeweight=".48001pt" strokecolor="#000000">
                <v:path arrowok="t"/>
              </v:shape>
            </v:group>
            <v:group style="position:absolute;left:2208;top:372;width:7363;height:2" coordorigin="2208,372" coordsize="7363,2">
              <v:shape style="position:absolute;left:2208;top:372;width:7363;height:2" coordorigin="2208,372" coordsize="7363,0" path="m2208,372l9571,372e" filled="false" stroked="true" strokeweight=".48pt" strokecolor="#000000">
                <v:path arrowok="t"/>
              </v:shape>
            </v:group>
            <v:group style="position:absolute;left:9576;top:5;width:2;height:373" coordorigin="9576,5" coordsize="2,373">
              <v:shape style="position:absolute;left:9576;top:5;width:2;height:373" coordorigin="9576,5" coordsize="0,373" path="m9576,5l9576,377e" filled="false" stroked="true" strokeweight=".47998pt" strokecolor="#000000">
                <v:path arrowok="t"/>
              </v:shape>
              <v:shape style="position:absolute;left:2204;top:10;width:7372;height:363" type="#_x0000_t202" filled="false" stroked="false">
                <v:textbox inset="0,0,0,0">
                  <w:txbxContent>
                    <w:p>
                      <w:pPr>
                        <w:spacing w:before="13"/>
                        <w:ind w:left="2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HK0499</w:t>
                      </w:r>
                      <w:r>
                        <w:rPr>
                          <w:rFonts w:ascii="宋体" w:hAnsi="宋体" w:cs="宋体" w:eastAsia="宋体" w:hint="default"/>
                          <w:sz w:val="18"/>
                          <w:szCs w:val="18"/>
                        </w:rPr>
                        <w:t>）</w:t>
                      </w:r>
                      <w:r>
                        <w:rPr>
                          <w:rFonts w:ascii="Times New Roman" w:hAnsi="Times New Roman" w:cs="Times New Roman" w:eastAsia="Times New Roman" w:hint="default"/>
                          <w:sz w:val="18"/>
                          <w:szCs w:val="18"/>
                        </w:rPr>
                        <w:t>69.02%</w:t>
                      </w:r>
                      <w:r>
                        <w:rPr>
                          <w:rFonts w:ascii="宋体" w:hAnsi="宋体" w:cs="宋体" w:eastAsia="宋体" w:hint="default"/>
                          <w:sz w:val="18"/>
                          <w:szCs w:val="18"/>
                        </w:rPr>
                        <w:t>的股权。</w:t>
                      </w:r>
                    </w:p>
                  </w:txbxContent>
                </v:textbox>
                <w10:wrap type="none"/>
              </v:shape>
            </v:group>
          </v:group>
        </w:pict>
      </w:r>
      <w:r>
        <w:rPr>
          <w:rFonts w:ascii="宋体" w:hAnsi="宋体" w:cs="宋体" w:eastAsia="宋体" w:hint="default"/>
          <w:position w:val="-7"/>
          <w:sz w:val="20"/>
          <w:szCs w:val="20"/>
        </w:rPr>
      </w:r>
    </w:p>
    <w:p>
      <w:pPr>
        <w:pStyle w:val="BodyText"/>
        <w:spacing w:line="240" w:lineRule="auto" w:before="44"/>
        <w:ind w:right="135"/>
        <w:jc w:val="left"/>
      </w:pPr>
      <w:r>
        <w:rPr/>
        <w:t>控股股东报告期内变更</w:t>
      </w:r>
    </w:p>
    <w:p>
      <w:pPr>
        <w:pStyle w:val="BodyText"/>
        <w:spacing w:line="240" w:lineRule="auto" w:before="115"/>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新控股股东名称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青岛城投金融控股集团有限公司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http://www.cninfo.com.cn/cninfo-new/index</w:t>
              </w:r>
            </w:hyperlink>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bl>
    <w:p>
      <w:pPr>
        <w:spacing w:line="240" w:lineRule="auto" w:before="3"/>
        <w:rPr>
          <w:rFonts w:ascii="宋体" w:hAnsi="宋体" w:cs="宋体" w:eastAsia="宋体" w:hint="default"/>
          <w:sz w:val="19"/>
          <w:szCs w:val="19"/>
        </w:rPr>
      </w:pPr>
    </w:p>
    <w:p>
      <w:pPr>
        <w:pStyle w:val="Heading3"/>
        <w:spacing w:line="240" w:lineRule="auto" w:before="36"/>
        <w:ind w:right="135"/>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6894"/>
        <w:jc w:val="left"/>
      </w:pPr>
      <w:r>
        <w:rPr/>
        <w:t>实际控制人性质：地方国资管理机构 实际控制人类型：法人</w:t>
      </w:r>
    </w:p>
    <w:tbl>
      <w:tblPr>
        <w:tblW w:w="0" w:type="auto"/>
        <w:jc w:val="left"/>
        <w:tblInd w:w="148" w:type="dxa"/>
        <w:tblLayout w:type="fixed"/>
        <w:tblCellMar>
          <w:top w:w="0" w:type="dxa"/>
          <w:left w:w="0" w:type="dxa"/>
          <w:bottom w:w="0" w:type="dxa"/>
          <w:right w:w="0" w:type="dxa"/>
        </w:tblCellMar>
        <w:tblLook w:val="01E0"/>
      </w:tblPr>
      <w:tblGrid>
        <w:gridCol w:w="2199"/>
        <w:gridCol w:w="1793"/>
        <w:gridCol w:w="1433"/>
        <w:gridCol w:w="1594"/>
        <w:gridCol w:w="2552"/>
      </w:tblGrid>
      <w:tr>
        <w:trPr>
          <w:trHeight w:val="715"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6"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802" w:right="5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3"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青岛市人民政府国有资产 监督管理委员会</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王宁</w:t>
            </w:r>
          </w:p>
        </w:tc>
        <w:tc>
          <w:tcPr>
            <w:tcW w:w="14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70"/>
        <w:ind w:right="135"/>
        <w:jc w:val="left"/>
      </w:pPr>
      <w:r>
        <w:rPr/>
        <w:t>实际控制人报告期内变更</w:t>
      </w:r>
    </w:p>
    <w:p>
      <w:pPr>
        <w:pStyle w:val="BodyText"/>
        <w:spacing w:line="240" w:lineRule="auto" w:before="117"/>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新实际控制人名称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青岛市人民政府国有资产监督管理委员会</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http://www.cninfo.com.cn/cninfo-new/index</w:t>
              </w:r>
            </w:hyperlink>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bl>
    <w:p>
      <w:pPr>
        <w:pStyle w:val="BodyText"/>
        <w:spacing w:line="240" w:lineRule="auto" w:before="49"/>
        <w:ind w:right="135"/>
        <w:jc w:val="left"/>
      </w:pPr>
      <w:r>
        <w:rPr/>
        <w:t>公司与实际控制人之间的产权及控制关系的方框图</w:t>
      </w:r>
    </w:p>
    <w:p>
      <w:pPr>
        <w:spacing w:line="240" w:lineRule="auto" w:before="9"/>
        <w:rPr>
          <w:rFonts w:ascii="宋体" w:hAnsi="宋体" w:cs="宋体" w:eastAsia="宋体" w:hint="default"/>
          <w:sz w:val="26"/>
          <w:szCs w:val="26"/>
        </w:rPr>
      </w:pPr>
    </w:p>
    <w:p>
      <w:pPr>
        <w:spacing w:line="4200" w:lineRule="exact"/>
        <w:ind w:left="1355" w:right="0" w:firstLine="0"/>
        <w:rPr>
          <w:rFonts w:ascii="宋体" w:hAnsi="宋体" w:cs="宋体" w:eastAsia="宋体" w:hint="default"/>
          <w:sz w:val="20"/>
          <w:szCs w:val="20"/>
        </w:rPr>
      </w:pPr>
      <w:r>
        <w:rPr>
          <w:rFonts w:ascii="宋体" w:hAnsi="宋体" w:cs="宋体" w:eastAsia="宋体" w:hint="default"/>
          <w:position w:val="-83"/>
          <w:sz w:val="20"/>
          <w:szCs w:val="20"/>
        </w:rPr>
        <w:drawing>
          <wp:inline distT="0" distB="0" distL="0" distR="0">
            <wp:extent cx="4590311" cy="26670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4" cstate="print"/>
                    <a:stretch>
                      <a:fillRect/>
                    </a:stretch>
                  </pic:blipFill>
                  <pic:spPr>
                    <a:xfrm>
                      <a:off x="0" y="0"/>
                      <a:ext cx="4590311" cy="2667000"/>
                    </a:xfrm>
                    <a:prstGeom prst="rect">
                      <a:avLst/>
                    </a:prstGeom>
                  </pic:spPr>
                </pic:pic>
              </a:graphicData>
            </a:graphic>
          </wp:inline>
        </w:drawing>
      </w:r>
      <w:r>
        <w:rPr>
          <w:rFonts w:ascii="宋体" w:hAnsi="宋体" w:cs="宋体" w:eastAsia="宋体" w:hint="default"/>
          <w:position w:val="-83"/>
          <w:sz w:val="20"/>
          <w:szCs w:val="20"/>
        </w:rPr>
      </w:r>
    </w:p>
    <w:p>
      <w:pPr>
        <w:spacing w:line="240" w:lineRule="auto" w:before="2"/>
        <w:rPr>
          <w:rFonts w:ascii="宋体" w:hAnsi="宋体" w:cs="宋体" w:eastAsia="宋体" w:hint="default"/>
          <w:sz w:val="19"/>
          <w:szCs w:val="19"/>
        </w:rPr>
      </w:pPr>
    </w:p>
    <w:p>
      <w:pPr>
        <w:spacing w:before="0"/>
        <w:ind w:left="152" w:right="135"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after="0"/>
        <w:jc w:val="left"/>
        <w:rPr>
          <w:rFonts w:ascii="宋体" w:hAnsi="宋体" w:cs="宋体" w:eastAsia="宋体" w:hint="default"/>
          <w:sz w:val="24"/>
          <w:szCs w:val="24"/>
        </w:rPr>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35"/>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35"/>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135"/>
        <w:jc w:val="left"/>
        <w:rPr>
          <w:b w:val="0"/>
          <w:bCs w:val="0"/>
        </w:rPr>
      </w:pPr>
      <w:bookmarkStart w:name="_bookmark6" w:id="7"/>
      <w:bookmarkEnd w:id="7"/>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7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135"/>
        <w:jc w:val="left"/>
        <w:rPr>
          <w:b w:val="0"/>
          <w:bCs w:val="0"/>
        </w:rPr>
      </w:pPr>
      <w:bookmarkStart w:name="_bookmark7" w:id="8"/>
      <w:bookmarkEnd w:id="8"/>
      <w:r>
        <w:rPr>
          <w:b w:val="0"/>
          <w:bCs w:val="0"/>
        </w:rPr>
      </w:r>
      <w:r>
        <w:rPr/>
        <w:t>第八节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35"/>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卢民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贾玉兰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5,749,875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5,749,875</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贾全臣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122,183,7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10,533,15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111,650,6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23</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贾晓钰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董事兼总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75,614,50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75,614,50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宋明杰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赵风雷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徐茂顺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孙建强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傅瑜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675"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赵焕森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袁瑞峰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27,500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27,500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莫柏欣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董事会秘 书兼副总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3,094,000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3,094,000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于秀成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财务总监 兼副总裁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206,669,6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10,533,15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196,136,4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98</w:t>
            </w:r>
          </w:p>
        </w:tc>
      </w:tr>
    </w:tbl>
    <w:p>
      <w:pPr>
        <w:spacing w:line="240" w:lineRule="auto" w:before="1"/>
        <w:rPr>
          <w:rFonts w:ascii="宋体" w:hAnsi="宋体" w:cs="宋体" w:eastAsia="宋体" w:hint="default"/>
          <w:b/>
          <w:bCs/>
          <w:sz w:val="18"/>
          <w:szCs w:val="18"/>
        </w:rPr>
      </w:pPr>
    </w:p>
    <w:p>
      <w:pPr>
        <w:pStyle w:val="Heading2"/>
        <w:spacing w:line="240" w:lineRule="auto" w:before="26"/>
        <w:ind w:right="93"/>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贾全臣</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个人原因离职</w:t>
            </w:r>
          </w:p>
        </w:tc>
      </w:tr>
    </w:tbl>
    <w:p>
      <w:pPr>
        <w:spacing w:line="240" w:lineRule="auto" w:before="1"/>
        <w:rPr>
          <w:rFonts w:ascii="宋体" w:hAnsi="宋体" w:cs="宋体" w:eastAsia="宋体" w:hint="default"/>
          <w:sz w:val="18"/>
          <w:szCs w:val="18"/>
        </w:rPr>
      </w:pPr>
    </w:p>
    <w:p>
      <w:pPr>
        <w:pStyle w:val="Heading2"/>
        <w:spacing w:line="240" w:lineRule="auto" w:before="26"/>
        <w:ind w:right="0"/>
        <w:jc w:val="both"/>
        <w:rPr>
          <w:b w:val="0"/>
          <w:bCs w:val="0"/>
        </w:rPr>
      </w:pP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公司现任董事、监事、高级管理人员专业背景、主要工作经历以及目前在公司的主要职责</w:t>
      </w:r>
    </w:p>
    <w:p>
      <w:pPr>
        <w:pStyle w:val="BodyText"/>
        <w:spacing w:line="314" w:lineRule="auto" w:before="117"/>
        <w:ind w:right="94"/>
        <w:jc w:val="left"/>
      </w:pPr>
      <w:r>
        <w:rPr>
          <w:rFonts w:ascii="Times New Roman" w:hAnsi="Times New Roman" w:cs="Times New Roman" w:eastAsia="Times New Roman" w:hint="default"/>
        </w:rPr>
        <w:t>1</w:t>
      </w:r>
      <w:r>
        <w:rPr/>
        <w:t>、卢民，男，</w:t>
      </w:r>
      <w:r>
        <w:rPr>
          <w:rFonts w:ascii="Times New Roman" w:hAnsi="Times New Roman" w:cs="Times New Roman" w:eastAsia="Times New Roman" w:hint="default"/>
        </w:rPr>
        <w:t>1965</w:t>
      </w:r>
      <w:r>
        <w:rPr/>
        <w:t>年出生，中国国籍，无境外永久居留权。本科毕业于山东经济学院财经专业，中国科技大学工学硕士， 具有财政专业经济师资格。历任青岛市国资局（办）副处长、处长；青岛开发投资有限公司总经理助理、资本运营部部长； </w:t>
      </w:r>
      <w:r>
        <w:rPr>
          <w:spacing w:val="-2"/>
        </w:rPr>
        <w:t>中亿资产管理公司总经理；中山置业公司总经理；青岛城市建设投资（集团）有限责任公司总经理助理；青岛城乡社区建设</w:t>
      </w:r>
      <w:r>
        <w:rPr>
          <w:spacing w:val="-66"/>
        </w:rPr>
        <w:t> </w:t>
      </w:r>
      <w:r>
        <w:rPr>
          <w:spacing w:val="-66"/>
        </w:rPr>
      </w:r>
      <w:r>
        <w:rPr>
          <w:spacing w:val="-2"/>
        </w:rPr>
        <w:t>融资担保有限公司常务副总经理，总经理；青岛城投金融控股集团有限公司董事长。现任青岛城投集团总经理助理，本公司</w:t>
      </w:r>
      <w:r>
        <w:rPr>
          <w:spacing w:val="-64"/>
        </w:rPr>
        <w:t> </w:t>
      </w:r>
      <w:r>
        <w:rPr>
          <w:spacing w:val="-64"/>
        </w:rPr>
      </w:r>
      <w:r>
        <w:rPr/>
        <w:t>董事长。</w:t>
      </w:r>
    </w:p>
    <w:p>
      <w:pPr>
        <w:pStyle w:val="BodyText"/>
        <w:spacing w:line="300" w:lineRule="auto" w:before="20"/>
        <w:ind w:right="191"/>
        <w:jc w:val="both"/>
      </w:pPr>
      <w:r>
        <w:rPr>
          <w:rFonts w:ascii="Times New Roman" w:hAnsi="Times New Roman" w:cs="Times New Roman" w:eastAsia="Times New Roman" w:hint="default"/>
          <w:spacing w:val="-1"/>
        </w:rPr>
        <w:t>2</w:t>
      </w:r>
      <w:r>
        <w:rPr>
          <w:spacing w:val="-1"/>
        </w:rPr>
        <w:t>、贾玉兰，女，</w:t>
      </w:r>
      <w:r>
        <w:rPr>
          <w:rFonts w:ascii="Times New Roman" w:hAnsi="Times New Roman" w:cs="Times New Roman" w:eastAsia="Times New Roman" w:hint="default"/>
          <w:spacing w:val="-1"/>
        </w:rPr>
        <w:t>1963</w:t>
      </w:r>
      <w:r>
        <w:rPr>
          <w:spacing w:val="-1"/>
        </w:rPr>
        <w:t>年出生，中国国籍，享有新西兰永久居留权，毕业于天津医科大学，本科学历。</w:t>
      </w:r>
      <w:r>
        <w:rPr>
          <w:rFonts w:ascii="Times New Roman" w:hAnsi="Times New Roman" w:cs="Times New Roman" w:eastAsia="Times New Roman" w:hint="default"/>
          <w:spacing w:val="-1"/>
        </w:rPr>
        <w:t>1985</w:t>
      </w:r>
      <w:r>
        <w:rPr>
          <w:spacing w:val="-1"/>
        </w:rPr>
        <w:t>年</w:t>
      </w:r>
      <w:r>
        <w:rPr>
          <w:rFonts w:ascii="Times New Roman" w:hAnsi="Times New Roman" w:cs="Times New Roman" w:eastAsia="Times New Roman" w:hint="default"/>
          <w:spacing w:val="-1"/>
        </w:rPr>
        <w:t>-2005</w:t>
      </w:r>
      <w:r>
        <w:rPr>
          <w:spacing w:val="-1"/>
        </w:rPr>
        <w:t>年任天津</w:t>
      </w:r>
      <w:r>
        <w:rPr/>
        <w:t> </w:t>
      </w:r>
      <w:r>
        <w:rPr>
          <w:spacing w:val="-2"/>
        </w:rPr>
        <w:t>传染病医院临床医师，</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-2007</w:t>
      </w:r>
      <w:r>
        <w:rPr>
          <w:spacing w:val="-2"/>
        </w:rPr>
        <w:t>年在新西兰学习，</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4</w:t>
      </w:r>
      <w:r>
        <w:rPr>
          <w:spacing w:val="-2"/>
        </w:rPr>
        <w:t>月任青岛恒顺电器有限公司董事，</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11</w:t>
      </w:r>
      <w:r>
        <w:rPr>
          <w:rFonts w:ascii="Times New Roman" w:hAnsi="Times New Roman" w:cs="Times New Roman" w:eastAsia="Times New Roman" w:hint="default"/>
          <w:spacing w:val="1"/>
        </w:rPr>
        <w:t> </w:t>
      </w:r>
      <w:r>
        <w:rPr/>
        <w:t>月任青岛市恒顺众昇集团股份有限公司监事会主席。现任公司副董事长。</w:t>
      </w:r>
    </w:p>
    <w:p>
      <w:pPr>
        <w:pStyle w:val="BodyText"/>
        <w:spacing w:line="307" w:lineRule="auto" w:before="31"/>
        <w:ind w:right="189"/>
        <w:jc w:val="both"/>
      </w:pPr>
      <w:r>
        <w:rPr>
          <w:rFonts w:ascii="Times New Roman" w:hAnsi="Times New Roman" w:cs="Times New Roman" w:eastAsia="Times New Roman" w:hint="default"/>
          <w:spacing w:val="-3"/>
        </w:rPr>
        <w:t>3</w:t>
      </w:r>
      <w:r>
        <w:rPr>
          <w:spacing w:val="-3"/>
        </w:rPr>
        <w:t>、贾晓钰，男，</w:t>
      </w:r>
      <w:r>
        <w:rPr>
          <w:rFonts w:ascii="Times New Roman" w:hAnsi="Times New Roman" w:cs="Times New Roman" w:eastAsia="Times New Roman" w:hint="default"/>
          <w:spacing w:val="-3"/>
        </w:rPr>
        <w:t>1984</w:t>
      </w:r>
      <w:r>
        <w:rPr>
          <w:rFonts w:ascii="Times New Roman" w:hAnsi="Times New Roman" w:cs="Times New Roman" w:eastAsia="Times New Roman" w:hint="default"/>
          <w:spacing w:val="-2"/>
        </w:rPr>
        <w:t> </w:t>
      </w:r>
      <w:r>
        <w:rPr/>
        <w:t>年出生，中国国籍，无境外永久居留权。澳大利亚昆士兰大学学士学位。</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月加入青岛市恒顺 </w:t>
      </w:r>
      <w:r>
        <w:rPr>
          <w:spacing w:val="-2"/>
        </w:rPr>
        <w:t>众昇集团股份有限公司，任公司下属子公司青岛恒顺节能有限公司总经理。</w:t>
      </w:r>
      <w:r>
        <w:rPr>
          <w:rFonts w:ascii="Times New Roman" w:hAnsi="Times New Roman" w:cs="Times New Roman" w:eastAsia="Times New Roman" w:hint="default"/>
          <w:spacing w:val="-2"/>
        </w:rPr>
        <w:t>2011</w:t>
      </w:r>
      <w:r>
        <w:rPr>
          <w:spacing w:val="-2"/>
        </w:rPr>
        <w:t>年底参与集团海外业务拓展，负责集团在印</w:t>
      </w:r>
      <w:r>
        <w:rPr>
          <w:spacing w:val="-59"/>
        </w:rPr>
        <w:t> </w:t>
      </w:r>
      <w:r>
        <w:rPr>
          <w:spacing w:val="-59"/>
        </w:rPr>
      </w:r>
      <w:r>
        <w:rPr>
          <w:spacing w:val="-2"/>
        </w:rPr>
        <w:t>尼矿产运营、综合工业园开发和建设等投资项目，积累了丰富的投资和管理经验。现任公司董事、总裁，兼任恒顺新加坡国</w:t>
      </w:r>
      <w:r>
        <w:rPr>
          <w:spacing w:val="-67"/>
        </w:rPr>
        <w:t> </w:t>
      </w:r>
      <w:r>
        <w:rPr>
          <w:spacing w:val="-67"/>
        </w:rPr>
      </w:r>
      <w:r>
        <w:rPr/>
        <w:t>际控股有限责任公司、恒顺印尼资源有限公司总经理、执行董事。</w:t>
      </w:r>
    </w:p>
    <w:p>
      <w:pPr>
        <w:spacing w:after="0" w:line="307" w:lineRule="auto"/>
        <w:jc w:val="both"/>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93"/>
        <w:jc w:val="left"/>
      </w:pPr>
      <w:r>
        <w:rPr>
          <w:rFonts w:ascii="Times New Roman" w:hAnsi="Times New Roman" w:cs="Times New Roman" w:eastAsia="Times New Roman" w:hint="default"/>
        </w:rPr>
        <w:t>4</w:t>
      </w:r>
      <w:r>
        <w:rPr/>
        <w:t>、宋明杰，男，</w:t>
      </w:r>
      <w:r>
        <w:rPr>
          <w:rFonts w:ascii="Times New Roman" w:hAnsi="Times New Roman" w:cs="Times New Roman" w:eastAsia="Times New Roman" w:hint="default"/>
        </w:rPr>
        <w:t>1966</w:t>
      </w:r>
      <w:r>
        <w:rPr/>
        <w:t>年出生，中国国籍，无境外永久居留权，南开大学硕士研究生学历，中共党员。</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03</w:t>
      </w:r>
      <w:r>
        <w:rPr/>
        <w:t>月至</w:t>
      </w:r>
      <w:r>
        <w:rPr>
          <w:rFonts w:ascii="Times New Roman" w:hAnsi="Times New Roman" w:cs="Times New Roman" w:eastAsia="Times New Roman" w:hint="default"/>
        </w:rPr>
        <w:t>2016</w:t>
      </w:r>
      <w:r>
        <w:rPr/>
        <w:t>年</w:t>
      </w:r>
    </w:p>
    <w:p>
      <w:pPr>
        <w:pStyle w:val="BodyText"/>
        <w:spacing w:line="312" w:lineRule="auto" w:before="63"/>
        <w:ind w:right="93"/>
        <w:jc w:val="left"/>
      </w:pPr>
      <w:r>
        <w:rPr>
          <w:rFonts w:ascii="Times New Roman" w:hAnsi="Times New Roman" w:cs="Times New Roman" w:eastAsia="Times New Roman" w:hint="default"/>
        </w:rPr>
        <w:t>04</w:t>
      </w:r>
      <w:r>
        <w:rPr/>
        <w:t>月先后任青岛钢铁控股集团有限公司处长、采购部总经理等职务；</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04</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月任青岛城投国际贸易集团有限 公司总经理。现任青岛城投国际控股有限公司董事兼总经理、本公司董事。 </w:t>
      </w:r>
      <w:r>
        <w:rPr>
          <w:rFonts w:ascii="Times New Roman" w:hAnsi="Times New Roman" w:cs="Times New Roman" w:eastAsia="Times New Roman" w:hint="default"/>
        </w:rPr>
        <w:t>5</w:t>
      </w:r>
      <w:r>
        <w:rPr/>
        <w:t>、赵风雷，男，</w:t>
      </w:r>
      <w:r>
        <w:rPr>
          <w:rFonts w:ascii="Times New Roman" w:hAnsi="Times New Roman" w:cs="Times New Roman" w:eastAsia="Times New Roman" w:hint="default"/>
        </w:rPr>
        <w:t>1970</w:t>
      </w:r>
      <w:r>
        <w:rPr/>
        <w:t>年出生，中国国籍，无境外永久居留权。本科毕业于浙江大学工业管理工程专业，中国海洋大学工商 </w:t>
      </w:r>
      <w:r>
        <w:rPr>
          <w:spacing w:val="-2"/>
        </w:rPr>
        <w:t>管理硕士。历任青岛双星鞋业股份有限公司筹委会秘书、证券部经理；青岛城投金融控股集团有限公司副总经理；青岛城投</w:t>
      </w:r>
      <w:r>
        <w:rPr>
          <w:spacing w:val="-65"/>
        </w:rPr>
        <w:t> </w:t>
      </w:r>
      <w:r>
        <w:rPr>
          <w:spacing w:val="-65"/>
        </w:rPr>
      </w:r>
      <w:r>
        <w:rPr/>
        <w:t>金控股权投资管理有限公司总经理。现任青岛城投集团基金管理中心副主任，本公司董事。 </w:t>
      </w:r>
      <w:r>
        <w:rPr>
          <w:rFonts w:ascii="Times New Roman" w:hAnsi="Times New Roman" w:cs="Times New Roman" w:eastAsia="Times New Roman" w:hint="default"/>
          <w:spacing w:val="-2"/>
        </w:rPr>
        <w:t>6</w:t>
      </w:r>
      <w:r>
        <w:rPr>
          <w:spacing w:val="-2"/>
        </w:rPr>
        <w:t>、陈坚，男，</w:t>
      </w:r>
      <w:r>
        <w:rPr>
          <w:rFonts w:ascii="Times New Roman" w:hAnsi="Times New Roman" w:cs="Times New Roman" w:eastAsia="Times New Roman" w:hint="default"/>
          <w:spacing w:val="-2"/>
        </w:rPr>
        <w:t>1966</w:t>
      </w:r>
      <w:r>
        <w:rPr>
          <w:spacing w:val="-2"/>
        </w:rPr>
        <w:t>年出生，中国国籍，无境外永久居留权。</w:t>
      </w:r>
      <w:r>
        <w:rPr>
          <w:rFonts w:ascii="Times New Roman" w:hAnsi="Times New Roman" w:cs="Times New Roman" w:eastAsia="Times New Roman" w:hint="default"/>
          <w:spacing w:val="-2"/>
        </w:rPr>
        <w:t>1989</w:t>
      </w:r>
      <w:r>
        <w:rPr>
          <w:spacing w:val="-2"/>
        </w:rPr>
        <w:t>年毕业于重庆大学热能动力专业，本科学历，高级工程师。</w:t>
      </w:r>
    </w:p>
    <w:p>
      <w:pPr>
        <w:pStyle w:val="BodyText"/>
        <w:spacing w:line="304" w:lineRule="auto" w:before="3"/>
        <w:ind w:right="193"/>
        <w:jc w:val="left"/>
      </w:pPr>
      <w:r>
        <w:rPr>
          <w:rFonts w:ascii="Times New Roman" w:hAnsi="Times New Roman" w:cs="Times New Roman" w:eastAsia="Times New Roman" w:hint="default"/>
        </w:rPr>
        <w:t>1989</w:t>
      </w:r>
      <w:r>
        <w:rPr/>
        <w:t>年</w:t>
      </w:r>
      <w:r>
        <w:rPr>
          <w:rFonts w:ascii="Times New Roman" w:hAnsi="Times New Roman" w:cs="Times New Roman" w:eastAsia="Times New Roman" w:hint="default"/>
        </w:rPr>
        <w:t>-2005</w:t>
      </w:r>
      <w:r>
        <w:rPr/>
        <w:t>年于江西省电力设计院从事设计开发工作，期间曾任江西东源环保电力科技有限公司总经理、江西省电力设计 院杭州分院院长等职务，</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-2015</w:t>
      </w:r>
      <w:r>
        <w:rPr/>
        <w:t>年任浙江西子联合工程有限公司总经理。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-2016</w:t>
      </w:r>
      <w:r>
        <w:rPr/>
        <w:t>年在浙江大学工作。 </w:t>
      </w:r>
      <w:r>
        <w:rPr>
          <w:rFonts w:ascii="Times New Roman" w:hAnsi="Times New Roman" w:cs="Times New Roman" w:eastAsia="Times New Roman" w:hint="default"/>
        </w:rPr>
        <w:t>7</w:t>
      </w:r>
      <w:r>
        <w:rPr/>
        <w:t>、徐茂顺，男，</w:t>
      </w:r>
      <w:r>
        <w:rPr>
          <w:rFonts w:ascii="Times New Roman" w:hAnsi="Times New Roman" w:cs="Times New Roman" w:eastAsia="Times New Roman" w:hint="default"/>
        </w:rPr>
        <w:t>1954</w:t>
      </w:r>
      <w:r>
        <w:rPr/>
        <w:t>年出生，中国国籍，无境外永久居留权，吉林大学硕士学位，中共党员。曾任山东省电力公司青岛供 电公司副总经理、调研员。现任公司独立董事。 </w:t>
      </w:r>
      <w:r>
        <w:rPr>
          <w:rFonts w:ascii="Times New Roman" w:hAnsi="Times New Roman" w:cs="Times New Roman" w:eastAsia="Times New Roman" w:hint="default"/>
        </w:rPr>
        <w:t>8</w:t>
      </w:r>
      <w:r>
        <w:rPr/>
        <w:t>、孙建强，男，</w:t>
      </w:r>
      <w:r>
        <w:rPr>
          <w:rFonts w:ascii="Times New Roman" w:hAnsi="Times New Roman" w:cs="Times New Roman" w:eastAsia="Times New Roman" w:hint="default"/>
        </w:rPr>
        <w:t>1964</w:t>
      </w:r>
      <w:r>
        <w:rPr/>
        <w:t>年出生，中国国籍，无境外永久居留权。毕业于西安交通大学，博士研究生学历，教授，国家科技部 </w:t>
      </w:r>
      <w:r>
        <w:rPr>
          <w:spacing w:val="-2"/>
        </w:rPr>
        <w:t>创新基金评审专家和火炬计划评审专家，青岛市崂山区人大常委会财经咨询委员会委员。现任中国海洋大学管理学院会计学</w:t>
      </w:r>
      <w:r>
        <w:rPr>
          <w:spacing w:val="-64"/>
        </w:rPr>
        <w:t> </w:t>
      </w:r>
      <w:r>
        <w:rPr>
          <w:spacing w:val="-64"/>
        </w:rPr>
      </w:r>
      <w:r>
        <w:rPr/>
        <w:t>系教授，中国海洋大学会计硕士（</w:t>
      </w:r>
      <w:r>
        <w:rPr>
          <w:rFonts w:ascii="Times New Roman" w:hAnsi="Times New Roman" w:cs="Times New Roman" w:eastAsia="Times New Roman" w:hint="default"/>
        </w:rPr>
        <w:t>MPAcc</w:t>
      </w:r>
      <w:r>
        <w:rPr/>
        <w:t>）教育中心副主任，中国混合所有制与资本管理研究院副院长，赛轮金宇集团股 份有限公司、青岛特锐德股份有限公司独立董事。现任本公司独立董事。</w:t>
      </w:r>
    </w:p>
    <w:p>
      <w:pPr>
        <w:pStyle w:val="BodyText"/>
        <w:spacing w:line="307" w:lineRule="auto" w:before="28"/>
        <w:ind w:right="94"/>
        <w:jc w:val="left"/>
      </w:pPr>
      <w:r>
        <w:rPr>
          <w:rFonts w:ascii="Times New Roman" w:hAnsi="Times New Roman" w:cs="Times New Roman" w:eastAsia="Times New Roman" w:hint="default"/>
          <w:spacing w:val="-3"/>
        </w:rPr>
        <w:t>9</w:t>
      </w:r>
      <w:r>
        <w:rPr>
          <w:spacing w:val="-3"/>
        </w:rPr>
        <w:t>、肖红英，女，</w:t>
      </w:r>
      <w:r>
        <w:rPr>
          <w:rFonts w:ascii="Times New Roman" w:hAnsi="Times New Roman" w:cs="Times New Roman" w:eastAsia="Times New Roman" w:hint="default"/>
          <w:spacing w:val="-3"/>
        </w:rPr>
        <w:t>1953</w:t>
      </w:r>
      <w:r>
        <w:rPr>
          <w:rFonts w:ascii="Times New Roman" w:hAnsi="Times New Roman" w:cs="Times New Roman" w:eastAsia="Times New Roman" w:hint="default"/>
          <w:spacing w:val="11"/>
        </w:rPr>
        <w:t> </w:t>
      </w:r>
      <w:r>
        <w:rPr/>
        <w:t>年出生，中国国籍，无境外永久居留权。毕业于对外经济贸易大学工商管理专业，硕士学位，中共党 员。曾于</w:t>
      </w:r>
      <w:r>
        <w:rPr>
          <w:rFonts w:ascii="Times New Roman" w:hAnsi="Times New Roman" w:cs="Times New Roman" w:eastAsia="Times New Roman" w:hint="default"/>
        </w:rPr>
        <w:t>1982</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1986</w:t>
      </w:r>
      <w:r>
        <w:rPr/>
        <w:t>年</w:t>
      </w:r>
      <w:r>
        <w:rPr>
          <w:rFonts w:ascii="Times New Roman" w:hAnsi="Times New Roman" w:cs="Times New Roman" w:eastAsia="Times New Roman" w:hint="default"/>
        </w:rPr>
        <w:t>6</w:t>
      </w:r>
      <w:r>
        <w:rPr/>
        <w:t>月任商务部财会司职员，</w:t>
      </w:r>
      <w:r>
        <w:rPr>
          <w:rFonts w:ascii="Times New Roman" w:hAnsi="Times New Roman" w:cs="Times New Roman" w:eastAsia="Times New Roman" w:hint="default"/>
        </w:rPr>
        <w:t>1986</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1988</w:t>
      </w:r>
      <w:r>
        <w:rPr/>
        <w:t>年</w:t>
      </w:r>
      <w:r>
        <w:rPr>
          <w:rFonts w:ascii="Times New Roman" w:hAnsi="Times New Roman" w:cs="Times New Roman" w:eastAsia="Times New Roman" w:hint="default"/>
        </w:rPr>
        <w:t>10</w:t>
      </w:r>
      <w:r>
        <w:rPr/>
        <w:t>月任商务部审计局副处长，</w:t>
      </w:r>
      <w:r>
        <w:rPr>
          <w:rFonts w:ascii="Times New Roman" w:hAnsi="Times New Roman" w:cs="Times New Roman" w:eastAsia="Times New Roman" w:hint="default"/>
        </w:rPr>
        <w:t>1988</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1992 </w:t>
      </w:r>
      <w:r>
        <w:rPr/>
        <w:t>年</w:t>
      </w:r>
      <w:r>
        <w:rPr>
          <w:rFonts w:ascii="Times New Roman" w:hAnsi="Times New Roman" w:cs="Times New Roman" w:eastAsia="Times New Roman" w:hint="default"/>
        </w:rPr>
        <w:t>7</w:t>
      </w:r>
      <w:r>
        <w:rPr/>
        <w:t>月任中国中丝集团财务处副处长，</w:t>
      </w:r>
      <w:r>
        <w:rPr>
          <w:rFonts w:ascii="Times New Roman" w:hAnsi="Times New Roman" w:cs="Times New Roman" w:eastAsia="Times New Roman" w:hint="default"/>
        </w:rPr>
        <w:t>1992</w:t>
      </w:r>
      <w:r>
        <w:rPr>
          <w:rFonts w:ascii="Times New Roman" w:hAnsi="Times New Roman" w:cs="Times New Roman" w:eastAsia="Times New Roman" w:hint="default"/>
          <w:spacing w:val="-3"/>
        </w:rPr>
        <w:t> </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6</w:t>
      </w:r>
      <w:r>
        <w:rPr/>
        <w:t>月任中国中丝集团财务处处长，</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月任中国中 丝集团总会计师，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月退休。现任公司独立董事。 </w:t>
      </w:r>
      <w:r>
        <w:rPr>
          <w:rFonts w:ascii="Times New Roman" w:hAnsi="Times New Roman" w:cs="Times New Roman" w:eastAsia="Times New Roman" w:hint="default"/>
        </w:rPr>
        <w:t>10</w:t>
      </w:r>
      <w:r>
        <w:rPr/>
        <w:t>、傅瑜，男，</w:t>
      </w:r>
      <w:r>
        <w:rPr>
          <w:rFonts w:ascii="Times New Roman" w:hAnsi="Times New Roman" w:cs="Times New Roman" w:eastAsia="Times New Roman" w:hint="default"/>
        </w:rPr>
        <w:t>1963</w:t>
      </w:r>
      <w:r>
        <w:rPr/>
        <w:t>年出生，中国国籍，无境外永久居留权。</w:t>
      </w:r>
      <w:r>
        <w:rPr>
          <w:rFonts w:ascii="Times New Roman" w:hAnsi="Times New Roman" w:cs="Times New Roman" w:eastAsia="Times New Roman" w:hint="default"/>
        </w:rPr>
        <w:t>1985</w:t>
      </w:r>
      <w:r>
        <w:rPr/>
        <w:t>年</w:t>
      </w:r>
      <w:r>
        <w:rPr>
          <w:rFonts w:ascii="Times New Roman" w:hAnsi="Times New Roman" w:cs="Times New Roman" w:eastAsia="Times New Roman" w:hint="default"/>
        </w:rPr>
        <w:t>7</w:t>
      </w:r>
      <w:r>
        <w:rPr/>
        <w:t>月毕业于西北政法学院（现西北政法大学）。现任西 </w:t>
      </w:r>
      <w:r>
        <w:rPr>
          <w:spacing w:val="-2"/>
        </w:rPr>
        <w:t>北政法大学经济法学院副教授，财税法教研室主任、证券法研究中心、信托法研究中心主任，主要兼职有中国证券法学研究</w:t>
      </w:r>
      <w:r>
        <w:rPr>
          <w:spacing w:val="-62"/>
        </w:rPr>
        <w:t> </w:t>
      </w:r>
      <w:r>
        <w:rPr>
          <w:spacing w:val="-62"/>
        </w:rPr>
      </w:r>
      <w:r>
        <w:rPr>
          <w:spacing w:val="-2"/>
        </w:rPr>
        <w:t>会、中国银行法学研究会理事，陕西省法学会税法研究会、经济法研究会、金融法研究会常务理事，陕西法智律师事务所律</w:t>
      </w:r>
      <w:r>
        <w:rPr>
          <w:spacing w:val="-67"/>
        </w:rPr>
        <w:t> </w:t>
      </w:r>
      <w:r>
        <w:rPr>
          <w:spacing w:val="-67"/>
        </w:rPr>
      </w:r>
      <w:r>
        <w:rPr>
          <w:spacing w:val="-2"/>
        </w:rPr>
        <w:t>师、西安仲裁委员会仲裁员。担任陕西省长安期货经纪有限公司及榆林康隆石油技术服务股份有限公司公司独立董事。现任</w:t>
      </w:r>
      <w:r>
        <w:rPr>
          <w:spacing w:val="-65"/>
        </w:rPr>
        <w:t> </w:t>
      </w:r>
      <w:r>
        <w:rPr>
          <w:spacing w:val="-65"/>
        </w:rPr>
      </w:r>
      <w:r>
        <w:rPr/>
        <w:t>本公司独立董事。 </w:t>
      </w:r>
      <w:r>
        <w:rPr>
          <w:rFonts w:ascii="Times New Roman" w:hAnsi="Times New Roman" w:cs="Times New Roman" w:eastAsia="Times New Roman" w:hint="default"/>
          <w:spacing w:val="-2"/>
        </w:rPr>
        <w:t>11</w:t>
      </w:r>
      <w:r>
        <w:rPr>
          <w:spacing w:val="-2"/>
        </w:rPr>
        <w:t>、赵焕森，男，</w:t>
      </w:r>
      <w:r>
        <w:rPr>
          <w:rFonts w:ascii="Times New Roman" w:hAnsi="Times New Roman" w:cs="Times New Roman" w:eastAsia="Times New Roman" w:hint="default"/>
          <w:spacing w:val="-2"/>
        </w:rPr>
        <w:t>1964</w:t>
      </w:r>
      <w:r>
        <w:rPr>
          <w:spacing w:val="-2"/>
        </w:rPr>
        <w:t>年出生，中国国籍，无境外永久居留权，中国注册会计师协会资深会员，高级咨询师、会计师。</w:t>
      </w:r>
      <w:r>
        <w:rPr>
          <w:rFonts w:ascii="Times New Roman" w:hAnsi="Times New Roman" w:cs="Times New Roman" w:eastAsia="Times New Roman" w:hint="default"/>
          <w:spacing w:val="-2"/>
        </w:rPr>
        <w:t>1995</w:t>
      </w:r>
      <w:r>
        <w:rPr>
          <w:rFonts w:ascii="Times New Roman" w:hAnsi="Times New Roman" w:cs="Times New Roman" w:eastAsia="Times New Roman" w:hint="default"/>
          <w:spacing w:val="-12"/>
        </w:rPr>
        <w:t> </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月历任山东大信会计师事务所有限公司部门主任、副所长、主任会计师，</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月任大信会 计师事务所（特殊普通合伙）合伙人、青岛分所常务副总经理，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月任青岛城市建设投资（集团）有限 </w:t>
      </w:r>
      <w:r>
        <w:rPr>
          <w:spacing w:val="-2"/>
        </w:rPr>
        <w:t>责任公司审计部副部长。现任青岛城投金融控股集团有限公司副总经理、青岛红岛文化艺术中心发展有限公司、青岛城乡社</w:t>
      </w:r>
      <w:r>
        <w:rPr>
          <w:spacing w:val="-63"/>
        </w:rPr>
        <w:t> </w:t>
      </w:r>
      <w:r>
        <w:rPr>
          <w:spacing w:val="-63"/>
        </w:rPr>
      </w:r>
      <w:r>
        <w:rPr>
          <w:spacing w:val="-2"/>
        </w:rPr>
        <w:t>区建设融资担保有限公司、青岛城乡建设融资租赁有限公司、青岛城投资产管理有限公司、青岛城投金控股权投资管理有限</w:t>
      </w:r>
      <w:r>
        <w:rPr>
          <w:spacing w:val="-63"/>
        </w:rPr>
        <w:t> </w:t>
      </w:r>
      <w:r>
        <w:rPr>
          <w:spacing w:val="-63"/>
        </w:rPr>
      </w:r>
      <w:r>
        <w:rPr/>
        <w:t>公司、青岛汇泉财富金融信息服务有限公司监事。现任公司监事会主席。 </w:t>
      </w:r>
      <w:r>
        <w:rPr>
          <w:rFonts w:ascii="Times New Roman" w:hAnsi="Times New Roman" w:cs="Times New Roman" w:eastAsia="Times New Roman" w:hint="default"/>
          <w:spacing w:val="-2"/>
        </w:rPr>
        <w:t>12</w:t>
      </w:r>
      <w:r>
        <w:rPr>
          <w:spacing w:val="-2"/>
        </w:rPr>
        <w:t>、陈璋，男，</w:t>
      </w:r>
      <w:r>
        <w:rPr>
          <w:rFonts w:ascii="Times New Roman" w:hAnsi="Times New Roman" w:cs="Times New Roman" w:eastAsia="Times New Roman" w:hint="default"/>
          <w:spacing w:val="-2"/>
        </w:rPr>
        <w:t>1982</w:t>
      </w:r>
      <w:r>
        <w:rPr>
          <w:spacing w:val="-2"/>
        </w:rPr>
        <w:t>年出生，中国国籍，无境外永久居留权。</w:t>
      </w:r>
      <w:r>
        <w:rPr>
          <w:rFonts w:ascii="Times New Roman" w:hAnsi="Times New Roman" w:cs="Times New Roman" w:eastAsia="Times New Roman" w:hint="default"/>
          <w:spacing w:val="-2"/>
        </w:rPr>
        <w:t>2000</w:t>
      </w:r>
      <w:r>
        <w:rPr>
          <w:spacing w:val="-2"/>
        </w:rPr>
        <w:t>年毕业于河北地质大学工程管理专业，本科学历，中级工</w:t>
      </w:r>
      <w:r>
        <w:rPr>
          <w:spacing w:val="-59"/>
        </w:rPr>
        <w:t> </w:t>
      </w:r>
      <w:r>
        <w:rPr>
          <w:spacing w:val="-59"/>
        </w:rPr>
      </w:r>
      <w:r>
        <w:rPr/>
        <w:t>程师。</w:t>
      </w:r>
      <w:r>
        <w:rPr>
          <w:rFonts w:ascii="Times New Roman" w:hAnsi="Times New Roman" w:cs="Times New Roman" w:eastAsia="Times New Roman" w:hint="default"/>
        </w:rPr>
        <w:t>2004</w:t>
      </w:r>
      <w:r>
        <w:rPr/>
        <w:t>年至</w:t>
      </w:r>
      <w:r>
        <w:rPr>
          <w:rFonts w:ascii="Times New Roman" w:hAnsi="Times New Roman" w:cs="Times New Roman" w:eastAsia="Times New Roman" w:hint="default"/>
        </w:rPr>
        <w:t>2006</w:t>
      </w:r>
      <w:r>
        <w:rPr/>
        <w:t>年于浙江省火电建设公司合同部从事概预算工作；</w:t>
      </w:r>
      <w:r>
        <w:rPr>
          <w:rFonts w:ascii="Times New Roman" w:hAnsi="Times New Roman" w:cs="Times New Roman" w:eastAsia="Times New Roman" w:hint="default"/>
        </w:rPr>
        <w:t>2006</w:t>
      </w:r>
      <w:r>
        <w:rPr/>
        <w:t>年至</w:t>
      </w:r>
      <w:r>
        <w:rPr>
          <w:rFonts w:ascii="Times New Roman" w:hAnsi="Times New Roman" w:cs="Times New Roman" w:eastAsia="Times New Roman" w:hint="default"/>
        </w:rPr>
        <w:t>2015</w:t>
      </w:r>
      <w:r>
        <w:rPr/>
        <w:t>年工作于浙江西子联合工程有限公司， 期间任概预算室主任、技术经济部副部长等职务；</w:t>
      </w:r>
      <w:r>
        <w:rPr>
          <w:rFonts w:ascii="Times New Roman" w:hAnsi="Times New Roman" w:cs="Times New Roman" w:eastAsia="Times New Roman" w:hint="default"/>
        </w:rPr>
        <w:t>2015</w:t>
      </w:r>
      <w:r>
        <w:rPr/>
        <w:t>年至今工作于浙江铂瑞电力设计有限公司。现任公司监事。 </w:t>
      </w:r>
      <w:r>
        <w:rPr>
          <w:rFonts w:ascii="Times New Roman" w:hAnsi="Times New Roman" w:cs="Times New Roman" w:eastAsia="Times New Roman" w:hint="default"/>
        </w:rPr>
        <w:t>13</w:t>
      </w:r>
      <w:r>
        <w:rPr/>
        <w:t>、袁瑞峰女士，中国国籍，无境外永久居留权，</w:t>
      </w:r>
      <w:r>
        <w:rPr>
          <w:rFonts w:ascii="Times New Roman" w:hAnsi="Times New Roman" w:cs="Times New Roman" w:eastAsia="Times New Roman" w:hint="default"/>
        </w:rPr>
        <w:t>1978</w:t>
      </w:r>
      <w:r>
        <w:rPr/>
        <w:t>年出生，</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月毕业于青岛建筑工程学院财务会计专业，会计初 级职称。</w:t>
      </w:r>
      <w:r>
        <w:rPr>
          <w:rFonts w:ascii="Times New Roman" w:hAnsi="Times New Roman" w:cs="Times New Roman" w:eastAsia="Times New Roman" w:hint="default"/>
        </w:rPr>
        <w:t>2000</w:t>
      </w:r>
      <w:r>
        <w:rPr/>
        <w:t>年起入职青岛市恒顺众昇集团股份有限公司，曾担任公司财务部副经理、销售部副经理、生产部总调度职务。 现任本公司物资部经理、职工监事。 </w:t>
      </w:r>
      <w:r>
        <w:rPr>
          <w:rFonts w:ascii="Times New Roman" w:hAnsi="Times New Roman" w:cs="Times New Roman" w:eastAsia="Times New Roman" w:hint="default"/>
        </w:rPr>
        <w:t>14</w:t>
      </w:r>
      <w:r>
        <w:rPr/>
        <w:t>、莫柏欣，女，</w:t>
      </w:r>
      <w:r>
        <w:rPr>
          <w:rFonts w:ascii="Times New Roman" w:hAnsi="Times New Roman" w:cs="Times New Roman" w:eastAsia="Times New Roman" w:hint="default"/>
        </w:rPr>
        <w:t>1982</w:t>
      </w:r>
      <w:r>
        <w:rPr/>
        <w:t>年出生，中国国籍，无境外永久居留权，哈尔滨理工大学自动化专业学士学位，</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2013</w:t>
      </w:r>
      <w:r>
        <w:rPr/>
        <w:t>年</w:t>
      </w:r>
    </w:p>
    <w:p>
      <w:pPr>
        <w:pStyle w:val="BodyText"/>
        <w:spacing w:line="300" w:lineRule="auto" w:before="7"/>
        <w:ind w:right="93"/>
        <w:jc w:val="left"/>
      </w:pPr>
      <w:r>
        <w:rPr>
          <w:rFonts w:ascii="Times New Roman" w:hAnsi="Times New Roman" w:cs="Times New Roman" w:eastAsia="Times New Roman" w:hint="default"/>
          <w:spacing w:val="-2"/>
        </w:rPr>
        <w:t>11</w:t>
      </w:r>
      <w:r>
        <w:rPr>
          <w:spacing w:val="-2"/>
        </w:rPr>
        <w:t>月任青岛市恒顺众昇集团股份有限公司证券事务代表职务，</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11</w:t>
      </w:r>
      <w:r>
        <w:rPr>
          <w:spacing w:val="-2"/>
        </w:rPr>
        <w:t>月至今任公司副总裁、董事会秘书，负责公司证券事</w:t>
      </w:r>
      <w:r>
        <w:rPr>
          <w:spacing w:val="-60"/>
        </w:rPr>
        <w:t> </w:t>
      </w:r>
      <w:r>
        <w:rPr>
          <w:spacing w:val="-60"/>
        </w:rPr>
      </w:r>
      <w:r>
        <w:rPr/>
        <w:t>务。</w:t>
      </w:r>
    </w:p>
    <w:p>
      <w:pPr>
        <w:pStyle w:val="BodyText"/>
        <w:spacing w:line="300" w:lineRule="auto" w:before="72"/>
        <w:ind w:right="188"/>
        <w:jc w:val="both"/>
      </w:pPr>
      <w:r>
        <w:rPr>
          <w:rFonts w:ascii="Times New Roman" w:hAnsi="Times New Roman" w:cs="Times New Roman" w:eastAsia="Times New Roman" w:hint="default"/>
          <w:spacing w:val="-2"/>
        </w:rPr>
        <w:t>15</w:t>
      </w:r>
      <w:r>
        <w:rPr>
          <w:spacing w:val="-2"/>
        </w:rPr>
        <w:t>、于秀成，男，</w:t>
      </w:r>
      <w:r>
        <w:rPr>
          <w:rFonts w:ascii="Times New Roman" w:hAnsi="Times New Roman" w:cs="Times New Roman" w:eastAsia="Times New Roman" w:hint="default"/>
          <w:spacing w:val="-2"/>
        </w:rPr>
        <w:t>1963</w:t>
      </w:r>
      <w:r>
        <w:rPr>
          <w:spacing w:val="-2"/>
        </w:rPr>
        <w:t>年出生，中国国籍，无境外永久居留权。毕业于青岛理工大学财务管理专业，南开大学高级工商管理</w:t>
      </w:r>
      <w:r>
        <w:rPr>
          <w:spacing w:val="-69"/>
        </w:rPr>
        <w:t> </w:t>
      </w:r>
      <w:r>
        <w:rPr>
          <w:spacing w:val="-69"/>
        </w:rPr>
      </w:r>
      <w:r>
        <w:rPr/>
        <w:t>硕士学位（</w:t>
      </w:r>
      <w:r>
        <w:rPr>
          <w:rFonts w:ascii="Times New Roman" w:hAnsi="Times New Roman" w:cs="Times New Roman" w:eastAsia="Times New Roman" w:hint="default"/>
        </w:rPr>
        <w:t>EMBA</w:t>
      </w:r>
      <w:r>
        <w:rPr/>
        <w:t>）。青岛地恩地集团创始人之一，</w:t>
      </w:r>
      <w:r>
        <w:rPr>
          <w:rFonts w:ascii="Times New Roman" w:hAnsi="Times New Roman" w:cs="Times New Roman" w:eastAsia="Times New Roman" w:hint="default"/>
        </w:rPr>
        <w:t>1997</w:t>
      </w:r>
      <w:r>
        <w:rPr/>
        <w:t>年至</w:t>
      </w:r>
      <w:r>
        <w:rPr>
          <w:rFonts w:ascii="Times New Roman" w:hAnsi="Times New Roman" w:cs="Times New Roman" w:eastAsia="Times New Roman" w:hint="default"/>
        </w:rPr>
        <w:t>2012</w:t>
      </w:r>
      <w:r>
        <w:rPr/>
        <w:t>年担任青岛地恩地集团执行董事兼财务总监；</w:t>
      </w:r>
      <w:r>
        <w:rPr>
          <w:rFonts w:ascii="Times New Roman" w:hAnsi="Times New Roman" w:cs="Times New Roman" w:eastAsia="Times New Roman" w:hint="default"/>
        </w:rPr>
        <w:t>2012</w:t>
      </w:r>
      <w:r>
        <w:rPr>
          <w:rFonts w:ascii="Times New Roman" w:hAnsi="Times New Roman" w:cs="Times New Roman" w:eastAsia="Times New Roman" w:hint="default"/>
          <w:spacing w:val="16"/>
        </w:rPr>
        <w:t> </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39"/>
        </w:rPr>
        <w:t> </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月担任青岛国融集团副总裁及国融融资租赁有限公司总经理；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月担任深圳前海海加利财富</w:t>
      </w:r>
      <w:r>
        <w:rPr>
          <w:spacing w:val="-86"/>
        </w:rPr>
        <w:t> </w:t>
      </w:r>
      <w:r>
        <w:rPr/>
        <w:t>管理有限公司执行总裁。</w:t>
      </w:r>
      <w:r>
        <w:rPr>
          <w:spacing w:val="-18"/>
        </w:rPr>
        <w:t> </w:t>
      </w:r>
      <w:r>
        <w:rPr/>
        <w:t>现任本公司财务总监兼副总裁。</w:t>
      </w:r>
    </w:p>
    <w:p>
      <w:pPr>
        <w:pStyle w:val="BodyText"/>
        <w:spacing w:line="240" w:lineRule="auto" w:before="70"/>
        <w:ind w:right="6754"/>
        <w:jc w:val="left"/>
      </w:pPr>
      <w:r>
        <w:rPr/>
        <w:t>在股东单位任职情况</w:t>
      </w:r>
    </w:p>
    <w:p>
      <w:pPr>
        <w:spacing w:after="0" w:line="240" w:lineRule="auto"/>
        <w:jc w:val="left"/>
        <w:sectPr>
          <w:footerReference w:type="default" r:id="rId15"/>
          <w:pgSz w:w="11910" w:h="16840"/>
          <w:pgMar w:footer="979" w:header="745" w:top="1060" w:bottom="1160" w:left="980" w:right="940"/>
          <w:pgNumType w:start="44"/>
        </w:sectPr>
      </w:pPr>
    </w:p>
    <w:p>
      <w:pPr>
        <w:spacing w:line="240" w:lineRule="auto" w:before="10"/>
        <w:rPr>
          <w:rFonts w:ascii="宋体" w:hAnsi="宋体" w:cs="宋体" w:eastAsia="宋体" w:hint="default"/>
          <w:sz w:val="25"/>
          <w:szCs w:val="25"/>
        </w:rPr>
      </w:pPr>
    </w:p>
    <w:p>
      <w:pPr>
        <w:pStyle w:val="BodyText"/>
        <w:spacing w:line="240" w:lineRule="auto" w:before="44"/>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赵焕森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青岛城投金融控股集团有限公司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赵焕森先生任城投金控的副总经理。</w:t>
            </w:r>
          </w:p>
        </w:tc>
      </w:tr>
    </w:tbl>
    <w:p>
      <w:pPr>
        <w:pStyle w:val="BodyText"/>
        <w:spacing w:line="240" w:lineRule="auto" w:before="49"/>
        <w:ind w:right="135"/>
        <w:jc w:val="left"/>
      </w:pPr>
      <w:r>
        <w:rPr/>
        <w:t>在其他单位任职情况</w:t>
      </w:r>
    </w:p>
    <w:p>
      <w:pPr>
        <w:pStyle w:val="BodyText"/>
        <w:spacing w:line="240" w:lineRule="auto" w:before="117"/>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6"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卢民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青岛城投集团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总经理助理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宋明杰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青岛城投国际控股有限公司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赵风雷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青岛城投集团基金管理中心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副主任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贾玉兰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新余清源环保投资管理有限公司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孙建强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中国海洋大学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管理学院会 计学系教授</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傅瑜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西北政法大学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经济法学院 副教授</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浙江铂瑞电力设计有限公司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技术经济部 部长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35"/>
        <w:jc w:val="left"/>
      </w:pPr>
      <w:r>
        <w:rPr/>
        <w:t>公司现任及报告期内离任董事、监事和高级管理人员近三年证券监管机构处罚的情况</w:t>
      </w:r>
    </w:p>
    <w:p>
      <w:pPr>
        <w:pStyle w:val="BodyText"/>
        <w:spacing w:line="338" w:lineRule="auto" w:before="117"/>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1"/>
        </w:rPr>
        <w:t>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13</w:t>
      </w:r>
      <w:r>
        <w:rPr>
          <w:spacing w:val="-1"/>
        </w:rPr>
        <w:t>日收到中国证券监督管理委员会下发的《行政处罚及市场禁入事先告知书》</w:t>
      </w:r>
      <w:r>
        <w:rPr>
          <w:rFonts w:ascii="Times New Roman" w:hAnsi="Times New Roman" w:cs="Times New Roman" w:eastAsia="Times New Roman" w:hint="default"/>
          <w:spacing w:val="-1"/>
        </w:rPr>
        <w:t>(</w:t>
      </w:r>
      <w:r>
        <w:rPr>
          <w:spacing w:val="-1"/>
        </w:rPr>
        <w:t>处罚字</w:t>
      </w:r>
      <w:r>
        <w:rPr>
          <w:rFonts w:ascii="Times New Roman" w:hAnsi="Times New Roman" w:cs="Times New Roman" w:eastAsia="Times New Roman" w:hint="default"/>
          <w:spacing w:val="-1"/>
        </w:rPr>
        <w:t>[2017]101</w:t>
      </w:r>
      <w:r>
        <w:rPr>
          <w:spacing w:val="-1"/>
        </w:rPr>
        <w:t>号</w:t>
      </w:r>
      <w:r>
        <w:rPr>
          <w:rFonts w:ascii="Times New Roman" w:hAnsi="Times New Roman" w:cs="Times New Roman" w:eastAsia="Times New Roman" w:hint="default"/>
          <w:spacing w:val="-1"/>
        </w:rPr>
        <w:t>)</w:t>
      </w:r>
      <w:r>
        <w:rPr>
          <w:spacing w:val="-1"/>
        </w:rPr>
        <w:t>，依据</w:t>
      </w:r>
    </w:p>
    <w:p>
      <w:pPr>
        <w:pStyle w:val="BodyText"/>
        <w:spacing w:line="217" w:lineRule="exact"/>
        <w:ind w:right="0"/>
        <w:jc w:val="left"/>
      </w:pPr>
      <w:r>
        <w:rPr/>
        <w:t>《证券法》第一百九十三条第一款、第三款以及《上市公司信息披露管理办法》第六十四条的规定，中国证券监督管理委员</w:t>
      </w:r>
    </w:p>
    <w:p>
      <w:pPr>
        <w:pStyle w:val="BodyText"/>
        <w:spacing w:line="304" w:lineRule="auto" w:before="76"/>
        <w:ind w:right="135"/>
        <w:jc w:val="left"/>
      </w:pPr>
      <w:r>
        <w:rPr/>
        <w:t>会拟决定： </w:t>
      </w:r>
      <w:r>
        <w:rPr>
          <w:spacing w:val="-2"/>
        </w:rPr>
        <w:t>对贾全臣作为恒顺众昇信息披露违法行为的责任人员给予警告，并处以</w:t>
      </w:r>
      <w:r>
        <w:rPr>
          <w:rFonts w:ascii="Times New Roman" w:hAnsi="Times New Roman" w:cs="Times New Roman" w:eastAsia="Times New Roman" w:hint="default"/>
          <w:spacing w:val="-2"/>
        </w:rPr>
        <w:t>30</w:t>
      </w:r>
      <w:r>
        <w:rPr>
          <w:spacing w:val="-2"/>
        </w:rPr>
        <w:t>万元罚款及采取</w:t>
      </w:r>
      <w:r>
        <w:rPr>
          <w:rFonts w:ascii="Times New Roman" w:hAnsi="Times New Roman" w:cs="Times New Roman" w:eastAsia="Times New Roman" w:hint="default"/>
          <w:spacing w:val="-2"/>
        </w:rPr>
        <w:t>10</w:t>
      </w:r>
      <w:r>
        <w:rPr>
          <w:spacing w:val="-2"/>
        </w:rPr>
        <w:t>年证券市场禁入措施；对其作为</w:t>
      </w:r>
      <w:r>
        <w:rPr>
          <w:spacing w:val="-64"/>
        </w:rPr>
        <w:t> </w:t>
      </w:r>
      <w:r>
        <w:rPr>
          <w:spacing w:val="-64"/>
        </w:rPr>
      </w:r>
      <w:r>
        <w:rPr/>
        <w:t>实际控制人指使上市公司从事信息披露违法行为，给予警告，并处以</w:t>
      </w:r>
      <w:r>
        <w:rPr>
          <w:rFonts w:ascii="Times New Roman" w:hAnsi="Times New Roman" w:cs="Times New Roman" w:eastAsia="Times New Roman" w:hint="default"/>
        </w:rPr>
        <w:t>30</w:t>
      </w:r>
      <w:r>
        <w:rPr/>
        <w:t>万元罚款；</w:t>
      </w:r>
      <w:r>
        <w:rPr>
          <w:spacing w:val="-87"/>
        </w:rPr>
        <w:t> </w:t>
      </w:r>
      <w:r>
        <w:rPr/>
        <w:t>对莫柏欣给予警告，并处以</w:t>
      </w:r>
      <w:r>
        <w:rPr>
          <w:rFonts w:ascii="Times New Roman" w:hAnsi="Times New Roman" w:cs="Times New Roman" w:eastAsia="Times New Roman" w:hint="default"/>
        </w:rPr>
        <w:t>15</w:t>
      </w:r>
      <w:r>
        <w:rPr/>
        <w:t>万元罚款； </w:t>
      </w:r>
      <w:r>
        <w:rPr>
          <w:spacing w:val="-2"/>
        </w:rPr>
        <w:t>对贾晓钰作为恒顺众昇信息披露违法行为的责任人员给予警告，并处以</w:t>
      </w:r>
      <w:r>
        <w:rPr>
          <w:rFonts w:ascii="Times New Roman" w:hAnsi="Times New Roman" w:cs="Times New Roman" w:eastAsia="Times New Roman" w:hint="default"/>
          <w:spacing w:val="-2"/>
        </w:rPr>
        <w:t>10</w:t>
      </w:r>
      <w:r>
        <w:rPr>
          <w:spacing w:val="-2"/>
        </w:rPr>
        <w:t>万元罚款；对其作为股东，未主动告知上市公司需</w:t>
      </w:r>
      <w:r>
        <w:rPr>
          <w:spacing w:val="-64"/>
        </w:rPr>
        <w:t> </w:t>
      </w:r>
      <w:r>
        <w:rPr>
          <w:spacing w:val="-64"/>
        </w:rPr>
      </w:r>
      <w:r>
        <w:rPr/>
        <w:t>披露的信息，配合上市公司履行信息披露义务行为，给予警告；</w:t>
      </w:r>
    </w:p>
    <w:p>
      <w:pPr>
        <w:pStyle w:val="BodyText"/>
        <w:spacing w:line="300" w:lineRule="auto" w:before="28"/>
        <w:ind w:right="4824"/>
        <w:jc w:val="left"/>
      </w:pPr>
      <w:r>
        <w:rPr/>
        <w:t>对贾玉兰给予警告，并处以</w:t>
      </w:r>
      <w:r>
        <w:rPr>
          <w:rFonts w:ascii="Times New Roman" w:hAnsi="Times New Roman" w:cs="Times New Roman" w:eastAsia="Times New Roman" w:hint="default"/>
        </w:rPr>
        <w:t>5</w:t>
      </w:r>
      <w:r>
        <w:rPr/>
        <w:t>万元罚款； 对徐茂顺、肖红英、袁瑞峰给予警告，并分别处以</w:t>
      </w:r>
      <w:r>
        <w:rPr>
          <w:rFonts w:ascii="Times New Roman" w:hAnsi="Times New Roman" w:cs="Times New Roman" w:eastAsia="Times New Roman" w:hint="default"/>
        </w:rPr>
        <w:t>3</w:t>
      </w:r>
      <w:r>
        <w:rPr/>
        <w:t>万元罚款。</w:t>
      </w:r>
    </w:p>
    <w:p>
      <w:pPr>
        <w:spacing w:line="240" w:lineRule="auto" w:before="5"/>
        <w:rPr>
          <w:rFonts w:ascii="宋体" w:hAnsi="宋体" w:cs="宋体" w:eastAsia="宋体" w:hint="default"/>
          <w:sz w:val="20"/>
          <w:szCs w:val="20"/>
        </w:rPr>
      </w:pPr>
    </w:p>
    <w:p>
      <w:pPr>
        <w:pStyle w:val="Heading2"/>
        <w:spacing w:line="240" w:lineRule="auto"/>
        <w:ind w:right="135"/>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35"/>
        <w:jc w:val="left"/>
      </w:pPr>
      <w:r>
        <w:rPr/>
        <w:t>董事、监事、高级管理人员报酬的决策程序、确定依据、实际支付情况</w:t>
      </w:r>
    </w:p>
    <w:p>
      <w:pPr>
        <w:pStyle w:val="BodyText"/>
        <w:spacing w:line="307" w:lineRule="auto" w:before="117"/>
        <w:ind w:right="144"/>
        <w:jc w:val="left"/>
      </w:pPr>
      <w:r>
        <w:rPr>
          <w:rFonts w:ascii="Times New Roman" w:hAnsi="Times New Roman" w:cs="Times New Roman" w:eastAsia="Times New Roman" w:hint="default"/>
        </w:rPr>
        <w:t>1</w:t>
      </w:r>
      <w:r>
        <w:rPr/>
        <w:t>、董事、监事、高级管理人员报酬的决策程序：公司独立董事报酬由股东大会决定，高级管理人员报酬由董事会决定；在 公司履职的董事、监事和高级管理人员根据薪酬标准按具体职务领取薪酬。 </w:t>
      </w:r>
      <w:r>
        <w:rPr>
          <w:rFonts w:ascii="Times New Roman" w:hAnsi="Times New Roman" w:cs="Times New Roman" w:eastAsia="Times New Roman" w:hint="default"/>
        </w:rPr>
        <w:t>2</w:t>
      </w:r>
      <w:r>
        <w:rPr/>
        <w:t>、董事、监事、高级管理人员报酬确定依据：董事、监事和高级管理人员的报酬按照公司董事会《薪酬与考核委员会工作 细则》的规定，结合其经营绩效、工作能力、岗位职级等考核确定并发放。</w:t>
      </w:r>
    </w:p>
    <w:p>
      <w:pPr>
        <w:spacing w:after="0" w:line="307"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rPr>
          <w:rFonts w:ascii="Times New Roman" w:hAnsi="Times New Roman" w:cs="Times New Roman" w:eastAsia="Times New Roman" w:hint="default"/>
        </w:rPr>
      </w:pPr>
      <w:r>
        <w:rPr>
          <w:rFonts w:ascii="Times New Roman" w:hAnsi="Times New Roman" w:cs="Times New Roman" w:eastAsia="Times New Roman" w:hint="default"/>
        </w:rPr>
        <w:t>3</w:t>
      </w:r>
      <w:r>
        <w:rPr/>
        <w:t>、董事、监事和高级管理人员报酬的实际支付情况：独立董事、职工监事及公司高级管理人员的薪酬已按规定发放，</w:t>
      </w:r>
      <w:r>
        <w:rPr>
          <w:rFonts w:ascii="Times New Roman" w:hAnsi="Times New Roman" w:cs="Times New Roman" w:eastAsia="Times New Roman" w:hint="default"/>
        </w:rPr>
        <w:t>2017</w:t>
      </w:r>
    </w:p>
    <w:p>
      <w:pPr>
        <w:pStyle w:val="BodyText"/>
        <w:spacing w:line="340" w:lineRule="auto" w:before="63"/>
        <w:ind w:right="5814"/>
        <w:jc w:val="left"/>
      </w:pPr>
      <w:r>
        <w:rPr/>
        <w:t>年度薪酬总额</w:t>
      </w:r>
      <w:r>
        <w:rPr>
          <w:rFonts w:ascii="Times New Roman" w:hAnsi="Times New Roman" w:cs="Times New Roman" w:eastAsia="Times New Roman" w:hint="default"/>
        </w:rPr>
        <w:t>382.43</w:t>
      </w:r>
      <w:r>
        <w:rPr/>
        <w:t>万元，详见下表。 公司报告期内董事、监事和高级管理人员报酬情况</w:t>
      </w:r>
    </w:p>
    <w:p>
      <w:pPr>
        <w:pStyle w:val="BodyText"/>
        <w:spacing w:line="240" w:lineRule="auto" w:before="39"/>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卢民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贾玉兰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贾全臣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65.21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贾晓钰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董事兼总裁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宋明杰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赵风雷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59.51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徐茂顺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孙建强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傅瑜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赵焕森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袁瑞峰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莫柏欣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董事会秘书兼副 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于秀成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财务总监兼副总 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54.27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97"/>
              <w:jc w:val="righ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pacing w:val="-1"/>
                <w:sz w:val="18"/>
              </w:rPr>
              <w:t>382.43</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35"/>
        <w:jc w:val="left"/>
      </w:pPr>
      <w:r>
        <w:rPr/>
        <w:t>公司董事、高级管理人员报告期内被授予的股权激励情况</w:t>
      </w:r>
    </w:p>
    <w:p>
      <w:pPr>
        <w:pStyle w:val="BodyText"/>
        <w:spacing w:line="240" w:lineRule="auto" w:before="115"/>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35"/>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35"/>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509</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509</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4767"/>
        <w:gridCol w:w="4792"/>
      </w:tblGrid>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2"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w:t>
            </w:r>
          </w:p>
        </w:tc>
      </w:tr>
      <w:tr>
        <w:trPr>
          <w:trHeight w:val="407"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509</w:t>
            </w:r>
          </w:p>
        </w:tc>
      </w:tr>
      <w:tr>
        <w:trPr>
          <w:trHeight w:val="39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9"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w:t>
            </w:r>
          </w:p>
        </w:tc>
      </w:tr>
      <w:tr>
        <w:trPr>
          <w:trHeight w:val="403" w:hRule="exact"/>
        </w:trPr>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72</w:t>
            </w:r>
          </w:p>
        </w:tc>
      </w:tr>
      <w:tr>
        <w:trPr>
          <w:trHeight w:val="401" w:hRule="exact"/>
        </w:trPr>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研究生</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409</w:t>
            </w:r>
          </w:p>
        </w:tc>
      </w:tr>
      <w:tr>
        <w:trPr>
          <w:trHeight w:val="403"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509</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both"/>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0"/>
        <w:jc w:val="both"/>
      </w:pPr>
      <w:r>
        <w:rPr>
          <w:spacing w:val="-2"/>
        </w:rPr>
        <w:t>公司员工薪酬政策力求体现工资管理的激励性、竞争性和公平性，把个人业绩和团队业绩有效结合起来，共同分享企业发展</w:t>
      </w:r>
      <w:r>
        <w:rPr>
          <w:spacing w:val="-63"/>
        </w:rPr>
        <w:t> </w:t>
      </w:r>
      <w:r>
        <w:rPr>
          <w:spacing w:val="-63"/>
        </w:rPr>
      </w:r>
      <w:r>
        <w:rPr>
          <w:spacing w:val="-2"/>
        </w:rPr>
        <w:t>所带来的机制，促进员工价值观念的凝合，形成留住人才和吸引人才的机制，最终推进公司发展战略的实现。公司薪酬政策</w:t>
      </w:r>
      <w:r>
        <w:rPr>
          <w:spacing w:val="-64"/>
        </w:rPr>
        <w:t> </w:t>
      </w:r>
      <w:r>
        <w:rPr>
          <w:spacing w:val="-64"/>
        </w:rPr>
      </w:r>
      <w:r>
        <w:rPr/>
        <w:t>分为月薪制和计件工资制，并通过绩效考核将员工工作目标与企业战略目标以及个人绩效相结合，激发员工的积极性。</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3"/>
        <w:jc w:val="both"/>
      </w:pPr>
      <w:r>
        <w:rPr>
          <w:spacing w:val="-2"/>
        </w:rPr>
        <w:t>员工培训的主要内容包括安全生产培训、专业技能培训、职业素养培训及党课学习。公司人力资源部门每年制定年度培训计</w:t>
      </w:r>
      <w:r>
        <w:rPr>
          <w:spacing w:val="-66"/>
        </w:rPr>
        <w:t> </w:t>
      </w:r>
      <w:r>
        <w:rPr>
          <w:spacing w:val="-66"/>
        </w:rPr>
      </w:r>
      <w:r>
        <w:rPr>
          <w:spacing w:val="-2"/>
        </w:rPr>
        <w:t>划并组织实施。公司安排技术、管理、营销、生产骨干参加相关培训，学费由公司支付。同时公司鼓励员工自己培训报名参</w:t>
      </w:r>
      <w:r>
        <w:rPr>
          <w:spacing w:val="-68"/>
        </w:rPr>
        <w:t> </w:t>
      </w:r>
      <w:r>
        <w:rPr>
          <w:spacing w:val="-68"/>
        </w:rPr>
      </w:r>
      <w:r>
        <w:rPr/>
        <w:t>加与本职工作相关专业学历教育。</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both"/>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29" w:right="3465"/>
        <w:jc w:val="center"/>
        <w:rPr>
          <w:b w:val="0"/>
          <w:bCs w:val="0"/>
        </w:rPr>
      </w:pPr>
      <w:bookmarkStart w:name="_bookmark8" w:id="9"/>
      <w:bookmarkEnd w:id="9"/>
      <w:r>
        <w:rPr>
          <w:b w:val="0"/>
          <w:bCs w:val="0"/>
        </w:rPr>
      </w:r>
      <w:r>
        <w:rPr/>
        <w:t>第九节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6754"/>
        <w:jc w:val="left"/>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0" w:firstLine="360"/>
        <w:jc w:val="both"/>
      </w:pPr>
      <w:r>
        <w:rPr>
          <w:spacing w:val="-6"/>
        </w:rPr>
        <w:t>报告期内，公司根据《公司法》、《证券法》、《上市公司治理准则》、《深圳证券交易所创业板股票上市规则》、《深</w:t>
      </w:r>
      <w:r>
        <w:rPr/>
        <w:t> </w:t>
      </w:r>
      <w:r>
        <w:rPr>
          <w:spacing w:val="-2"/>
        </w:rPr>
        <w:t>圳证券交易所创业板上市公司规范运作指引》等法律法规的要求，结合本公司的具体情况健全和完善了《公司章程》和各内</w:t>
      </w:r>
      <w:r>
        <w:rPr>
          <w:spacing w:val="-64"/>
        </w:rPr>
        <w:t> </w:t>
      </w:r>
      <w:r>
        <w:rPr>
          <w:spacing w:val="-64"/>
        </w:rPr>
      </w:r>
      <w:r>
        <w:rPr>
          <w:spacing w:val="-2"/>
        </w:rPr>
        <w:t>部控制制度，发挥了董事会各专门委员会的职能和作用，完善了董事会的职能和专业化程度，保障了董事会决策的科学性和</w:t>
      </w:r>
      <w:r>
        <w:rPr>
          <w:spacing w:val="-63"/>
        </w:rPr>
        <w:t> </w:t>
      </w:r>
      <w:r>
        <w:rPr>
          <w:spacing w:val="-63"/>
        </w:rPr>
      </w:r>
      <w:r>
        <w:rPr>
          <w:spacing w:val="-2"/>
        </w:rPr>
        <w:t>程序性，不断完善本公司法人治理结构和内控制度，进一步规范公司运作，提高公司治理水平。截至报告期末，本公司治理</w:t>
      </w:r>
      <w:r>
        <w:rPr>
          <w:spacing w:val="-67"/>
        </w:rPr>
        <w:t> </w:t>
      </w:r>
      <w:r>
        <w:rPr>
          <w:spacing w:val="-67"/>
        </w:rPr>
      </w:r>
      <w:r>
        <w:rPr/>
        <w:t>实际情况基本符合中国证监会发布的有关上市公司治理的规范性文件的要求。</w:t>
      </w:r>
    </w:p>
    <w:p>
      <w:pPr>
        <w:pStyle w:val="BodyText"/>
        <w:spacing w:line="316" w:lineRule="auto" w:before="19"/>
        <w:ind w:right="104" w:firstLine="360"/>
        <w:jc w:val="both"/>
      </w:pPr>
      <w:r>
        <w:rPr>
          <w:spacing w:val="-2"/>
        </w:rPr>
        <w:t>（一）关于股东与股东大会本公司严格按照《公司法》、《上市公司股东大会规范意见》、《公司章程》和《股东大会</w:t>
      </w:r>
      <w:r>
        <w:rPr/>
        <w:t> </w:t>
      </w:r>
      <w:r>
        <w:rPr>
          <w:spacing w:val="-2"/>
        </w:rPr>
        <w:t>议事规则》等法律、法规及制度的要求，规范股东大会召集、召开、表决程序，确保所有股东享有平等地位，平等权利，并</w:t>
      </w:r>
      <w:r>
        <w:rPr>
          <w:spacing w:val="-65"/>
        </w:rPr>
        <w:t> </w:t>
      </w:r>
      <w:r>
        <w:rPr>
          <w:spacing w:val="-65"/>
        </w:rPr>
      </w:r>
      <w:r>
        <w:rPr>
          <w:spacing w:val="-4"/>
        </w:rPr>
        <w:t>承担相应的义务，让中小投资者充分行使自己的权利；通过聘请律师出席见证保证了会议的召集、召开和表决程序的合法性。</w:t>
      </w:r>
    </w:p>
    <w:p>
      <w:pPr>
        <w:pStyle w:val="BodyText"/>
        <w:spacing w:line="316" w:lineRule="auto" w:before="19"/>
        <w:ind w:right="188" w:firstLine="360"/>
        <w:jc w:val="both"/>
      </w:pPr>
      <w:r>
        <w:rPr>
          <w:spacing w:val="-2"/>
        </w:rPr>
        <w:t>（二）关于控股股东与上市公司的关系本公司按照《公司法》、《证券法》、《公司章程》及证券监管部门的有关规定</w:t>
      </w:r>
      <w:r>
        <w:rPr/>
        <w:t> </w:t>
      </w:r>
      <w:r>
        <w:rPr>
          <w:spacing w:val="-2"/>
        </w:rPr>
        <w:t>正确处理与控股股东的关系。本公司控股股东依法行使其权利并承担相应义务，没有超越股东大会授权范围行使职权、直接</w:t>
      </w:r>
      <w:r>
        <w:rPr>
          <w:spacing w:val="-61"/>
        </w:rPr>
        <w:t> </w:t>
      </w:r>
      <w:r>
        <w:rPr>
          <w:spacing w:val="-61"/>
        </w:rPr>
      </w:r>
      <w:r>
        <w:rPr/>
        <w:t>或间接干预本公司的决策和生产经营活动。本公司具有自主经营能力，公司董事会、监事会和内部机构能够独立运作。</w:t>
      </w:r>
    </w:p>
    <w:p>
      <w:pPr>
        <w:pStyle w:val="BodyText"/>
        <w:spacing w:line="314" w:lineRule="auto" w:before="19"/>
        <w:ind w:right="192" w:firstLine="360"/>
        <w:jc w:val="both"/>
      </w:pPr>
      <w:r>
        <w:rPr>
          <w:spacing w:val="-2"/>
        </w:rPr>
        <w:t>（三）关于董事与董事会本公司董事的选聘程序公开、公平、公正，董事会严格按照《公司法》和《公司章程》和《董</w:t>
      </w:r>
      <w:r>
        <w:rPr/>
        <w:t> 事会议事规则》等法律法规开展工作，董事会组成人员</w:t>
      </w:r>
      <w:r>
        <w:rPr>
          <w:rFonts w:ascii="Times New Roman" w:hAnsi="Times New Roman" w:cs="Times New Roman" w:eastAsia="Times New Roman" w:hint="default"/>
        </w:rPr>
        <w:t>11</w:t>
      </w:r>
      <w:r>
        <w:rPr/>
        <w:t>人，其中独立董事</w:t>
      </w:r>
      <w:r>
        <w:rPr>
          <w:rFonts w:ascii="Times New Roman" w:hAnsi="Times New Roman" w:cs="Times New Roman" w:eastAsia="Times New Roman" w:hint="default"/>
        </w:rPr>
        <w:t>4</w:t>
      </w:r>
      <w:r>
        <w:rPr/>
        <w:t>人，董事产生程序合法有效。本公司董事积极 </w:t>
      </w:r>
      <w:r>
        <w:rPr>
          <w:spacing w:val="-2"/>
        </w:rPr>
        <w:t>学习，熟悉有关法律、法规，并按照相关规定依法履行董事职责。独立董事按照《公司章程》等法律、法规不受影响的独立</w:t>
      </w:r>
      <w:r>
        <w:rPr>
          <w:spacing w:val="-73"/>
        </w:rPr>
        <w:t> </w:t>
      </w:r>
      <w:r>
        <w:rPr>
          <w:spacing w:val="-73"/>
        </w:rPr>
      </w:r>
      <w:r>
        <w:rPr>
          <w:spacing w:val="-2"/>
        </w:rPr>
        <w:t>履行职责，出席公司董事会、股东大会，对本公司重大投资、董事、高级管理人员的任免发表自己的独立意见，保证了公司</w:t>
      </w:r>
      <w:r>
        <w:rPr>
          <w:spacing w:val="-67"/>
        </w:rPr>
        <w:t> </w:t>
      </w:r>
      <w:r>
        <w:rPr>
          <w:spacing w:val="-67"/>
        </w:rPr>
      </w:r>
      <w:r>
        <w:rPr/>
        <w:t>的规范运作。董事会下薪酬与审计专业委员会，各专业委员会根据各自职责对本公司发展提出相关的专业意见和建议。</w:t>
      </w:r>
    </w:p>
    <w:p>
      <w:pPr>
        <w:pStyle w:val="BodyText"/>
        <w:spacing w:line="316" w:lineRule="auto" w:before="20"/>
        <w:ind w:right="196" w:firstLine="360"/>
        <w:jc w:val="both"/>
      </w:pPr>
      <w:r>
        <w:rPr>
          <w:spacing w:val="-2"/>
        </w:rPr>
        <w:t>（四）监事和监事会本公司监事会严格按照《公司法》、《公司章程》和《监事会议事规则》的有关规定开展工作，监</w:t>
      </w:r>
      <w:r>
        <w:rPr/>
        <w:t> </w:t>
      </w:r>
      <w:r>
        <w:rPr>
          <w:spacing w:val="-2"/>
        </w:rPr>
        <w:t>事的推荐、选举和产生程序符合相关法律、法规的要求。公司监事会认真履行自己的职责，对公司财务以及董事、高级管理</w:t>
      </w:r>
      <w:r>
        <w:rPr>
          <w:spacing w:val="-67"/>
        </w:rPr>
        <w:t> </w:t>
      </w:r>
      <w:r>
        <w:rPr>
          <w:spacing w:val="-67"/>
        </w:rPr>
      </w:r>
      <w:r>
        <w:rPr/>
        <w:t>人员行使职权的合规性进行监督，维护公司及股东的合法权益。</w:t>
      </w:r>
    </w:p>
    <w:p>
      <w:pPr>
        <w:pStyle w:val="BodyText"/>
        <w:spacing w:line="316" w:lineRule="auto" w:before="67"/>
        <w:ind w:right="193" w:firstLine="360"/>
        <w:jc w:val="both"/>
      </w:pPr>
      <w:r>
        <w:rPr>
          <w:spacing w:val="-2"/>
        </w:rPr>
        <w:t>（五）关于信息披露与透明度本公司制定了《信息披露管理制度》，指定董事会秘书负责信息披露工作、接待股东来访</w:t>
      </w:r>
      <w:r>
        <w:rPr/>
        <w:t> </w:t>
      </w:r>
      <w:r>
        <w:rPr>
          <w:spacing w:val="-2"/>
        </w:rPr>
        <w:t>和咨询。本公司指定《证券时报》、《上海证券报》、《中国证券报》、《证券日报》及巨潮资讯网作为本公司信息披露的</w:t>
      </w:r>
      <w:r>
        <w:rPr>
          <w:spacing w:val="-71"/>
        </w:rPr>
        <w:t> </w:t>
      </w:r>
      <w:r>
        <w:rPr>
          <w:spacing w:val="-71"/>
        </w:rPr>
      </w:r>
      <w:r>
        <w:rPr>
          <w:spacing w:val="-2"/>
        </w:rPr>
        <w:t>报纸和网站。本公司严格按照有关法律法规及制定的《信息披露管理制度》的要求，真实、准确、完整、及时的披露有关信</w:t>
      </w:r>
      <w:r>
        <w:rPr>
          <w:spacing w:val="-73"/>
        </w:rPr>
        <w:t> </w:t>
      </w:r>
      <w:r>
        <w:rPr>
          <w:spacing w:val="-73"/>
        </w:rPr>
      </w:r>
      <w:r>
        <w:rPr/>
        <w:t>息，并确保所有股东有平等的机会获得信息。</w:t>
      </w:r>
    </w:p>
    <w:p>
      <w:pPr>
        <w:pStyle w:val="BodyText"/>
        <w:spacing w:line="314" w:lineRule="auto" w:before="69"/>
        <w:ind w:right="193" w:firstLine="360"/>
        <w:jc w:val="both"/>
      </w:pPr>
      <w:r>
        <w:rPr>
          <w:spacing w:val="-2"/>
        </w:rPr>
        <w:t>（六）关于相关利益者本公司能够充分尊重和维护相关利益者的合法权益，实现股东、员工、社会等各方利益的协调平</w:t>
      </w:r>
      <w:r>
        <w:rPr/>
        <w:t> 衡，共同推动公司持续、健康的发展。</w:t>
      </w:r>
    </w:p>
    <w:p>
      <w:pPr>
        <w:pStyle w:val="BodyText"/>
        <w:spacing w:line="357" w:lineRule="auto" w:before="62"/>
        <w:ind w:left="513" w:right="93"/>
        <w:jc w:val="left"/>
      </w:pPr>
      <w:r>
        <w:rPr/>
        <w:t>（七）绩效评价与激励约束机制 </w:t>
      </w:r>
      <w:r>
        <w:rPr>
          <w:spacing w:val="-2"/>
        </w:rPr>
        <w:t>公司已建立企业绩效评价激励体系，管理者的收入与企业经营业绩和目标挂钩，高级管理人员的聘任公开、透明，符合</w:t>
      </w:r>
    </w:p>
    <w:p>
      <w:pPr>
        <w:pStyle w:val="BodyText"/>
        <w:spacing w:line="224" w:lineRule="exact"/>
        <w:ind w:right="0"/>
        <w:jc w:val="left"/>
      </w:pPr>
      <w:r>
        <w:rPr/>
        <w:t>有关法律、法规的要求。公司董事会设立了薪酬与考核委员会，制定高级管理人员的薪酬方案，根据公司实际经营指标完成</w:t>
      </w:r>
    </w:p>
    <w:p>
      <w:pPr>
        <w:pStyle w:val="BodyText"/>
        <w:spacing w:line="316" w:lineRule="auto" w:before="76"/>
        <w:ind w:right="93"/>
        <w:jc w:val="left"/>
      </w:pPr>
      <w:r>
        <w:rPr>
          <w:spacing w:val="-2"/>
        </w:rPr>
        <w:t>情况以及高级管理人员的工作业绩，对高级管理人员进行年度绩效考核，并监督薪酬制度执行情况。报告期内，本公司高级</w:t>
      </w:r>
      <w:r>
        <w:rPr>
          <w:spacing w:val="-64"/>
        </w:rPr>
        <w:t> </w:t>
      </w:r>
      <w:r>
        <w:rPr>
          <w:spacing w:val="-64"/>
        </w:rPr>
      </w:r>
      <w:r>
        <w:rPr/>
        <w:t>管理人员经考核，均认真履行了工作职责，工作业绩良好，较好地完成了各自经营管理任务。</w:t>
      </w:r>
    </w:p>
    <w:p>
      <w:pPr>
        <w:pStyle w:val="BodyText"/>
        <w:spacing w:line="360" w:lineRule="auto" w:before="59"/>
        <w:ind w:left="515" w:right="93"/>
        <w:jc w:val="left"/>
      </w:pPr>
      <w:r>
        <w:rPr/>
        <w:t>（八）内部审计制度的建立和执行情况 </w:t>
      </w:r>
      <w:r>
        <w:rPr>
          <w:spacing w:val="-2"/>
        </w:rPr>
        <w:t>董事会下设审计委员会，主要负责公司内部、外部审计的沟通、监督、会议组织和核查工作。审计委员会下设审计部为</w:t>
      </w:r>
    </w:p>
    <w:p>
      <w:pPr>
        <w:pStyle w:val="BodyText"/>
        <w:spacing w:line="222" w:lineRule="exact"/>
        <w:ind w:right="0"/>
        <w:jc w:val="left"/>
      </w:pPr>
      <w:r>
        <w:rPr/>
        <w:t>日常办事机构，公司上市后，审计部积极运作，按照上市公司的要求完善了部门职能和人员安排，审计部对公司内部控制制</w:t>
      </w:r>
    </w:p>
    <w:p>
      <w:pPr>
        <w:pStyle w:val="BodyText"/>
        <w:spacing w:line="240" w:lineRule="auto" w:before="76"/>
        <w:ind w:right="93"/>
        <w:jc w:val="left"/>
      </w:pPr>
      <w:r>
        <w:rPr/>
        <w:t>度的建立和实施、公司财务信息的真实性和完整性等情况进行检查监督。</w:t>
      </w:r>
    </w:p>
    <w:p>
      <w:pPr>
        <w:pStyle w:val="BodyText"/>
        <w:spacing w:line="360" w:lineRule="auto" w:before="115"/>
        <w:ind w:left="513" w:right="93" w:hanging="72"/>
        <w:jc w:val="left"/>
      </w:pPr>
      <w:r>
        <w:rPr/>
        <w:t>（九）独立董事工作制度 </w:t>
      </w:r>
      <w:r>
        <w:rPr>
          <w:spacing w:val="-4"/>
        </w:rPr>
        <w:t>为进一步完善公司的治理结构，促进公司的规范运作，根据中国证监会《关于在上市公司建立独立董事制度的指导意见》</w:t>
      </w:r>
    </w:p>
    <w:p>
      <w:pPr>
        <w:pStyle w:val="BodyText"/>
        <w:spacing w:line="222" w:lineRule="exact"/>
        <w:ind w:right="0"/>
        <w:jc w:val="left"/>
      </w:pPr>
      <w:r>
        <w:rPr/>
        <w:t>和《上市公司治理准则》的规定，公司第一届董事会第十二次会议制订了《独立董事制度》《独立董事年报工作制度》，进</w:t>
      </w:r>
    </w:p>
    <w:p>
      <w:pPr>
        <w:spacing w:after="0" w:line="222" w:lineRule="exact"/>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60" w:lineRule="auto" w:before="44"/>
        <w:ind w:right="2574"/>
        <w:jc w:val="left"/>
      </w:pPr>
      <w:r>
        <w:rPr/>
        <w:t>一步加强了独立董事工作。 公司治理的实际状况与中国证监会发布的有关上市公司治理的规范性文件是否存在重大差异</w:t>
      </w:r>
    </w:p>
    <w:p>
      <w:pPr>
        <w:pStyle w:val="BodyText"/>
        <w:spacing w:line="340" w:lineRule="auto" w:before="25"/>
        <w:ind w:right="25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135"/>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35"/>
        <w:jc w:val="left"/>
      </w:pPr>
      <w:r>
        <w:rPr/>
        <w:t>不适用。</w:t>
      </w:r>
    </w:p>
    <w:p>
      <w:pPr>
        <w:spacing w:line="240" w:lineRule="auto" w:before="3"/>
        <w:rPr>
          <w:rFonts w:ascii="宋体" w:hAnsi="宋体" w:cs="宋体" w:eastAsia="宋体" w:hint="default"/>
          <w:sz w:val="25"/>
          <w:szCs w:val="25"/>
        </w:rPr>
      </w:pPr>
    </w:p>
    <w:p>
      <w:pPr>
        <w:pStyle w:val="Heading2"/>
        <w:spacing w:line="240" w:lineRule="auto"/>
        <w:ind w:right="135"/>
        <w:jc w:val="left"/>
        <w:rPr>
          <w:b w:val="0"/>
          <w:bCs w:val="0"/>
        </w:rPr>
      </w:pP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35"/>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35"/>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54.27%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39.81%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135"/>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35"/>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35"/>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2"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徐茂顺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孙建强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w:t>
            </w:r>
          </w:p>
        </w:tc>
      </w:tr>
      <w:tr>
        <w:trPr>
          <w:trHeight w:val="404"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傅瑜</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135"/>
        <w:jc w:val="left"/>
      </w:pPr>
      <w:r>
        <w:rPr/>
        <w:t>连续两次未亲自出席董事会的说明</w:t>
      </w:r>
    </w:p>
    <w:p>
      <w:pPr>
        <w:spacing w:after="0" w:line="240" w:lineRule="auto"/>
        <w:jc w:val="left"/>
        <w:sectPr>
          <w:footerReference w:type="default" r:id="rId16"/>
          <w:pgSz w:w="11910" w:h="16840"/>
          <w:pgMar w:footer="979" w:header="745" w:top="1060" w:bottom="1160" w:left="980" w:right="980"/>
          <w:pgNumType w:start="49"/>
        </w:sectPr>
      </w:pPr>
    </w:p>
    <w:p>
      <w:pPr>
        <w:spacing w:line="240" w:lineRule="auto" w:before="10"/>
        <w:rPr>
          <w:rFonts w:ascii="宋体" w:hAnsi="宋体" w:cs="宋体" w:eastAsia="宋体" w:hint="default"/>
          <w:sz w:val="25"/>
          <w:szCs w:val="25"/>
        </w:rPr>
      </w:pPr>
    </w:p>
    <w:p>
      <w:pPr>
        <w:pStyle w:val="BodyText"/>
        <w:spacing w:line="240" w:lineRule="auto" w:before="44"/>
        <w:ind w:right="135"/>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35"/>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35"/>
        <w:jc w:val="left"/>
      </w:pPr>
      <w:r>
        <w:rPr/>
        <w:t>独立董事对公司有关事项是否提出异议</w:t>
      </w:r>
    </w:p>
    <w:p>
      <w:pPr>
        <w:pStyle w:val="BodyText"/>
        <w:spacing w:line="340" w:lineRule="auto" w:before="115"/>
        <w:ind w:right="5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5"/>
        <w:rPr>
          <w:rFonts w:ascii="宋体" w:hAnsi="宋体" w:cs="宋体" w:eastAsia="宋体" w:hint="default"/>
          <w:sz w:val="21"/>
          <w:szCs w:val="21"/>
        </w:rPr>
      </w:pPr>
    </w:p>
    <w:p>
      <w:pPr>
        <w:pStyle w:val="Heading3"/>
        <w:spacing w:line="240" w:lineRule="auto"/>
        <w:ind w:right="135"/>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35"/>
        <w:jc w:val="left"/>
      </w:pPr>
      <w:r>
        <w:rPr/>
        <w:t>独立董事对公司有关建议是否被采纳</w:t>
      </w:r>
    </w:p>
    <w:p>
      <w:pPr>
        <w:pStyle w:val="BodyText"/>
        <w:spacing w:line="348" w:lineRule="auto" w:before="118"/>
        <w:ind w:right="58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 不适用。</w:t>
      </w:r>
    </w:p>
    <w:p>
      <w:pPr>
        <w:spacing w:line="240" w:lineRule="auto" w:before="1"/>
        <w:rPr>
          <w:rFonts w:ascii="宋体" w:hAnsi="宋体" w:cs="宋体" w:eastAsia="宋体" w:hint="default"/>
          <w:sz w:val="19"/>
          <w:szCs w:val="19"/>
        </w:rPr>
      </w:pPr>
    </w:p>
    <w:p>
      <w:pPr>
        <w:pStyle w:val="Heading2"/>
        <w:spacing w:line="240" w:lineRule="auto"/>
        <w:ind w:right="135"/>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52" w:firstLine="360"/>
        <w:jc w:val="both"/>
      </w:pPr>
      <w:r>
        <w:rPr>
          <w:rFonts w:ascii="Times New Roman" w:hAnsi="Times New Roman" w:cs="Times New Roman" w:eastAsia="Times New Roman" w:hint="default"/>
          <w:spacing w:val="-2"/>
        </w:rPr>
        <w:t>1</w:t>
      </w:r>
      <w:r>
        <w:rPr>
          <w:spacing w:val="-2"/>
        </w:rPr>
        <w:t>、薪酬与考核委员会：</w:t>
      </w:r>
      <w:r>
        <w:rPr>
          <w:rFonts w:ascii="Times New Roman" w:hAnsi="Times New Roman" w:cs="Times New Roman" w:eastAsia="Times New Roman" w:hint="default"/>
          <w:spacing w:val="-2"/>
        </w:rPr>
        <w:t>2017</w:t>
      </w:r>
      <w:r>
        <w:rPr>
          <w:spacing w:val="-2"/>
        </w:rPr>
        <w:t>年度组织召开了</w:t>
      </w:r>
      <w:r>
        <w:rPr>
          <w:rFonts w:ascii="Times New Roman" w:hAnsi="Times New Roman" w:cs="Times New Roman" w:eastAsia="Times New Roman" w:hint="default"/>
          <w:spacing w:val="-2"/>
        </w:rPr>
        <w:t>1</w:t>
      </w:r>
      <w:r>
        <w:rPr>
          <w:spacing w:val="-2"/>
        </w:rPr>
        <w:t>次薪酬与考核委员会会议，讨论公司目前薪酬体系存在的问题，对公司目</w:t>
      </w:r>
      <w:r>
        <w:rPr/>
        <w:t> 前薪酬体系提出建设性意见。</w:t>
      </w:r>
    </w:p>
    <w:p>
      <w:pPr>
        <w:pStyle w:val="BodyText"/>
        <w:spacing w:line="300" w:lineRule="auto" w:before="31"/>
        <w:ind w:right="151" w:firstLine="360"/>
        <w:jc w:val="both"/>
      </w:pPr>
      <w:r>
        <w:rPr>
          <w:rFonts w:ascii="Times New Roman" w:hAnsi="Times New Roman" w:cs="Times New Roman" w:eastAsia="Times New Roman" w:hint="default"/>
          <w:spacing w:val="-2"/>
        </w:rPr>
        <w:t>2</w:t>
      </w:r>
      <w:r>
        <w:rPr>
          <w:spacing w:val="-2"/>
        </w:rPr>
        <w:t>、审计委员会：</w:t>
      </w:r>
      <w:r>
        <w:rPr>
          <w:rFonts w:ascii="Times New Roman" w:hAnsi="Times New Roman" w:cs="Times New Roman" w:eastAsia="Times New Roman" w:hint="default"/>
          <w:spacing w:val="-2"/>
        </w:rPr>
        <w:t>2017</w:t>
      </w:r>
      <w:r>
        <w:rPr>
          <w:spacing w:val="-2"/>
        </w:rPr>
        <w:t>年度共组织了</w:t>
      </w:r>
      <w:r>
        <w:rPr>
          <w:rFonts w:ascii="Times New Roman" w:hAnsi="Times New Roman" w:cs="Times New Roman" w:eastAsia="Times New Roman" w:hint="default"/>
          <w:spacing w:val="-2"/>
        </w:rPr>
        <w:t>4</w:t>
      </w:r>
      <w:r>
        <w:rPr>
          <w:spacing w:val="-2"/>
        </w:rPr>
        <w:t>次审计委员会会议。对公司</w:t>
      </w:r>
      <w:r>
        <w:rPr>
          <w:rFonts w:ascii="Times New Roman" w:hAnsi="Times New Roman" w:cs="Times New Roman" w:eastAsia="Times New Roman" w:hint="default"/>
          <w:spacing w:val="-2"/>
        </w:rPr>
        <w:t>2016</w:t>
      </w:r>
      <w:r>
        <w:rPr>
          <w:spacing w:val="-2"/>
        </w:rPr>
        <w:t>年年度报告全文及摘要、</w:t>
      </w:r>
      <w:r>
        <w:rPr>
          <w:rFonts w:ascii="Times New Roman" w:hAnsi="Times New Roman" w:cs="Times New Roman" w:eastAsia="Times New Roman" w:hint="default"/>
          <w:spacing w:val="-2"/>
        </w:rPr>
        <w:t>2016</w:t>
      </w:r>
      <w:r>
        <w:rPr>
          <w:spacing w:val="-2"/>
        </w:rPr>
        <w:t>年度内部审计开展情</w:t>
      </w:r>
      <w:r>
        <w:rPr/>
        <w:t> </w:t>
      </w:r>
      <w:r>
        <w:rPr>
          <w:spacing w:val="-2"/>
        </w:rPr>
        <w:t>况、</w:t>
      </w:r>
      <w:r>
        <w:rPr>
          <w:rFonts w:ascii="Times New Roman" w:hAnsi="Times New Roman" w:cs="Times New Roman" w:eastAsia="Times New Roman" w:hint="default"/>
          <w:spacing w:val="-2"/>
        </w:rPr>
        <w:t>2017</w:t>
      </w:r>
      <w:r>
        <w:rPr>
          <w:spacing w:val="-2"/>
        </w:rPr>
        <w:t>年第一季度报告、</w:t>
      </w:r>
      <w:r>
        <w:rPr>
          <w:rFonts w:ascii="Times New Roman" w:hAnsi="Times New Roman" w:cs="Times New Roman" w:eastAsia="Times New Roman" w:hint="default"/>
          <w:spacing w:val="-2"/>
        </w:rPr>
        <w:t>2017</w:t>
      </w:r>
      <w:r>
        <w:rPr>
          <w:spacing w:val="-2"/>
        </w:rPr>
        <w:t>年半年度报告全文及摘要、</w:t>
      </w:r>
      <w:r>
        <w:rPr>
          <w:rFonts w:ascii="Times New Roman" w:hAnsi="Times New Roman" w:cs="Times New Roman" w:eastAsia="Times New Roman" w:hint="default"/>
          <w:spacing w:val="-2"/>
        </w:rPr>
        <w:t>2017</w:t>
      </w:r>
      <w:r>
        <w:rPr>
          <w:spacing w:val="-2"/>
        </w:rPr>
        <w:t>年第三季度报告等进行了审核，并参与了年度审计与主审会</w:t>
      </w:r>
      <w:r>
        <w:rPr>
          <w:spacing w:val="-58"/>
        </w:rPr>
        <w:t> </w:t>
      </w:r>
      <w:r>
        <w:rPr>
          <w:spacing w:val="-58"/>
        </w:rPr>
      </w:r>
      <w:r>
        <w:rPr/>
        <w:t>计机构的事前、事中沟通和事后评价工作。</w:t>
      </w:r>
    </w:p>
    <w:p>
      <w:pPr>
        <w:pStyle w:val="BodyText"/>
        <w:spacing w:line="240" w:lineRule="auto" w:before="72"/>
        <w:ind w:left="729" w:right="135"/>
        <w:jc w:val="left"/>
        <w:rPr>
          <w:rFonts w:ascii="Times New Roman" w:hAnsi="Times New Roman" w:cs="Times New Roman" w:eastAsia="Times New Roman" w:hint="default"/>
        </w:rPr>
      </w:pPr>
      <w:r>
        <w:rPr>
          <w:rFonts w:ascii="Times New Roman" w:hAnsi="Times New Roman" w:cs="Times New Roman" w:eastAsia="Times New Roman" w:hint="default"/>
        </w:rPr>
        <w:t>3</w:t>
      </w:r>
      <w:r>
        <w:rPr/>
        <w:t>、战略委员会：</w:t>
      </w:r>
      <w:r>
        <w:rPr>
          <w:rFonts w:ascii="Times New Roman" w:hAnsi="Times New Roman" w:cs="Times New Roman" w:eastAsia="Times New Roman" w:hint="default"/>
        </w:rPr>
        <w:t>2017</w:t>
      </w:r>
      <w:r>
        <w:rPr/>
        <w:t>年度共组织了</w:t>
      </w:r>
      <w:r>
        <w:rPr>
          <w:rFonts w:ascii="Times New Roman" w:hAnsi="Times New Roman" w:cs="Times New Roman" w:eastAsia="Times New Roman" w:hint="default"/>
        </w:rPr>
        <w:t>1</w:t>
      </w:r>
      <w:r>
        <w:rPr/>
        <w:t>次战略委员会会议。审议并通过公司</w:t>
      </w:r>
      <w:r>
        <w:rPr>
          <w:rFonts w:ascii="Times New Roman" w:hAnsi="Times New Roman" w:cs="Times New Roman" w:eastAsia="Times New Roman" w:hint="default"/>
        </w:rPr>
        <w:t>2016</w:t>
      </w:r>
      <w:r>
        <w:rPr/>
        <w:t>年度公司发展战略取得的成果及</w:t>
      </w:r>
      <w:r>
        <w:rPr>
          <w:rFonts w:ascii="Times New Roman" w:hAnsi="Times New Roman" w:cs="Times New Roman" w:eastAsia="Times New Roman" w:hint="default"/>
        </w:rPr>
        <w:t>2017</w:t>
      </w:r>
    </w:p>
    <w:p>
      <w:pPr>
        <w:pStyle w:val="BodyText"/>
        <w:spacing w:line="240" w:lineRule="auto" w:before="63"/>
        <w:ind w:right="135"/>
        <w:jc w:val="left"/>
      </w:pPr>
      <w:r>
        <w:rPr/>
        <w:t>年将实施的战略规划。</w:t>
      </w:r>
    </w:p>
    <w:p>
      <w:pPr>
        <w:spacing w:line="240" w:lineRule="auto" w:before="1"/>
        <w:rPr>
          <w:rFonts w:ascii="宋体" w:hAnsi="宋体" w:cs="宋体" w:eastAsia="宋体" w:hint="default"/>
          <w:sz w:val="25"/>
          <w:szCs w:val="25"/>
        </w:rPr>
      </w:pPr>
    </w:p>
    <w:p>
      <w:pPr>
        <w:pStyle w:val="Heading2"/>
        <w:spacing w:line="240" w:lineRule="auto"/>
        <w:ind w:right="135"/>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35"/>
        <w:jc w:val="left"/>
      </w:pPr>
      <w:r>
        <w:rPr/>
        <w:t>监事会在报告期内的监督活动中发现公司是否存在风险</w:t>
      </w:r>
    </w:p>
    <w:p>
      <w:pPr>
        <w:pStyle w:val="BodyText"/>
        <w:spacing w:line="338" w:lineRule="auto" w:before="117"/>
        <w:ind w:right="63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9"/>
        <w:rPr>
          <w:rFonts w:ascii="宋体" w:hAnsi="宋体" w:cs="宋体" w:eastAsia="宋体" w:hint="default"/>
          <w:sz w:val="19"/>
          <w:szCs w:val="19"/>
        </w:rPr>
      </w:pPr>
    </w:p>
    <w:p>
      <w:pPr>
        <w:pStyle w:val="Heading2"/>
        <w:spacing w:line="240" w:lineRule="auto"/>
        <w:ind w:right="135"/>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51" w:firstLine="360"/>
        <w:jc w:val="both"/>
      </w:pPr>
      <w:r>
        <w:rPr>
          <w:spacing w:val="-2"/>
        </w:rPr>
        <w:t>公司依据国家法律法规并结合实际情况制定了薪酬管理制度，建立和完善了公司组织绩效管理框架，不断完善绩效考核</w:t>
      </w:r>
      <w:r>
        <w:rPr/>
        <w:t> </w:t>
      </w:r>
      <w:r>
        <w:rPr>
          <w:spacing w:val="-2"/>
        </w:rPr>
        <w:t>机制和激励机制，公司高级管理人员严格按照相关法律法规的规定和要求进行聘任，确保公开、透明、公正，同时公司董事</w:t>
      </w:r>
      <w:r>
        <w:rPr>
          <w:spacing w:val="-65"/>
        </w:rPr>
        <w:t> </w:t>
      </w:r>
      <w:r>
        <w:rPr>
          <w:spacing w:val="-65"/>
        </w:rPr>
      </w:r>
      <w:r>
        <w:rPr>
          <w:spacing w:val="-2"/>
        </w:rPr>
        <w:t>会设立薪酬与考核委员会，主要负责对公司董事及高级管理人员进行绩效考核。公司对高级管理人员及技术骨干实施了股权</w:t>
      </w:r>
      <w:r>
        <w:rPr>
          <w:spacing w:val="-63"/>
        </w:rPr>
        <w:t> </w:t>
      </w:r>
      <w:r>
        <w:rPr>
          <w:spacing w:val="-63"/>
        </w:rPr>
      </w:r>
      <w:r>
        <w:rPr/>
        <w:t>激励计划。</w:t>
      </w:r>
    </w:p>
    <w:p>
      <w:pPr>
        <w:pStyle w:val="BodyText"/>
        <w:spacing w:line="240" w:lineRule="auto" w:before="19"/>
        <w:ind w:left="441" w:right="135"/>
        <w:jc w:val="left"/>
      </w:pPr>
      <w:r>
        <w:rPr/>
        <w:t>限制性股票激励计划的实施情况：</w:t>
      </w:r>
    </w:p>
    <w:p>
      <w:pPr>
        <w:pStyle w:val="BodyText"/>
        <w:spacing w:line="300" w:lineRule="auto" w:before="76"/>
        <w:ind w:right="158"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日，公司</w:t>
      </w:r>
      <w:r>
        <w:rPr>
          <w:rFonts w:ascii="Times New Roman" w:hAnsi="Times New Roman" w:cs="Times New Roman" w:eastAsia="Times New Roman" w:hint="default"/>
        </w:rPr>
        <w:t>2014</w:t>
      </w:r>
      <w:r>
        <w:rPr/>
        <w:t>年第二次临时股东大会审议通过了《限制性股票激励计划（草案修订稿）》。</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日公司召开第二届董事会第十二次会议，会议决定授予公司</w:t>
      </w:r>
      <w:r>
        <w:rPr>
          <w:rFonts w:ascii="Times New Roman" w:hAnsi="Times New Roman" w:cs="Times New Roman" w:eastAsia="Times New Roman" w:hint="default"/>
        </w:rPr>
        <w:t>26</w:t>
      </w:r>
      <w:r>
        <w:rPr/>
        <w:t>位激励对象合计</w:t>
      </w:r>
      <w:r>
        <w:rPr>
          <w:rFonts w:ascii="Times New Roman" w:hAnsi="Times New Roman" w:cs="Times New Roman" w:eastAsia="Times New Roman" w:hint="default"/>
        </w:rPr>
        <w:t>1,705</w:t>
      </w:r>
      <w:r>
        <w:rPr/>
        <w:t>万股限制性股票，授权日为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 </w:t>
      </w:r>
      <w:r>
        <w:rPr>
          <w:rFonts w:ascii="Times New Roman" w:hAnsi="Times New Roman" w:cs="Times New Roman" w:eastAsia="Times New Roman" w:hint="default"/>
        </w:rPr>
        <w:t>20</w:t>
      </w:r>
      <w:r>
        <w:rPr/>
        <w:t>日，授予价格为</w:t>
      </w:r>
      <w:r>
        <w:rPr>
          <w:rFonts w:ascii="Times New Roman" w:hAnsi="Times New Roman" w:cs="Times New Roman" w:eastAsia="Times New Roman" w:hint="default"/>
        </w:rPr>
        <w:t>4.20</w:t>
      </w:r>
      <w:r>
        <w:rPr/>
        <w:t>元</w:t>
      </w:r>
      <w:r>
        <w:rPr>
          <w:rFonts w:ascii="Times New Roman" w:hAnsi="Times New Roman" w:cs="Times New Roman" w:eastAsia="Times New Roman" w:hint="default"/>
        </w:rPr>
        <w:t>/</w:t>
      </w:r>
      <w:r>
        <w:rPr/>
        <w:t>股，并对相关事项进行了公告。</w:t>
      </w:r>
    </w:p>
    <w:p>
      <w:pPr>
        <w:pStyle w:val="BodyText"/>
        <w:spacing w:line="309" w:lineRule="auto" w:before="53"/>
        <w:ind w:right="151" w:firstLine="288"/>
        <w:jc w:val="both"/>
      </w:pPr>
      <w:r>
        <w:rPr>
          <w:spacing w:val="-1"/>
        </w:rPr>
        <w:t>公司</w:t>
      </w:r>
      <w:r>
        <w:rPr>
          <w:rFonts w:ascii="Times New Roman" w:hAnsi="Times New Roman" w:cs="Times New Roman" w:eastAsia="Times New Roman" w:hint="default"/>
          <w:spacing w:val="-1"/>
        </w:rPr>
        <w:t>2015</w:t>
      </w:r>
      <w:r>
        <w:rPr>
          <w:spacing w:val="-1"/>
        </w:rPr>
        <w:t>年第四次临时股东大会审议通过的</w:t>
      </w:r>
      <w:r>
        <w:rPr>
          <w:rFonts w:ascii="Times New Roman" w:hAnsi="Times New Roman" w:cs="Times New Roman" w:eastAsia="Times New Roman" w:hint="default"/>
          <w:spacing w:val="-1"/>
        </w:rPr>
        <w:t>2015</w:t>
      </w:r>
      <w:r>
        <w:rPr>
          <w:spacing w:val="-1"/>
        </w:rPr>
        <w:t>年半年度利润分配方案已实施完毕。</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22</w:t>
      </w:r>
      <w:r>
        <w:rPr>
          <w:spacing w:val="-1"/>
        </w:rPr>
        <w:t>日</w:t>
      </w:r>
      <w:r>
        <w:rPr>
          <w:rFonts w:ascii="Times New Roman" w:hAnsi="Times New Roman" w:cs="Times New Roman" w:eastAsia="Times New Roman" w:hint="default"/>
          <w:spacing w:val="-1"/>
        </w:rPr>
        <w:t>,</w:t>
      </w:r>
      <w:r>
        <w:rPr>
          <w:spacing w:val="-1"/>
        </w:rPr>
        <w:t>根据公司《限制性</w:t>
      </w:r>
      <w:r>
        <w:rPr/>
        <w:t> </w:t>
      </w:r>
      <w:r>
        <w:rPr>
          <w:spacing w:val="-2"/>
        </w:rPr>
        <w:t>股票激励计划（草案修订稿）》，董事会依据股东大会的授权，经公司第二届董事会第二十五次会议审议，对限制性股票激</w:t>
      </w:r>
      <w:r>
        <w:rPr>
          <w:spacing w:val="-68"/>
        </w:rPr>
        <w:t> </w:t>
      </w:r>
      <w:r>
        <w:rPr>
          <w:spacing w:val="-68"/>
        </w:rPr>
      </w:r>
      <w:r>
        <w:rPr/>
        <w:t>励计划中首次授予的限制性股票数量及回购价格进行相应的调整。调整后首次授予的限制性股票总量为</w:t>
      </w:r>
      <w:r>
        <w:rPr>
          <w:rFonts w:ascii="Times New Roman" w:hAnsi="Times New Roman" w:cs="Times New Roman" w:eastAsia="Times New Roman" w:hint="default"/>
        </w:rPr>
        <w:t>4,262.50</w:t>
      </w:r>
      <w:r>
        <w:rPr/>
        <w:t>万股；调整</w:t>
      </w:r>
    </w:p>
    <w:p>
      <w:pPr>
        <w:spacing w:after="0" w:line="309" w:lineRule="auto"/>
        <w:jc w:val="both"/>
        <w:sectPr>
          <w:footerReference w:type="default" r:id="rId17"/>
          <w:pgSz w:w="11910" w:h="16840"/>
          <w:pgMar w:footer="979" w:header="745" w:top="1060" w:bottom="1160" w:left="980" w:right="980"/>
          <w:pgNumType w:start="50"/>
        </w:sectPr>
      </w:pPr>
    </w:p>
    <w:p>
      <w:pPr>
        <w:spacing w:line="240" w:lineRule="auto" w:before="10"/>
        <w:rPr>
          <w:rFonts w:ascii="宋体" w:hAnsi="宋体" w:cs="宋体" w:eastAsia="宋体" w:hint="default"/>
          <w:sz w:val="25"/>
          <w:szCs w:val="25"/>
        </w:rPr>
      </w:pPr>
      <w:r>
        <w:rPr/>
        <w:pict>
          <v:group style="position:absolute;margin-left:384.070007pt;margin-top:489.789978pt;width:149.7pt;height:15.6pt;mso-position-horizontal-relative:page;mso-position-vertical-relative:page;z-index:-819088" coordorigin="7681,9796" coordsize="2994,312">
            <v:shape style="position:absolute;left:7681;top:9796;width:2994;height:312" coordorigin="7681,9796" coordsize="2994,312" path="m7681,10108l10675,10108,10675,9796,7681,9796,7681,10108xe" filled="true" fillcolor="#ffffff" stroked="false">
              <v:path arrowok="t"/>
              <v:fill type="solid"/>
            </v:shape>
            <w10:wrap type="none"/>
          </v:group>
        </w:pict>
      </w:r>
      <w:r>
        <w:rPr/>
        <w:pict>
          <v:group style="position:absolute;margin-left:384.070007pt;margin-top:692.619995pt;width:149.7pt;height:15.6pt;mso-position-horizontal-relative:page;mso-position-vertical-relative:page;z-index:-819064" coordorigin="7681,13852" coordsize="2994,312">
            <v:shape style="position:absolute;left:7681;top:13852;width:2994;height:312" coordorigin="7681,13852" coordsize="2994,312" path="m7681,14164l10675,14164,10675,13852,7681,13852,7681,14164xe" filled="true" fillcolor="#ffffff" stroked="false">
              <v:path arrowok="t"/>
              <v:fill type="solid"/>
            </v:shape>
            <w10:wrap type="none"/>
          </v:group>
        </w:pict>
      </w:r>
    </w:p>
    <w:p>
      <w:pPr>
        <w:pStyle w:val="BodyText"/>
        <w:spacing w:line="307" w:lineRule="auto" w:before="44"/>
        <w:ind w:right="151"/>
        <w:jc w:val="both"/>
      </w:pPr>
      <w:r>
        <w:rPr/>
        <w:t>后首次授予的限制性股票的回购价格为</w:t>
      </w:r>
      <w:r>
        <w:rPr>
          <w:rFonts w:ascii="Times New Roman" w:hAnsi="Times New Roman" w:cs="Times New Roman" w:eastAsia="Times New Roman" w:hint="default"/>
        </w:rPr>
        <w:t>1.656</w:t>
      </w:r>
      <w:r>
        <w:rPr/>
        <w:t>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月，限制性股票第一期达到解锁条件，激励对象分别于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 </w:t>
      </w:r>
      <w:r>
        <w:rPr/>
        <w:t>月</w:t>
      </w:r>
      <w:r>
        <w:rPr>
          <w:rFonts w:ascii="Times New Roman" w:hAnsi="Times New Roman" w:cs="Times New Roman" w:eastAsia="Times New Roman" w:hint="default"/>
        </w:rPr>
        <w:t>30</w:t>
      </w:r>
      <w:r>
        <w:rPr/>
        <w:t>日解锁共计</w:t>
      </w:r>
      <w:r>
        <w:rPr>
          <w:rFonts w:ascii="Times New Roman" w:hAnsi="Times New Roman" w:cs="Times New Roman" w:eastAsia="Times New Roman" w:hint="default"/>
        </w:rPr>
        <w:t>1,278.75</w:t>
      </w:r>
      <w:r>
        <w:rPr/>
        <w:t>万股。</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22</w:t>
      </w:r>
      <w:r>
        <w:rPr/>
        <w:t>日，公司第三届董事会第二次会议审议通过了《关于公司限制性股票激励计划 </w:t>
      </w:r>
      <w:r>
        <w:rPr>
          <w:spacing w:val="-5"/>
        </w:rPr>
        <w:t>首次授予的限制性股票第二期可解锁的议案》，独立董事对此发表了独立意见。公司第三届监事会第二次会议审议通过了《关</w:t>
      </w:r>
      <w:r>
        <w:rPr>
          <w:spacing w:val="-78"/>
        </w:rPr>
        <w:t> </w:t>
      </w:r>
      <w:r>
        <w:rPr>
          <w:spacing w:val="-78"/>
        </w:rPr>
      </w:r>
      <w:r>
        <w:rPr>
          <w:spacing w:val="-2"/>
        </w:rPr>
        <w:t>于公司限制性股票激励计划首次授予的限制性股票第二期可解锁激励对象名单的议案》。</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日，公司限制性股票</w:t>
      </w:r>
      <w:r>
        <w:rPr>
          <w:spacing w:val="-59"/>
        </w:rPr>
        <w:t> </w:t>
      </w:r>
      <w:r>
        <w:rPr>
          <w:spacing w:val="-59"/>
        </w:rPr>
      </w:r>
      <w:r>
        <w:rPr/>
        <w:t>激励计划首次授予的限制性股票第二期解锁的股份</w:t>
      </w:r>
      <w:r>
        <w:rPr>
          <w:rFonts w:ascii="Times New Roman" w:hAnsi="Times New Roman" w:cs="Times New Roman" w:eastAsia="Times New Roman" w:hint="default"/>
        </w:rPr>
        <w:t>12,787,500</w:t>
      </w:r>
      <w:r>
        <w:rPr/>
        <w:t>股上市流通。</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27</w:t>
      </w:r>
      <w:r>
        <w:rPr/>
        <w:t>日，公司第三届董事会第六次会议 </w:t>
      </w:r>
      <w:r>
        <w:rPr>
          <w:spacing w:val="-2"/>
        </w:rPr>
        <w:t>审议通过了《关于回购注销部分限制性股票的议案》，鉴于激励对象付大志因个人原因离职，公司回购并注销其已获授但尚</w:t>
      </w:r>
      <w:r>
        <w:rPr>
          <w:spacing w:val="-64"/>
        </w:rPr>
        <w:t> </w:t>
      </w:r>
      <w:r>
        <w:rPr>
          <w:spacing w:val="-64"/>
        </w:rPr>
      </w:r>
      <w:r>
        <w:rPr/>
        <w:t>未解锁的全部限制性股票共</w:t>
      </w:r>
      <w:r>
        <w:rPr>
          <w:rFonts w:ascii="Times New Roman" w:hAnsi="Times New Roman" w:cs="Times New Roman" w:eastAsia="Times New Roman" w:hint="default"/>
        </w:rPr>
        <w:t>100</w:t>
      </w:r>
      <w:r>
        <w:rPr/>
        <w:t>万股。</w:t>
      </w:r>
    </w:p>
    <w:p>
      <w:pPr>
        <w:spacing w:line="240" w:lineRule="auto" w:before="12"/>
        <w:rPr>
          <w:rFonts w:ascii="宋体" w:hAnsi="宋体" w:cs="宋体" w:eastAsia="宋体" w:hint="default"/>
          <w:sz w:val="19"/>
          <w:szCs w:val="19"/>
        </w:rPr>
      </w:pPr>
    </w:p>
    <w:p>
      <w:pPr>
        <w:pStyle w:val="Heading2"/>
        <w:spacing w:line="240" w:lineRule="auto"/>
        <w:ind w:right="0"/>
        <w:jc w:val="both"/>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341"/>
        <w:gridCol w:w="304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97.85%</w:t>
            </w:r>
          </w:p>
        </w:tc>
      </w:tr>
      <w:tr>
        <w:trPr>
          <w:trHeight w:val="716"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99.87%</w:t>
            </w:r>
          </w:p>
        </w:tc>
      </w:tr>
      <w:tr>
        <w:trPr>
          <w:trHeight w:val="396"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657"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14" w:space="0" w:color="FFFFFF"/>
            </w:tcBorders>
          </w:tcPr>
          <w:p>
            <w:pPr>
              <w:pStyle w:val="TableParagraph"/>
              <w:spacing w:line="309" w:lineRule="auto" w:before="49"/>
              <w:ind w:left="23" w:right="-43"/>
              <w:jc w:val="left"/>
              <w:rPr>
                <w:rFonts w:ascii="宋体" w:hAnsi="宋体" w:cs="宋体" w:eastAsia="宋体" w:hint="default"/>
                <w:sz w:val="18"/>
                <w:szCs w:val="18"/>
              </w:rPr>
            </w:pPr>
            <w:r>
              <w:rPr>
                <w:rFonts w:ascii="宋体" w:hAnsi="宋体" w:cs="宋体" w:eastAsia="宋体" w:hint="default"/>
                <w:sz w:val="18"/>
                <w:szCs w:val="18"/>
              </w:rPr>
              <w:t>① 财务报告重大缺陷的迹象包括：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 </w:t>
            </w:r>
            <w:r>
              <w:rPr>
                <w:rFonts w:ascii="宋体" w:hAnsi="宋体" w:cs="宋体" w:eastAsia="宋体" w:hint="default"/>
                <w:spacing w:val="-6"/>
                <w:sz w:val="18"/>
                <w:szCs w:val="18"/>
              </w:rPr>
              <w:t>司董事、监事和高级管理人员的舞弊行为；</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Times New Roman" w:hAnsi="Times New Roman" w:cs="Times New Roman" w:eastAsia="Times New Roman" w:hint="default"/>
                <w:sz w:val="18"/>
                <w:szCs w:val="18"/>
              </w:rPr>
              <w:t>b </w:t>
            </w:r>
            <w:r>
              <w:rPr>
                <w:rFonts w:ascii="宋体" w:hAnsi="宋体" w:cs="宋体" w:eastAsia="宋体" w:hint="default"/>
                <w:sz w:val="18"/>
                <w:szCs w:val="18"/>
              </w:rPr>
              <w:t>注册会计师发现的却未被公司内部控制 识别的当期财务报告中的重大错报；</w:t>
            </w:r>
            <w:r>
              <w:rPr>
                <w:rFonts w:ascii="Times New Roman" w:hAnsi="Times New Roman" w:cs="Times New Roman" w:eastAsia="Times New Roman" w:hint="default"/>
                <w:sz w:val="18"/>
                <w:szCs w:val="18"/>
              </w:rPr>
              <w:t>c </w:t>
            </w:r>
            <w:r>
              <w:rPr>
                <w:rFonts w:ascii="宋体" w:hAnsi="宋体" w:cs="宋体" w:eastAsia="宋体" w:hint="default"/>
                <w:sz w:val="18"/>
                <w:szCs w:val="18"/>
              </w:rPr>
              <w:t>对 已公告的财务报告出现的重大差错进行错 报更正；</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审计委员会和审计部门对公司 的对外财务报告和财务报告内部控制监督 无效。②</w:t>
            </w:r>
            <w:r>
              <w:rPr>
                <w:rFonts w:ascii="宋体" w:hAnsi="宋体" w:cs="宋体" w:eastAsia="宋体" w:hint="default"/>
                <w:spacing w:val="1"/>
                <w:sz w:val="18"/>
                <w:szCs w:val="18"/>
              </w:rPr>
              <w:t> </w:t>
            </w:r>
            <w:r>
              <w:rPr>
                <w:rFonts w:ascii="宋体" w:hAnsi="宋体" w:cs="宋体" w:eastAsia="宋体" w:hint="default"/>
                <w:sz w:val="18"/>
                <w:szCs w:val="18"/>
              </w:rPr>
              <w:t>财务报告重要缺陷的迹象包括：</w:t>
            </w:r>
            <w:r>
              <w:rPr>
                <w:rFonts w:ascii="宋体" w:hAnsi="宋体" w:cs="宋体" w:eastAsia="宋体" w:hint="default"/>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未依照公认会计准则选择和应用会计政 策； </w:t>
            </w:r>
            <w:r>
              <w:rPr>
                <w:rFonts w:ascii="Times New Roman" w:hAnsi="Times New Roman" w:cs="Times New Roman" w:eastAsia="Times New Roman" w:hint="default"/>
                <w:sz w:val="18"/>
                <w:szCs w:val="18"/>
              </w:rPr>
              <w:t>b </w:t>
            </w:r>
            <w:r>
              <w:rPr>
                <w:rFonts w:ascii="宋体" w:hAnsi="宋体" w:cs="宋体" w:eastAsia="宋体" w:hint="default"/>
                <w:sz w:val="18"/>
                <w:szCs w:val="18"/>
              </w:rPr>
              <w:t>未建立反舞弊程序和控制措施；</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c </w:t>
            </w:r>
            <w:r>
              <w:rPr>
                <w:rFonts w:ascii="宋体" w:hAnsi="宋体" w:cs="宋体" w:eastAsia="宋体" w:hint="default"/>
                <w:sz w:val="18"/>
                <w:szCs w:val="18"/>
              </w:rPr>
              <w:t>对于非常规或特殊交易的账务处理没有建 立相应的控制机制或没有实施且没有相应 的补偿性控制；</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对于期末财务报告过程 的控制存在一项或多项缺陷且不能合理保 </w:t>
            </w:r>
            <w:r>
              <w:rPr>
                <w:rFonts w:ascii="宋体" w:hAnsi="宋体" w:cs="宋体" w:eastAsia="宋体" w:hint="default"/>
                <w:spacing w:val="-6"/>
                <w:sz w:val="18"/>
                <w:szCs w:val="18"/>
              </w:rPr>
              <w:t>证编制的财务报表达到真实、完整的目标。</w:t>
            </w:r>
            <w:r>
              <w:rPr>
                <w:rFonts w:ascii="宋体" w:hAnsi="宋体" w:cs="宋体" w:eastAsia="宋体" w:hint="default"/>
                <w:sz w:val="18"/>
                <w:szCs w:val="18"/>
              </w:rPr>
            </w:r>
          </w:p>
          <w:p>
            <w:pPr>
              <w:pStyle w:val="TableParagraph"/>
              <w:spacing w:line="319" w:lineRule="auto" w:before="24"/>
              <w:ind w:left="23" w:right="17"/>
              <w:jc w:val="both"/>
              <w:rPr>
                <w:rFonts w:ascii="宋体" w:hAnsi="宋体" w:cs="宋体" w:eastAsia="宋体" w:hint="default"/>
                <w:sz w:val="18"/>
                <w:szCs w:val="18"/>
              </w:rPr>
            </w:pPr>
            <w:r>
              <w:rPr>
                <w:rFonts w:ascii="宋体" w:hAnsi="宋体" w:cs="宋体" w:eastAsia="宋体" w:hint="default"/>
                <w:sz w:val="18"/>
                <w:szCs w:val="18"/>
              </w:rPr>
              <w:t>③</w:t>
            </w:r>
            <w:r>
              <w:rPr>
                <w:rFonts w:ascii="宋体" w:hAnsi="宋体" w:cs="宋体" w:eastAsia="宋体" w:hint="default"/>
                <w:spacing w:val="4"/>
                <w:sz w:val="18"/>
                <w:szCs w:val="18"/>
              </w:rPr>
              <w:t> </w:t>
            </w:r>
            <w:r>
              <w:rPr>
                <w:rFonts w:ascii="宋体" w:hAnsi="宋体" w:cs="宋体" w:eastAsia="宋体" w:hint="default"/>
                <w:spacing w:val="-4"/>
                <w:sz w:val="18"/>
                <w:szCs w:val="18"/>
              </w:rPr>
              <w:t>财务报告一般缺陷的迹象包括：除上述</w:t>
            </w:r>
            <w:r>
              <w:rPr>
                <w:rFonts w:ascii="宋体" w:hAnsi="宋体" w:cs="宋体" w:eastAsia="宋体" w:hint="default"/>
                <w:sz w:val="18"/>
                <w:szCs w:val="18"/>
              </w:rPr>
              <w:t> 重大缺陷、重要缺陷之外的其他财务报告 内部控制缺陷。</w:t>
            </w:r>
          </w:p>
        </w:tc>
        <w:tc>
          <w:tcPr>
            <w:tcW w:w="3040" w:type="dxa"/>
            <w:vMerge w:val="restart"/>
            <w:tcBorders>
              <w:top w:val="single" w:sz="4" w:space="0" w:color="000000"/>
              <w:left w:val="single" w:sz="14" w:space="0" w:color="FFFFFF"/>
              <w:right w:val="single" w:sz="4" w:space="0" w:color="000000"/>
            </w:tcBorders>
          </w:tcPr>
          <w:p>
            <w:pPr>
              <w:pStyle w:val="TableParagraph"/>
              <w:spacing w:line="309" w:lineRule="auto" w:before="68"/>
              <w:ind w:left="-1" w:right="20"/>
              <w:jc w:val="left"/>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pacing w:val="1"/>
                <w:sz w:val="18"/>
                <w:szCs w:val="18"/>
              </w:rPr>
              <w:t> </w:t>
            </w:r>
            <w:r>
              <w:rPr>
                <w:rFonts w:ascii="宋体" w:hAnsi="宋体" w:cs="宋体" w:eastAsia="宋体" w:hint="default"/>
                <w:sz w:val="18"/>
                <w:szCs w:val="18"/>
              </w:rPr>
              <w:t>非财务报告重大缺陷的迹象包括：</w:t>
            </w:r>
            <w:r>
              <w:rPr>
                <w:rFonts w:ascii="宋体" w:hAnsi="宋体" w:cs="宋体" w:eastAsia="宋体" w:hint="default"/>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公司经营活动严重违反国家相关法 </w:t>
            </w:r>
            <w:r>
              <w:rPr>
                <w:rFonts w:ascii="宋体" w:hAnsi="宋体" w:cs="宋体" w:eastAsia="宋体" w:hint="default"/>
                <w:spacing w:val="-13"/>
                <w:sz w:val="18"/>
                <w:szCs w:val="18"/>
              </w:rPr>
              <w:t>律法规；</w:t>
            </w:r>
            <w:r>
              <w:rPr>
                <w:rFonts w:ascii="Times New Roman" w:hAnsi="Times New Roman" w:cs="Times New Roman" w:eastAsia="Times New Roman" w:hint="default"/>
                <w:spacing w:val="-13"/>
                <w:sz w:val="18"/>
                <w:szCs w:val="18"/>
              </w:rPr>
              <w:t>b</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重大经营决策未按公司政策 </w:t>
            </w:r>
            <w:r>
              <w:rPr>
                <w:rFonts w:ascii="宋体" w:hAnsi="宋体" w:cs="宋体" w:eastAsia="宋体" w:hint="default"/>
                <w:spacing w:val="-4"/>
                <w:sz w:val="18"/>
                <w:szCs w:val="18"/>
              </w:rPr>
              <w:t>执行，导致决策失误，产生重大经济损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失；</w:t>
            </w:r>
            <w:r>
              <w:rPr>
                <w:rFonts w:ascii="Times New Roman" w:hAnsi="Times New Roman" w:cs="Times New Roman" w:eastAsia="Times New Roman" w:hint="default"/>
                <w:spacing w:val="-9"/>
                <w:sz w:val="18"/>
                <w:szCs w:val="18"/>
              </w:rPr>
              <w:t>c </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未对公司重要技术资料、机密内</w:t>
            </w:r>
          </w:p>
          <w:p>
            <w:pPr>
              <w:pStyle w:val="TableParagraph"/>
              <w:spacing w:line="309" w:lineRule="auto" w:before="5"/>
              <w:ind w:left="-1" w:right="-43"/>
              <w:jc w:val="left"/>
              <w:rPr>
                <w:rFonts w:ascii="宋体" w:hAnsi="宋体" w:cs="宋体" w:eastAsia="宋体" w:hint="default"/>
                <w:sz w:val="18"/>
                <w:szCs w:val="18"/>
              </w:rPr>
            </w:pPr>
            <w:r>
              <w:rPr>
                <w:rFonts w:ascii="宋体" w:hAnsi="宋体" w:cs="宋体" w:eastAsia="宋体" w:hint="default"/>
                <w:sz w:val="18"/>
                <w:szCs w:val="18"/>
              </w:rPr>
              <w:t>幕信息进行有效防控，致使信息泄漏， 导致公司重大损失或不良社会影响；</w:t>
            </w:r>
            <w:r>
              <w:rPr>
                <w:rFonts w:ascii="Times New Roman" w:hAnsi="Times New Roman" w:cs="Times New Roman" w:eastAsia="Times New Roman" w:hint="default"/>
                <w:sz w:val="18"/>
                <w:szCs w:val="18"/>
              </w:rPr>
              <w:t>d </w:t>
            </w:r>
            <w:r>
              <w:rPr>
                <w:rFonts w:ascii="宋体" w:hAnsi="宋体" w:cs="宋体" w:eastAsia="宋体" w:hint="default"/>
                <w:sz w:val="18"/>
                <w:szCs w:val="18"/>
              </w:rPr>
              <w:t>重要业务缺乏制度控制或制度系统性 失效，且缺乏有效的补偿性控制</w:t>
            </w:r>
            <w:r>
              <w:rPr>
                <w:rFonts w:ascii="Times New Roman" w:hAnsi="Times New Roman" w:cs="Times New Roman" w:eastAsia="Times New Roman" w:hint="default"/>
                <w:sz w:val="18"/>
                <w:szCs w:val="18"/>
              </w:rPr>
              <w:t>;e </w:t>
            </w:r>
            <w:r>
              <w:rPr>
                <w:rFonts w:ascii="宋体" w:hAnsi="宋体" w:cs="宋体" w:eastAsia="宋体" w:hint="default"/>
                <w:sz w:val="18"/>
                <w:szCs w:val="18"/>
              </w:rPr>
              <w:t>内 部控制评价中发现的重大或重要缺陷 未得到整改</w:t>
            </w:r>
            <w:r>
              <w:rPr>
                <w:rFonts w:ascii="Times New Roman" w:hAnsi="Times New Roman" w:cs="Times New Roman" w:eastAsia="Times New Roman" w:hint="default"/>
                <w:sz w:val="18"/>
                <w:szCs w:val="18"/>
              </w:rPr>
              <w:t>;f</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其他对公司产生重大负 面影响的情形。②</w:t>
            </w:r>
            <w:r>
              <w:rPr>
                <w:rFonts w:ascii="宋体" w:hAnsi="宋体" w:cs="宋体" w:eastAsia="宋体" w:hint="default"/>
                <w:spacing w:val="1"/>
                <w:sz w:val="18"/>
                <w:szCs w:val="18"/>
              </w:rPr>
              <w:t> </w:t>
            </w:r>
            <w:r>
              <w:rPr>
                <w:rFonts w:ascii="宋体" w:hAnsi="宋体" w:cs="宋体" w:eastAsia="宋体" w:hint="default"/>
                <w:sz w:val="18"/>
                <w:szCs w:val="18"/>
              </w:rPr>
              <w:t>非财务报告重要缺</w:t>
            </w:r>
            <w:r>
              <w:rPr>
                <w:rFonts w:ascii="宋体" w:hAnsi="宋体" w:cs="宋体" w:eastAsia="宋体" w:hint="default"/>
                <w:sz w:val="18"/>
                <w:szCs w:val="18"/>
              </w:rPr>
              <w:t> 陷的迹象包括：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公司经营活动监管 </w:t>
            </w:r>
            <w:r>
              <w:rPr>
                <w:rFonts w:ascii="宋体" w:hAnsi="宋体" w:cs="宋体" w:eastAsia="宋体" w:hint="default"/>
                <w:spacing w:val="-4"/>
                <w:sz w:val="18"/>
                <w:szCs w:val="18"/>
              </w:rPr>
              <w:t>不全面，存在违反国家相关法律法规的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可能；</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经营决策未按公司政策执行， 导致决策执行不力，产生较大经济损 失；</w:t>
            </w:r>
            <w:r>
              <w:rPr>
                <w:rFonts w:ascii="Times New Roman" w:hAnsi="Times New Roman" w:cs="Times New Roman" w:eastAsia="Times New Roman" w:hint="default"/>
                <w:sz w:val="18"/>
                <w:szCs w:val="18"/>
              </w:rPr>
              <w:t>c </w:t>
            </w:r>
            <w:r>
              <w:rPr>
                <w:rFonts w:ascii="宋体" w:hAnsi="宋体" w:cs="宋体" w:eastAsia="宋体" w:hint="default"/>
                <w:sz w:val="18"/>
                <w:szCs w:val="18"/>
              </w:rPr>
              <w:t>公司重要技术资料保管不善丢 </w:t>
            </w:r>
            <w:r>
              <w:rPr>
                <w:rFonts w:ascii="宋体" w:hAnsi="宋体" w:cs="宋体" w:eastAsia="宋体" w:hint="default"/>
                <w:spacing w:val="-5"/>
                <w:sz w:val="18"/>
                <w:szCs w:val="18"/>
              </w:rPr>
              <w:t>失，给公司造成较大经济损失；</w:t>
            </w:r>
            <w:r>
              <w:rPr>
                <w:rFonts w:ascii="Times New Roman" w:hAnsi="Times New Roman" w:cs="Times New Roman" w:eastAsia="Times New Roman" w:hint="default"/>
                <w:spacing w:val="-5"/>
                <w:sz w:val="18"/>
                <w:szCs w:val="18"/>
              </w:rPr>
              <w:t>d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内部</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41" w:type="dxa"/>
            <w:vMerge/>
            <w:tcBorders>
              <w:left w:val="single" w:sz="9" w:space="0" w:color="D2D2D2"/>
              <w:right w:val="single" w:sz="14" w:space="0" w:color="FFFFFF"/>
            </w:tcBorders>
          </w:tcPr>
          <w:p>
            <w:pPr/>
          </w:p>
        </w:tc>
        <w:tc>
          <w:tcPr>
            <w:tcW w:w="3040" w:type="dxa"/>
            <w:vMerge/>
            <w:tcBorders>
              <w:left w:val="single" w:sz="14" w:space="0" w:color="FFFFFF"/>
              <w:right w:val="single" w:sz="4" w:space="0" w:color="000000"/>
            </w:tcBorders>
          </w:tcPr>
          <w:p>
            <w:pPr/>
          </w:p>
        </w:tc>
      </w:tr>
      <w:tr>
        <w:trPr>
          <w:trHeight w:val="2657"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14" w:space="0" w:color="FFFFFF"/>
            </w:tcBorders>
          </w:tcPr>
          <w:p>
            <w:pPr/>
          </w:p>
        </w:tc>
        <w:tc>
          <w:tcPr>
            <w:tcW w:w="3040" w:type="dxa"/>
            <w:vMerge/>
            <w:tcBorders>
              <w:left w:val="single" w:sz="14" w:space="0" w:color="FFFFFF"/>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8"/>
          <w:szCs w:val="28"/>
        </w:rPr>
      </w:pPr>
    </w:p>
    <w:p>
      <w:pPr>
        <w:pStyle w:val="BodyText"/>
        <w:spacing w:line="240" w:lineRule="auto" w:before="44"/>
        <w:ind w:left="0" w:right="160"/>
        <w:jc w:val="right"/>
      </w:pPr>
      <w:r>
        <w:rPr/>
        <w:pict>
          <v:shape style="position:absolute;margin-left:56.459999pt;margin-top:-104.668304pt;width:479.2pt;height:290.7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2"/>
                    <w:gridCol w:w="3053"/>
                  </w:tblGrid>
                  <w:tr>
                    <w:trPr>
                      <w:trHeight w:val="161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6" w:right="20"/>
                          <w:jc w:val="left"/>
                          <w:rPr>
                            <w:rFonts w:ascii="宋体" w:hAnsi="宋体" w:cs="宋体" w:eastAsia="宋体" w:hint="default"/>
                            <w:sz w:val="18"/>
                            <w:szCs w:val="18"/>
                          </w:rPr>
                        </w:pPr>
                        <w:r>
                          <w:rPr>
                            <w:rFonts w:ascii="宋体" w:hAnsi="宋体" w:cs="宋体" w:eastAsia="宋体" w:hint="default"/>
                            <w:sz w:val="18"/>
                            <w:szCs w:val="18"/>
                          </w:rPr>
                          <w:t>控制评价中发现的较大缺陷未得到整 </w:t>
                        </w:r>
                        <w:r>
                          <w:rPr>
                            <w:rFonts w:ascii="宋体" w:hAnsi="宋体" w:cs="宋体" w:eastAsia="宋体" w:hint="default"/>
                            <w:spacing w:val="-19"/>
                            <w:sz w:val="18"/>
                            <w:szCs w:val="18"/>
                          </w:rPr>
                          <w:t>改；</w:t>
                        </w:r>
                        <w:r>
                          <w:rPr>
                            <w:rFonts w:ascii="Times New Roman" w:hAnsi="Times New Roman" w:cs="Times New Roman" w:eastAsia="Times New Roman" w:hint="default"/>
                            <w:spacing w:val="-19"/>
                            <w:sz w:val="18"/>
                            <w:szCs w:val="18"/>
                          </w:rPr>
                          <w:t>e</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其他对公司产生较大负面影响的 情形 ③ 非财务报告一般缺陷的迹象 </w:t>
                        </w:r>
                        <w:r>
                          <w:rPr>
                            <w:rFonts w:ascii="宋体" w:hAnsi="宋体" w:cs="宋体" w:eastAsia="宋体" w:hint="default"/>
                            <w:spacing w:val="-4"/>
                            <w:sz w:val="18"/>
                            <w:szCs w:val="18"/>
                          </w:rPr>
                          <w:t>包括：除上述重大缺陷、重要缺陷之外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的其他非财务报告内部控制缺陷。</w:t>
                        </w:r>
                      </w:p>
                    </w:tc>
                  </w:tr>
                  <w:tr>
                    <w:trPr>
                      <w:trHeight w:val="258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14" w:space="0" w:color="FFFFFF"/>
                        </w:tcBorders>
                      </w:tcPr>
                      <w:p>
                        <w:pPr>
                          <w:pStyle w:val="TableParagraph"/>
                          <w:spacing w:line="300" w:lineRule="auto" w:before="49"/>
                          <w:ind w:left="24" w:right="54"/>
                          <w:jc w:val="left"/>
                          <w:rPr>
                            <w:rFonts w:ascii="宋体" w:hAnsi="宋体" w:cs="宋体" w:eastAsia="宋体" w:hint="default"/>
                            <w:sz w:val="18"/>
                            <w:szCs w:val="18"/>
                          </w:rPr>
                        </w:pPr>
                        <w:r>
                          <w:rPr>
                            <w:rFonts w:ascii="宋体" w:hAnsi="宋体" w:cs="宋体" w:eastAsia="宋体" w:hint="default"/>
                            <w:sz w:val="18"/>
                            <w:szCs w:val="18"/>
                          </w:rPr>
                          <w:t>一、一般缺陷：利润总额错报错报</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w w:val="99"/>
                            <w:sz w:val="18"/>
                            <w:szCs w:val="18"/>
                          </w:rPr>
                          <w:t> </w:t>
                        </w:r>
                        <w:r>
                          <w:rPr>
                            <w:rFonts w:ascii="宋体" w:hAnsi="宋体" w:cs="宋体" w:eastAsia="宋体" w:hint="default"/>
                            <w:sz w:val="18"/>
                            <w:szCs w:val="18"/>
                          </w:rPr>
                          <w:t>主营业务收入错报</w:t>
                        </w:r>
                        <w:r>
                          <w:rPr>
                            <w:rFonts w:ascii="Times New Roman" w:hAnsi="Times New Roman" w:cs="Times New Roman" w:eastAsia="Times New Roman" w:hint="default"/>
                            <w:sz w:val="18"/>
                            <w:szCs w:val="18"/>
                          </w:rPr>
                          <w:t>≤0.5%</w:t>
                        </w:r>
                        <w:r>
                          <w:rPr>
                            <w:rFonts w:ascii="宋体" w:hAnsi="宋体" w:cs="宋体" w:eastAsia="宋体" w:hint="default"/>
                            <w:sz w:val="18"/>
                            <w:szCs w:val="18"/>
                          </w:rPr>
                          <w:t>，资产总额错报</w:t>
                        </w:r>
                      </w:p>
                      <w:p>
                        <w:pPr>
                          <w:pStyle w:val="TableParagraph"/>
                          <w:spacing w:line="300" w:lineRule="auto" w:before="13"/>
                          <w:ind w:left="24" w:right="4"/>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；二、重要缺陷：利润总额错报</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错报</w:t>
                        </w:r>
                        <w:r>
                          <w:rPr>
                            <w:rFonts w:ascii="Times New Roman" w:hAnsi="Times New Roman" w:cs="Times New Roman" w:eastAsia="Times New Roman" w:hint="default"/>
                            <w:sz w:val="18"/>
                            <w:szCs w:val="18"/>
                          </w:rPr>
                          <w:t>≤5%</w:t>
                        </w:r>
                        <w:r>
                          <w:rPr>
                            <w:rFonts w:ascii="宋体" w:hAnsi="宋体" w:cs="宋体" w:eastAsia="宋体" w:hint="default"/>
                            <w:sz w:val="18"/>
                            <w:szCs w:val="18"/>
                          </w:rPr>
                          <w:t>，主营业务收入错报</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w:t>
                        </w:r>
                      </w:p>
                      <w:p>
                        <w:pPr>
                          <w:pStyle w:val="TableParagraph"/>
                          <w:spacing w:line="300" w:lineRule="auto" w:before="13"/>
                          <w:ind w:left="24"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，资产总额错报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w:t>
                        </w:r>
                        <w:r>
                          <w:rPr>
                            <w:rFonts w:ascii="Times New Roman" w:hAnsi="Times New Roman" w:cs="Times New Roman" w:eastAsia="Times New Roman" w:hint="default"/>
                            <w:sz w:val="18"/>
                            <w:szCs w:val="18"/>
                          </w:rPr>
                          <w:t>≤2%</w:t>
                        </w:r>
                        <w:r>
                          <w:rPr>
                            <w:rFonts w:ascii="宋体" w:hAnsi="宋体" w:cs="宋体" w:eastAsia="宋体" w:hint="default"/>
                            <w:sz w:val="18"/>
                            <w:szCs w:val="18"/>
                          </w:rPr>
                          <w:t>；三，</w:t>
                        </w:r>
                        <w:r>
                          <w:rPr>
                            <w:rFonts w:ascii="宋体" w:hAnsi="宋体" w:cs="宋体" w:eastAsia="宋体" w:hint="default"/>
                            <w:w w:val="99"/>
                            <w:sz w:val="18"/>
                            <w:szCs w:val="18"/>
                          </w:rPr>
                          <w:t> </w:t>
                        </w:r>
                        <w:r>
                          <w:rPr>
                            <w:rFonts w:ascii="宋体" w:hAnsi="宋体" w:cs="宋体" w:eastAsia="宋体" w:hint="default"/>
                            <w:sz w:val="18"/>
                            <w:szCs w:val="18"/>
                          </w:rPr>
                          <w:t>重大缺陷：利润总额错报错报</w:t>
                        </w:r>
                        <w:r>
                          <w:rPr>
                            <w:rFonts w:ascii="Times New Roman" w:hAnsi="Times New Roman" w:cs="Times New Roman" w:eastAsia="Times New Roman" w:hint="default"/>
                            <w:sz w:val="18"/>
                            <w:szCs w:val="18"/>
                          </w:rPr>
                          <w:t>&gt;5%</w:t>
                        </w:r>
                        <w:r>
                          <w:rPr>
                            <w:rFonts w:ascii="宋体" w:hAnsi="宋体" w:cs="宋体" w:eastAsia="宋体" w:hint="default"/>
                            <w:sz w:val="18"/>
                            <w:szCs w:val="18"/>
                          </w:rPr>
                          <w:t>，主营</w:t>
                        </w:r>
                        <w:r>
                          <w:rPr>
                            <w:rFonts w:ascii="宋体" w:hAnsi="宋体" w:cs="宋体" w:eastAsia="宋体" w:hint="default"/>
                            <w:w w:val="99"/>
                            <w:sz w:val="18"/>
                            <w:szCs w:val="18"/>
                          </w:rPr>
                          <w:t> </w:t>
                        </w:r>
                        <w:r>
                          <w:rPr>
                            <w:rFonts w:ascii="宋体" w:hAnsi="宋体" w:cs="宋体" w:eastAsia="宋体" w:hint="default"/>
                            <w:spacing w:val="-3"/>
                            <w:sz w:val="18"/>
                            <w:szCs w:val="18"/>
                          </w:rPr>
                          <w:t>业务收入错报：错报</w:t>
                        </w:r>
                        <w:r>
                          <w:rPr>
                            <w:rFonts w:ascii="Times New Roman" w:hAnsi="Times New Roman" w:cs="Times New Roman" w:eastAsia="Times New Roman" w:hint="default"/>
                            <w:spacing w:val="-3"/>
                            <w:sz w:val="18"/>
                            <w:szCs w:val="18"/>
                          </w:rPr>
                          <w:t>&gt;1%</w:t>
                        </w:r>
                        <w:r>
                          <w:rPr>
                            <w:rFonts w:ascii="宋体" w:hAnsi="宋体" w:cs="宋体" w:eastAsia="宋体" w:hint="default"/>
                            <w:spacing w:val="-3"/>
                            <w:sz w:val="18"/>
                            <w:szCs w:val="18"/>
                          </w:rPr>
                          <w:t>，资产总额错报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错报</w:t>
                        </w:r>
                        <w:r>
                          <w:rPr>
                            <w:rFonts w:ascii="Times New Roman" w:hAnsi="Times New Roman" w:cs="Times New Roman" w:eastAsia="Times New Roman" w:hint="default"/>
                            <w:sz w:val="18"/>
                            <w:szCs w:val="18"/>
                          </w:rPr>
                          <w:t>&gt;2%</w:t>
                        </w:r>
                        <w:r>
                          <w:rPr>
                            <w:rFonts w:ascii="宋体" w:hAnsi="宋体" w:cs="宋体" w:eastAsia="宋体" w:hint="default"/>
                            <w:sz w:val="18"/>
                            <w:szCs w:val="18"/>
                          </w:rPr>
                          <w:t>。</w:t>
                        </w:r>
                      </w:p>
                    </w:tc>
                    <w:tc>
                      <w:tcPr>
                        <w:tcW w:w="3053" w:type="dxa"/>
                        <w:tcBorders>
                          <w:top w:val="single" w:sz="4" w:space="0" w:color="000000"/>
                          <w:left w:val="single" w:sz="14"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13" w:right="26"/>
                          <w:jc w:val="left"/>
                          <w:rPr>
                            <w:rFonts w:ascii="宋体" w:hAnsi="宋体" w:cs="宋体" w:eastAsia="宋体" w:hint="default"/>
                            <w:sz w:val="18"/>
                            <w:szCs w:val="18"/>
                          </w:rPr>
                        </w:pPr>
                        <w:r>
                          <w:rPr>
                            <w:rFonts w:ascii="宋体" w:hAnsi="宋体" w:cs="宋体" w:eastAsia="宋体" w:hint="default"/>
                            <w:spacing w:val="-4"/>
                            <w:sz w:val="18"/>
                            <w:szCs w:val="18"/>
                          </w:rPr>
                          <w:t>一、一般缺陷：直接财产损失金额：损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失</w:t>
                        </w:r>
                        <w:r>
                          <w:rPr>
                            <w:rFonts w:ascii="Times New Roman" w:hAnsi="Times New Roman" w:cs="Times New Roman" w:eastAsia="Times New Roman" w:hint="default"/>
                            <w:sz w:val="18"/>
                            <w:szCs w:val="18"/>
                          </w:rPr>
                          <w:t>≤</w:t>
                        </w:r>
                        <w:r>
                          <w:rPr>
                            <w:rFonts w:ascii="宋体" w:hAnsi="宋体" w:cs="宋体" w:eastAsia="宋体" w:hint="default"/>
                            <w:sz w:val="18"/>
                            <w:szCs w:val="18"/>
                          </w:rPr>
                          <w:t>上年经审计的利润总额的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；二 </w:t>
                        </w:r>
                        <w:r>
                          <w:rPr>
                            <w:rFonts w:ascii="宋体" w:hAnsi="宋体" w:cs="宋体" w:eastAsia="宋体" w:hint="default"/>
                            <w:spacing w:val="-4"/>
                            <w:sz w:val="18"/>
                            <w:szCs w:val="18"/>
                          </w:rPr>
                          <w:t>重要缺陷：直接财产损失金额：上年经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审计的利润总额的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＜损失</w:t>
                        </w:r>
                        <w:r>
                          <w:rPr>
                            <w:rFonts w:ascii="Times New Roman" w:hAnsi="Times New Roman" w:cs="Times New Roman" w:eastAsia="Times New Roman" w:hint="default"/>
                            <w:sz w:val="18"/>
                            <w:szCs w:val="18"/>
                          </w:rPr>
                          <w:t>≤</w:t>
                        </w:r>
                        <w:r>
                          <w:rPr>
                            <w:rFonts w:ascii="宋体" w:hAnsi="宋体" w:cs="宋体" w:eastAsia="宋体" w:hint="default"/>
                            <w:sz w:val="18"/>
                            <w:szCs w:val="18"/>
                          </w:rPr>
                          <w:t>上年经 审计的利润总额的</w:t>
                        </w:r>
                        <w:r>
                          <w:rPr>
                            <w:rFonts w:ascii="宋体" w:hAnsi="宋体" w:cs="宋体" w:eastAsia="宋体" w:hint="default"/>
                            <w:spacing w:val="-37"/>
                            <w:sz w:val="18"/>
                            <w:szCs w:val="18"/>
                          </w:rPr>
                          <w:t> </w:t>
                        </w:r>
                        <w:r>
                          <w:rPr>
                            <w:rFonts w:ascii="Times New Roman" w:hAnsi="Times New Roman" w:cs="Times New Roman" w:eastAsia="Times New Roman" w:hint="default"/>
                            <w:spacing w:val="-10"/>
                            <w:sz w:val="18"/>
                            <w:szCs w:val="18"/>
                          </w:rPr>
                          <w:t>5%</w:t>
                        </w:r>
                        <w:r>
                          <w:rPr>
                            <w:rFonts w:ascii="宋体" w:hAnsi="宋体" w:cs="宋体" w:eastAsia="宋体" w:hint="default"/>
                            <w:spacing w:val="-10"/>
                            <w:sz w:val="18"/>
                            <w:szCs w:val="18"/>
                          </w:rPr>
                          <w:t>；三、重大缺陷</w:t>
                        </w:r>
                      </w:p>
                      <w:p>
                        <w:pPr>
                          <w:pStyle w:val="TableParagraph"/>
                          <w:spacing w:line="203" w:lineRule="exact" w:before="5"/>
                          <w:ind w:left="13" w:right="0"/>
                          <w:jc w:val="left"/>
                          <w:rPr>
                            <w:rFonts w:ascii="宋体" w:hAnsi="宋体" w:cs="宋体" w:eastAsia="宋体" w:hint="default"/>
                            <w:sz w:val="18"/>
                            <w:szCs w:val="18"/>
                          </w:rPr>
                        </w:pPr>
                        <w:r>
                          <w:rPr>
                            <w:rFonts w:ascii="宋体" w:hAnsi="宋体" w:cs="宋体" w:eastAsia="宋体" w:hint="default"/>
                            <w:sz w:val="18"/>
                            <w:szCs w:val="18"/>
                          </w:rPr>
                          <w:t>直接财产损失金额：损失</w:t>
                        </w:r>
                        <w:r>
                          <w:rPr>
                            <w:rFonts w:ascii="Times New Roman" w:hAnsi="Times New Roman" w:cs="Times New Roman" w:eastAsia="Times New Roman" w:hint="default"/>
                            <w:sz w:val="18"/>
                            <w:szCs w:val="18"/>
                          </w:rPr>
                          <w:t>&gt;</w:t>
                        </w:r>
                        <w:r>
                          <w:rPr>
                            <w:rFonts w:ascii="宋体" w:hAnsi="宋体" w:cs="宋体" w:eastAsia="宋体" w:hint="default"/>
                            <w:sz w:val="18"/>
                            <w:szCs w:val="18"/>
                          </w:rPr>
                          <w:t>上年经审计</w:t>
                        </w:r>
                      </w:p>
                      <w:p>
                        <w:pPr>
                          <w:pStyle w:val="TableParagraph"/>
                          <w:spacing w:line="149" w:lineRule="exact"/>
                          <w:ind w:left="-13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3" w:right="0"/>
                          <w:jc w:val="left"/>
                          <w:rPr>
                            <w:rFonts w:ascii="宋体" w:hAnsi="宋体" w:cs="宋体" w:eastAsia="宋体" w:hint="default"/>
                            <w:sz w:val="18"/>
                            <w:szCs w:val="18"/>
                          </w:rPr>
                        </w:pPr>
                        <w:r>
                          <w:rPr>
                            <w:rFonts w:ascii="宋体" w:hAnsi="宋体" w:cs="宋体" w:eastAsia="宋体" w:hint="default"/>
                            <w:sz w:val="18"/>
                            <w:szCs w:val="18"/>
                          </w:rPr>
                          <w:t>的利润总额的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left="0" w:right="158"/>
        <w:jc w:val="right"/>
      </w:pPr>
      <w:r>
        <w:rPr/>
        <w:t>：</w:t>
      </w:r>
    </w:p>
    <w:p>
      <w:pPr>
        <w:spacing w:line="240" w:lineRule="auto" w:before="3"/>
        <w:rPr>
          <w:rFonts w:ascii="宋体" w:hAnsi="宋体" w:cs="宋体" w:eastAsia="宋体" w:hint="default"/>
          <w:sz w:val="5"/>
          <w:szCs w:val="5"/>
        </w:rPr>
      </w:pPr>
    </w:p>
    <w:p>
      <w:pPr>
        <w:spacing w:line="662" w:lineRule="exact"/>
        <w:ind w:left="6701" w:right="0" w:firstLine="0"/>
        <w:rPr>
          <w:rFonts w:ascii="宋体" w:hAnsi="宋体" w:cs="宋体" w:eastAsia="宋体" w:hint="default"/>
          <w:sz w:val="20"/>
          <w:szCs w:val="20"/>
        </w:rPr>
      </w:pPr>
      <w:r>
        <w:rPr>
          <w:rFonts w:ascii="宋体" w:hAnsi="宋体" w:cs="宋体" w:eastAsia="宋体" w:hint="default"/>
          <w:position w:val="-12"/>
          <w:sz w:val="20"/>
          <w:szCs w:val="20"/>
        </w:rPr>
        <w:pict>
          <v:group style="width:149.7pt;height:33.15pt;mso-position-horizontal-relative:char;mso-position-vertical-relative:line" coordorigin="0,0" coordsize="2994,663">
            <v:group style="position:absolute;left:0;top:0;width:2994;height:313" coordorigin="0,0" coordsize="2994,313">
              <v:shape style="position:absolute;left:0;top:0;width:2994;height:313" coordorigin="0,0" coordsize="2994,313" path="m0,312l2993,312,2993,0,0,0,0,312xe" filled="true" fillcolor="#ffffff" stroked="false">
                <v:path arrowok="t"/>
                <v:fill type="solid"/>
              </v:shape>
            </v:group>
            <v:group style="position:absolute;left:0;top:312;width:2994;height:351" coordorigin="0,312" coordsize="2994,351">
              <v:shape style="position:absolute;left:0;top:312;width:2994;height:351" coordorigin="0,312" coordsize="2994,351" path="m0,663l2993,663,2993,312,0,312,0,663xe" filled="true" fillcolor="#ffffff" stroked="false">
                <v:path arrowok="t"/>
                <v:fill type="solid"/>
              </v:shape>
            </v:group>
          </v:group>
        </w:pict>
      </w:r>
      <w:r>
        <w:rPr>
          <w:rFonts w:ascii="宋体" w:hAnsi="宋体" w:cs="宋体" w:eastAsia="宋体" w:hint="default"/>
          <w:position w:val="-12"/>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204"/>
        <w:ind w:right="135"/>
        <w:jc w:val="left"/>
        <w:rPr>
          <w:b w:val="0"/>
          <w:bCs w:val="0"/>
        </w:rPr>
      </w:pP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35"/>
        <w:jc w:val="left"/>
      </w:pPr>
      <w:r>
        <w:rPr/>
        <w:t>不适用</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5" w:right="135"/>
        <w:jc w:val="left"/>
        <w:rPr>
          <w:b w:val="0"/>
          <w:bCs w:val="0"/>
        </w:rPr>
      </w:pPr>
      <w:bookmarkStart w:name="_bookmark9" w:id="10"/>
      <w:bookmarkEnd w:id="10"/>
      <w:r>
        <w:rPr>
          <w:b w:val="0"/>
          <w:bCs w:val="0"/>
        </w:rPr>
      </w:r>
      <w:r>
        <w:rPr/>
        <w:t>第十节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113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29" w:right="3470"/>
        <w:jc w:val="center"/>
        <w:rPr>
          <w:b w:val="0"/>
          <w:bCs w:val="0"/>
        </w:rPr>
      </w:pPr>
      <w:bookmarkStart w:name="_bookmark10" w:id="11"/>
      <w:bookmarkEnd w:id="11"/>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6754"/>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带强调事项段的无保留意见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山东和信会计师事务所（特殊普通合伙）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和信审字（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000670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左伟、杨国</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40"/>
        </w:sect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2"/>
          <w:szCs w:val="12"/>
        </w:rPr>
      </w:pPr>
    </w:p>
    <w:p>
      <w:pPr>
        <w:pStyle w:val="BodyText"/>
        <w:spacing w:line="360" w:lineRule="auto"/>
        <w:ind w:right="-20"/>
        <w:jc w:val="left"/>
      </w:pPr>
      <w:r>
        <w:rPr/>
        <w:t>青岛市恒顺众昇集团股份有限公司全体股东： 一、审计意见</w:t>
      </w:r>
    </w:p>
    <w:p>
      <w:pPr>
        <w:pStyle w:val="BodyText"/>
        <w:spacing w:line="240" w:lineRule="auto" w:before="49"/>
        <w:ind w:right="0"/>
        <w:jc w:val="left"/>
      </w:pPr>
      <w:r>
        <w:rPr/>
        <w:br w:type="column"/>
      </w:r>
      <w:r>
        <w:rPr/>
        <w:t>审计报告正文</w:t>
      </w:r>
    </w:p>
    <w:p>
      <w:pPr>
        <w:spacing w:after="0" w:line="240" w:lineRule="auto"/>
        <w:jc w:val="left"/>
        <w:sectPr>
          <w:type w:val="continuous"/>
          <w:pgSz w:w="11910" w:h="16840"/>
          <w:pgMar w:top="1060" w:bottom="1160" w:left="980" w:right="940"/>
          <w:cols w:num="2" w:equalWidth="0">
            <w:col w:w="3753" w:space="527"/>
            <w:col w:w="5710"/>
          </w:cols>
        </w:sectPr>
      </w:pPr>
    </w:p>
    <w:p>
      <w:pPr>
        <w:pStyle w:val="BodyText"/>
        <w:spacing w:line="319" w:lineRule="auto" w:before="25"/>
        <w:ind w:right="180"/>
        <w:jc w:val="left"/>
      </w:pPr>
      <w:r>
        <w:rPr/>
        <w:t>我们审计了青岛市恒顺众昇集团股份有限公司（以下简称恒顺公司）财务报表，包括</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日的合并及公司资产 负债表，</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年度的合并及公司利润表、合并及公司现金流量表、合并及公司股东权益变动表以及相关财务报表附注。 我们认为，后附的财务报表在所有重大方面按照企业会计准则的规定编制，公允反映了恒顺公司</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日合并及</w:t>
      </w:r>
    </w:p>
    <w:p>
      <w:pPr>
        <w:pStyle w:val="BodyText"/>
        <w:spacing w:line="340" w:lineRule="auto"/>
        <w:ind w:right="3425"/>
        <w:jc w:val="left"/>
      </w:pPr>
      <w:r>
        <w:rPr/>
        <w:t>公司的财务状况以及</w:t>
      </w:r>
      <w:r>
        <w:rPr>
          <w:spacing w:val="-46"/>
        </w:rPr>
        <w:t> </w:t>
      </w:r>
      <w:r>
        <w:rPr>
          <w:rFonts w:ascii="Times New Roman" w:hAnsi="Times New Roman" w:cs="Times New Roman" w:eastAsia="Times New Roman" w:hint="default"/>
        </w:rPr>
        <w:t>2017 </w:t>
      </w:r>
      <w:r>
        <w:rPr/>
        <w:t>年度合并及公司的经营成果和合并及公司的现金流量。 二、形成审计意见的基础</w:t>
      </w:r>
    </w:p>
    <w:p>
      <w:pPr>
        <w:pStyle w:val="BodyText"/>
        <w:spacing w:line="316" w:lineRule="auto" w:before="39"/>
        <w:ind w:right="190"/>
        <w:jc w:val="both"/>
      </w:pPr>
      <w:r>
        <w:rPr>
          <w:spacing w:val="-2"/>
        </w:rPr>
        <w:t>我们按照中国注册会计师审计准则的规定执行了审计工作。审计报告的“注册会计师对财务报表审计的责任”部分进一步阐</w:t>
      </w:r>
      <w:r>
        <w:rPr>
          <w:spacing w:val="-63"/>
        </w:rPr>
        <w:t> </w:t>
      </w:r>
      <w:r>
        <w:rPr>
          <w:spacing w:val="-63"/>
        </w:rPr>
      </w:r>
      <w:r>
        <w:rPr>
          <w:spacing w:val="-2"/>
        </w:rPr>
        <w:t>述了我们在这些准则下的责任。按照中国注册会计师职业道德守则，我们独立于恒顺公司，并履行了职业道德方面的其他责</w:t>
      </w:r>
      <w:r>
        <w:rPr>
          <w:spacing w:val="-62"/>
        </w:rPr>
        <w:t> </w:t>
      </w:r>
      <w:r>
        <w:rPr>
          <w:spacing w:val="-62"/>
        </w:rPr>
      </w:r>
      <w:r>
        <w:rPr/>
        <w:t>任。我们相信，我们获取的审计证据是充分、适当的，为发表审计意见提供了基础。</w:t>
      </w:r>
    </w:p>
    <w:p>
      <w:pPr>
        <w:pStyle w:val="BodyText"/>
        <w:spacing w:line="360" w:lineRule="auto" w:before="59"/>
        <w:ind w:right="6574"/>
        <w:jc w:val="left"/>
      </w:pPr>
      <w:r>
        <w:rPr/>
        <w:t>三、强调事项 我们提醒财务报表使用者关注如下事项：</w:t>
      </w:r>
    </w:p>
    <w:p>
      <w:pPr>
        <w:pStyle w:val="BodyText"/>
        <w:spacing w:line="300" w:lineRule="auto" w:before="25"/>
        <w:ind w:right="110"/>
        <w:jc w:val="both"/>
      </w:pPr>
      <w:r>
        <w:rPr/>
        <w:t>（一）如财务报表附注十四所述，恒顺公司于</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日收到中国证券监督管理委员会《行政处罚及市场禁入事先 </w:t>
      </w:r>
      <w:r>
        <w:rPr>
          <w:spacing w:val="-6"/>
        </w:rPr>
        <w:t>告知书》（处罚字</w:t>
      </w:r>
      <w:r>
        <w:rPr>
          <w:rFonts w:ascii="Times New Roman" w:hAnsi="Times New Roman" w:cs="Times New Roman" w:eastAsia="Times New Roman" w:hint="default"/>
          <w:spacing w:val="-6"/>
        </w:rPr>
        <w:t>[2017]101</w:t>
      </w:r>
      <w:r>
        <w:rPr>
          <w:rFonts w:ascii="Times New Roman" w:hAnsi="Times New Roman" w:cs="Times New Roman" w:eastAsia="Times New Roman" w:hint="default"/>
        </w:rPr>
        <w:t> </w:t>
      </w:r>
      <w:r>
        <w:rPr>
          <w:spacing w:val="-3"/>
        </w:rPr>
        <w:t>号），就恒顺公司涉嫌信息披露违法一案，拟对恒顺公司及有关人员作出行政处罚及市场禁入措</w:t>
      </w:r>
      <w:r>
        <w:rPr>
          <w:spacing w:val="-68"/>
        </w:rPr>
        <w:t> </w:t>
      </w:r>
      <w:r>
        <w:rPr>
          <w:spacing w:val="-68"/>
        </w:rPr>
      </w:r>
      <w:r>
        <w:rPr/>
        <w:t>施，恒顺公司及相关人员要求进行听证并对拟处罚事项进行了申辩。截至审计报告日，恒顺公司尚未收到行政处罚决定书。</w:t>
      </w:r>
    </w:p>
    <w:p>
      <w:pPr>
        <w:pStyle w:val="BodyText"/>
        <w:spacing w:line="300" w:lineRule="auto" w:before="72"/>
        <w:ind w:right="93"/>
        <w:jc w:val="left"/>
      </w:pPr>
      <w:r>
        <w:rPr>
          <w:spacing w:val="-2"/>
        </w:rPr>
        <w:t>（二）如财务报表附注五</w:t>
      </w:r>
      <w:r>
        <w:rPr>
          <w:rFonts w:ascii="Times New Roman" w:hAnsi="Times New Roman" w:cs="Times New Roman" w:eastAsia="Times New Roman" w:hint="default"/>
          <w:spacing w:val="-2"/>
        </w:rPr>
        <w:t>.37</w:t>
      </w:r>
      <w:r>
        <w:rPr>
          <w:rFonts w:ascii="Times New Roman" w:hAnsi="Times New Roman" w:cs="Times New Roman" w:eastAsia="Times New Roman" w:hint="default"/>
          <w:spacing w:val="6"/>
        </w:rPr>
        <w:t> </w:t>
      </w:r>
      <w:r>
        <w:rPr>
          <w:spacing w:val="-3"/>
        </w:rPr>
        <w:t>所述，</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6"/>
        </w:rPr>
        <w:t> </w:t>
      </w:r>
      <w:r>
        <w:rPr/>
        <w:t>年</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3"/>
        </w:rPr>
        <w:t>月，恒顺公司对与</w:t>
      </w:r>
      <w:r>
        <w:rPr>
          <w:spacing w:val="-42"/>
        </w:rPr>
        <w:t> </w:t>
      </w:r>
      <w:r>
        <w:rPr>
          <w:rFonts w:ascii="Times New Roman" w:hAnsi="Times New Roman" w:cs="Times New Roman" w:eastAsia="Times New Roman" w:hint="default"/>
          <w:spacing w:val="-1"/>
          <w:w w:val="99"/>
        </w:rPr>
        <w:t>ENERGY</w:t>
      </w:r>
      <w:r>
        <w:rPr>
          <w:rFonts w:ascii="Times New Roman" w:hAnsi="Times New Roman" w:cs="Times New Roman" w:eastAsia="Times New Roman" w:hint="default"/>
          <w:spacing w:val="-2"/>
          <w:w w:val="99"/>
        </w:rPr>
        <w:t> </w:t>
      </w:r>
      <w:r>
        <w:rPr>
          <w:rFonts w:ascii="Times New Roman" w:hAnsi="Times New Roman" w:cs="Times New Roman" w:eastAsia="Times New Roman" w:hint="default"/>
          <w:spacing w:val="-1"/>
          <w:w w:val="99"/>
        </w:rPr>
        <w:t>LOGICS</w:t>
      </w:r>
      <w:r>
        <w:rPr>
          <w:rFonts w:ascii="Times New Roman" w:hAnsi="Times New Roman" w:cs="Times New Roman" w:eastAsia="Times New Roman" w:hint="default"/>
          <w:spacing w:val="3"/>
          <w:w w:val="99"/>
        </w:rPr>
        <w:t> </w:t>
      </w:r>
      <w:r>
        <w:rPr>
          <w:rFonts w:ascii="Times New Roman" w:hAnsi="Times New Roman" w:cs="Times New Roman" w:eastAsia="Times New Roman" w:hint="default"/>
          <w:spacing w:val="-5"/>
          <w:w w:val="99"/>
        </w:rPr>
        <w:t>PHILIPPINES,INC</w:t>
      </w:r>
      <w:r>
        <w:rPr>
          <w:spacing w:val="-5"/>
          <w:w w:val="99"/>
        </w:rPr>
        <w:t>（以下简称“业主方”）</w:t>
      </w:r>
      <w:r>
        <w:rPr/>
        <w:t> 之间签署的《</w:t>
      </w:r>
      <w:r>
        <w:rPr>
          <w:rFonts w:ascii="Times New Roman" w:hAnsi="Times New Roman" w:cs="Times New Roman" w:eastAsia="Times New Roman" w:hint="default"/>
        </w:rPr>
        <w:t>Engineering, Procurement, and Construction (EPC) Contract for a Pasuquin </w:t>
      </w:r>
      <w:r>
        <w:rPr>
          <w:rFonts w:ascii="Times New Roman" w:hAnsi="Times New Roman" w:cs="Times New Roman" w:eastAsia="Times New Roman" w:hint="default"/>
          <w:spacing w:val="-3"/>
        </w:rPr>
        <w:t>Wind </w:t>
      </w:r>
      <w:r>
        <w:rPr>
          <w:rFonts w:ascii="Times New Roman" w:hAnsi="Times New Roman" w:cs="Times New Roman" w:eastAsia="Times New Roman" w:hint="default"/>
        </w:rPr>
        <w:t>(132MW)-Solar (100MW)</w:t>
      </w:r>
      <w:r>
        <w:rPr>
          <w:rFonts w:ascii="Times New Roman" w:hAnsi="Times New Roman" w:cs="Times New Roman" w:eastAsia="Times New Roman" w:hint="default"/>
          <w:spacing w:val="27"/>
        </w:rPr>
        <w:t> </w:t>
      </w:r>
      <w:r>
        <w:rPr>
          <w:rFonts w:ascii="Times New Roman" w:hAnsi="Times New Roman" w:cs="Times New Roman" w:eastAsia="Times New Roman" w:hint="default"/>
        </w:rPr>
        <w:t>Hybrid</w:t>
      </w:r>
      <w:r>
        <w:rPr>
          <w:rFonts w:ascii="Times New Roman" w:hAnsi="Times New Roman" w:cs="Times New Roman" w:eastAsia="Times New Roman" w:hint="default"/>
        </w:rPr>
        <w:t> Project,</w:t>
      </w:r>
      <w:r>
        <w:rPr>
          <w:rFonts w:ascii="Times New Roman" w:hAnsi="Times New Roman" w:cs="Times New Roman" w:eastAsia="Times New Roman" w:hint="default"/>
          <w:spacing w:val="-19"/>
        </w:rPr>
        <w:t> </w:t>
      </w:r>
      <w:r>
        <w:rPr>
          <w:rFonts w:ascii="Times New Roman" w:hAnsi="Times New Roman" w:cs="Times New Roman" w:eastAsia="Times New Roman" w:hint="default"/>
        </w:rPr>
        <w:t>Philippines</w:t>
      </w:r>
      <w:r>
        <w:rPr/>
        <w:t>》合同进行了变更，合同金额维持不变，施工期限以及付款进程重新作出约定。该合同的执行对恒顺公司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年度的经营成果产生重大影响，</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年度，恒顺公司按照企业会计准则第</w:t>
      </w:r>
      <w:r>
        <w:rPr>
          <w:spacing w:val="-55"/>
        </w:rPr>
        <w:t> </w:t>
      </w:r>
      <w:r>
        <w:rPr>
          <w:rFonts w:ascii="Times New Roman" w:hAnsi="Times New Roman" w:cs="Times New Roman" w:eastAsia="Times New Roman" w:hint="default"/>
        </w:rPr>
        <w:t>15</w:t>
      </w:r>
      <w:r>
        <w:rPr>
          <w:rFonts w:ascii="Times New Roman" w:hAnsi="Times New Roman" w:cs="Times New Roman" w:eastAsia="Times New Roman" w:hint="default"/>
          <w:spacing w:val="-9"/>
        </w:rPr>
        <w:t> </w:t>
      </w:r>
      <w:r>
        <w:rPr>
          <w:spacing w:val="-3"/>
        </w:rPr>
        <w:t>号《建造合同》完工百分比法（合同完工</w:t>
      </w:r>
    </w:p>
    <w:p>
      <w:pPr>
        <w:pStyle w:val="BodyText"/>
        <w:spacing w:line="240" w:lineRule="auto" w:before="13"/>
        <w:ind w:right="93"/>
        <w:jc w:val="left"/>
      </w:pPr>
      <w:r>
        <w:rPr/>
        <w:t>进度按照累计实际发生的合同成本占合同总成本的比例确定）累计确认收入 </w:t>
      </w:r>
      <w:r>
        <w:rPr>
          <w:rFonts w:ascii="Times New Roman" w:hAnsi="Times New Roman" w:cs="Times New Roman" w:eastAsia="Times New Roman" w:hint="default"/>
        </w:rPr>
        <w:t>141,679.53  </w:t>
      </w:r>
      <w:r>
        <w:rPr/>
        <w:t>万元，成本 </w:t>
      </w:r>
      <w:r>
        <w:rPr>
          <w:rFonts w:ascii="Times New Roman" w:hAnsi="Times New Roman" w:cs="Times New Roman" w:eastAsia="Times New Roman" w:hint="default"/>
        </w:rPr>
        <w:t>85,548.65 </w:t>
      </w:r>
      <w:r>
        <w:rPr>
          <w:rFonts w:ascii="Times New Roman" w:hAnsi="Times New Roman" w:cs="Times New Roman" w:eastAsia="Times New Roman" w:hint="default"/>
          <w:spacing w:val="3"/>
        </w:rPr>
        <w:t> </w:t>
      </w:r>
      <w:r>
        <w:rPr/>
        <w:t>万元，毛利</w:t>
      </w:r>
    </w:p>
    <w:p>
      <w:pPr>
        <w:pStyle w:val="BodyText"/>
        <w:spacing w:line="300" w:lineRule="auto" w:before="63"/>
        <w:ind w:right="93"/>
        <w:jc w:val="left"/>
      </w:pPr>
      <w:r>
        <w:rPr>
          <w:rFonts w:ascii="Times New Roman" w:hAnsi="Times New Roman" w:cs="Times New Roman" w:eastAsia="Times New Roman" w:hint="default"/>
        </w:rPr>
        <w:t>56,130.88 </w:t>
      </w:r>
      <w:r>
        <w:rPr/>
        <w:t>万元，占</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年恒顺公司毛利的比例为</w:t>
      </w:r>
      <w:r>
        <w:rPr>
          <w:spacing w:val="-47"/>
        </w:rPr>
        <w:t> </w:t>
      </w:r>
      <w:r>
        <w:rPr>
          <w:rFonts w:ascii="Times New Roman" w:hAnsi="Times New Roman" w:cs="Times New Roman" w:eastAsia="Times New Roman" w:hint="default"/>
        </w:rPr>
        <w:t>93.29%</w:t>
      </w:r>
      <w:r>
        <w:rPr/>
        <w:t>。截至</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日，尚未达到付款条件，恒顺公司未收到 业主方合同款。</w:t>
      </w:r>
    </w:p>
    <w:p>
      <w:pPr>
        <w:pStyle w:val="BodyText"/>
        <w:spacing w:line="357" w:lineRule="auto" w:before="72"/>
        <w:ind w:right="6934"/>
        <w:jc w:val="left"/>
      </w:pPr>
      <w:r>
        <w:rPr/>
        <w:t>本段内容不影响已发表的审计意见。 四、其他信息</w:t>
      </w:r>
    </w:p>
    <w:p>
      <w:pPr>
        <w:pStyle w:val="BodyText"/>
        <w:spacing w:line="300" w:lineRule="auto" w:before="29"/>
        <w:ind w:right="177"/>
        <w:jc w:val="left"/>
      </w:pPr>
      <w:r>
        <w:rPr/>
        <w:t>恒顺公司管理层（以下简称管理层）对其他信息负责。其他信息包括</w:t>
      </w:r>
      <w:r>
        <w:rPr>
          <w:spacing w:val="-4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年年度报告中涵盖的信息，但不包括财务报表和 我们的审计报告。</w:t>
      </w:r>
    </w:p>
    <w:p>
      <w:pPr>
        <w:pStyle w:val="BodyText"/>
        <w:spacing w:line="357" w:lineRule="auto" w:before="72"/>
        <w:ind w:right="93"/>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结合我们对财务报表的审计，我们的责任是阅读其他信息，在此过程中，考虑其他信息是否与财务报表或我们在审计过程中</w:t>
      </w:r>
    </w:p>
    <w:p>
      <w:pPr>
        <w:spacing w:after="0" w:line="357" w:lineRule="auto"/>
        <w:jc w:val="left"/>
        <w:sectPr>
          <w:type w:val="continuous"/>
          <w:pgSz w:w="11910" w:h="16840"/>
          <w:pgMar w:top="1060" w:bottom="1160" w:left="980" w:right="940"/>
        </w:sectPr>
      </w:pPr>
    </w:p>
    <w:p>
      <w:pPr>
        <w:spacing w:line="240" w:lineRule="auto" w:before="10"/>
        <w:rPr>
          <w:rFonts w:ascii="宋体" w:hAnsi="宋体" w:cs="宋体" w:eastAsia="宋体" w:hint="default"/>
          <w:sz w:val="25"/>
          <w:szCs w:val="25"/>
        </w:rPr>
      </w:pPr>
    </w:p>
    <w:p>
      <w:pPr>
        <w:pStyle w:val="BodyText"/>
        <w:spacing w:line="357" w:lineRule="auto" w:before="44"/>
        <w:ind w:right="93"/>
        <w:jc w:val="left"/>
      </w:pPr>
      <w:r>
        <w:rPr/>
        <w:t>了解到的情况存在重大不一致或者似乎存在重大错报。 </w:t>
      </w:r>
      <w:r>
        <w:rPr>
          <w:spacing w:val="-4"/>
        </w:rPr>
        <w:t>基于我们已执行的工作，如果我们确定其他信息存在重大错报，我们应当报告该事实。在这方面，我们无任何事项需要报告。</w:t>
      </w:r>
      <w:r>
        <w:rPr>
          <w:spacing w:val="-46"/>
        </w:rPr>
        <w:t> </w:t>
      </w:r>
      <w:r>
        <w:rPr>
          <w:spacing w:val="-46"/>
        </w:rPr>
      </w:r>
      <w:r>
        <w:rPr/>
        <w:t>五、关键审计事项</w:t>
      </w:r>
    </w:p>
    <w:p>
      <w:pPr>
        <w:pStyle w:val="BodyText"/>
        <w:spacing w:line="338" w:lineRule="auto" w:before="29"/>
        <w:ind w:right="93"/>
        <w:jc w:val="left"/>
      </w:pPr>
      <w:r>
        <w:rPr>
          <w:spacing w:val="-2"/>
        </w:rPr>
        <w:t>关键审计事项是我们根据职业判断，认为对本期财务报表审计最为重要的事项。这些事项的应对以对财务报表整体进行审计</w:t>
      </w:r>
      <w:r>
        <w:rPr>
          <w:spacing w:val="-63"/>
        </w:rPr>
        <w:t> </w:t>
      </w:r>
      <w:r>
        <w:rPr>
          <w:spacing w:val="-63"/>
        </w:rPr>
      </w:r>
      <w:r>
        <w:rPr/>
        <w:t>并形成审计意见为背景，我们不对这些事项单独发表意见。我们确定下列事项是需要在审计报告中沟通的关键审计事项： 存货余额</w:t>
      </w:r>
    </w:p>
    <w:p>
      <w:pPr>
        <w:pStyle w:val="BodyText"/>
        <w:spacing w:line="240" w:lineRule="auto" w:before="41"/>
        <w:ind w:right="93"/>
        <w:jc w:val="left"/>
      </w:pPr>
      <w:r>
        <w:rPr/>
        <w:t>相关信息披露详见财务报表附注三、</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及财务报表附注五、</w:t>
      </w:r>
      <w:r>
        <w:rPr>
          <w:rFonts w:ascii="Times New Roman" w:hAnsi="Times New Roman" w:cs="Times New Roman" w:eastAsia="Times New Roman" w:hint="default"/>
        </w:rPr>
        <w:t>6</w:t>
      </w:r>
      <w:r>
        <w:rPr/>
        <w:t>。</w:t>
      </w:r>
    </w:p>
    <w:p>
      <w:pPr>
        <w:pStyle w:val="BodyText"/>
        <w:spacing w:line="240" w:lineRule="auto" w:before="103"/>
        <w:ind w:right="6754"/>
        <w:jc w:val="left"/>
      </w:pPr>
      <w:r>
        <w:rPr>
          <w:rFonts w:ascii="Times New Roman" w:hAnsi="Times New Roman" w:cs="Times New Roman" w:eastAsia="Times New Roman" w:hint="default"/>
        </w:rPr>
        <w:t>1</w:t>
      </w:r>
      <w:r>
        <w:rPr/>
        <w:t>、事项描述</w:t>
      </w:r>
    </w:p>
    <w:p>
      <w:pPr>
        <w:pStyle w:val="BodyText"/>
        <w:spacing w:line="240" w:lineRule="auto" w:before="103"/>
        <w:ind w:right="93"/>
        <w:jc w:val="left"/>
        <w:rPr>
          <w:rFonts w:ascii="Times New Roman" w:hAnsi="Times New Roman" w:cs="Times New Roman" w:eastAsia="Times New Roman" w:hint="default"/>
        </w:rPr>
      </w:pPr>
      <w:r>
        <w:rPr/>
        <w:t>截至</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spacing w:val="-87"/>
        </w:rPr>
        <w:t>，</w:t>
      </w:r>
      <w:r>
        <w:rPr/>
        <w:t>恒</w:t>
      </w:r>
      <w:r>
        <w:rPr>
          <w:spacing w:val="-3"/>
        </w:rPr>
        <w:t>顺</w:t>
      </w:r>
      <w:r>
        <w:rPr/>
        <w:t>公司存货余额</w:t>
      </w:r>
      <w:r>
        <w:rPr>
          <w:spacing w:val="-4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4</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万元</w:t>
      </w:r>
      <w:r>
        <w:rPr>
          <w:spacing w:val="-89"/>
        </w:rPr>
        <w:t>，</w:t>
      </w:r>
      <w:r>
        <w:rPr/>
        <w:t>较</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6 </w:t>
      </w:r>
      <w:r>
        <w:rPr/>
        <w:t>年</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日存货</w:t>
      </w:r>
      <w:r>
        <w:rPr>
          <w:spacing w:val="-3"/>
        </w:rPr>
        <w:t>余</w:t>
      </w:r>
      <w:r>
        <w:rPr/>
        <w:t>额</w:t>
      </w:r>
      <w:r>
        <w:rPr>
          <w:spacing w:val="-45"/>
        </w:rPr>
        <w:t> </w:t>
      </w:r>
      <w:r>
        <w:rPr>
          <w:rFonts w:ascii="Times New Roman" w:hAnsi="Times New Roman" w:cs="Times New Roman" w:eastAsia="Times New Roman" w:hint="default"/>
          <w:spacing w:val="1"/>
        </w:rPr>
        <w:t>26</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6</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万</w:t>
      </w:r>
      <w:r>
        <w:rPr>
          <w:spacing w:val="-3"/>
        </w:rPr>
        <w:t>元</w:t>
      </w:r>
      <w:r>
        <w:rPr>
          <w:rFonts w:ascii="Times New Roman" w:hAnsi="Times New Roman" w:cs="Times New Roman" w:eastAsia="Times New Roman" w:hint="default"/>
        </w:rPr>
        <w:t>,</w:t>
      </w:r>
      <w:r>
        <w:rPr/>
        <w:t>增加</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4</w:t>
      </w:r>
      <w:r>
        <w:rPr>
          <w:rFonts w:ascii="Times New Roman" w:hAnsi="Times New Roman" w:cs="Times New Roman" w:eastAsia="Times New Roman" w:hint="default"/>
        </w:rPr>
        <w:t>,</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
        </w:rPr>
        <w:t>03</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4</w:t>
      </w:r>
      <w:r>
        <w:rPr>
          <w:rFonts w:ascii="Times New Roman" w:hAnsi="Times New Roman" w:cs="Times New Roman" w:eastAsia="Times New Roman" w:hint="default"/>
        </w:rPr>
        <w:t>2</w:t>
      </w:r>
    </w:p>
    <w:p>
      <w:pPr>
        <w:pStyle w:val="BodyText"/>
        <w:spacing w:line="338" w:lineRule="auto" w:before="63"/>
        <w:ind w:right="4445"/>
        <w:jc w:val="left"/>
      </w:pPr>
      <w:r>
        <w:rPr/>
        <w:t>万元，增幅</w:t>
      </w:r>
      <w:r>
        <w:rPr>
          <w:spacing w:val="-46"/>
        </w:rPr>
        <w:t> </w:t>
      </w:r>
      <w:r>
        <w:rPr>
          <w:rFonts w:ascii="Times New Roman" w:hAnsi="Times New Roman" w:cs="Times New Roman" w:eastAsia="Times New Roman" w:hint="default"/>
        </w:rPr>
        <w:t>540.73%</w:t>
      </w:r>
      <w:r>
        <w:rPr/>
        <w:t>。因此，我们将存货余额确定为关键审计事项。 </w:t>
      </w:r>
      <w:r>
        <w:rPr>
          <w:rFonts w:ascii="Times New Roman" w:hAnsi="Times New Roman" w:cs="Times New Roman" w:eastAsia="Times New Roman" w:hint="default"/>
        </w:rPr>
        <w:t>2</w:t>
      </w:r>
      <w:r>
        <w:rPr/>
        <w:t>、审计应对</w:t>
      </w:r>
    </w:p>
    <w:p>
      <w:pPr>
        <w:pStyle w:val="BodyText"/>
        <w:spacing w:line="240" w:lineRule="auto" w:before="22"/>
        <w:ind w:right="93"/>
        <w:jc w:val="left"/>
      </w:pPr>
      <w:r>
        <w:rPr/>
        <w:t>我们针对存货余额执行的审计程序主要有：</w:t>
      </w:r>
    </w:p>
    <w:p>
      <w:pPr>
        <w:pStyle w:val="BodyText"/>
        <w:spacing w:line="240" w:lineRule="auto" w:before="117"/>
        <w:ind w:right="93"/>
        <w:jc w:val="left"/>
      </w:pPr>
      <w:r>
        <w:rPr/>
        <w:t>（</w:t>
      </w:r>
      <w:r>
        <w:rPr>
          <w:rFonts w:ascii="Times New Roman" w:hAnsi="Times New Roman" w:cs="Times New Roman" w:eastAsia="Times New Roman" w:hint="default"/>
          <w:spacing w:val="1"/>
        </w:rPr>
        <w:t>1</w:t>
      </w:r>
      <w:r>
        <w:rPr>
          <w:spacing w:val="-92"/>
        </w:rPr>
        <w:t>）</w:t>
      </w:r>
      <w:r>
        <w:rPr/>
        <w:t>、与公司管理层访谈了解存货余额增加的原因；</w:t>
      </w:r>
    </w:p>
    <w:p>
      <w:pPr>
        <w:pStyle w:val="BodyText"/>
        <w:spacing w:line="240" w:lineRule="auto" w:before="101"/>
        <w:ind w:right="93"/>
        <w:jc w:val="left"/>
      </w:pPr>
      <w:r>
        <w:rPr/>
        <w:t>（</w:t>
      </w:r>
      <w:r>
        <w:rPr>
          <w:rFonts w:ascii="Times New Roman" w:hAnsi="Times New Roman" w:cs="Times New Roman" w:eastAsia="Times New Roman" w:hint="default"/>
          <w:spacing w:val="1"/>
        </w:rPr>
        <w:t>2</w:t>
      </w:r>
      <w:r>
        <w:rPr>
          <w:spacing w:val="-92"/>
        </w:rPr>
        <w:t>）</w:t>
      </w:r>
      <w:r>
        <w:rPr/>
        <w:t>、检查采购合同、采购订单、采购发票、验收单，核实存货采购成本；</w:t>
      </w:r>
    </w:p>
    <w:p>
      <w:pPr>
        <w:pStyle w:val="BodyText"/>
        <w:spacing w:line="240" w:lineRule="auto" w:before="103"/>
        <w:ind w:right="93"/>
        <w:jc w:val="left"/>
      </w:pPr>
      <w:r>
        <w:rPr/>
        <w:t>（</w:t>
      </w:r>
      <w:r>
        <w:rPr>
          <w:rFonts w:ascii="Times New Roman" w:hAnsi="Times New Roman" w:cs="Times New Roman" w:eastAsia="Times New Roman" w:hint="default"/>
          <w:spacing w:val="1"/>
        </w:rPr>
        <w:t>3</w:t>
      </w:r>
      <w:r>
        <w:rPr>
          <w:spacing w:val="-92"/>
        </w:rPr>
        <w:t>）</w:t>
      </w:r>
      <w:r>
        <w:rPr/>
        <w:t>、对重要的供应商进行现场访谈；</w:t>
      </w:r>
    </w:p>
    <w:p>
      <w:pPr>
        <w:pStyle w:val="BodyText"/>
        <w:spacing w:line="240" w:lineRule="auto" w:before="103"/>
        <w:ind w:right="6754"/>
        <w:jc w:val="left"/>
      </w:pPr>
      <w:r>
        <w:rPr/>
        <w:t>（</w:t>
      </w:r>
      <w:r>
        <w:rPr>
          <w:rFonts w:ascii="Times New Roman" w:hAnsi="Times New Roman" w:cs="Times New Roman" w:eastAsia="Times New Roman" w:hint="default"/>
          <w:spacing w:val="1"/>
        </w:rPr>
        <w:t>4</w:t>
      </w:r>
      <w:r>
        <w:rPr>
          <w:spacing w:val="-92"/>
        </w:rPr>
        <w:t>）</w:t>
      </w:r>
      <w:r>
        <w:rPr/>
        <w:t>、对存货实施监盘程序；</w:t>
      </w:r>
    </w:p>
    <w:p>
      <w:pPr>
        <w:pStyle w:val="BodyText"/>
        <w:spacing w:line="340" w:lineRule="auto" w:before="101"/>
        <w:ind w:right="5534"/>
        <w:jc w:val="left"/>
      </w:pPr>
      <w:r>
        <w:rPr>
          <w:spacing w:val="-5"/>
        </w:rPr>
        <w:t>（</w:t>
      </w:r>
      <w:r>
        <w:rPr>
          <w:rFonts w:ascii="Times New Roman" w:hAnsi="Times New Roman" w:cs="Times New Roman" w:eastAsia="Times New Roman" w:hint="default"/>
          <w:spacing w:val="-5"/>
        </w:rPr>
        <w:t>5</w:t>
      </w:r>
      <w:r>
        <w:rPr>
          <w:spacing w:val="-5"/>
        </w:rPr>
        <w:t>）、对存放在别处存货实施盘点和函证程序。</w:t>
      </w:r>
      <w:r>
        <w:rPr>
          <w:spacing w:val="-71"/>
        </w:rPr>
        <w:t> </w:t>
      </w:r>
      <w:r>
        <w:rPr>
          <w:spacing w:val="-71"/>
        </w:rPr>
      </w:r>
      <w:r>
        <w:rPr/>
        <w:t>六、管理层和治理层对财务报表的责任</w:t>
      </w:r>
    </w:p>
    <w:p>
      <w:pPr>
        <w:pStyle w:val="BodyText"/>
        <w:spacing w:line="319" w:lineRule="auto" w:before="41"/>
        <w:ind w:right="93"/>
        <w:jc w:val="left"/>
      </w:pPr>
      <w:r>
        <w:rPr>
          <w:spacing w:val="-2"/>
        </w:rPr>
        <w:t>恒顺公司管理层（以下简称管理层）负责按照企业会计准则的规定编制财务报表，使其实现公允反映，并设计、执行和维护</w:t>
      </w:r>
      <w:r>
        <w:rPr>
          <w:spacing w:val="-67"/>
        </w:rPr>
        <w:t> </w:t>
      </w:r>
      <w:r>
        <w:rPr>
          <w:spacing w:val="-67"/>
        </w:rPr>
      </w:r>
      <w:r>
        <w:rPr/>
        <w:t>必要的内部控制，以使财务报表不存在由于舞弊或错误导致的重大错报。</w:t>
      </w:r>
    </w:p>
    <w:p>
      <w:pPr>
        <w:pStyle w:val="BodyText"/>
        <w:spacing w:line="316" w:lineRule="auto" w:before="55"/>
        <w:ind w:right="93"/>
        <w:jc w:val="left"/>
      </w:pPr>
      <w:r>
        <w:rPr>
          <w:spacing w:val="-2"/>
        </w:rPr>
        <w:t>在编制财务报表时，管理层负责评估恒顺公司的持续经营能力，披露与持续经营相关的事项（如适用），并运用持续经营假</w:t>
      </w:r>
      <w:r>
        <w:rPr>
          <w:spacing w:val="-64"/>
        </w:rPr>
        <w:t> </w:t>
      </w:r>
      <w:r>
        <w:rPr>
          <w:spacing w:val="-64"/>
        </w:rPr>
      </w:r>
      <w:r>
        <w:rPr/>
        <w:t>设，除非管理层计划清算恒顺公司、终止运营或别无其他现实的选择。</w:t>
      </w:r>
    </w:p>
    <w:p>
      <w:pPr>
        <w:pStyle w:val="BodyText"/>
        <w:spacing w:line="360" w:lineRule="auto" w:before="59"/>
        <w:ind w:right="6394"/>
        <w:jc w:val="left"/>
      </w:pPr>
      <w:r>
        <w:rPr/>
        <w:t>治理层负责监督恒顺公司的财务报告过程。 七、注册会计师对财务报表审计的责任</w:t>
      </w:r>
    </w:p>
    <w:p>
      <w:pPr>
        <w:pStyle w:val="BodyText"/>
        <w:spacing w:line="316" w:lineRule="auto" w:before="25"/>
        <w:ind w:right="94"/>
        <w:jc w:val="left"/>
      </w:pPr>
      <w:r>
        <w:rPr/>
        <w:t>我们的目标是对财务报表整体是否不存在由于舞弊或错误导致的重大错报获取合理保证，并出具包含审计意见的审计报告。 </w:t>
      </w:r>
      <w:r>
        <w:rPr>
          <w:spacing w:val="-2"/>
        </w:rPr>
        <w:t>合理保证是高水平的保证，但并不能保证按照审计准则执行的审计在某一重大错报存在时总能发现。错报可能由于舞弊或错</w:t>
      </w:r>
      <w:r>
        <w:rPr>
          <w:spacing w:val="-64"/>
        </w:rPr>
        <w:t> </w:t>
      </w:r>
      <w:r>
        <w:rPr>
          <w:spacing w:val="-64"/>
        </w:rPr>
      </w:r>
      <w:r>
        <w:rPr>
          <w:spacing w:val="-2"/>
        </w:rPr>
        <w:t>误导致，如果合理预期错报单独或汇总起来可能影响财务报表使用者依据财务报表作出的经济决策，则通常认为错报是重大</w:t>
      </w:r>
      <w:r>
        <w:rPr>
          <w:spacing w:val="-64"/>
        </w:rPr>
        <w:t> </w:t>
      </w:r>
      <w:r>
        <w:rPr>
          <w:spacing w:val="-64"/>
        </w:rPr>
      </w:r>
      <w:r>
        <w:rPr/>
        <w:t>的。</w:t>
      </w:r>
    </w:p>
    <w:p>
      <w:pPr>
        <w:pStyle w:val="BodyText"/>
        <w:spacing w:line="240" w:lineRule="auto" w:before="59"/>
        <w:ind w:right="93"/>
        <w:jc w:val="left"/>
      </w:pPr>
      <w:r>
        <w:rPr/>
        <w:t>在按照审计准则执行审计工作的过程中，我们运用职业判断，并保持职业怀疑。同时，我们也执行以下工作：</w:t>
      </w:r>
    </w:p>
    <w:p>
      <w:pPr>
        <w:pStyle w:val="BodyText"/>
        <w:spacing w:line="316" w:lineRule="auto" w:before="118"/>
        <w:ind w:right="191"/>
        <w:jc w:val="both"/>
      </w:pPr>
      <w:r>
        <w:rPr>
          <w:spacing w:val="-2"/>
        </w:rPr>
        <w:t>（一）识别和评估由于舞弊或错误导致的财务报表重大错报风险，设计和实施审计程序以应对这些风险，并获取充分、适当</w:t>
      </w:r>
      <w:r>
        <w:rPr>
          <w:spacing w:val="-64"/>
        </w:rPr>
        <w:t> </w:t>
      </w:r>
      <w:r>
        <w:rPr>
          <w:spacing w:val="-64"/>
        </w:rPr>
      </w:r>
      <w:r>
        <w:rPr>
          <w:spacing w:val="-2"/>
        </w:rPr>
        <w:t>的审计证据，作为发表审计意见的基础。由于舞弊可能涉及串通、伪造、故意遗漏、虚假陈述或凌驾于内部控制之上，未能</w:t>
      </w:r>
      <w:r>
        <w:rPr>
          <w:spacing w:val="-70"/>
        </w:rPr>
        <w:t> </w:t>
      </w:r>
      <w:r>
        <w:rPr>
          <w:spacing w:val="-70"/>
        </w:rPr>
      </w:r>
      <w:r>
        <w:rPr/>
        <w:t>发现由于舞弊导致的重大错报的风险高于未能发现由于错误导致的重大错报的风险。</w:t>
      </w:r>
    </w:p>
    <w:p>
      <w:pPr>
        <w:pStyle w:val="BodyText"/>
        <w:spacing w:line="240" w:lineRule="auto" w:before="57"/>
        <w:ind w:right="93"/>
        <w:jc w:val="left"/>
      </w:pPr>
      <w:r>
        <w:rPr/>
        <w:t>（二）了解与审计相关的内部控制，以设计恰当的审计程序，但目的并非对内部控制的有效性发表意见。</w:t>
      </w:r>
    </w:p>
    <w:p>
      <w:pPr>
        <w:pStyle w:val="BodyText"/>
        <w:spacing w:line="240" w:lineRule="auto" w:before="117"/>
        <w:ind w:right="93"/>
        <w:jc w:val="left"/>
      </w:pPr>
      <w:r>
        <w:rPr/>
        <w:t>（三）评价管理层选用会计政策的恰当性和作出会计估计及相关披露的合理性。</w:t>
      </w:r>
    </w:p>
    <w:p>
      <w:pPr>
        <w:pStyle w:val="BodyText"/>
        <w:spacing w:line="316" w:lineRule="auto" w:before="117"/>
        <w:ind w:right="190"/>
        <w:jc w:val="both"/>
      </w:pPr>
      <w:r>
        <w:rPr>
          <w:spacing w:val="-2"/>
        </w:rPr>
        <w:t>（四）对管理层使用持续经营假设的恰当性得出结论。同时，根据获取的审计证据，就可能导致对恒顺公司持续经营能力产</w:t>
      </w:r>
      <w:r>
        <w:rPr>
          <w:spacing w:val="-64"/>
        </w:rPr>
        <w:t> </w:t>
      </w:r>
      <w:r>
        <w:rPr>
          <w:spacing w:val="-64"/>
        </w:rPr>
      </w:r>
      <w:r>
        <w:rPr>
          <w:spacing w:val="-2"/>
        </w:rPr>
        <w:t>生重大疑虑的事项或情况是否存在重大不确定性得出结论。如果我们得出结论认为存在重大不确定性，审计准则要求我们在</w:t>
      </w:r>
      <w:r>
        <w:rPr>
          <w:spacing w:val="-64"/>
        </w:rPr>
        <w:t> </w:t>
      </w:r>
      <w:r>
        <w:rPr>
          <w:spacing w:val="-64"/>
        </w:rPr>
      </w:r>
      <w:r>
        <w:rPr>
          <w:spacing w:val="-2"/>
        </w:rPr>
        <w:t>审计报告中提请报表使用者注意财务报表中的相关披露；如果披露不充分，我们应当发表非无保留意见。我们的结论基于截</w:t>
      </w:r>
      <w:r>
        <w:rPr>
          <w:spacing w:val="-63"/>
        </w:rPr>
        <w:t> </w:t>
      </w:r>
      <w:r>
        <w:rPr>
          <w:spacing w:val="-63"/>
        </w:rPr>
      </w:r>
      <w:r>
        <w:rPr/>
        <w:t>至审计报告日可获得的信息。然而，未来的事项或情况可能导致恒顺公司不能持续经营。</w:t>
      </w:r>
    </w:p>
    <w:p>
      <w:pPr>
        <w:pStyle w:val="BodyText"/>
        <w:spacing w:line="240" w:lineRule="auto" w:before="57"/>
        <w:ind w:right="93"/>
        <w:jc w:val="left"/>
      </w:pPr>
      <w:r>
        <w:rPr/>
        <w:t>（五）评价财务报表的总体列报、结构和内容（包括披露</w:t>
      </w:r>
      <w:r>
        <w:rPr>
          <w:spacing w:val="-92"/>
        </w:rPr>
        <w:t>）</w:t>
      </w:r>
      <w:r>
        <w:rPr>
          <w:spacing w:val="2"/>
        </w:rPr>
        <w:t>，</w:t>
      </w:r>
      <w:r>
        <w:rPr/>
        <w:t>并评价财务</w:t>
      </w:r>
      <w:r>
        <w:rPr>
          <w:spacing w:val="1"/>
        </w:rPr>
        <w:t>报</w:t>
      </w:r>
      <w:r>
        <w:rPr/>
        <w:t>表是否公允反映相关交易和事项。</w:t>
      </w:r>
    </w:p>
    <w:p>
      <w:pPr>
        <w:pStyle w:val="BodyText"/>
        <w:spacing w:line="316" w:lineRule="auto" w:before="117"/>
        <w:ind w:right="93"/>
        <w:jc w:val="left"/>
      </w:pPr>
      <w:r>
        <w:rPr>
          <w:spacing w:val="-2"/>
        </w:rPr>
        <w:t>（六）就恒顺公司中实体或业务活动的财务信息获取充分、适当的审计证据，以对合并财务报表发表审计意见。我们负责指</w:t>
      </w:r>
      <w:r>
        <w:rPr>
          <w:spacing w:val="-65"/>
        </w:rPr>
        <w:t> </w:t>
      </w:r>
      <w:r>
        <w:rPr>
          <w:spacing w:val="-65"/>
        </w:rPr>
      </w:r>
      <w:r>
        <w:rPr/>
        <w:t>导、监督和执行集团审计，并对审计意见承担全部责任。</w:t>
      </w:r>
    </w:p>
    <w:p>
      <w:pPr>
        <w:spacing w:after="0" w:line="316"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38" w:lineRule="auto" w:before="44"/>
        <w:ind w:right="135"/>
        <w:jc w:val="left"/>
      </w:pPr>
      <w:r>
        <w:rPr>
          <w:spacing w:val="-2"/>
        </w:rPr>
        <w:t>我们与治理层就计划的审计范围、时间安排和重大审计发现等事项进行沟通，包括沟通我们在审计中识别出的值得关注的内</w:t>
      </w:r>
      <w:r>
        <w:rPr>
          <w:spacing w:val="-64"/>
        </w:rPr>
        <w:t> </w:t>
      </w:r>
      <w:r>
        <w:rPr>
          <w:spacing w:val="-64"/>
        </w:rPr>
      </w:r>
      <w:r>
        <w:rPr/>
        <w:t>部控制缺陷。 </w:t>
      </w:r>
      <w:r>
        <w:rPr>
          <w:spacing w:val="-2"/>
        </w:rPr>
        <w:t>我们还就已遵守与独立性相关的职业道德要求向治理层提供声明，并与治理层沟通可能被合理认为影响我们独立性的所有关</w:t>
      </w:r>
    </w:p>
    <w:p>
      <w:pPr>
        <w:pStyle w:val="BodyText"/>
        <w:spacing w:line="338" w:lineRule="auto" w:before="2"/>
        <w:ind w:right="135"/>
        <w:jc w:val="left"/>
      </w:pPr>
      <w:r>
        <w:rPr>
          <w:spacing w:val="-5"/>
        </w:rPr>
        <w:t>系和其他事项，以及相关的防范措施（如适用）。</w:t>
      </w:r>
      <w:r>
        <w:rPr>
          <w:spacing w:val="-72"/>
        </w:rPr>
        <w:t> </w:t>
      </w:r>
      <w:r>
        <w:rPr>
          <w:spacing w:val="-72"/>
        </w:rPr>
      </w:r>
      <w:r>
        <w:rPr>
          <w:spacing w:val="-2"/>
        </w:rPr>
        <w:t>从与治理层沟通过的事项中，我们确定哪些事项对本期财务报表审计最为重要，因而构成关键审计事项。我们在审计报告中</w:t>
      </w:r>
      <w:r>
        <w:rPr>
          <w:spacing w:val="-62"/>
        </w:rPr>
        <w:t> </w:t>
      </w:r>
      <w:r>
        <w:rPr>
          <w:spacing w:val="-62"/>
        </w:rPr>
      </w:r>
      <w:r>
        <w:rPr>
          <w:spacing w:val="-2"/>
        </w:rPr>
        <w:t>描述这些事项，除非法律法规禁止公开披露这些事项，或在极少数情形下，如果合理预期在审计报告中沟通某事项造成的负</w:t>
      </w:r>
    </w:p>
    <w:p>
      <w:pPr>
        <w:pStyle w:val="BodyText"/>
        <w:spacing w:line="240" w:lineRule="auto" w:before="2"/>
        <w:ind w:right="135"/>
        <w:jc w:val="left"/>
      </w:pPr>
      <w:r>
        <w:rPr/>
        <w:t>面后果超过在公众利益方面产生的益处，我们确定不应在审计报告中沟通该事项。</w:t>
      </w:r>
    </w:p>
    <w:p>
      <w:pPr>
        <w:spacing w:line="240" w:lineRule="auto" w:before="3"/>
        <w:rPr>
          <w:rFonts w:ascii="宋体" w:hAnsi="宋体" w:cs="宋体" w:eastAsia="宋体" w:hint="default"/>
          <w:sz w:val="25"/>
          <w:szCs w:val="25"/>
        </w:rPr>
      </w:pPr>
    </w:p>
    <w:p>
      <w:pPr>
        <w:pStyle w:val="Heading2"/>
        <w:spacing w:line="240" w:lineRule="auto"/>
        <w:ind w:right="135"/>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35"/>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21"/>
        <w:ind w:right="135"/>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35"/>
        <w:jc w:val="left"/>
      </w:pPr>
      <w:r>
        <w:rPr/>
        <w:t>编制单位：青岛市恒顺众昇集团股份有限公司</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282,833,696.19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168,906,559.47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602,328,827.62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1,139,234,129.41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13,089,137.73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9,742,208.64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38,194,744.93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4,125,403.43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1,714,640,169.48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267,605,994.29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540,009.00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20,090.00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170,633,812.74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94,505,658.63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2,822,260,397.69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1,684,140,043.87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26,340,000.10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31,996,666.75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3,630,130.33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4,086,197.88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164,235,883.65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194,130,093.35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274,121,357.70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242,029,469.94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419,564,105.18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415,807,904.54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24,580,800.00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24,580,800.00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4,501,378.13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9,705,861.64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26,313,853.14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20,790,209.81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126,525,614.81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147,989,186.83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1,069,813,123.04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1,091,116,390.74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3,892,073,520.73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2,775,256,434.61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343,000,000.00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312,163,049.95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136,688,157.70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1,084,649,229.46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693,444,772.87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448,715.04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548,715.04</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4,027,545.21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3,232,678.59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74,780,750.77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9,848,081.63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480,046.25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343,508.89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4,155,109.54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37,301,266.23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29,964,111.76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56,620,111.76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144,972.00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3,501,140.25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1,853,813,529.98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1,044,528,432.96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1,240,046.73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4,216,158.49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116,240,046.73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119,216,158.49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1,970,053,576.71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1,163,744,591.45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765,525,000.00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766,525,000.00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210,281,843.79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206,194,984.55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17,050,000.00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-62,152,371.75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-32,254,584.49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8,243,588.96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5,567,627.57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88,118,964.27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78,144,178.23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911,785,119.51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587,615,228.18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1,905,752,144.78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1,594,742,434.04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16,267,799.24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16,769,409.12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1,922,019,944.02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1,611,511,843.16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3,892,073,520.73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2,775,256,434.61</w:t>
            </w:r>
          </w:p>
        </w:tc>
      </w:tr>
    </w:tbl>
    <w:p>
      <w:pPr>
        <w:spacing w:line="240" w:lineRule="auto" w:before="11"/>
        <w:rPr>
          <w:rFonts w:ascii="Times New Roman" w:hAnsi="Times New Roman" w:cs="Times New Roman" w:eastAsia="Times New Roman" w:hint="default"/>
          <w:sz w:val="22"/>
          <w:szCs w:val="22"/>
        </w:rPr>
      </w:pPr>
    </w:p>
    <w:p>
      <w:pPr>
        <w:pStyle w:val="BodyText"/>
        <w:tabs>
          <w:tab w:pos="3514" w:val="left" w:leader="none"/>
          <w:tab w:pos="7746" w:val="left" w:leader="none"/>
        </w:tabs>
        <w:spacing w:line="240" w:lineRule="auto" w:before="44"/>
        <w:ind w:left="0" w:right="244"/>
        <w:jc w:val="right"/>
      </w:pPr>
      <w:r>
        <w:rPr/>
        <w:t>法定代表人：贾晓钰</w:t>
        <w:tab/>
      </w:r>
      <w:r>
        <w:rPr>
          <w:spacing w:val="-1"/>
        </w:rPr>
        <w:t>主管会计工作负责人：于秀成</w:t>
        <w:tab/>
      </w:r>
      <w:r>
        <w:rPr/>
        <w:t>会计机构负责人：于越</w:t>
      </w:r>
    </w:p>
    <w:p>
      <w:pPr>
        <w:spacing w:line="240" w:lineRule="auto" w:before="0"/>
        <w:rPr>
          <w:rFonts w:ascii="宋体" w:hAnsi="宋体" w:cs="宋体" w:eastAsia="宋体" w:hint="default"/>
          <w:sz w:val="18"/>
          <w:szCs w:val="18"/>
        </w:rPr>
      </w:pPr>
    </w:p>
    <w:p>
      <w:pPr>
        <w:pStyle w:val="Heading3"/>
        <w:spacing w:line="240" w:lineRule="auto" w:before="120"/>
        <w:ind w:right="135"/>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260,157,376.70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159,319,508.14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402,808,417.10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870,168,315.34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3,863,525.05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1,665,624.64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178,919,098.61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10,867,644.25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1,108,181,007.35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220,329,771.75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540,009.00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20,090.00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166,359,464.50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91,209,963.47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2,120,828,898.31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1,353,580,917.59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26,340,000.10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31,996,666.75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1,176,861,182.70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1,142,575,675.04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118,087,562.10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129,776,244.79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6,543,834.53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6,952,456.57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53,333.43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1,391,335.67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19,559,523.07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17,756,547.74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78,686,602.75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33,880,178.78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1,426,132,038.68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1,364,329,105.34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3,546,960,936.99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2,717,910,022.93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103,000,000.00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312,163,049.95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136,688,157.70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938,665,013.20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611,571,734.82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448,715.04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548,715.04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3,839,149.43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3,070,049.89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19,221,279.39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626,903.70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480,046.25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343,508.89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157,197,009.49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163,636,679.68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29,964,111.76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56,620,111.76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144,972.00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3,501,140.25</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1,805,123,346.51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1,079,607,001.73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1"/>
        <w:gridCol w:w="3315"/>
        <w:gridCol w:w="3303"/>
      </w:tblGrid>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115,000,000.00</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1,240,046.73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4,216,158.49</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116,240,046.73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119,216,158.49</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1,921,363,393.24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1,198,823,160.22</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765,525,000.00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766,525,000.00</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206,393,712.13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202,306,852.89</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17,050,000.00</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8,243,588.96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5,567,627.57</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88,118,964.27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78,144,178.23</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573,366,278.39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483,593,204.02</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1,625,597,543.75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1,519,086,862.71</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3,546,960,936.99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2,717,910,022.93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35"/>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1,522,298,555.62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1,199,368,779.85</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1,522,298,555.62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1,199,368,779.85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500.769989pt;width:158.9pt;height:20.65pt;mso-position-horizontal-relative:page;mso-position-vertical-relative:page;z-index:-818992" coordorigin="4220,10015" coordsize="3178,413">
            <v:group style="position:absolute;left:4231;top:10026;width:2;height:392" coordorigin="4231,10026" coordsize="2,392">
              <v:shape style="position:absolute;left:4231;top:10026;width:2;height:392" coordorigin="4231,10026" coordsize="0,392" path="m4231,10026l4231,10417e" filled="false" stroked="true" strokeweight="1.08pt" strokecolor="#ffffff">
                <v:path arrowok="t"/>
              </v:shape>
            </v:group>
            <v:group style="position:absolute;left:4242;top:10026;width:3157;height:392" coordorigin="4242,10026" coordsize="3157,392">
              <v:shape style="position:absolute;left:4242;top:10026;width:3157;height:392" coordorigin="4242,10026" coordsize="3157,392" path="m4242,10417l7398,10417,7398,10026,4242,10026,4242,10417xe" filled="true" fillcolor="#ffffff" stroked="false">
                <v:path arrowok="t"/>
                <v:fill type="solid"/>
              </v:shape>
            </v:group>
            <w10:wrap type="none"/>
          </v:group>
        </w:pict>
      </w:r>
      <w:r>
        <w:rPr/>
        <w:pict>
          <v:group style="position:absolute;margin-left:211.009995pt;margin-top:637pt;width:158.9pt;height:20.65pt;mso-position-horizontal-relative:page;mso-position-vertical-relative:page;z-index:-818968" coordorigin="4220,12740" coordsize="3178,413">
            <v:group style="position:absolute;left:4231;top:12751;width:2;height:392" coordorigin="4231,12751" coordsize="2,392">
              <v:shape style="position:absolute;left:4231;top:12751;width:2;height:392" coordorigin="4231,12751" coordsize="0,392" path="m4231,12751l4231,13142e" filled="false" stroked="true" strokeweight="1.08pt" strokecolor="#ffffff">
                <v:path arrowok="t"/>
              </v:shape>
            </v:group>
            <v:group style="position:absolute;left:4242;top:12751;width:3157;height:392" coordorigin="4242,12751" coordsize="3157,392">
              <v:shape style="position:absolute;left:4242;top:12751;width:3157;height:392" coordorigin="4242,12751" coordsize="3157,392" path="m4242,13142l7398,13142,7398,12751,4242,12751,4242,1314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8"/>
        <w:gridCol w:w="1071"/>
        <w:gridCol w:w="2151"/>
        <w:gridCol w:w="3277"/>
      </w:tblGrid>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28" w:right="0"/>
              <w:jc w:val="left"/>
              <w:rPr>
                <w:rFonts w:ascii="Times New Roman" w:hAnsi="Times New Roman" w:cs="Times New Roman" w:eastAsia="Times New Roman" w:hint="default"/>
                <w:sz w:val="18"/>
                <w:szCs w:val="18"/>
              </w:rPr>
            </w:pPr>
            <w:r>
              <w:rPr>
                <w:rFonts w:ascii="Times New Roman"/>
                <w:sz w:val="18"/>
              </w:rPr>
              <w:t>1,119,907,133.84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885,995,891.54</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920,603,097.87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710,345,091.10</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2,949,892.90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7,045,697.91</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7,031,081.14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18,254,184.25</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102,104,125.32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108,452,593.36</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32,600,751.30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1,891,582.33</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54,618,185.31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40,006,742.59</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2"/>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-9,130.40</w:t>
            </w:r>
          </w:p>
        </w:tc>
      </w:tr>
      <w:tr>
        <w:trPr>
          <w:trHeight w:val="40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1,268,200.00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403,659,621.78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313,363,757.91</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4,611,711.76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3,238,111.84</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2,321,638.73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6,710,904.37</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71"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996" w:right="0"/>
              <w:jc w:val="left"/>
              <w:rPr>
                <w:rFonts w:ascii="Times New Roman" w:hAnsi="Times New Roman" w:cs="Times New Roman" w:eastAsia="Times New Roman" w:hint="default"/>
                <w:sz w:val="18"/>
                <w:szCs w:val="18"/>
              </w:rPr>
            </w:pPr>
            <w:r>
              <w:rPr>
                <w:rFonts w:ascii="Times New Roman"/>
                <w:sz w:val="18"/>
              </w:rPr>
              <w:t>405,949,694.81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309,890,965.38</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72,495,511.44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46,183,030.85</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333,454,183.37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263,707,934.53</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5" w:right="0"/>
              <w:jc w:val="left"/>
              <w:rPr>
                <w:rFonts w:ascii="Times New Roman" w:hAnsi="Times New Roman" w:cs="Times New Roman" w:eastAsia="Times New Roman" w:hint="default"/>
                <w:sz w:val="18"/>
                <w:szCs w:val="18"/>
              </w:rPr>
            </w:pPr>
            <w:r>
              <w:rPr>
                <w:rFonts w:ascii="Times New Roman"/>
                <w:sz w:val="18"/>
              </w:rPr>
              <w:t>333,454,183.37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263,707,934.53</w:t>
            </w:r>
          </w:p>
        </w:tc>
      </w:tr>
      <w:tr>
        <w:trPr>
          <w:trHeight w:val="71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334,144,677.37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252,786,403.20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-690,494.00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10,921,531.33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-29,708,903.14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42,652,410.32</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-29,897,787.26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41,862,333.35</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-29,897,787.26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41,862,333.35</w:t>
            </w:r>
          </w:p>
        </w:tc>
      </w:tr>
      <w:tr>
        <w:trPr>
          <w:trHeight w:val="102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-29,897,787.26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41,862,333.35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188,884.12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790,076.97</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303,745,280.23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306,360,344.85</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304,246,890.11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294,648,736.55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-501,609.88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11,711,608.30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0.44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0.33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0.34</w:t>
            </w:r>
          </w:p>
        </w:tc>
      </w:tr>
    </w:tbl>
    <w:p>
      <w:pPr>
        <w:pStyle w:val="BodyText"/>
        <w:tabs>
          <w:tab w:pos="3667" w:val="left" w:leader="none"/>
          <w:tab w:pos="7899" w:val="left" w:leader="none"/>
        </w:tabs>
        <w:spacing w:line="621" w:lineRule="auto" w:before="49"/>
        <w:ind w:right="244"/>
        <w:jc w:val="left"/>
      </w:pPr>
      <w:r>
        <w:rPr/>
        <w:t>本期发生同一控制下企业合并的，被合并方在合并前实现的净利润为：元，上期被合并方实现的净利润为：元。 法定代表人：贾晓钰</w:t>
        <w:tab/>
      </w:r>
      <w:r>
        <w:rPr>
          <w:spacing w:val="-1"/>
        </w:rPr>
        <w:t>主管会计工作负责人：于秀成</w:t>
        <w:tab/>
      </w:r>
      <w:r>
        <w:rPr/>
        <w:t>会计机构负责人：于越</w:t>
      </w:r>
    </w:p>
    <w:p>
      <w:pPr>
        <w:spacing w:after="0" w:line="621"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35"/>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972,412,022.59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906,440,334.74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698,876,337.10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517,159,462.75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2,919,884.18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7,001,239.68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6,982,867.11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18,179,335.91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78,378,469.00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81,395,655.16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23,325,506.30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3,928,896.54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45,424,315.86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23,706,207.18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-9,130.40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1,266,600.00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117,771,243.04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255,060,407.12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4,561,711.76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3,238,111.76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2,315,325.88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6,694,922.55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120,017,628.92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251,603,596.33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20,269,768.51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37,114,087.45</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99,747,860.41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214,489,508.88</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99,747,860.41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214,489,508.88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67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42"/>
              <w:jc w:val="left"/>
              <w:rPr>
                <w:rFonts w:ascii="宋体" w:hAnsi="宋体" w:cs="宋体" w:eastAsia="宋体" w:hint="default"/>
                <w:sz w:val="18"/>
                <w:szCs w:val="18"/>
              </w:rPr>
            </w:pPr>
            <w:r>
              <w:rPr>
                <w:rFonts w:ascii="宋体" w:hAnsi="宋体" w:cs="宋体" w:eastAsia="宋体" w:hint="default"/>
                <w:sz w:val="18"/>
                <w:szCs w:val="18"/>
              </w:rPr>
              <w:t>不能重分类进损益的其他综合收益中 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99,747,860.41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214,489,508.88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35"/>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148" w:right="0"/>
              <w:jc w:val="left"/>
              <w:rPr>
                <w:rFonts w:ascii="Times New Roman" w:hAnsi="Times New Roman" w:cs="Times New Roman" w:eastAsia="Times New Roman" w:hint="default"/>
                <w:sz w:val="18"/>
                <w:szCs w:val="18"/>
              </w:rPr>
            </w:pPr>
            <w:r>
              <w:rPr>
                <w:rFonts w:ascii="Times New Roman"/>
                <w:sz w:val="18"/>
              </w:rPr>
              <w:t>560,948,027.06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313,794,053.47</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1,001,751.75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78,610,667.72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8,826,078.71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7,086,096.91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570,775,857.52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399,490,818.10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600,607,910.72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470,115,686.22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27,377,608.89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26,868,075.63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-20,184,672.00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29,190,135.63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90,691,192.03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55,270,966.35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698,492,039.64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581,444,863.83</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-127,716,182.12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-181,954,045.73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22,986,046.51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9,256,352.74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14,270.00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14,225.40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23,000,316.51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9,270,578.14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-23,000,316.51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-9,269,578.14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372,560,000.00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228,000,000.00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165,818,669.85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105,134,510.00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539,588,669.85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333,134,510.00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157,560,000.00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268,000,000.00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18,256,584.37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30,839,550.44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174,868,114.99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78,706,228.85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350,684,699.36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377,545,779.29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188,903,970.49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-44,411,269.29</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139,880.72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18,570,616.60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38,327,352.58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-217,064,276.56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98,638,228.62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315,702,505.18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136,965,581.20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98,638,228.62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35"/>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504,700,989.41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262,337,422.29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132,862.87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78,597,200.53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26,501,919.99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11,580,135.48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531,335,772.27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352,514,758.30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538,751,623.67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313,967,431.67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22,105,478.55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17,924,533.32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-27,239,113.01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25,662,263.10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123,525,251.60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78,622,475.40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657,143,240.81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436,176,703.49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-125,807,468.54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-83,661,945.19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2,549,822.00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1,399,374.50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34,285,507.66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74,164,695.66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14,270.00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14,225.40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36,849,599.66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75,578,295.56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-36,849,599.66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-75,577,295.56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372,560,000.00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228,000,000.00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165,818,669.85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105,134,510.00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538,378,669.85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333,134,510.00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157,560,000.00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268,000,000.00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18,051,334.37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30,473,498.33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174,868,114.99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78,706,228.85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350,479,449.36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377,179,727.18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187,899,220.49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-44,045,217.18</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-4,067.87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14,635,745.41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25,238,084.42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-188,648,712.52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89,051,177.29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277,699,889.81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114,289,261.71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89,051,177.29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3"/>
        <w:rPr>
          <w:rFonts w:ascii="Times New Roman" w:hAnsi="Times New Roman" w:cs="Times New Roman" w:eastAsia="Times New Roman" w:hint="default"/>
          <w:sz w:val="28"/>
          <w:szCs w:val="28"/>
        </w:rPr>
      </w:pPr>
    </w:p>
    <w:p>
      <w:pPr>
        <w:pStyle w:val="Heading3"/>
        <w:spacing w:line="240" w:lineRule="auto" w:before="36"/>
        <w:ind w:right="135"/>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35"/>
        <w:jc w:val="left"/>
      </w:pPr>
      <w:r>
        <w:rPr/>
        <w:t>本期金额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2"/>
        <w:gridCol w:w="533"/>
        <w:gridCol w:w="531"/>
        <w:gridCol w:w="530"/>
        <w:gridCol w:w="665"/>
        <w:gridCol w:w="665"/>
        <w:gridCol w:w="665"/>
        <w:gridCol w:w="665"/>
        <w:gridCol w:w="665"/>
        <w:gridCol w:w="665"/>
        <w:gridCol w:w="665"/>
        <w:gridCol w:w="665"/>
        <w:gridCol w:w="660"/>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6"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2D2D2"/>
          </w:tcPr>
          <w:p>
            <w:pPr/>
          </w:p>
        </w:tc>
      </w:tr>
      <w:tr>
        <w:trPr>
          <w:trHeight w:val="174"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0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67" w:hRule="exact"/>
        </w:trPr>
        <w:tc>
          <w:tcPr>
            <w:tcW w:w="1415" w:type="dxa"/>
            <w:vMerge/>
            <w:tcBorders>
              <w:left w:val="single" w:sz="4" w:space="0" w:color="000000"/>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766,52</w:t>
            </w:r>
          </w:p>
          <w:p>
            <w:pPr>
              <w:pStyle w:val="TableParagraph"/>
              <w:spacing w:line="240" w:lineRule="auto" w:before="105"/>
              <w:ind w:left="82"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354"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206,194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,984.55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17,050,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-32,254,</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584.49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5,567,6</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27.57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78,144,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178.23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587,615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,228.18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16,769,</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409.12</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1,611,5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w w:val="95"/>
                <w:sz w:val="18"/>
              </w:rPr>
              <w:t>11,843.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Style w:val="TableParagraph"/>
              <w:spacing w:line="240" w:lineRule="auto" w:before="93"/>
              <w:ind w:left="39" w:right="0"/>
              <w:jc w:val="left"/>
              <w:rPr>
                <w:rFonts w:ascii="Times New Roman" w:hAnsi="Times New Roman" w:cs="Times New Roman" w:eastAsia="Times New Roman" w:hint="default"/>
                <w:sz w:val="18"/>
                <w:szCs w:val="18"/>
              </w:rPr>
            </w:pPr>
            <w:r>
              <w:rPr>
                <w:rFonts w:ascii="Times New Roman"/>
                <w:sz w:val="18"/>
              </w:rPr>
              <w:t>766,52</w:t>
            </w:r>
          </w:p>
          <w:p>
            <w:pPr>
              <w:pStyle w:val="TableParagraph"/>
              <w:spacing w:line="240" w:lineRule="auto" w:before="102"/>
              <w:ind w:left="82"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354"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206,194</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,984.55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17,050,</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-32,254,</w:t>
            </w:r>
          </w:p>
          <w:p>
            <w:pPr>
              <w:pStyle w:val="TableParagraph"/>
              <w:spacing w:line="240" w:lineRule="auto" w:before="102"/>
              <w:ind w:left="117" w:right="0"/>
              <w:jc w:val="center"/>
              <w:rPr>
                <w:rFonts w:ascii="Times New Roman" w:hAnsi="Times New Roman" w:cs="Times New Roman" w:eastAsia="Times New Roman" w:hint="default"/>
                <w:sz w:val="18"/>
                <w:szCs w:val="18"/>
              </w:rPr>
            </w:pPr>
            <w:r>
              <w:rPr>
                <w:rFonts w:ascii="Times New Roman"/>
                <w:sz w:val="18"/>
              </w:rPr>
              <w:t>584.49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5,567,6</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27.57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78,144,</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178.23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587,615</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,228.18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16,769,</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409.12</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1,611,5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1"/>
                <w:w w:val="95"/>
                <w:sz w:val="18"/>
              </w:rPr>
              <w:t>11,843.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02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4,086,8</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59.24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-29,897,</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787.26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2,675,9</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61.39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9,974,7</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86.04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324,169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,891.33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-501,60</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9.88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310,508</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,100.86</w:t>
            </w: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-29,897,</w:t>
            </w:r>
          </w:p>
          <w:p>
            <w:pPr>
              <w:pStyle w:val="TableParagraph"/>
              <w:spacing w:line="240" w:lineRule="auto" w:before="102"/>
              <w:ind w:left="117" w:right="0"/>
              <w:jc w:val="center"/>
              <w:rPr>
                <w:rFonts w:ascii="Times New Roman" w:hAnsi="Times New Roman" w:cs="Times New Roman" w:eastAsia="Times New Roman" w:hint="default"/>
                <w:sz w:val="18"/>
                <w:szCs w:val="18"/>
              </w:rPr>
            </w:pPr>
            <w:r>
              <w:rPr>
                <w:rFonts w:ascii="Times New Roman"/>
                <w:sz w:val="18"/>
              </w:rPr>
              <w:t>787.26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334,144</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,677.37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-501,60</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9.88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303,745</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,280.23</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4,086,8</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59.24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4,086,8</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59.24</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12"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4,086,8</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59.24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4,086,8</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59.24</w:t>
            </w:r>
          </w:p>
        </w:tc>
      </w:tr>
      <w:tr>
        <w:trPr>
          <w:trHeight w:val="401"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1" w:right="0"/>
              <w:jc w:val="left"/>
              <w:rPr>
                <w:rFonts w:ascii="Times New Roman" w:hAnsi="Times New Roman" w:cs="Times New Roman" w:eastAsia="Times New Roman" w:hint="default"/>
                <w:sz w:val="18"/>
                <w:szCs w:val="18"/>
              </w:rPr>
            </w:pPr>
            <w:r>
              <w:rPr>
                <w:rFonts w:ascii="Times New Roman"/>
                <w:sz w:val="18"/>
              </w:rPr>
              <w:t>9,974,7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3" w:right="0"/>
              <w:jc w:val="left"/>
              <w:rPr>
                <w:rFonts w:ascii="Times New Roman" w:hAnsi="Times New Roman" w:cs="Times New Roman" w:eastAsia="Times New Roman" w:hint="default"/>
                <w:sz w:val="18"/>
                <w:szCs w:val="18"/>
              </w:rPr>
            </w:pPr>
            <w:r>
              <w:rPr>
                <w:rFonts w:ascii="Times New Roman"/>
                <w:sz w:val="18"/>
              </w:rPr>
              <w:t>-9,974,7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5" w:right="0"/>
              <w:jc w:val="left"/>
              <w:rPr>
                <w:rFonts w:ascii="Times New Roman" w:hAnsi="Times New Roman" w:cs="Times New Roman" w:eastAsia="Times New Roman" w:hint="default"/>
                <w:sz w:val="18"/>
                <w:szCs w:val="18"/>
              </w:rPr>
            </w:pPr>
            <w:r>
              <w:rPr>
                <w:rFonts w:ascii="Times New Roman"/>
                <w:sz w:val="18"/>
              </w:rPr>
              <w:t>86.04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8" w:right="0"/>
              <w:jc w:val="left"/>
              <w:rPr>
                <w:rFonts w:ascii="Times New Roman" w:hAnsi="Times New Roman" w:cs="Times New Roman" w:eastAsia="Times New Roman" w:hint="default"/>
                <w:sz w:val="18"/>
                <w:szCs w:val="18"/>
              </w:rPr>
            </w:pPr>
            <w:r>
              <w:rPr>
                <w:rFonts w:ascii="Times New Roman"/>
                <w:sz w:val="18"/>
              </w:rPr>
              <w:t>86.04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9,974,7</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86.04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-9,974,7</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86.04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2,675,9</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61.39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2,675,9</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61.39</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2,712,8</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80.68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2,712,8</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80.68</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36,919.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36,919.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29</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765,52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210,281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,843.79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16,050,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-62,152,</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371.75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8,243,5</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88.96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88,118,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964.27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911,785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,119.51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16,267,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799.24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19,944.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w:t>
            </w:r>
          </w:p>
        </w:tc>
      </w:tr>
    </w:tbl>
    <w:p>
      <w:pPr>
        <w:pStyle w:val="BodyText"/>
        <w:spacing w:line="240" w:lineRule="auto" w:before="49"/>
        <w:ind w:right="135"/>
        <w:jc w:val="left"/>
      </w:pPr>
      <w:r>
        <w:rPr/>
        <w:t>上期金额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50"/>
        <w:gridCol w:w="550"/>
        <w:gridCol w:w="530"/>
        <w:gridCol w:w="531"/>
        <w:gridCol w:w="533"/>
        <w:gridCol w:w="662"/>
        <w:gridCol w:w="665"/>
        <w:gridCol w:w="668"/>
        <w:gridCol w:w="665"/>
        <w:gridCol w:w="662"/>
        <w:gridCol w:w="665"/>
        <w:gridCol w:w="680"/>
        <w:gridCol w:w="653"/>
        <w:gridCol w:w="658"/>
      </w:tblGrid>
      <w:tr>
        <w:trPr>
          <w:trHeight w:val="402" w:hRule="exact"/>
        </w:trPr>
        <w:tc>
          <w:tcPr>
            <w:tcW w:w="1450" w:type="dxa"/>
            <w:vMerge w:val="restart"/>
            <w:tcBorders>
              <w:top w:val="single" w:sz="4" w:space="0" w:color="000000"/>
              <w:left w:val="single" w:sz="4" w:space="0" w:color="000000"/>
              <w:right w:val="single" w:sz="4" w:space="0" w:color="000000"/>
            </w:tcBorders>
            <w:shd w:val="clear" w:color="auto" w:fill="D2D2D2"/>
          </w:tcPr>
          <w:p>
            <w:pPr/>
          </w:p>
        </w:tc>
        <w:tc>
          <w:tcPr>
            <w:tcW w:w="812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50"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9"/>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50"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50"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2D2D2"/>
          </w:tcPr>
          <w:p>
            <w:pPr/>
          </w:p>
        </w:tc>
      </w:tr>
      <w:tr>
        <w:trPr>
          <w:trHeight w:val="174" w:hRule="exact"/>
        </w:trPr>
        <w:tc>
          <w:tcPr>
            <w:tcW w:w="1450" w:type="dxa"/>
            <w:vMerge/>
            <w:tcBorders>
              <w:left w:val="single" w:sz="4" w:space="0" w:color="000000"/>
              <w:bottom w:val="nil" w:sz="6" w:space="0" w:color="auto"/>
              <w:right w:val="single" w:sz="4" w:space="0" w:color="000000"/>
            </w:tcBorders>
            <w:shd w:val="clear" w:color="auto" w:fill="D2D2D2"/>
          </w:tcPr>
          <w:p>
            <w:pPr/>
          </w:p>
        </w:tc>
        <w:tc>
          <w:tcPr>
            <w:tcW w:w="550"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53" w:right="63"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84" w:hRule="exact"/>
        </w:trPr>
        <w:tc>
          <w:tcPr>
            <w:tcW w:w="1450" w:type="dxa"/>
            <w:vMerge w:val="restart"/>
            <w:tcBorders>
              <w:top w:val="nil" w:sz="6" w:space="0" w:color="auto"/>
              <w:left w:val="single" w:sz="4" w:space="0" w:color="000000"/>
              <w:right w:val="single" w:sz="4" w:space="0" w:color="000000"/>
            </w:tcBorders>
            <w:shd w:val="clear" w:color="auto" w:fill="D2D2D2"/>
          </w:tcPr>
          <w:p>
            <w:pPr/>
          </w:p>
        </w:tc>
        <w:tc>
          <w:tcPr>
            <w:tcW w:w="5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67" w:hRule="exact"/>
        </w:trPr>
        <w:tc>
          <w:tcPr>
            <w:tcW w:w="1450" w:type="dxa"/>
            <w:vMerge/>
            <w:tcBorders>
              <w:left w:val="single" w:sz="4" w:space="0" w:color="000000"/>
              <w:right w:val="single" w:sz="4" w:space="0" w:color="000000"/>
            </w:tcBorders>
            <w:shd w:val="clear" w:color="auto" w:fill="D2D2D2"/>
          </w:tcPr>
          <w:p>
            <w:pPr/>
          </w:p>
        </w:tc>
        <w:tc>
          <w:tcPr>
            <w:tcW w:w="550"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56" w:hRule="exact"/>
        </w:trPr>
        <w:tc>
          <w:tcPr>
            <w:tcW w:w="1450" w:type="dxa"/>
            <w:vMerge/>
            <w:tcBorders>
              <w:left w:val="single" w:sz="4" w:space="0" w:color="000000"/>
              <w:right w:val="single" w:sz="4" w:space="0" w:color="000000"/>
            </w:tcBorders>
            <w:shd w:val="clear" w:color="auto" w:fill="D2D2D2"/>
          </w:tcPr>
          <w:p>
            <w:pPr/>
          </w:p>
        </w:tc>
        <w:tc>
          <w:tcPr>
            <w:tcW w:w="550"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8"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80"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50" w:type="dxa"/>
            <w:vMerge/>
            <w:tcBorders>
              <w:left w:val="single" w:sz="4" w:space="0" w:color="000000"/>
              <w:bottom w:val="single" w:sz="4" w:space="0" w:color="000000"/>
              <w:right w:val="single" w:sz="4" w:space="0" w:color="000000"/>
            </w:tcBorders>
            <w:shd w:val="clear" w:color="auto" w:fill="D2D2D2"/>
          </w:tcPr>
          <w:p>
            <w:pPr/>
          </w:p>
        </w:tc>
        <w:tc>
          <w:tcPr>
            <w:tcW w:w="550"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50" w:type="dxa"/>
            <w:vMerge w:val="restart"/>
            <w:tcBorders>
              <w:top w:val="single" w:sz="4" w:space="0" w:color="000000"/>
              <w:left w:val="single" w:sz="9" w:space="0" w:color="D2D2D2"/>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766,52</w:t>
            </w:r>
          </w:p>
          <w:p>
            <w:pPr>
              <w:pStyle w:val="TableParagraph"/>
              <w:spacing w:line="240" w:lineRule="auto" w:before="105"/>
              <w:ind w:left="61"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33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74,087,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425.22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29,837,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500.00</w:t>
            </w:r>
          </w:p>
        </w:tc>
        <w:tc>
          <w:tcPr>
            <w:tcW w:w="6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-74,116,</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917.84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2,589,6</w:t>
            </w:r>
          </w:p>
          <w:p>
            <w:pPr>
              <w:pStyle w:val="TableParagraph"/>
              <w:spacing w:line="240" w:lineRule="auto" w:before="105"/>
              <w:ind w:left="208" w:right="0"/>
              <w:jc w:val="center"/>
              <w:rPr>
                <w:rFonts w:ascii="Times New Roman" w:hAnsi="Times New Roman" w:cs="Times New Roman" w:eastAsia="Times New Roman" w:hint="default"/>
                <w:sz w:val="18"/>
                <w:szCs w:val="18"/>
              </w:rPr>
            </w:pPr>
            <w:r>
              <w:rPr>
                <w:rFonts w:ascii="Times New Roman"/>
                <w:sz w:val="18"/>
              </w:rPr>
              <w:t>55.26</w:t>
            </w: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56,695,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227.34</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356,277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,775.87</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5,057,8</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00.82</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1,157,2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78,466.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67</w:t>
            </w:r>
          </w:p>
        </w:tc>
      </w:tr>
      <w:tr>
        <w:trPr>
          <w:trHeight w:val="391" w:hRule="exact"/>
        </w:trPr>
        <w:tc>
          <w:tcPr>
            <w:tcW w:w="14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4"/>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50"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50"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403"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33"/>
              <w:jc w:val="right"/>
              <w:rPr>
                <w:rFonts w:ascii="宋体" w:hAnsi="宋体" w:cs="宋体" w:eastAsia="宋体" w:hint="default"/>
                <w:sz w:val="18"/>
                <w:szCs w:val="18"/>
              </w:rPr>
            </w:pPr>
            <w:r>
              <w:rPr>
                <w:rFonts w:ascii="宋体" w:hAnsi="宋体" w:cs="宋体" w:eastAsia="宋体" w:hint="default"/>
                <w:spacing w:val="-10"/>
                <w:sz w:val="18"/>
                <w:szCs w:val="18"/>
              </w:rPr>
              <w:t>加：会计政策</w:t>
            </w:r>
          </w:p>
        </w:tc>
        <w:tc>
          <w:tcPr>
            <w:tcW w:w="550"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766,52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74,087,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425.22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29,837,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500.00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-74,116,</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917.84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2,589,6</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55.26</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56,695,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227.34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356,277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,775.87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5,057,8</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00.82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1,157,2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78,466.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67</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132,107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,559.33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-12,787,</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500.00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41,862,</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333.35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2,977,9</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72.31</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21,448,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950.89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231,337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,452.31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11,711,</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608.30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454,233</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,376.49</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41,862,</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333.35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252,786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,403.20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11,711,</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608.30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306,360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,344.85</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132,107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,559.33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-12,787,</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500.00</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144,895</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,059.33</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132,107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,559.33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-12,787,</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500.00</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144,895</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,059.33</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21,448,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950.89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-21,448,</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950.89</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21,448,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950.89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-21,448,</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950.89</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2,977,9</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72.31</w:t>
            </w: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2,977,9</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72.31</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center"/>
              <w:rPr>
                <w:rFonts w:ascii="Times New Roman" w:hAnsi="Times New Roman" w:cs="Times New Roman" w:eastAsia="Times New Roman" w:hint="default"/>
                <w:sz w:val="18"/>
                <w:szCs w:val="18"/>
              </w:rPr>
            </w:pPr>
            <w:r>
              <w:rPr>
                <w:rFonts w:ascii="Times New Roman"/>
                <w:sz w:val="18"/>
              </w:rPr>
              <w:t>3,017,5</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69.08</w:t>
            </w: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5" w:right="0"/>
              <w:jc w:val="center"/>
              <w:rPr>
                <w:rFonts w:ascii="Times New Roman" w:hAnsi="Times New Roman" w:cs="Times New Roman" w:eastAsia="Times New Roman" w:hint="default"/>
                <w:sz w:val="18"/>
                <w:szCs w:val="18"/>
              </w:rPr>
            </w:pPr>
            <w:r>
              <w:rPr>
                <w:rFonts w:ascii="Times New Roman"/>
                <w:sz w:val="18"/>
              </w:rPr>
              <w:t>3,017,5</w:t>
            </w:r>
          </w:p>
          <w:p>
            <w:pPr>
              <w:pStyle w:val="TableParagraph"/>
              <w:spacing w:line="240" w:lineRule="auto" w:before="102"/>
              <w:ind w:left="200" w:right="0"/>
              <w:jc w:val="center"/>
              <w:rPr>
                <w:rFonts w:ascii="Times New Roman" w:hAnsi="Times New Roman" w:cs="Times New Roman" w:eastAsia="Times New Roman" w:hint="default"/>
                <w:sz w:val="18"/>
                <w:szCs w:val="18"/>
              </w:rPr>
            </w:pPr>
            <w:r>
              <w:rPr>
                <w:rFonts w:ascii="Times New Roman"/>
                <w:sz w:val="18"/>
              </w:rPr>
              <w:t>69.08</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39,596.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77</w:t>
            </w: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39,596.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77</w:t>
            </w: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766,52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206,194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,984.55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17,050,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000.00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-32,254,</w:t>
            </w:r>
          </w:p>
          <w:p>
            <w:pPr>
              <w:pStyle w:val="TableParagraph"/>
              <w:spacing w:line="240" w:lineRule="auto" w:before="105"/>
              <w:ind w:left="120" w:right="0"/>
              <w:jc w:val="center"/>
              <w:rPr>
                <w:rFonts w:ascii="Times New Roman" w:hAnsi="Times New Roman" w:cs="Times New Roman" w:eastAsia="Times New Roman" w:hint="default"/>
                <w:sz w:val="18"/>
                <w:szCs w:val="18"/>
              </w:rPr>
            </w:pPr>
            <w:r>
              <w:rPr>
                <w:rFonts w:ascii="Times New Roman"/>
                <w:sz w:val="18"/>
              </w:rPr>
              <w:t>584.49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5,567,6</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27.57</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78,144,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178.23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587,615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,228.18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16,769,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409.12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1,611,5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w w:val="95"/>
                <w:sz w:val="18"/>
              </w:rPr>
              <w:t>11,843.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35"/>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35"/>
        <w:jc w:val="left"/>
      </w:pPr>
      <w:r>
        <w:rPr/>
        <w:t>本期金额</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799"/>
        <w:gridCol w:w="797"/>
        <w:gridCol w:w="677"/>
        <w:gridCol w:w="780"/>
      </w:tblGrid>
      <w:tr>
        <w:trPr>
          <w:trHeight w:val="396"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2"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99"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766,525,</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202,306,8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52.89</w:t>
            </w:r>
          </w:p>
        </w:tc>
        <w:tc>
          <w:tcPr>
            <w:tcW w:w="797" w:type="dxa"/>
            <w:vMerge w:val="restart"/>
            <w:tcBorders>
              <w:top w:val="single" w:sz="22" w:space="0" w:color="D2D2D2"/>
              <w:left w:val="single" w:sz="4" w:space="0" w:color="000000"/>
              <w:right w:val="single" w:sz="4" w:space="0" w:color="000000"/>
            </w:tcBorders>
          </w:tcPr>
          <w:p>
            <w:pPr>
              <w:pStyle w:val="TableParagraph"/>
              <w:spacing w:line="240" w:lineRule="auto" w:before="68"/>
              <w:ind w:left="45" w:right="0"/>
              <w:jc w:val="left"/>
              <w:rPr>
                <w:rFonts w:ascii="Times New Roman" w:hAnsi="Times New Roman" w:cs="Times New Roman" w:eastAsia="Times New Roman" w:hint="default"/>
                <w:sz w:val="18"/>
                <w:szCs w:val="18"/>
              </w:rPr>
            </w:pPr>
            <w:r>
              <w:rPr>
                <w:rFonts w:ascii="Times New Roman"/>
                <w:sz w:val="18"/>
              </w:rPr>
              <w:t>17,050,00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22"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5,567,627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78,144,17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8.23</w:t>
            </w:r>
          </w:p>
        </w:tc>
        <w:tc>
          <w:tcPr>
            <w:tcW w:w="677" w:type="dxa"/>
            <w:vMerge w:val="restart"/>
            <w:tcBorders>
              <w:top w:val="single" w:sz="22" w:space="0" w:color="D2D2D2"/>
              <w:left w:val="single" w:sz="4" w:space="0" w:color="000000"/>
              <w:right w:val="single" w:sz="4" w:space="0" w:color="000000"/>
            </w:tcBorders>
          </w:tcPr>
          <w:p>
            <w:pPr>
              <w:pStyle w:val="TableParagraph"/>
              <w:spacing w:line="240" w:lineRule="auto" w:before="68"/>
              <w:ind w:left="57" w:right="0"/>
              <w:jc w:val="left"/>
              <w:rPr>
                <w:rFonts w:ascii="Times New Roman" w:hAnsi="Times New Roman" w:cs="Times New Roman" w:eastAsia="Times New Roman" w:hint="default"/>
                <w:sz w:val="18"/>
                <w:szCs w:val="18"/>
              </w:rPr>
            </w:pPr>
            <w:r>
              <w:rPr>
                <w:rFonts w:ascii="Times New Roman"/>
                <w:sz w:val="18"/>
              </w:rPr>
              <w:t>483,593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,204.02</w:t>
            </w:r>
          </w:p>
        </w:tc>
        <w:tc>
          <w:tcPr>
            <w:tcW w:w="780" w:type="dxa"/>
            <w:vMerge w:val="restart"/>
            <w:tcBorders>
              <w:top w:val="single" w:sz="22" w:space="0" w:color="D2D2D2"/>
              <w:left w:val="single" w:sz="4" w:space="0" w:color="000000"/>
              <w:right w:val="single" w:sz="4" w:space="0" w:color="000000"/>
            </w:tcBorders>
          </w:tcPr>
          <w:p>
            <w:pPr>
              <w:pStyle w:val="TableParagraph"/>
              <w:spacing w:line="240" w:lineRule="auto" w:before="68"/>
              <w:ind w:left="7" w:right="0"/>
              <w:jc w:val="center"/>
              <w:rPr>
                <w:rFonts w:ascii="Times New Roman" w:hAnsi="Times New Roman" w:cs="Times New Roman" w:eastAsia="Times New Roman" w:hint="default"/>
                <w:sz w:val="18"/>
                <w:szCs w:val="18"/>
              </w:rPr>
            </w:pPr>
            <w:r>
              <w:rPr>
                <w:rFonts w:ascii="Times New Roman"/>
                <w:sz w:val="18"/>
              </w:rPr>
              <w:t>1,519,086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,862.71</w:t>
            </w:r>
          </w:p>
        </w:tc>
      </w:tr>
      <w:tr>
        <w:trPr>
          <w:trHeight w:val="394"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766,525,</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202,306,8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52.89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17,050,00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5,567,627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78,144,17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8.23</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483,593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,204.02</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1,519,086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,862.71</w:t>
            </w:r>
          </w:p>
        </w:tc>
      </w:tr>
      <w:tr>
        <w:trPr>
          <w:trHeight w:val="394"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2"/>
              <w:ind w:left="231"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4,086,859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2,675,961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9,974,786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89,773,</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074.37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106,510,6</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81.04</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99,747,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860.41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99,747,86</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0.41</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2"/>
              <w:ind w:left="231"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4,086,859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4,086,859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.24</w:t>
            </w:r>
          </w:p>
        </w:tc>
      </w:tr>
      <w:tr>
        <w:trPr>
          <w:trHeight w:val="716"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2"/>
              <w:ind w:left="238"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4,086,859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4,086,859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.24</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9,974,786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-9,974,7</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86.04</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9,974,786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-9,974,7</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86.04</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2,675,961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2,675,961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.39</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2,712,880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.68</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2,712,880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.68</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36,919.29</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36,919.29</w:t>
            </w: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765,525,</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206,393,7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12.13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16,050,00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8,243,588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88,118,96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4.27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573,366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,278.39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1,625,597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,543.75</w:t>
            </w:r>
          </w:p>
        </w:tc>
      </w:tr>
    </w:tbl>
    <w:p>
      <w:pPr>
        <w:pStyle w:val="BodyText"/>
        <w:spacing w:line="240" w:lineRule="auto" w:before="49"/>
        <w:ind w:right="135"/>
        <w:jc w:val="left"/>
      </w:pPr>
      <w:r>
        <w:rPr/>
        <w:t>上期金额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1"/>
        <w:gridCol w:w="689"/>
        <w:gridCol w:w="665"/>
        <w:gridCol w:w="667"/>
        <w:gridCol w:w="665"/>
        <w:gridCol w:w="797"/>
        <w:gridCol w:w="797"/>
        <w:gridCol w:w="797"/>
        <w:gridCol w:w="799"/>
        <w:gridCol w:w="797"/>
        <w:gridCol w:w="677"/>
        <w:gridCol w:w="780"/>
      </w:tblGrid>
      <w:tr>
        <w:trPr>
          <w:trHeight w:val="396" w:hRule="exact"/>
        </w:trPr>
        <w:tc>
          <w:tcPr>
            <w:tcW w:w="143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6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31" w:type="dxa"/>
            <w:vMerge/>
            <w:tcBorders>
              <w:left w:val="single" w:sz="4" w:space="0" w:color="000000"/>
              <w:bottom w:val="nil" w:sz="6" w:space="0" w:color="auto"/>
              <w:right w:val="single" w:sz="4" w:space="0" w:color="000000"/>
            </w:tcBorders>
            <w:shd w:val="clear" w:color="auto" w:fill="D2D2D2"/>
          </w:tcPr>
          <w:p>
            <w:pPr/>
          </w:p>
        </w:tc>
        <w:tc>
          <w:tcPr>
            <w:tcW w:w="6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99" w:hRule="exact"/>
        </w:trPr>
        <w:tc>
          <w:tcPr>
            <w:tcW w:w="1431" w:type="dxa"/>
            <w:vMerge w:val="restart"/>
            <w:tcBorders>
              <w:top w:val="nil" w:sz="6" w:space="0" w:color="auto"/>
              <w:left w:val="single" w:sz="4" w:space="0" w:color="000000"/>
              <w:right w:val="single" w:sz="4" w:space="0" w:color="000000"/>
            </w:tcBorders>
            <w:shd w:val="clear" w:color="auto" w:fill="D2D2D2"/>
          </w:tcPr>
          <w:p>
            <w:pPr/>
          </w:p>
        </w:tc>
        <w:tc>
          <w:tcPr>
            <w:tcW w:w="689"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31" w:type="dxa"/>
            <w:vMerge/>
            <w:tcBorders>
              <w:left w:val="single" w:sz="4" w:space="0" w:color="000000"/>
              <w:bottom w:val="single" w:sz="4" w:space="0" w:color="000000"/>
              <w:right w:val="single" w:sz="4" w:space="0" w:color="000000"/>
            </w:tcBorders>
            <w:shd w:val="clear" w:color="auto" w:fill="D2D2D2"/>
          </w:tcPr>
          <w:p>
            <w:pPr/>
          </w:p>
        </w:tc>
        <w:tc>
          <w:tcPr>
            <w:tcW w:w="689"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 w:type="dxa"/>
            <w:vMerge w:val="restart"/>
            <w:tcBorders>
              <w:top w:val="single" w:sz="4" w:space="0" w:color="000000"/>
              <w:left w:val="single" w:sz="10" w:space="0" w:color="D2D2D2"/>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766,525,</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70,199,29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3.56</w:t>
            </w:r>
          </w:p>
        </w:tc>
        <w:tc>
          <w:tcPr>
            <w:tcW w:w="797" w:type="dxa"/>
            <w:vMerge w:val="restart"/>
            <w:tcBorders>
              <w:top w:val="single" w:sz="18" w:space="0" w:color="D2D2D2"/>
              <w:left w:val="single" w:sz="4" w:space="0" w:color="000000"/>
              <w:right w:val="single" w:sz="4" w:space="0" w:color="000000"/>
            </w:tcBorders>
          </w:tcPr>
          <w:p>
            <w:pPr>
              <w:pStyle w:val="TableParagraph"/>
              <w:spacing w:line="240" w:lineRule="auto" w:before="73"/>
              <w:ind w:left="45" w:right="0"/>
              <w:jc w:val="left"/>
              <w:rPr>
                <w:rFonts w:ascii="Times New Roman" w:hAnsi="Times New Roman" w:cs="Times New Roman" w:eastAsia="Times New Roman" w:hint="default"/>
                <w:sz w:val="18"/>
                <w:szCs w:val="18"/>
              </w:rPr>
            </w:pPr>
            <w:r>
              <w:rPr>
                <w:rFonts w:ascii="Times New Roman"/>
                <w:sz w:val="18"/>
              </w:rPr>
              <w:t>29,837,50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18"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2,589,655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56,695,22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7.34</w:t>
            </w:r>
          </w:p>
        </w:tc>
        <w:tc>
          <w:tcPr>
            <w:tcW w:w="677" w:type="dxa"/>
            <w:vMerge w:val="restart"/>
            <w:tcBorders>
              <w:top w:val="single" w:sz="18" w:space="0" w:color="D2D2D2"/>
              <w:left w:val="single" w:sz="4" w:space="0" w:color="000000"/>
              <w:right w:val="single" w:sz="4" w:space="0" w:color="000000"/>
            </w:tcBorders>
          </w:tcPr>
          <w:p>
            <w:pPr>
              <w:pStyle w:val="TableParagraph"/>
              <w:spacing w:line="240" w:lineRule="auto" w:before="73"/>
              <w:ind w:left="57" w:right="0"/>
              <w:jc w:val="left"/>
              <w:rPr>
                <w:rFonts w:ascii="Times New Roman" w:hAnsi="Times New Roman" w:cs="Times New Roman" w:eastAsia="Times New Roman" w:hint="default"/>
                <w:sz w:val="18"/>
                <w:szCs w:val="18"/>
              </w:rPr>
            </w:pPr>
            <w:r>
              <w:rPr>
                <w:rFonts w:ascii="Times New Roman"/>
                <w:sz w:val="18"/>
              </w:rPr>
              <w:t>290,552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,646.03</w:t>
            </w:r>
          </w:p>
        </w:tc>
        <w:tc>
          <w:tcPr>
            <w:tcW w:w="780" w:type="dxa"/>
            <w:vMerge w:val="restart"/>
            <w:tcBorders>
              <w:top w:val="single" w:sz="18" w:space="0" w:color="D2D2D2"/>
              <w:left w:val="single" w:sz="4" w:space="0" w:color="000000"/>
              <w:right w:val="single" w:sz="4" w:space="0" w:color="000000"/>
            </w:tcBorders>
          </w:tcPr>
          <w:p>
            <w:pPr>
              <w:pStyle w:val="TableParagraph"/>
              <w:spacing w:line="240" w:lineRule="auto" w:before="73"/>
              <w:ind w:left="7" w:right="0"/>
              <w:jc w:val="center"/>
              <w:rPr>
                <w:rFonts w:ascii="Times New Roman" w:hAnsi="Times New Roman" w:cs="Times New Roman" w:eastAsia="Times New Roman" w:hint="default"/>
                <w:sz w:val="18"/>
                <w:szCs w:val="18"/>
              </w:rPr>
            </w:pPr>
            <w:r>
              <w:rPr>
                <w:rFonts w:ascii="Times New Roman"/>
                <w:sz w:val="18"/>
              </w:rPr>
              <w:t>1,156,724</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,322.19</w:t>
            </w:r>
          </w:p>
        </w:tc>
      </w:tr>
      <w:tr>
        <w:trPr>
          <w:trHeight w:val="394" w:hRule="exact"/>
        </w:trPr>
        <w:tc>
          <w:tcPr>
            <w:tcW w:w="14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89"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3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766,525,</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70,199,29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29,837,50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2,589,655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56,695,22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7.34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290,552</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,646.03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1,156,724</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,322.19</w:t>
            </w: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132,107,5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59.33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-12,787,5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2,977,972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21,448,95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0.89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193,040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,557.99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362,362,5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40.52</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214,489</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,508.88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214,489,5</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08.88</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132,107,5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59.33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-12,787,5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144,895,0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59.33</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132,107,5</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59.33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-12,787,5</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144,895,0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59.33</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21,448,95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0.89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-21,448,</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950.89</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21,448,95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0.89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-21,448,</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950.89</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2,977,972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.31</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2,977,972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.31</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3,017,569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.08</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3,017,569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.08</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39,596.77</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39,596.77</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766,525,</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202,306,8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52.89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17,050,00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5,567,627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78,144,17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8.23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483,593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,204.02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1,519,086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,862.71</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208"/>
        <w:jc w:val="left"/>
        <w:rPr>
          <w:b w:val="0"/>
          <w:bCs w:val="0"/>
        </w:rPr>
      </w:pPr>
      <w:r>
        <w:rPr/>
        <w:t>三、公司基本情况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08"/>
        <w:jc w:val="left"/>
      </w:pPr>
      <w:r>
        <w:rPr>
          <w:rFonts w:ascii="Times New Roman" w:hAnsi="Times New Roman" w:cs="Times New Roman" w:eastAsia="Times New Roman" w:hint="default"/>
        </w:rPr>
        <w:t>3.1</w:t>
      </w:r>
      <w:r>
        <w:rPr/>
        <w:t>基本情况</w:t>
      </w:r>
    </w:p>
    <w:p>
      <w:pPr>
        <w:pStyle w:val="BodyText"/>
        <w:spacing w:line="300" w:lineRule="auto" w:before="63"/>
        <w:ind w:right="208" w:firstLine="360"/>
        <w:jc w:val="left"/>
      </w:pPr>
      <w:r>
        <w:rPr/>
        <w:t>青岛市恒顺众昇集团股份有限公司（以下简称本公司或公司）成立于</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3</w:t>
      </w:r>
      <w:r>
        <w:rPr/>
        <w:t>月，公司统一社会信用代码 </w:t>
      </w:r>
      <w:r>
        <w:rPr>
          <w:rFonts w:ascii="Times New Roman" w:hAnsi="Times New Roman" w:cs="Times New Roman" w:eastAsia="Times New Roman" w:hint="default"/>
          <w:spacing w:val="-4"/>
        </w:rPr>
        <w:t>913702007064604985</w:t>
      </w:r>
      <w:r>
        <w:rPr>
          <w:spacing w:val="-4"/>
        </w:rPr>
        <w:t>，公司注册资本、实收资本均为人民币</w:t>
      </w:r>
      <w:r>
        <w:rPr>
          <w:rFonts w:ascii="Times New Roman" w:hAnsi="Times New Roman" w:cs="Times New Roman" w:eastAsia="Times New Roman" w:hint="default"/>
          <w:spacing w:val="-4"/>
        </w:rPr>
        <w:t>76,552.50</w:t>
      </w:r>
      <w:r>
        <w:rPr>
          <w:spacing w:val="-4"/>
        </w:rPr>
        <w:t>万元，公司住所为青岛市城阳区流亭街道双元路西侧（空</w:t>
      </w:r>
      <w:r>
        <w:rPr>
          <w:spacing w:val="-83"/>
        </w:rPr>
        <w:t> </w:t>
      </w:r>
      <w:r>
        <w:rPr>
          <w:spacing w:val="-83"/>
        </w:rPr>
      </w:r>
      <w:r>
        <w:rPr/>
        <w:t>港工业聚集区），公司法定代表人为贾晓钰。</w:t>
      </w:r>
    </w:p>
    <w:p>
      <w:pPr>
        <w:pStyle w:val="BodyText"/>
        <w:spacing w:line="316" w:lineRule="auto" w:before="31"/>
        <w:ind w:right="210" w:firstLine="360"/>
        <w:jc w:val="both"/>
      </w:pPr>
      <w:r>
        <w:rPr>
          <w:spacing w:val="-2"/>
        </w:rPr>
        <w:t>公司经营范围：电力系统发供电设备设计、制造、安装、调试、修理；批发、零售：电力材料；货物及技术进出口；机</w:t>
      </w:r>
      <w:r>
        <w:rPr/>
        <w:t> 械成套装备；变电站：设备总成、运行保养及维护、工程总包；软件开发、销售及技术服务；自有资金对外投资。</w:t>
      </w:r>
    </w:p>
    <w:p>
      <w:pPr>
        <w:pStyle w:val="BodyText"/>
        <w:spacing w:line="300" w:lineRule="auto" w:before="19"/>
        <w:ind w:left="513" w:right="1223"/>
        <w:jc w:val="left"/>
      </w:pPr>
      <w:r>
        <w:rPr/>
        <w:t>公司主营业务：</w:t>
      </w:r>
      <w:r>
        <w:rPr>
          <w:rFonts w:ascii="Times New Roman" w:hAnsi="Times New Roman" w:cs="Times New Roman" w:eastAsia="Times New Roman" w:hint="default"/>
        </w:rPr>
        <w:t>EPC</w:t>
      </w:r>
      <w:r>
        <w:rPr/>
        <w:t>总承包、机械成套装备、物业服务、原料销售、技术开发、采掘服务、煤炭产销等。 公司行业性质：电力设备及相关机械设备制造。</w:t>
      </w:r>
    </w:p>
    <w:p>
      <w:pPr>
        <w:pStyle w:val="BodyText"/>
        <w:spacing w:line="240" w:lineRule="auto" w:before="31"/>
        <w:ind w:right="208"/>
        <w:jc w:val="left"/>
      </w:pPr>
      <w:r>
        <w:rPr>
          <w:rFonts w:ascii="Times New Roman" w:hAnsi="Times New Roman" w:cs="Times New Roman" w:eastAsia="Times New Roman" w:hint="default"/>
        </w:rPr>
        <w:t>3.2</w:t>
      </w:r>
      <w:r>
        <w:rPr/>
        <w:t>历史沿革</w:t>
      </w:r>
    </w:p>
    <w:p>
      <w:pPr>
        <w:pStyle w:val="BodyText"/>
        <w:spacing w:line="300" w:lineRule="auto" w:before="63"/>
        <w:ind w:right="114" w:firstLine="360"/>
        <w:jc w:val="left"/>
      </w:pPr>
      <w:r>
        <w:rPr/>
        <w:t>青岛市恒顺众昇集团股份有限公司（以下简称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）是由青岛恒顺电器有限公司整体变更方式设立的股份 </w:t>
      </w:r>
      <w:r>
        <w:rPr>
          <w:spacing w:val="-4"/>
        </w:rPr>
        <w:t>有限公司。经中国证券监督管理委员会证监许可〔</w:t>
      </w:r>
      <w:r>
        <w:rPr>
          <w:rFonts w:ascii="Times New Roman" w:hAnsi="Times New Roman" w:cs="Times New Roman" w:eastAsia="Times New Roman" w:hint="default"/>
          <w:spacing w:val="-4"/>
        </w:rPr>
        <w:t>2011</w:t>
      </w:r>
      <w:r>
        <w:rPr>
          <w:spacing w:val="-4"/>
        </w:rPr>
        <w:t>〕</w:t>
      </w:r>
      <w:r>
        <w:rPr>
          <w:rFonts w:ascii="Times New Roman" w:hAnsi="Times New Roman" w:cs="Times New Roman" w:eastAsia="Times New Roman" w:hint="default"/>
          <w:spacing w:val="-4"/>
        </w:rPr>
        <w:t>500</w:t>
      </w:r>
      <w:r>
        <w:rPr>
          <w:spacing w:val="-4"/>
        </w:rPr>
        <w:t>号文核准，</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21</w:t>
      </w:r>
      <w:r>
        <w:rPr>
          <w:spacing w:val="-4"/>
        </w:rPr>
        <w:t>日公司公开发行人民币普通股</w:t>
      </w:r>
      <w:r>
        <w:rPr>
          <w:rFonts w:ascii="Times New Roman" w:hAnsi="Times New Roman" w:cs="Times New Roman" w:eastAsia="Times New Roman" w:hint="default"/>
          <w:spacing w:val="-4"/>
        </w:rPr>
        <w:t>(A</w:t>
      </w:r>
      <w:r>
        <w:rPr>
          <w:spacing w:val="-4"/>
        </w:rPr>
        <w:t>股</w:t>
      </w:r>
      <w:r>
        <w:rPr>
          <w:rFonts w:ascii="Times New Roman" w:hAnsi="Times New Roman" w:cs="Times New Roman" w:eastAsia="Times New Roman" w:hint="default"/>
          <w:spacing w:val="-4"/>
        </w:rPr>
        <w:t>)1,750</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spacing w:val="-3"/>
        </w:rPr>
        <w:t>万股，发行后公司注册资本变更为</w:t>
      </w:r>
      <w:r>
        <w:rPr>
          <w:rFonts w:ascii="Times New Roman" w:hAnsi="Times New Roman" w:cs="Times New Roman" w:eastAsia="Times New Roman" w:hint="default"/>
          <w:spacing w:val="-3"/>
        </w:rPr>
        <w:t>7,000</w:t>
      </w:r>
      <w:r>
        <w:rPr>
          <w:spacing w:val="-3"/>
        </w:rPr>
        <w:t>万元人民币，并于</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16</w:t>
      </w:r>
      <w:r>
        <w:rPr>
          <w:spacing w:val="-3"/>
        </w:rPr>
        <w:t>日在青岛市工商行政管理局办理了工商变更登记手续，</w:t>
      </w:r>
      <w:r>
        <w:rPr>
          <w:spacing w:val="-39"/>
        </w:rPr>
        <w:t> </w:t>
      </w:r>
      <w:r>
        <w:rPr>
          <w:spacing w:val="-39"/>
        </w:rPr>
      </w:r>
      <w:r>
        <w:rPr/>
        <w:t>取得注册号为</w:t>
      </w:r>
      <w:r>
        <w:rPr>
          <w:rFonts w:ascii="Times New Roman" w:hAnsi="Times New Roman" w:cs="Times New Roman" w:eastAsia="Times New Roman" w:hint="default"/>
        </w:rPr>
        <w:t>370214018001595</w:t>
      </w:r>
      <w:r>
        <w:rPr/>
        <w:t>的《企业法人营业执照》。公司股票已于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日在深圳证券交易所挂牌交易。</w:t>
      </w:r>
    </w:p>
    <w:p>
      <w:pPr>
        <w:pStyle w:val="BodyText"/>
        <w:spacing w:line="300" w:lineRule="auto" w:before="13"/>
        <w:ind w:right="208" w:firstLine="360"/>
        <w:jc w:val="both"/>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16</w:t>
      </w:r>
      <w:r>
        <w:rPr>
          <w:spacing w:val="-1"/>
        </w:rPr>
        <w:t>日经公司股东大会审议通过</w:t>
      </w:r>
      <w:r>
        <w:rPr>
          <w:rFonts w:ascii="Times New Roman" w:hAnsi="Times New Roman" w:cs="Times New Roman" w:eastAsia="Times New Roman" w:hint="default"/>
          <w:spacing w:val="-1"/>
        </w:rPr>
        <w:t>2011</w:t>
      </w:r>
      <w:r>
        <w:rPr>
          <w:spacing w:val="-1"/>
        </w:rPr>
        <w:t>年度利润分配方案，以公司</w:t>
      </w:r>
      <w:r>
        <w:rPr>
          <w:rFonts w:ascii="Times New Roman" w:hAnsi="Times New Roman" w:cs="Times New Roman" w:eastAsia="Times New Roman" w:hint="default"/>
          <w:spacing w:val="-1"/>
        </w:rPr>
        <w:t>2011</w:t>
      </w:r>
      <w:r>
        <w:rPr>
          <w:spacing w:val="-1"/>
        </w:rPr>
        <w:t>年末股本</w:t>
      </w:r>
      <w:r>
        <w:rPr>
          <w:rFonts w:ascii="Times New Roman" w:hAnsi="Times New Roman" w:cs="Times New Roman" w:eastAsia="Times New Roman" w:hint="default"/>
          <w:spacing w:val="-1"/>
        </w:rPr>
        <w:t>7,000</w:t>
      </w:r>
      <w:r>
        <w:rPr>
          <w:spacing w:val="-1"/>
        </w:rPr>
        <w:t>万股为基数，以资本公积金</w:t>
      </w:r>
      <w:r>
        <w:rPr/>
        <w:t> 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w:t>
      </w:r>
      <w:r>
        <w:rPr>
          <w:rFonts w:ascii="Times New Roman" w:hAnsi="Times New Roman" w:cs="Times New Roman" w:eastAsia="Times New Roman" w:hint="default"/>
        </w:rPr>
        <w:t>7,000</w:t>
      </w:r>
      <w:r>
        <w:rPr/>
        <w:t>万股，转增股本后公司注册资本人民币</w:t>
      </w:r>
      <w:r>
        <w:rPr>
          <w:rFonts w:ascii="Times New Roman" w:hAnsi="Times New Roman" w:cs="Times New Roman" w:eastAsia="Times New Roman" w:hint="default"/>
        </w:rPr>
        <w:t>14,000</w:t>
      </w:r>
      <w:r>
        <w:rPr/>
        <w:t>万元，股份总数</w:t>
      </w:r>
      <w:r>
        <w:rPr>
          <w:rFonts w:ascii="Times New Roman" w:hAnsi="Times New Roman" w:cs="Times New Roman" w:eastAsia="Times New Roman" w:hint="default"/>
        </w:rPr>
        <w:t>14,000</w:t>
      </w:r>
      <w:r>
        <w:rPr/>
        <w:t>万股</w:t>
      </w:r>
      <w:r>
        <w:rPr>
          <w:rFonts w:ascii="Times New Roman" w:hAnsi="Times New Roman" w:cs="Times New Roman" w:eastAsia="Times New Roman" w:hint="default"/>
        </w:rPr>
        <w:t>(</w:t>
      </w:r>
      <w:r>
        <w:rPr/>
        <w:t>每股面值</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w:t>
      </w:r>
    </w:p>
    <w:p>
      <w:pPr>
        <w:pStyle w:val="BodyText"/>
        <w:spacing w:line="300" w:lineRule="auto" w:before="13"/>
        <w:ind w:right="211" w:firstLine="36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日经公司股东大会审议通过</w:t>
      </w:r>
      <w:r>
        <w:rPr>
          <w:rFonts w:ascii="Times New Roman" w:hAnsi="Times New Roman" w:cs="Times New Roman" w:eastAsia="Times New Roman" w:hint="default"/>
        </w:rPr>
        <w:t>2012</w:t>
      </w:r>
      <w:r>
        <w:rPr/>
        <w:t>年度利润分配方案，公司以</w:t>
      </w:r>
      <w:r>
        <w:rPr>
          <w:rFonts w:ascii="Times New Roman" w:hAnsi="Times New Roman" w:cs="Times New Roman" w:eastAsia="Times New Roman" w:hint="default"/>
        </w:rPr>
        <w:t>2012</w:t>
      </w:r>
      <w:r>
        <w:rPr/>
        <w:t>年末股本</w:t>
      </w:r>
      <w:r>
        <w:rPr>
          <w:rFonts w:ascii="Times New Roman" w:hAnsi="Times New Roman" w:cs="Times New Roman" w:eastAsia="Times New Roman" w:hint="default"/>
        </w:rPr>
        <w:t>14,000</w:t>
      </w:r>
      <w:r>
        <w:rPr/>
        <w:t>万股为基数，以资本公积 </w:t>
      </w:r>
      <w:r>
        <w:rPr>
          <w:spacing w:val="-1"/>
        </w:rPr>
        <w:t>每</w:t>
      </w:r>
      <w:r>
        <w:rPr>
          <w:rFonts w:ascii="Times New Roman" w:hAnsi="Times New Roman" w:cs="Times New Roman" w:eastAsia="Times New Roman" w:hint="default"/>
          <w:spacing w:val="-1"/>
        </w:rPr>
        <w:t>10</w:t>
      </w:r>
      <w:r>
        <w:rPr>
          <w:spacing w:val="-1"/>
        </w:rPr>
        <w:t>股转</w:t>
      </w:r>
      <w:r>
        <w:rPr>
          <w:rFonts w:ascii="Times New Roman" w:hAnsi="Times New Roman" w:cs="Times New Roman" w:eastAsia="Times New Roman" w:hint="default"/>
          <w:spacing w:val="-1"/>
        </w:rPr>
        <w:t>10</w:t>
      </w:r>
      <w:r>
        <w:rPr>
          <w:spacing w:val="-1"/>
        </w:rPr>
        <w:t>股，转增股本后公司注册资本人民币</w:t>
      </w:r>
      <w:r>
        <w:rPr>
          <w:rFonts w:ascii="Times New Roman" w:hAnsi="Times New Roman" w:cs="Times New Roman" w:eastAsia="Times New Roman" w:hint="default"/>
          <w:spacing w:val="-1"/>
        </w:rPr>
        <w:t>28,000</w:t>
      </w:r>
      <w:r>
        <w:rPr>
          <w:spacing w:val="-1"/>
        </w:rPr>
        <w:t>万元，股份总数</w:t>
      </w:r>
      <w:r>
        <w:rPr>
          <w:rFonts w:ascii="Times New Roman" w:hAnsi="Times New Roman" w:cs="Times New Roman" w:eastAsia="Times New Roman" w:hint="default"/>
          <w:spacing w:val="-1"/>
        </w:rPr>
        <w:t>28,000</w:t>
      </w:r>
      <w:r>
        <w:rPr>
          <w:spacing w:val="-1"/>
        </w:rPr>
        <w:t>万股</w:t>
      </w:r>
      <w:r>
        <w:rPr>
          <w:rFonts w:ascii="Times New Roman" w:hAnsi="Times New Roman" w:cs="Times New Roman" w:eastAsia="Times New Roman" w:hint="default"/>
          <w:spacing w:val="-1"/>
        </w:rPr>
        <w:t>(</w:t>
      </w:r>
      <w:r>
        <w:rPr>
          <w:spacing w:val="-1"/>
        </w:rPr>
        <w:t>每股面值</w:t>
      </w:r>
      <w:r>
        <w:rPr>
          <w:rFonts w:ascii="Times New Roman" w:hAnsi="Times New Roman" w:cs="Times New Roman" w:eastAsia="Times New Roman" w:hint="default"/>
          <w:spacing w:val="-1"/>
        </w:rPr>
        <w:t>1</w:t>
      </w:r>
      <w:r>
        <w:rPr>
          <w:spacing w:val="-1"/>
        </w:rPr>
        <w:t>元</w:t>
      </w:r>
      <w:r>
        <w:rPr>
          <w:rFonts w:ascii="Times New Roman" w:hAnsi="Times New Roman" w:cs="Times New Roman" w:eastAsia="Times New Roman" w:hint="default"/>
          <w:spacing w:val="-1"/>
        </w:rPr>
        <w:t>)</w:t>
      </w:r>
      <w:r>
        <w:rPr>
          <w:spacing w:val="-1"/>
        </w:rPr>
        <w:t>。关于此次增资经山东汇德</w:t>
      </w:r>
      <w:r>
        <w:rPr>
          <w:spacing w:val="-58"/>
        </w:rPr>
        <w:t> </w:t>
      </w:r>
      <w:r>
        <w:rPr>
          <w:spacing w:val="-58"/>
        </w:rPr>
      </w:r>
      <w:r>
        <w:rPr/>
        <w:t>会计师事务所以（</w:t>
      </w:r>
      <w:r>
        <w:rPr>
          <w:rFonts w:ascii="Times New Roman" w:hAnsi="Times New Roman" w:cs="Times New Roman" w:eastAsia="Times New Roman" w:hint="default"/>
        </w:rPr>
        <w:t>2013</w:t>
      </w:r>
      <w:r>
        <w:rPr/>
        <w:t>）汇所验字第</w:t>
      </w:r>
      <w:r>
        <w:rPr>
          <w:rFonts w:ascii="Times New Roman" w:hAnsi="Times New Roman" w:cs="Times New Roman" w:eastAsia="Times New Roman" w:hint="default"/>
        </w:rPr>
        <w:t>1</w:t>
      </w:r>
      <w:r>
        <w:rPr/>
        <w:t>－</w:t>
      </w:r>
      <w:r>
        <w:rPr>
          <w:rFonts w:ascii="Times New Roman" w:hAnsi="Times New Roman" w:cs="Times New Roman" w:eastAsia="Times New Roman" w:hint="default"/>
        </w:rPr>
        <w:t>006</w:t>
      </w:r>
      <w:r>
        <w:rPr/>
        <w:t>号验资报告验证。</w:t>
      </w:r>
    </w:p>
    <w:p>
      <w:pPr>
        <w:pStyle w:val="BodyText"/>
        <w:spacing w:line="300" w:lineRule="auto" w:before="13"/>
        <w:ind w:right="212" w:firstLine="360"/>
        <w:jc w:val="both"/>
      </w:pPr>
      <w:r>
        <w:rPr>
          <w:spacing w:val="-1"/>
        </w:rPr>
        <w:t>根据《青岛市恒顺电气股份有限公司股权激励计划</w:t>
      </w:r>
      <w:r>
        <w:rPr>
          <w:rFonts w:ascii="Times New Roman" w:hAnsi="Times New Roman" w:cs="Times New Roman" w:eastAsia="Times New Roman" w:hint="default"/>
          <w:spacing w:val="-1"/>
        </w:rPr>
        <w:t>(</w:t>
      </w:r>
      <w:r>
        <w:rPr>
          <w:spacing w:val="-1"/>
        </w:rPr>
        <w:t>正式稿</w:t>
      </w:r>
      <w:r>
        <w:rPr>
          <w:rFonts w:ascii="Times New Roman" w:hAnsi="Times New Roman" w:cs="Times New Roman" w:eastAsia="Times New Roman" w:hint="default"/>
          <w:spacing w:val="-1"/>
        </w:rPr>
        <w:t>)</w:t>
      </w:r>
      <w:r>
        <w:rPr>
          <w:spacing w:val="-1"/>
        </w:rPr>
        <w:t>》规定和第一届董事会第三十五次会议决议规定公司增加注</w:t>
      </w:r>
      <w:r>
        <w:rPr/>
        <w:t> 册资本</w:t>
      </w:r>
      <w:r>
        <w:rPr>
          <w:rFonts w:ascii="Times New Roman" w:hAnsi="Times New Roman" w:cs="Times New Roman" w:eastAsia="Times New Roman" w:hint="default"/>
        </w:rPr>
        <w:t>492</w:t>
      </w:r>
      <w:r>
        <w:rPr/>
        <w:t>万元，由黄淑华等</w:t>
      </w:r>
      <w:r>
        <w:rPr>
          <w:rFonts w:ascii="Times New Roman" w:hAnsi="Times New Roman" w:cs="Times New Roman" w:eastAsia="Times New Roman" w:hint="default"/>
        </w:rPr>
        <w:t>25</w:t>
      </w:r>
      <w:r>
        <w:rPr/>
        <w:t>人认缴，变更后的注册资本为</w:t>
      </w:r>
      <w:r>
        <w:rPr>
          <w:rFonts w:ascii="Times New Roman" w:hAnsi="Times New Roman" w:cs="Times New Roman" w:eastAsia="Times New Roman" w:hint="default"/>
        </w:rPr>
        <w:t>28,492</w:t>
      </w:r>
      <w:r>
        <w:rPr/>
        <w:t>万元，此次增资经山东汇德会计师事务所以（</w:t>
      </w:r>
      <w:r>
        <w:rPr>
          <w:rFonts w:ascii="Times New Roman" w:hAnsi="Times New Roman" w:cs="Times New Roman" w:eastAsia="Times New Roman" w:hint="default"/>
        </w:rPr>
        <w:t>2013</w:t>
      </w:r>
      <w:r>
        <w:rPr/>
        <w:t>）汇 所验字第</w:t>
      </w:r>
      <w:r>
        <w:rPr>
          <w:rFonts w:ascii="Times New Roman" w:hAnsi="Times New Roman" w:cs="Times New Roman" w:eastAsia="Times New Roman" w:hint="default"/>
        </w:rPr>
        <w:t>1</w:t>
      </w:r>
      <w:r>
        <w:rPr/>
        <w:t>－</w:t>
      </w:r>
      <w:r>
        <w:rPr>
          <w:rFonts w:ascii="Times New Roman" w:hAnsi="Times New Roman" w:cs="Times New Roman" w:eastAsia="Times New Roman" w:hint="default"/>
        </w:rPr>
        <w:t>009</w:t>
      </w:r>
      <w:r>
        <w:rPr/>
        <w:t>号验资报告验证。</w:t>
      </w:r>
    </w:p>
    <w:p>
      <w:pPr>
        <w:pStyle w:val="BodyText"/>
        <w:spacing w:line="300" w:lineRule="auto" w:before="13"/>
        <w:ind w:right="209" w:firstLine="360"/>
        <w:jc w:val="both"/>
      </w:pPr>
      <w:r>
        <w:rPr>
          <w:spacing w:val="-1"/>
        </w:rPr>
        <w:t>根据《青岛市恒顺电气股份有限公司股权激励计划</w:t>
      </w:r>
      <w:r>
        <w:rPr>
          <w:rFonts w:ascii="Times New Roman" w:hAnsi="Times New Roman" w:cs="Times New Roman" w:eastAsia="Times New Roman" w:hint="default"/>
          <w:spacing w:val="-1"/>
        </w:rPr>
        <w:t>(</w:t>
      </w:r>
      <w:r>
        <w:rPr>
          <w:spacing w:val="-1"/>
        </w:rPr>
        <w:t>草案修订稿</w:t>
      </w:r>
      <w:r>
        <w:rPr>
          <w:rFonts w:ascii="Times New Roman" w:hAnsi="Times New Roman" w:cs="Times New Roman" w:eastAsia="Times New Roman" w:hint="default"/>
          <w:spacing w:val="-1"/>
        </w:rPr>
        <w:t>)</w:t>
      </w:r>
      <w:r>
        <w:rPr>
          <w:spacing w:val="-1"/>
        </w:rPr>
        <w:t>》规定和</w:t>
      </w:r>
      <w:r>
        <w:rPr>
          <w:rFonts w:ascii="Times New Roman" w:hAnsi="Times New Roman" w:cs="Times New Roman" w:eastAsia="Times New Roman" w:hint="default"/>
          <w:spacing w:val="-1"/>
        </w:rPr>
        <w:t>2014</w:t>
      </w:r>
      <w:r>
        <w:rPr>
          <w:spacing w:val="-1"/>
        </w:rPr>
        <w:t>年第二次临时股东大会决议规定，公司增</w:t>
      </w:r>
      <w:r>
        <w:rPr/>
        <w:t> </w:t>
      </w:r>
      <w:r>
        <w:rPr>
          <w:spacing w:val="-2"/>
        </w:rPr>
        <w:t>加注册资本</w:t>
      </w:r>
      <w:r>
        <w:rPr>
          <w:rFonts w:ascii="Times New Roman" w:hAnsi="Times New Roman" w:cs="Times New Roman" w:eastAsia="Times New Roman" w:hint="default"/>
          <w:spacing w:val="-2"/>
        </w:rPr>
        <w:t>1,705</w:t>
      </w:r>
      <w:r>
        <w:rPr>
          <w:spacing w:val="-2"/>
        </w:rPr>
        <w:t>万元，由陈肖强等</w:t>
      </w:r>
      <w:r>
        <w:rPr>
          <w:rFonts w:ascii="Times New Roman" w:hAnsi="Times New Roman" w:cs="Times New Roman" w:eastAsia="Times New Roman" w:hint="default"/>
          <w:spacing w:val="-2"/>
        </w:rPr>
        <w:t>26</w:t>
      </w:r>
      <w:r>
        <w:rPr>
          <w:spacing w:val="-2"/>
        </w:rPr>
        <w:t>人认缴。变更后的注册资本为</w:t>
      </w:r>
      <w:r>
        <w:rPr>
          <w:rFonts w:ascii="Times New Roman" w:hAnsi="Times New Roman" w:cs="Times New Roman" w:eastAsia="Times New Roman" w:hint="default"/>
          <w:spacing w:val="-2"/>
        </w:rPr>
        <w:t>30,197</w:t>
      </w:r>
      <w:r>
        <w:rPr>
          <w:spacing w:val="-2"/>
        </w:rPr>
        <w:t>万元，此次增资经山东和信会计师事务所（特殊普</w:t>
      </w:r>
      <w:r>
        <w:rPr>
          <w:spacing w:val="-54"/>
        </w:rPr>
        <w:t> </w:t>
      </w:r>
      <w:r>
        <w:rPr>
          <w:spacing w:val="-54"/>
        </w:rPr>
      </w:r>
      <w:r>
        <w:rPr/>
        <w:t>通合伙）以和信验字（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000034</w:t>
      </w:r>
      <w:r>
        <w:rPr/>
        <w:t>号验资报告验证。</w:t>
      </w:r>
    </w:p>
    <w:p>
      <w:pPr>
        <w:pStyle w:val="BodyText"/>
        <w:spacing w:line="300" w:lineRule="auto" w:before="13"/>
        <w:ind w:right="114" w:firstLine="360"/>
        <w:jc w:val="left"/>
      </w:pP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06</w:t>
      </w:r>
      <w:r>
        <w:rPr/>
        <w:t>日召开</w:t>
      </w:r>
      <w:r>
        <w:rPr>
          <w:rFonts w:ascii="Times New Roman" w:hAnsi="Times New Roman" w:cs="Times New Roman" w:eastAsia="Times New Roman" w:hint="default"/>
        </w:rPr>
        <w:t>2015</w:t>
      </w:r>
      <w:r>
        <w:rPr/>
        <w:t>年第一次临时股东大会，审议通过了公司《关于修改公司名称和简称及修订</w:t>
      </w:r>
      <w:r>
        <w:rPr>
          <w:rFonts w:ascii="Times New Roman" w:hAnsi="Times New Roman" w:cs="Times New Roman" w:eastAsia="Times New Roman" w:hint="default"/>
        </w:rPr>
        <w:t>&lt;</w:t>
      </w:r>
      <w:r>
        <w:rPr/>
        <w:t>青岛市恒 顺电气股份有限公司章程</w:t>
      </w:r>
      <w:r>
        <w:rPr>
          <w:rFonts w:ascii="Times New Roman" w:hAnsi="Times New Roman" w:cs="Times New Roman" w:eastAsia="Times New Roman" w:hint="default"/>
        </w:rPr>
        <w:t>&gt;</w:t>
      </w:r>
      <w:r>
        <w:rPr/>
        <w:t>的议案》，并决定将公司中文名称由</w:t>
      </w:r>
      <w:r>
        <w:rPr>
          <w:rFonts w:ascii="Times New Roman" w:hAnsi="Times New Roman" w:cs="Times New Roman" w:eastAsia="Times New Roman" w:hint="default"/>
        </w:rPr>
        <w:t>“</w:t>
      </w:r>
      <w:r>
        <w:rPr/>
        <w:t>青岛市恒顺电气股份有限公司</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青岛市恒顺众昇集团 股份有限公司</w:t>
      </w:r>
      <w:r>
        <w:rPr>
          <w:rFonts w:ascii="Times New Roman" w:hAnsi="Times New Roman" w:cs="Times New Roman" w:eastAsia="Times New Roman" w:hint="default"/>
        </w:rPr>
        <w:t>”</w:t>
      </w:r>
      <w:r>
        <w:rPr/>
        <w:t>；英文名称由</w:t>
      </w:r>
      <w:r>
        <w:rPr>
          <w:rFonts w:ascii="Times New Roman" w:hAnsi="Times New Roman" w:cs="Times New Roman" w:eastAsia="Times New Roman" w:hint="default"/>
        </w:rPr>
        <w:t>“Qingdao</w:t>
      </w:r>
      <w:r>
        <w:rPr>
          <w:rFonts w:ascii="Times New Roman" w:hAnsi="Times New Roman" w:cs="Times New Roman" w:eastAsia="Times New Roman" w:hint="default"/>
          <w:spacing w:val="-12"/>
        </w:rPr>
        <w:t> </w:t>
      </w:r>
      <w:r>
        <w:rPr>
          <w:rFonts w:ascii="Times New Roman" w:hAnsi="Times New Roman" w:cs="Times New Roman" w:eastAsia="Times New Roman" w:hint="default"/>
        </w:rPr>
        <w:t>Evercontaining</w:t>
      </w:r>
      <w:r>
        <w:rPr>
          <w:rFonts w:ascii="Times New Roman" w:hAnsi="Times New Roman" w:cs="Times New Roman" w:eastAsia="Times New Roman" w:hint="default"/>
          <w:spacing w:val="-14"/>
        </w:rPr>
        <w:t> </w:t>
      </w:r>
      <w:r>
        <w:rPr>
          <w:rFonts w:ascii="Times New Roman" w:hAnsi="Times New Roman" w:cs="Times New Roman" w:eastAsia="Times New Roman" w:hint="default"/>
        </w:rPr>
        <w:t>Electric</w:t>
      </w:r>
      <w:r>
        <w:rPr>
          <w:rFonts w:ascii="Times New Roman" w:hAnsi="Times New Roman" w:cs="Times New Roman" w:eastAsia="Times New Roman" w:hint="default"/>
          <w:spacing w:val="-14"/>
        </w:rPr>
        <w:t> </w:t>
      </w:r>
      <w:r>
        <w:rPr>
          <w:rFonts w:ascii="Times New Roman" w:hAnsi="Times New Roman" w:cs="Times New Roman" w:eastAsia="Times New Roman" w:hint="default"/>
        </w:rPr>
        <w:t>Co.,Ltd.</w:t>
      </w:r>
      <w:r>
        <w:rPr>
          <w:rFonts w:ascii="Times New Roman" w:hAnsi="Times New Roman" w:cs="Times New Roman" w:eastAsia="Times New Roman" w:hint="default"/>
          <w:spacing w:val="-13"/>
        </w:rPr>
        <w:t> </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“Qingdao</w:t>
      </w:r>
      <w:r>
        <w:rPr>
          <w:rFonts w:ascii="Times New Roman" w:hAnsi="Times New Roman" w:cs="Times New Roman" w:eastAsia="Times New Roman" w:hint="default"/>
          <w:spacing w:val="-12"/>
        </w:rPr>
        <w:t> </w:t>
      </w:r>
      <w:r>
        <w:rPr>
          <w:rFonts w:ascii="Times New Roman" w:hAnsi="Times New Roman" w:cs="Times New Roman" w:eastAsia="Times New Roman" w:hint="default"/>
        </w:rPr>
        <w:t>Hengshun</w:t>
      </w:r>
      <w:r>
        <w:rPr>
          <w:rFonts w:ascii="Times New Roman" w:hAnsi="Times New Roman" w:cs="Times New Roman" w:eastAsia="Times New Roman" w:hint="default"/>
          <w:spacing w:val="-12"/>
        </w:rPr>
        <w:t> </w:t>
      </w:r>
      <w:r>
        <w:rPr>
          <w:rFonts w:ascii="Times New Roman" w:hAnsi="Times New Roman" w:cs="Times New Roman" w:eastAsia="Times New Roman" w:hint="default"/>
        </w:rPr>
        <w:t>Zhongsheng</w:t>
      </w:r>
      <w:r>
        <w:rPr>
          <w:rFonts w:ascii="Times New Roman" w:hAnsi="Times New Roman" w:cs="Times New Roman" w:eastAsia="Times New Roman" w:hint="default"/>
          <w:spacing w:val="-14"/>
        </w:rPr>
        <w:t> </w:t>
      </w:r>
      <w:r>
        <w:rPr>
          <w:rFonts w:ascii="Times New Roman" w:hAnsi="Times New Roman" w:cs="Times New Roman" w:eastAsia="Times New Roman" w:hint="default"/>
        </w:rPr>
        <w:t>Group</w:t>
      </w:r>
      <w:r>
        <w:rPr>
          <w:rFonts w:ascii="Times New Roman" w:hAnsi="Times New Roman" w:cs="Times New Roman" w:eastAsia="Times New Roman" w:hint="default"/>
          <w:spacing w:val="-12"/>
        </w:rPr>
        <w:t> </w:t>
      </w:r>
      <w:r>
        <w:rPr>
          <w:rFonts w:ascii="Times New Roman" w:hAnsi="Times New Roman" w:cs="Times New Roman" w:eastAsia="Times New Roman" w:hint="default"/>
        </w:rPr>
        <w:t>Co.,Ltd.”</w:t>
      </w:r>
      <w:r>
        <w:rPr/>
        <w:t>。</w:t>
      </w:r>
    </w:p>
    <w:p>
      <w:pPr>
        <w:pStyle w:val="BodyText"/>
        <w:spacing w:line="300" w:lineRule="auto" w:before="13"/>
        <w:ind w:right="213" w:firstLine="360"/>
        <w:jc w:val="both"/>
      </w:pPr>
      <w:r>
        <w:rPr>
          <w:spacing w:val="-1"/>
        </w:rPr>
        <w:t>根据《青岛市恒顺电气股份有限公司股权激励计划</w:t>
      </w:r>
      <w:r>
        <w:rPr>
          <w:rFonts w:ascii="Times New Roman" w:hAnsi="Times New Roman" w:cs="Times New Roman" w:eastAsia="Times New Roman" w:hint="default"/>
          <w:spacing w:val="-1"/>
        </w:rPr>
        <w:t>(</w:t>
      </w:r>
      <w:r>
        <w:rPr>
          <w:spacing w:val="-1"/>
        </w:rPr>
        <w:t>正式稿</w:t>
      </w:r>
      <w:r>
        <w:rPr>
          <w:rFonts w:ascii="Times New Roman" w:hAnsi="Times New Roman" w:cs="Times New Roman" w:eastAsia="Times New Roman" w:hint="default"/>
          <w:spacing w:val="-1"/>
        </w:rPr>
        <w:t>)</w:t>
      </w:r>
      <w:r>
        <w:rPr>
          <w:spacing w:val="-1"/>
        </w:rPr>
        <w:t>》规定和</w:t>
      </w:r>
      <w:r>
        <w:rPr>
          <w:rFonts w:ascii="Times New Roman" w:hAnsi="Times New Roman" w:cs="Times New Roman" w:eastAsia="Times New Roman" w:hint="default"/>
          <w:spacing w:val="-1"/>
        </w:rPr>
        <w:t>2015</w:t>
      </w:r>
      <w:r>
        <w:rPr>
          <w:spacing w:val="-1"/>
        </w:rPr>
        <w:t>年第二届董事会第二十二次会议规定，同意</w:t>
      </w:r>
      <w:r>
        <w:rPr>
          <w:rFonts w:ascii="Times New Roman" w:hAnsi="Times New Roman" w:cs="Times New Roman" w:eastAsia="Times New Roman" w:hint="default"/>
          <w:spacing w:val="-1"/>
        </w:rPr>
        <w:t>22</w:t>
      </w:r>
      <w:r>
        <w:rPr>
          <w:rFonts w:ascii="Times New Roman" w:hAnsi="Times New Roman" w:cs="Times New Roman" w:eastAsia="Times New Roman" w:hint="default"/>
          <w:spacing w:val="-2"/>
        </w:rPr>
        <w:t> </w:t>
      </w:r>
      <w:r>
        <w:rPr/>
        <w:t>位激励对象在第三个行权期行权，公司增加注册资本</w:t>
      </w:r>
      <w:r>
        <w:rPr>
          <w:rFonts w:ascii="Times New Roman" w:hAnsi="Times New Roman" w:cs="Times New Roman" w:eastAsia="Times New Roman" w:hint="default"/>
        </w:rPr>
        <w:t>464</w:t>
      </w:r>
      <w:r>
        <w:rPr/>
        <w:t>万元，变更后的注册资本为</w:t>
      </w:r>
      <w:r>
        <w:rPr>
          <w:rFonts w:ascii="Times New Roman" w:hAnsi="Times New Roman" w:cs="Times New Roman" w:eastAsia="Times New Roman" w:hint="default"/>
        </w:rPr>
        <w:t>30,661</w:t>
      </w:r>
      <w:r>
        <w:rPr/>
        <w:t>万元，此次增资经山东和信会计 师事务所（特殊普通合伙）以和信验字（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000046</w:t>
      </w:r>
      <w:r>
        <w:rPr/>
        <w:t>号验资报告验证。</w:t>
      </w:r>
    </w:p>
    <w:p>
      <w:pPr>
        <w:pStyle w:val="BodyText"/>
        <w:spacing w:line="300" w:lineRule="auto" w:before="13"/>
        <w:ind w:right="211" w:firstLine="360"/>
        <w:jc w:val="both"/>
      </w:pPr>
      <w:r>
        <w:rPr>
          <w:spacing w:val="-1"/>
        </w:rPr>
        <w:t>根据公司</w:t>
      </w:r>
      <w:r>
        <w:rPr>
          <w:rFonts w:ascii="Times New Roman" w:hAnsi="Times New Roman" w:cs="Times New Roman" w:eastAsia="Times New Roman" w:hint="default"/>
          <w:spacing w:val="-1"/>
        </w:rPr>
        <w:t>2015</w:t>
      </w:r>
      <w:r>
        <w:rPr>
          <w:spacing w:val="-1"/>
        </w:rPr>
        <w:t>年第四次临时股东大会审议通过《关于调整</w:t>
      </w:r>
      <w:r>
        <w:rPr>
          <w:rFonts w:ascii="Times New Roman" w:hAnsi="Times New Roman" w:cs="Times New Roman" w:eastAsia="Times New Roman" w:hint="default"/>
          <w:spacing w:val="-1"/>
        </w:rPr>
        <w:t>2015</w:t>
      </w:r>
      <w:r>
        <w:rPr>
          <w:spacing w:val="-1"/>
        </w:rPr>
        <w:t>年半年度利润分配预案的议案》，公司以</w:t>
      </w:r>
      <w:r>
        <w:rPr>
          <w:rFonts w:ascii="Times New Roman" w:hAnsi="Times New Roman" w:cs="Times New Roman" w:eastAsia="Times New Roman" w:hint="default"/>
          <w:spacing w:val="-1"/>
        </w:rPr>
        <w:t>30,661</w:t>
      </w:r>
      <w:r>
        <w:rPr>
          <w:spacing w:val="-1"/>
        </w:rPr>
        <w:t>万股为基</w:t>
      </w:r>
      <w:r>
        <w:rPr/>
        <w:t> 数，向全体股东每</w:t>
      </w:r>
      <w:r>
        <w:rPr>
          <w:rFonts w:ascii="Times New Roman" w:hAnsi="Times New Roman" w:cs="Times New Roman" w:eastAsia="Times New Roman" w:hint="default"/>
        </w:rPr>
        <w:t>10</w:t>
      </w:r>
      <w:r>
        <w:rPr/>
        <w:t>股送红股</w:t>
      </w:r>
      <w:r>
        <w:rPr>
          <w:rFonts w:ascii="Times New Roman" w:hAnsi="Times New Roman" w:cs="Times New Roman" w:eastAsia="Times New Roman" w:hint="default"/>
        </w:rPr>
        <w:t>5</w:t>
      </w:r>
      <w:r>
        <w:rPr/>
        <w:t>股，以资本公积向全体股东每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股。变更后公司注册资本为</w:t>
      </w:r>
      <w:r>
        <w:rPr>
          <w:rFonts w:ascii="Times New Roman" w:hAnsi="Times New Roman" w:cs="Times New Roman" w:eastAsia="Times New Roman" w:hint="default"/>
        </w:rPr>
        <w:t>76,652.50</w:t>
      </w:r>
      <w:r>
        <w:rPr/>
        <w:t>万元，此次增</w:t>
      </w:r>
    </w:p>
    <w:p>
      <w:pPr>
        <w:spacing w:after="0" w:line="300" w:lineRule="auto"/>
        <w:jc w:val="both"/>
        <w:sectPr>
          <w:pgSz w:w="11910" w:h="16840"/>
          <w:pgMar w:header="745" w:footer="979" w:top="1060" w:bottom="1160" w:left="980" w:right="920"/>
        </w:sectPr>
      </w:pPr>
    </w:p>
    <w:p>
      <w:pPr>
        <w:spacing w:line="240" w:lineRule="auto" w:before="10"/>
        <w:rPr>
          <w:rFonts w:ascii="宋体" w:hAnsi="宋体" w:cs="宋体" w:eastAsia="宋体" w:hint="default"/>
          <w:sz w:val="25"/>
          <w:szCs w:val="25"/>
        </w:rPr>
      </w:pPr>
    </w:p>
    <w:p>
      <w:pPr>
        <w:pStyle w:val="BodyText"/>
        <w:spacing w:line="300" w:lineRule="auto" w:before="44"/>
        <w:ind w:left="513" w:right="135" w:hanging="361"/>
        <w:jc w:val="left"/>
      </w:pPr>
      <w:r>
        <w:rPr/>
        <w:t>资经山东和信会计师事务所（特殊普通合伙）以和信验字（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000096</w:t>
      </w:r>
      <w:r>
        <w:rPr/>
        <w:t>号验资报告验证。 </w:t>
      </w:r>
      <w:r>
        <w:rPr>
          <w:spacing w:val="-1"/>
        </w:rPr>
        <w:t>根据公司《青岛市恒顺电气股份有限公司股权激励计划</w:t>
      </w:r>
      <w:r>
        <w:rPr>
          <w:rFonts w:ascii="Times New Roman" w:hAnsi="Times New Roman" w:cs="Times New Roman" w:eastAsia="Times New Roman" w:hint="default"/>
          <w:spacing w:val="-1"/>
        </w:rPr>
        <w:t>(</w:t>
      </w:r>
      <w:r>
        <w:rPr>
          <w:spacing w:val="-1"/>
        </w:rPr>
        <w:t>正式稿</w:t>
      </w:r>
      <w:r>
        <w:rPr>
          <w:rFonts w:ascii="Times New Roman" w:hAnsi="Times New Roman" w:cs="Times New Roman" w:eastAsia="Times New Roman" w:hint="default"/>
          <w:spacing w:val="-1"/>
        </w:rPr>
        <w:t>)</w:t>
      </w:r>
      <w:r>
        <w:rPr>
          <w:spacing w:val="-1"/>
        </w:rPr>
        <w:t>》的相关规定，公司于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27</w:t>
      </w:r>
      <w:r>
        <w:rPr>
          <w:spacing w:val="-1"/>
        </w:rPr>
        <w:t>日召开第三届董事</w:t>
      </w:r>
    </w:p>
    <w:p>
      <w:pPr>
        <w:pStyle w:val="BodyText"/>
        <w:spacing w:line="307" w:lineRule="auto" w:before="13"/>
        <w:ind w:right="153"/>
        <w:jc w:val="both"/>
      </w:pPr>
      <w:r>
        <w:rPr>
          <w:spacing w:val="-2"/>
        </w:rPr>
        <w:t>会第六次会议，审议通过了《关于回购注销部分限制性股票的议案》，原激励对象付大志因个人原因离职，公司决定将对其</w:t>
      </w:r>
      <w:r>
        <w:rPr>
          <w:spacing w:val="-67"/>
        </w:rPr>
        <w:t> </w:t>
      </w:r>
      <w:r>
        <w:rPr>
          <w:spacing w:val="-67"/>
        </w:rPr>
      </w:r>
      <w:r>
        <w:rPr/>
        <w:t>所持已获授但尚未解锁的限制性股票共计</w:t>
      </w:r>
      <w:r>
        <w:rPr>
          <w:rFonts w:ascii="Times New Roman" w:hAnsi="Times New Roman" w:cs="Times New Roman" w:eastAsia="Times New Roman" w:hint="default"/>
        </w:rPr>
        <w:t>100</w:t>
      </w:r>
      <w:r>
        <w:rPr/>
        <w:t>万股以 </w:t>
      </w:r>
      <w:r>
        <w:rPr>
          <w:rFonts w:ascii="Times New Roman" w:hAnsi="Times New Roman" w:cs="Times New Roman" w:eastAsia="Times New Roman" w:hint="default"/>
        </w:rPr>
        <w:t>1.656</w:t>
      </w:r>
      <w:r>
        <w:rPr>
          <w:rFonts w:ascii="Times New Roman" w:hAnsi="Times New Roman" w:cs="Times New Roman" w:eastAsia="Times New Roman" w:hint="default"/>
          <w:spacing w:val="9"/>
        </w:rPr>
        <w:t> </w:t>
      </w:r>
      <w:r>
        <w:rPr/>
        <w:t>元</w:t>
      </w:r>
      <w:r>
        <w:rPr>
          <w:rFonts w:ascii="Times New Roman" w:hAnsi="Times New Roman" w:cs="Times New Roman" w:eastAsia="Times New Roman" w:hint="default"/>
        </w:rPr>
        <w:t>/</w:t>
      </w:r>
      <w:r>
        <w:rPr/>
        <w:t>股的价格进行回购注销。公司注册资本减少</w:t>
      </w:r>
      <w:r>
        <w:rPr>
          <w:rFonts w:ascii="Times New Roman" w:hAnsi="Times New Roman" w:cs="Times New Roman" w:eastAsia="Times New Roman" w:hint="default"/>
        </w:rPr>
        <w:t>100</w:t>
      </w:r>
      <w:r>
        <w:rPr/>
        <w:t>万元，变更后 </w:t>
      </w:r>
      <w:r>
        <w:rPr>
          <w:spacing w:val="-2"/>
        </w:rPr>
        <w:t>的注册资本为</w:t>
      </w:r>
      <w:r>
        <w:rPr>
          <w:rFonts w:ascii="Times New Roman" w:hAnsi="Times New Roman" w:cs="Times New Roman" w:eastAsia="Times New Roman" w:hint="default"/>
          <w:spacing w:val="-2"/>
        </w:rPr>
        <w:t>76,552.50</w:t>
      </w:r>
      <w:r>
        <w:rPr>
          <w:spacing w:val="-2"/>
        </w:rPr>
        <w:t>万元，此次减资经山东和信会计师事务所（特殊普通合伙）以和信验字（</w:t>
      </w:r>
      <w:r>
        <w:rPr>
          <w:rFonts w:ascii="Times New Roman" w:hAnsi="Times New Roman" w:cs="Times New Roman" w:eastAsia="Times New Roman" w:hint="default"/>
          <w:spacing w:val="-2"/>
        </w:rPr>
        <w:t>2017</w:t>
      </w:r>
      <w:r>
        <w:rPr>
          <w:spacing w:val="-2"/>
        </w:rPr>
        <w:t>）第</w:t>
      </w:r>
      <w:r>
        <w:rPr>
          <w:rFonts w:ascii="Times New Roman" w:hAnsi="Times New Roman" w:cs="Times New Roman" w:eastAsia="Times New Roman" w:hint="default"/>
          <w:spacing w:val="-2"/>
        </w:rPr>
        <w:t>000147</w:t>
      </w:r>
      <w:r>
        <w:rPr>
          <w:spacing w:val="-2"/>
        </w:rPr>
        <w:t>号验资报告</w:t>
      </w:r>
      <w:r>
        <w:rPr>
          <w:spacing w:val="-55"/>
        </w:rPr>
        <w:t> </w:t>
      </w:r>
      <w:r>
        <w:rPr>
          <w:spacing w:val="-55"/>
        </w:rPr>
      </w:r>
      <w:r>
        <w:rPr/>
        <w:t>验证。</w:t>
      </w:r>
    </w:p>
    <w:p>
      <w:pPr>
        <w:pStyle w:val="BodyText"/>
        <w:spacing w:line="300" w:lineRule="auto" w:before="26"/>
        <w:ind w:left="513" w:right="5003" w:hanging="361"/>
        <w:jc w:val="left"/>
      </w:pPr>
      <w:r>
        <w:rPr>
          <w:rFonts w:ascii="Times New Roman" w:hAnsi="Times New Roman" w:cs="Times New Roman" w:eastAsia="Times New Roman" w:hint="default"/>
        </w:rPr>
        <w:t>3.3</w:t>
      </w:r>
      <w:r>
        <w:rPr/>
        <w:t>财务报告批准</w:t>
      </w:r>
      <w:r>
        <w:rPr>
          <w:spacing w:val="-87"/>
        </w:rPr>
        <w:t> </w:t>
      </w:r>
      <w:r>
        <w:rPr/>
        <w:t>本财务报表经公司全体董事于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日批准报出。</w:t>
      </w:r>
    </w:p>
    <w:p>
      <w:pPr>
        <w:spacing w:line="240" w:lineRule="auto" w:before="4"/>
        <w:rPr>
          <w:rFonts w:ascii="宋体" w:hAnsi="宋体" w:cs="宋体" w:eastAsia="宋体" w:hint="default"/>
          <w:sz w:val="19"/>
          <w:szCs w:val="19"/>
        </w:rPr>
      </w:pPr>
    </w:p>
    <w:p>
      <w:pPr>
        <w:pStyle w:val="BodyText"/>
        <w:spacing w:line="357" w:lineRule="auto"/>
        <w:ind w:left="515" w:right="4731" w:hanging="363"/>
        <w:jc w:val="left"/>
      </w:pPr>
      <w:r>
        <w:rPr>
          <w:rFonts w:ascii="Times New Roman" w:hAnsi="Times New Roman" w:cs="Times New Roman" w:eastAsia="Times New Roman" w:hint="default"/>
        </w:rPr>
        <w:t>3.4</w:t>
      </w:r>
      <w:r>
        <w:rPr/>
        <w:t>合并报表范围</w:t>
      </w:r>
      <w:r>
        <w:rPr>
          <w:spacing w:val="-87"/>
        </w:rPr>
        <w:t> </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日，本公司合并财务报表范围内子公司：</w:t>
      </w:r>
    </w:p>
    <w:p>
      <w:pPr>
        <w:spacing w:line="240" w:lineRule="auto" w:before="3"/>
        <w:rPr>
          <w:rFonts w:ascii="宋体" w:hAnsi="宋体" w:cs="宋体" w:eastAsia="宋体" w:hint="default"/>
          <w:sz w:val="21"/>
          <w:szCs w:val="21"/>
        </w:rPr>
      </w:pPr>
    </w:p>
    <w:p>
      <w:pPr>
        <w:pStyle w:val="BodyText"/>
        <w:spacing w:line="240" w:lineRule="auto"/>
        <w:ind w:left="515" w:right="135"/>
        <w:jc w:val="left"/>
      </w:pPr>
      <w:r>
        <w:rPr/>
        <w:t>（</w:t>
      </w:r>
      <w:r>
        <w:rPr>
          <w:rFonts w:ascii="Times New Roman" w:hAnsi="Times New Roman" w:cs="Times New Roman" w:eastAsia="Times New Roman" w:hint="default"/>
        </w:rPr>
        <w:t>1</w:t>
      </w:r>
      <w:r>
        <w:rPr/>
        <w:t>）通过设立或投资等方式取得的子公司</w:t>
      </w:r>
    </w:p>
    <w:p>
      <w:pPr>
        <w:spacing w:line="240" w:lineRule="auto" w:before="2"/>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5265"/>
        <w:gridCol w:w="1610"/>
        <w:gridCol w:w="1076"/>
        <w:gridCol w:w="962"/>
      </w:tblGrid>
      <w:tr>
        <w:trPr>
          <w:trHeight w:val="653" w:hRule="exact"/>
        </w:trPr>
        <w:tc>
          <w:tcPr>
            <w:tcW w:w="5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持股比例</w:t>
            </w:r>
            <w:r>
              <w:rPr>
                <w:rFonts w:ascii="Times New Roman" w:hAnsi="Times New Roman" w:cs="Times New Roman" w:eastAsia="Times New Roman" w:hint="default"/>
                <w:spacing w:val="-1"/>
                <w:sz w:val="18"/>
                <w:szCs w:val="18"/>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8"/>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43" w:hRule="exact"/>
        </w:trPr>
        <w:tc>
          <w:tcPr>
            <w:tcW w:w="5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青岛恒顺节能科技有限公司</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宋体" w:hAnsi="宋体" w:cs="宋体" w:eastAsia="宋体" w:hint="default"/>
                <w:sz w:val="18"/>
                <w:szCs w:val="18"/>
              </w:rPr>
              <w:t>万元人民币</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1" w:hRule="exact"/>
        </w:trPr>
        <w:tc>
          <w:tcPr>
            <w:tcW w:w="5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西安恒顺电气科技有限公司</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宋体" w:hAnsi="宋体" w:cs="宋体" w:eastAsia="宋体" w:hint="default"/>
                <w:sz w:val="18"/>
                <w:szCs w:val="18"/>
              </w:rPr>
              <w:t>万元人民币</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655" w:hRule="exact"/>
        </w:trPr>
        <w:tc>
          <w:tcPr>
            <w:tcW w:w="526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H&amp;Shun International Holdings</w:t>
            </w:r>
            <w:r>
              <w:rPr>
                <w:rFonts w:ascii="Times New Roman" w:hAnsi="Times New Roman" w:cs="Times New Roman" w:eastAsia="Times New Roman" w:hint="default"/>
                <w:spacing w:val="-28"/>
                <w:sz w:val="18"/>
                <w:szCs w:val="18"/>
              </w:rPr>
              <w:t> </w:t>
            </w:r>
            <w:r>
              <w:rPr>
                <w:rFonts w:ascii="Times New Roman" w:hAnsi="Times New Roman" w:cs="Times New Roman" w:eastAsia="Times New Roman" w:hint="default"/>
                <w:sz w:val="18"/>
                <w:szCs w:val="18"/>
              </w:rPr>
              <w:t>Pte.Ltd.</w:t>
            </w:r>
            <w:r>
              <w:rPr>
                <w:rFonts w:ascii="宋体" w:hAnsi="宋体" w:cs="宋体" w:eastAsia="宋体" w:hint="default"/>
                <w:sz w:val="18"/>
                <w:szCs w:val="18"/>
              </w:rPr>
              <w:t>（恒顺新加坡国际控股有限公 司）</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11,697.30</w:t>
            </w:r>
            <w:r>
              <w:rPr>
                <w:rFonts w:ascii="宋体" w:hAnsi="宋体" w:cs="宋体" w:eastAsia="宋体" w:hint="default"/>
                <w:sz w:val="18"/>
                <w:szCs w:val="18"/>
              </w:rPr>
              <w:t>万美元</w:t>
            </w:r>
            <w:r>
              <w:rPr>
                <w:rFonts w:ascii="Times New Roman" w:hAnsi="Times New Roman" w:cs="Times New Roman" w:eastAsia="Times New Roman" w:hint="default"/>
                <w:sz w:val="18"/>
                <w:szCs w:val="18"/>
              </w:rPr>
              <w:t>+1</w:t>
            </w:r>
          </w:p>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元新币</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1" w:hRule="exact"/>
        </w:trPr>
        <w:tc>
          <w:tcPr>
            <w:tcW w:w="5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H&amp;Shun Coal Holding Pte.Ltd.</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（恒顺新加坡煤炭控股有限公司）</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元新币</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656" w:hRule="exact"/>
        </w:trPr>
        <w:tc>
          <w:tcPr>
            <w:tcW w:w="5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H&amp;Shun Power Holding</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Pte.Ltd.</w:t>
            </w:r>
            <w:r>
              <w:rPr>
                <w:rFonts w:ascii="宋体" w:hAnsi="宋体" w:cs="宋体" w:eastAsia="宋体" w:hint="default"/>
                <w:sz w:val="18"/>
                <w:szCs w:val="18"/>
              </w:rPr>
              <w:t>（恒顺新加坡能源控股有限公司）</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12" w:right="47" w:hanging="660"/>
              <w:jc w:val="left"/>
              <w:rPr>
                <w:rFonts w:ascii="宋体" w:hAnsi="宋体" w:cs="宋体" w:eastAsia="宋体" w:hint="default"/>
                <w:sz w:val="18"/>
                <w:szCs w:val="18"/>
              </w:rPr>
            </w:pPr>
            <w:r>
              <w:rPr>
                <w:rFonts w:ascii="Times New Roman" w:hAnsi="Times New Roman" w:cs="Times New Roman" w:eastAsia="Times New Roman" w:hint="default"/>
                <w:sz w:val="18"/>
                <w:szCs w:val="18"/>
              </w:rPr>
              <w:t>1,930</w:t>
            </w:r>
            <w:r>
              <w:rPr>
                <w:rFonts w:ascii="宋体" w:hAnsi="宋体" w:cs="宋体" w:eastAsia="宋体" w:hint="default"/>
                <w:sz w:val="18"/>
                <w:szCs w:val="18"/>
              </w:rPr>
              <w:t>万美元</w:t>
            </w:r>
            <w:r>
              <w:rPr>
                <w:rFonts w:ascii="Times New Roman" w:hAnsi="Times New Roman" w:cs="Times New Roman" w:eastAsia="Times New Roman" w:hint="default"/>
                <w:sz w:val="18"/>
                <w:szCs w:val="18"/>
              </w:rPr>
              <w:t>+1</w:t>
            </w:r>
            <w:r>
              <w:rPr>
                <w:rFonts w:ascii="宋体" w:hAnsi="宋体" w:cs="宋体" w:eastAsia="宋体" w:hint="default"/>
                <w:sz w:val="18"/>
                <w:szCs w:val="18"/>
              </w:rPr>
              <w:t>元新 币</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653" w:hRule="exact"/>
        </w:trPr>
        <w:tc>
          <w:tcPr>
            <w:tcW w:w="526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Heng Shun Tian Cheng EPC Pte.</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（恒顺新加坡天成工程总承包有 限公司）</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2,947</w:t>
            </w:r>
            <w:r>
              <w:rPr>
                <w:rFonts w:ascii="宋体" w:hAnsi="宋体" w:cs="宋体" w:eastAsia="宋体" w:hint="default"/>
                <w:sz w:val="18"/>
                <w:szCs w:val="18"/>
              </w:rPr>
              <w:t>美元</w:t>
            </w:r>
            <w:r>
              <w:rPr>
                <w:rFonts w:ascii="Times New Roman" w:hAnsi="Times New Roman" w:cs="Times New Roman" w:eastAsia="Times New Roman" w:hint="default"/>
                <w:sz w:val="18"/>
                <w:szCs w:val="18"/>
              </w:rPr>
              <w:t>+1</w:t>
            </w:r>
            <w:r>
              <w:rPr>
                <w:rFonts w:ascii="宋体" w:hAnsi="宋体" w:cs="宋体" w:eastAsia="宋体" w:hint="default"/>
                <w:sz w:val="18"/>
                <w:szCs w:val="18"/>
              </w:rPr>
              <w:t>元新币</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3" w:hRule="exact"/>
        </w:trPr>
        <w:tc>
          <w:tcPr>
            <w:tcW w:w="5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An Shun Coal Mines</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Pte.Ltd.</w:t>
            </w:r>
            <w:r>
              <w:rPr>
                <w:rFonts w:ascii="宋体" w:hAnsi="宋体" w:cs="宋体" w:eastAsia="宋体" w:hint="default"/>
                <w:sz w:val="18"/>
                <w:szCs w:val="18"/>
              </w:rPr>
              <w:t>（恒顺新加坡安顺煤矿有限公司）</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元新币</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1" w:hRule="exact"/>
        </w:trPr>
        <w:tc>
          <w:tcPr>
            <w:tcW w:w="5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Shiny Kindness International</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（恒顺香港泽善国际有限公司）</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15,480</w:t>
            </w:r>
            <w:r>
              <w:rPr>
                <w:rFonts w:ascii="宋体" w:hAnsi="宋体" w:cs="宋体" w:eastAsia="宋体" w:hint="default"/>
                <w:sz w:val="18"/>
                <w:szCs w:val="18"/>
              </w:rPr>
              <w:t>万港元</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3" w:hRule="exact"/>
        </w:trPr>
        <w:tc>
          <w:tcPr>
            <w:tcW w:w="5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 Transon Energy</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Kapitalindo</w:t>
            </w:r>
            <w:r>
              <w:rPr>
                <w:rFonts w:ascii="宋体" w:hAnsi="宋体" w:cs="宋体" w:eastAsia="宋体" w:hint="default"/>
                <w:sz w:val="18"/>
                <w:szCs w:val="18"/>
              </w:rPr>
              <w:t>（恒顺印尼安能有限公司）</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250</w:t>
            </w:r>
            <w:r>
              <w:rPr>
                <w:rFonts w:ascii="宋体" w:hAnsi="宋体" w:cs="宋体" w:eastAsia="宋体" w:hint="default"/>
                <w:sz w:val="18"/>
                <w:szCs w:val="18"/>
              </w:rPr>
              <w:t>万美元</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1" w:hRule="exact"/>
        </w:trPr>
        <w:tc>
          <w:tcPr>
            <w:tcW w:w="5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 Transon Bumindo</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Resources</w:t>
            </w:r>
            <w:r>
              <w:rPr>
                <w:rFonts w:ascii="宋体" w:hAnsi="宋体" w:cs="宋体" w:eastAsia="宋体" w:hint="default"/>
                <w:sz w:val="18"/>
                <w:szCs w:val="18"/>
              </w:rPr>
              <w:t>（恒顺印尼资源有限公司）</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亿美元</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3" w:hRule="exact"/>
        </w:trPr>
        <w:tc>
          <w:tcPr>
            <w:tcW w:w="5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PT.Transon Daya</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Indomining</w:t>
            </w:r>
            <w:r>
              <w:rPr>
                <w:rFonts w:ascii="宋体" w:hAnsi="宋体" w:cs="宋体" w:eastAsia="宋体" w:hint="default"/>
                <w:sz w:val="18"/>
                <w:szCs w:val="18"/>
              </w:rPr>
              <w:t>（恒顺印尼矿业服务有限公司）</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宋体" w:hAnsi="宋体" w:cs="宋体" w:eastAsia="宋体" w:hint="default"/>
                <w:sz w:val="18"/>
                <w:szCs w:val="18"/>
              </w:rPr>
              <w:t>万美元</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1" w:hRule="exact"/>
        </w:trPr>
        <w:tc>
          <w:tcPr>
            <w:tcW w:w="5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H&amp;Shun Coal Energy</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Pte.Ltd</w:t>
            </w:r>
            <w:r>
              <w:rPr>
                <w:rFonts w:ascii="宋体" w:hAnsi="宋体" w:cs="宋体" w:eastAsia="宋体" w:hint="default"/>
                <w:sz w:val="18"/>
                <w:szCs w:val="18"/>
              </w:rPr>
              <w:t>（恒顺新加坡煤炭能源有限公司）</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元新币</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4" w:hRule="exact"/>
        </w:trPr>
        <w:tc>
          <w:tcPr>
            <w:tcW w:w="5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H&amp;Shun Coal Resource</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Pte.Ltd</w:t>
            </w:r>
            <w:r>
              <w:rPr>
                <w:rFonts w:ascii="宋体" w:hAnsi="宋体" w:cs="宋体" w:eastAsia="宋体" w:hint="default"/>
                <w:sz w:val="18"/>
                <w:szCs w:val="18"/>
              </w:rPr>
              <w:t>（恒顺新加坡煤炭资源有限公司）</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元新币</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1" w:hRule="exact"/>
        </w:trPr>
        <w:tc>
          <w:tcPr>
            <w:tcW w:w="5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 Transon Mining</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Development</w:t>
            </w:r>
            <w:r>
              <w:rPr>
                <w:rFonts w:ascii="宋体" w:hAnsi="宋体" w:cs="宋体" w:eastAsia="宋体" w:hint="default"/>
                <w:sz w:val="18"/>
                <w:szCs w:val="18"/>
              </w:rPr>
              <w:t>（恒顺印尼安宁有限公司）</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宋体" w:hAnsi="宋体" w:cs="宋体" w:eastAsia="宋体" w:hint="default"/>
                <w:sz w:val="18"/>
                <w:szCs w:val="18"/>
              </w:rPr>
              <w:t>万美元</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3" w:hRule="exact"/>
        </w:trPr>
        <w:tc>
          <w:tcPr>
            <w:tcW w:w="5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 Transon Global</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Resources</w:t>
            </w:r>
            <w:r>
              <w:rPr>
                <w:rFonts w:ascii="宋体" w:hAnsi="宋体" w:cs="宋体" w:eastAsia="宋体" w:hint="default"/>
                <w:sz w:val="18"/>
                <w:szCs w:val="18"/>
              </w:rPr>
              <w:t>（恒顺印尼环宇资源有限公司）</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宋体" w:hAnsi="宋体" w:cs="宋体" w:eastAsia="宋体" w:hint="default"/>
                <w:sz w:val="18"/>
                <w:szCs w:val="18"/>
              </w:rPr>
              <w:t>万美元</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1" w:hRule="exact"/>
        </w:trPr>
        <w:tc>
          <w:tcPr>
            <w:tcW w:w="5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青岛恒顺众昇实业有限公司</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万人民币</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3" w:hRule="exact"/>
        </w:trPr>
        <w:tc>
          <w:tcPr>
            <w:tcW w:w="5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青岛恒顺众昇进出口有限公司</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万人民币</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1" w:hRule="exact"/>
        </w:trPr>
        <w:tc>
          <w:tcPr>
            <w:tcW w:w="5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青岛恒顺众昇矿产资源有限公司</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万人民币</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3" w:hRule="exact"/>
        </w:trPr>
        <w:tc>
          <w:tcPr>
            <w:tcW w:w="5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青岛恒顺众昇电气制造有限公司</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万人民币</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1" w:hRule="exact"/>
        </w:trPr>
        <w:tc>
          <w:tcPr>
            <w:tcW w:w="5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北京科程物联网技术有限公司</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万人民币</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51.00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51.00</w:t>
            </w:r>
          </w:p>
        </w:tc>
      </w:tr>
      <w:tr>
        <w:trPr>
          <w:trHeight w:val="343" w:hRule="exact"/>
        </w:trPr>
        <w:tc>
          <w:tcPr>
            <w:tcW w:w="5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Protea Holdings</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Pte.Ltd.</w:t>
            </w:r>
            <w:r>
              <w:rPr>
                <w:rFonts w:ascii="宋体" w:hAnsi="宋体" w:cs="宋体" w:eastAsia="宋体" w:hint="default"/>
                <w:sz w:val="18"/>
                <w:szCs w:val="18"/>
              </w:rPr>
              <w:t>（恒顺新加坡普帝控股有限公司）</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254,561</w:t>
            </w:r>
            <w:r>
              <w:rPr>
                <w:rFonts w:ascii="宋体" w:hAnsi="宋体" w:cs="宋体" w:eastAsia="宋体" w:hint="default"/>
                <w:sz w:val="18"/>
                <w:szCs w:val="18"/>
              </w:rPr>
              <w:t>元新币</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653" w:hRule="exact"/>
        </w:trPr>
        <w:tc>
          <w:tcPr>
            <w:tcW w:w="526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7"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Qingdao</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Hengshun</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Zhongsheng</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Group</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South</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Africa(PTY)</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（青岛恒 顺众昇集团南非有限公司）</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万美元</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3" w:hRule="exact"/>
        </w:trPr>
        <w:tc>
          <w:tcPr>
            <w:tcW w:w="5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Hengshun</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Zhongsheng</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Group</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Zimbabwe(Private)</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pacing w:val="-3"/>
                <w:sz w:val="18"/>
                <w:szCs w:val="18"/>
              </w:rPr>
              <w:t>Limited</w:t>
            </w:r>
            <w:r>
              <w:rPr>
                <w:rFonts w:ascii="宋体" w:hAnsi="宋体" w:cs="宋体" w:eastAsia="宋体" w:hint="default"/>
                <w:spacing w:val="-3"/>
                <w:sz w:val="18"/>
                <w:szCs w:val="18"/>
              </w:rPr>
              <w:t>（恒顺众昇集</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万美元</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5265"/>
        <w:gridCol w:w="1610"/>
        <w:gridCol w:w="1076"/>
        <w:gridCol w:w="962"/>
      </w:tblGrid>
      <w:tr>
        <w:trPr>
          <w:trHeight w:val="341" w:hRule="exact"/>
        </w:trPr>
        <w:tc>
          <w:tcPr>
            <w:tcW w:w="5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团津巴布韦有限公司）</w:t>
            </w:r>
          </w:p>
        </w:tc>
        <w:tc>
          <w:tcPr>
            <w:tcW w:w="1610"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5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新疆清源生物质能源有限公司</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宋体" w:hAnsi="宋体" w:cs="宋体" w:eastAsia="宋体" w:hint="default"/>
                <w:sz w:val="18"/>
                <w:szCs w:val="18"/>
              </w:rPr>
              <w:t>万人民币</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51.00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51.00</w:t>
            </w:r>
          </w:p>
        </w:tc>
      </w:tr>
      <w:tr>
        <w:trPr>
          <w:trHeight w:val="341" w:hRule="exact"/>
        </w:trPr>
        <w:tc>
          <w:tcPr>
            <w:tcW w:w="5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PT.Transon Ocean Industry Park</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恒顺印尼海源有限公司</w:t>
            </w:r>
            <w:r>
              <w:rPr>
                <w:rFonts w:ascii="Times New Roman" w:hAnsi="Times New Roman" w:cs="Times New Roman" w:eastAsia="Times New Roman" w:hint="default"/>
                <w:sz w:val="18"/>
                <w:szCs w:val="18"/>
              </w:rPr>
              <w:t>)</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宋体" w:hAnsi="宋体" w:cs="宋体" w:eastAsia="宋体" w:hint="default"/>
                <w:sz w:val="18"/>
                <w:szCs w:val="18"/>
              </w:rPr>
              <w:t>万美元</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3" w:hRule="exact"/>
        </w:trPr>
        <w:tc>
          <w:tcPr>
            <w:tcW w:w="5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Philippines Qian Jia Services</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Incorporated</w:t>
            </w:r>
            <w:r>
              <w:rPr>
                <w:rFonts w:ascii="宋体" w:hAnsi="宋体" w:cs="宋体" w:eastAsia="宋体" w:hint="default"/>
                <w:sz w:val="18"/>
                <w:szCs w:val="18"/>
              </w:rPr>
              <w:t>（菲律宾乾嘉服务公司）</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宋体" w:hAnsi="宋体" w:cs="宋体" w:eastAsia="宋体" w:hint="default"/>
                <w:sz w:val="18"/>
                <w:szCs w:val="18"/>
              </w:rPr>
              <w:t>万比索</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653" w:hRule="exact"/>
        </w:trPr>
        <w:tc>
          <w:tcPr>
            <w:tcW w:w="526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7" w:right="130"/>
              <w:jc w:val="left"/>
              <w:rPr>
                <w:rFonts w:ascii="宋体" w:hAnsi="宋体" w:cs="宋体" w:eastAsia="宋体" w:hint="default"/>
                <w:sz w:val="18"/>
                <w:szCs w:val="18"/>
              </w:rPr>
            </w:pPr>
            <w:r>
              <w:rPr>
                <w:rFonts w:ascii="Times New Roman" w:hAnsi="Times New Roman" w:cs="Times New Roman" w:eastAsia="Times New Roman" w:hint="default"/>
                <w:sz w:val="18"/>
                <w:szCs w:val="18"/>
              </w:rPr>
              <w:t>China Africa Cigarette Company (Private)</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（中非香烟有限公</w:t>
            </w:r>
            <w:r>
              <w:rPr>
                <w:rFonts w:ascii="宋体" w:hAnsi="宋体" w:cs="宋体" w:eastAsia="宋体" w:hint="default"/>
                <w:w w:val="99"/>
                <w:sz w:val="18"/>
                <w:szCs w:val="18"/>
              </w:rPr>
              <w:t> </w:t>
            </w:r>
            <w:r>
              <w:rPr>
                <w:rFonts w:ascii="宋体" w:hAnsi="宋体" w:cs="宋体" w:eastAsia="宋体" w:hint="default"/>
                <w:sz w:val="18"/>
                <w:szCs w:val="18"/>
              </w:rPr>
              <w:t>司）</w:t>
            </w:r>
          </w:p>
        </w:tc>
        <w:tc>
          <w:tcPr>
            <w:tcW w:w="1610"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655" w:hRule="exact"/>
        </w:trPr>
        <w:tc>
          <w:tcPr>
            <w:tcW w:w="526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H&amp;Shun</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International</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Holdings</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Hong</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Kong</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（恒顺（香港）国 际控股有限公司）</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万美元</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3" w:hRule="exact"/>
        </w:trPr>
        <w:tc>
          <w:tcPr>
            <w:tcW w:w="5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青岛恒顺众昇电力工程技术研究院</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万人民币</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2"/>
        <w:rPr>
          <w:rFonts w:ascii="宋体" w:hAnsi="宋体" w:cs="宋体" w:eastAsia="宋体" w:hint="default"/>
          <w:sz w:val="21"/>
          <w:szCs w:val="21"/>
        </w:rPr>
      </w:pPr>
    </w:p>
    <w:p>
      <w:pPr>
        <w:pStyle w:val="BodyText"/>
        <w:spacing w:line="240" w:lineRule="auto" w:before="44"/>
        <w:ind w:left="515" w:right="4991"/>
        <w:jc w:val="left"/>
      </w:pPr>
      <w:r>
        <w:rPr/>
        <w:t>（</w:t>
      </w:r>
      <w:r>
        <w:rPr>
          <w:rFonts w:ascii="Times New Roman" w:hAnsi="Times New Roman" w:cs="Times New Roman" w:eastAsia="Times New Roman" w:hint="default"/>
        </w:rPr>
        <w:t>2</w:t>
      </w:r>
      <w:r>
        <w:rPr/>
        <w:t>）非同一控制下企业合并取得的子公司</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5000"/>
        <w:gridCol w:w="2144"/>
        <w:gridCol w:w="812"/>
        <w:gridCol w:w="953"/>
      </w:tblGrid>
      <w:tr>
        <w:trPr>
          <w:trHeight w:val="694" w:hRule="exact"/>
        </w:trPr>
        <w:tc>
          <w:tcPr>
            <w:tcW w:w="5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86" w:right="80" w:firstLine="134"/>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 比例</w:t>
            </w:r>
            <w:r>
              <w:rPr>
                <w:rFonts w:ascii="Times New Roman" w:hAnsi="Times New Roman" w:cs="Times New Roman" w:eastAsia="Times New Roman" w:hint="default"/>
                <w:sz w:val="18"/>
                <w:szCs w:val="18"/>
              </w:rPr>
              <w:t>(%)</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155" w:right="151" w:firstLine="45"/>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 比例</w:t>
            </w:r>
            <w:r>
              <w:rPr>
                <w:rFonts w:ascii="Times New Roman" w:hAnsi="Times New Roman" w:cs="Times New Roman" w:eastAsia="Times New Roman" w:hint="default"/>
                <w:sz w:val="18"/>
                <w:szCs w:val="18"/>
              </w:rPr>
              <w:t>(%)</w:t>
            </w:r>
          </w:p>
        </w:tc>
      </w:tr>
      <w:tr>
        <w:trPr>
          <w:trHeight w:val="346" w:hRule="exact"/>
        </w:trPr>
        <w:tc>
          <w:tcPr>
            <w:tcW w:w="5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青岛恒川网络科技有限公司</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宋体" w:hAnsi="宋体" w:cs="宋体" w:eastAsia="宋体" w:hint="default"/>
                <w:sz w:val="18"/>
                <w:szCs w:val="18"/>
              </w:rPr>
              <w:t>万元人民币</w:t>
            </w:r>
          </w:p>
        </w:tc>
        <w:tc>
          <w:tcPr>
            <w:tcW w:w="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8" w:hRule="exact"/>
        </w:trPr>
        <w:tc>
          <w:tcPr>
            <w:tcW w:w="5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 W &amp; H Brothers</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Mining</w:t>
            </w:r>
            <w:r>
              <w:rPr>
                <w:rFonts w:ascii="宋体" w:hAnsi="宋体" w:cs="宋体" w:eastAsia="宋体" w:hint="default"/>
                <w:sz w:val="18"/>
                <w:szCs w:val="18"/>
              </w:rPr>
              <w:t>（恒顺印尼兄弟矿业有限公司）</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29,692,320</w:t>
            </w:r>
            <w:r>
              <w:rPr>
                <w:rFonts w:ascii="宋体" w:hAnsi="宋体" w:cs="宋体" w:eastAsia="宋体" w:hint="default"/>
                <w:sz w:val="18"/>
                <w:szCs w:val="18"/>
              </w:rPr>
              <w:t>美元</w:t>
            </w:r>
          </w:p>
        </w:tc>
        <w:tc>
          <w:tcPr>
            <w:tcW w:w="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8" w:hRule="exact"/>
        </w:trPr>
        <w:tc>
          <w:tcPr>
            <w:tcW w:w="5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 Kutal Nyala</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Resources</w:t>
            </w:r>
            <w:r>
              <w:rPr>
                <w:rFonts w:ascii="宋体" w:hAnsi="宋体" w:cs="宋体" w:eastAsia="宋体" w:hint="default"/>
                <w:sz w:val="18"/>
                <w:szCs w:val="18"/>
              </w:rPr>
              <w:t>（恒顺印尼东加码头有限公司）</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250</w:t>
            </w:r>
            <w:r>
              <w:rPr>
                <w:rFonts w:ascii="宋体" w:hAnsi="宋体" w:cs="宋体" w:eastAsia="宋体" w:hint="default"/>
                <w:sz w:val="18"/>
                <w:szCs w:val="18"/>
              </w:rPr>
              <w:t>万美元</w:t>
            </w:r>
          </w:p>
        </w:tc>
        <w:tc>
          <w:tcPr>
            <w:tcW w:w="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76.00</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76.00</w:t>
            </w:r>
          </w:p>
        </w:tc>
      </w:tr>
      <w:tr>
        <w:trPr>
          <w:trHeight w:val="346" w:hRule="exact"/>
        </w:trPr>
        <w:tc>
          <w:tcPr>
            <w:tcW w:w="5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 CIS</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Resources</w:t>
            </w:r>
            <w:r>
              <w:rPr>
                <w:rFonts w:ascii="宋体" w:hAnsi="宋体" w:cs="宋体" w:eastAsia="宋体" w:hint="default"/>
                <w:sz w:val="18"/>
                <w:szCs w:val="18"/>
              </w:rPr>
              <w:t>（恒顺印尼中加煤矿有限公司）</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500,000</w:t>
            </w:r>
            <w:r>
              <w:rPr>
                <w:rFonts w:ascii="宋体" w:hAnsi="宋体" w:cs="宋体" w:eastAsia="宋体" w:hint="default"/>
                <w:sz w:val="18"/>
                <w:szCs w:val="18"/>
              </w:rPr>
              <w:t>万印尼盾</w:t>
            </w:r>
          </w:p>
        </w:tc>
        <w:tc>
          <w:tcPr>
            <w:tcW w:w="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80.00</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80.00</w:t>
            </w:r>
          </w:p>
        </w:tc>
      </w:tr>
      <w:tr>
        <w:trPr>
          <w:trHeight w:val="348" w:hRule="exact"/>
        </w:trPr>
        <w:tc>
          <w:tcPr>
            <w:tcW w:w="5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PT.Madani</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Sejahtera</w:t>
            </w:r>
            <w:r>
              <w:rPr>
                <w:rFonts w:ascii="宋体" w:hAnsi="宋体" w:cs="宋体" w:eastAsia="宋体" w:hint="default"/>
                <w:sz w:val="18"/>
                <w:szCs w:val="18"/>
              </w:rPr>
              <w:t>（恒顺印尼苏岛镍矿有限公司）</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1,100,000</w:t>
            </w:r>
            <w:r>
              <w:rPr>
                <w:rFonts w:ascii="宋体" w:hAnsi="宋体" w:cs="宋体" w:eastAsia="宋体" w:hint="default"/>
                <w:sz w:val="18"/>
                <w:szCs w:val="18"/>
              </w:rPr>
              <w:t>万印尼盾</w:t>
            </w:r>
          </w:p>
        </w:tc>
        <w:tc>
          <w:tcPr>
            <w:tcW w:w="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95.00</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95.00</w:t>
            </w:r>
          </w:p>
        </w:tc>
      </w:tr>
      <w:tr>
        <w:trPr>
          <w:trHeight w:val="346" w:hRule="exact"/>
        </w:trPr>
        <w:tc>
          <w:tcPr>
            <w:tcW w:w="5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PT. Bumi Morowali</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Utama(</w:t>
            </w:r>
            <w:r>
              <w:rPr>
                <w:rFonts w:ascii="宋体" w:hAnsi="宋体" w:cs="宋体" w:eastAsia="宋体" w:hint="default"/>
                <w:sz w:val="18"/>
                <w:szCs w:val="18"/>
              </w:rPr>
              <w:t>恒顺印尼中苏镍矿有限公司</w:t>
            </w:r>
            <w:r>
              <w:rPr>
                <w:rFonts w:ascii="Times New Roman" w:hAnsi="Times New Roman" w:cs="Times New Roman" w:eastAsia="Times New Roman" w:hint="default"/>
                <w:sz w:val="18"/>
                <w:szCs w:val="18"/>
              </w:rPr>
              <w:t>)</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100,155,464,618</w:t>
            </w:r>
            <w:r>
              <w:rPr>
                <w:rFonts w:ascii="宋体" w:hAnsi="宋体" w:cs="宋体" w:eastAsia="宋体" w:hint="default"/>
                <w:sz w:val="18"/>
                <w:szCs w:val="18"/>
              </w:rPr>
              <w:t>印尼盾</w:t>
            </w:r>
          </w:p>
        </w:tc>
        <w:tc>
          <w:tcPr>
            <w:tcW w:w="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80.00</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80.00</w:t>
            </w:r>
          </w:p>
        </w:tc>
      </w:tr>
      <w:tr>
        <w:trPr>
          <w:trHeight w:val="348" w:hRule="exact"/>
        </w:trPr>
        <w:tc>
          <w:tcPr>
            <w:tcW w:w="5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Holywin Investment</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Pte.Ltd.</w:t>
            </w:r>
            <w:r>
              <w:rPr>
                <w:rFonts w:ascii="宋体" w:hAnsi="宋体" w:cs="宋体" w:eastAsia="宋体" w:hint="default"/>
                <w:sz w:val="18"/>
                <w:szCs w:val="18"/>
              </w:rPr>
              <w:t>（恒顺新加坡圣赢投资有限公司）</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981</w:t>
            </w:r>
            <w:r>
              <w:rPr>
                <w:rFonts w:ascii="宋体" w:hAnsi="宋体" w:cs="宋体" w:eastAsia="宋体" w:hint="default"/>
                <w:sz w:val="18"/>
                <w:szCs w:val="18"/>
              </w:rPr>
              <w:t>万美元</w:t>
            </w:r>
          </w:p>
        </w:tc>
        <w:tc>
          <w:tcPr>
            <w:tcW w:w="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1"/>
        <w:rPr>
          <w:rFonts w:ascii="宋体" w:hAnsi="宋体" w:cs="宋体" w:eastAsia="宋体" w:hint="default"/>
          <w:sz w:val="21"/>
          <w:szCs w:val="21"/>
        </w:rPr>
      </w:pPr>
    </w:p>
    <w:p>
      <w:pPr>
        <w:pStyle w:val="BodyText"/>
        <w:spacing w:line="300" w:lineRule="auto" w:before="44"/>
        <w:ind w:left="515" w:right="4991" w:hanging="75"/>
        <w:jc w:val="left"/>
      </w:pPr>
      <w:r>
        <w:rPr/>
        <w:t>（</w:t>
      </w:r>
      <w:r>
        <w:rPr>
          <w:rFonts w:ascii="Times New Roman" w:hAnsi="Times New Roman" w:cs="Times New Roman" w:eastAsia="Times New Roman" w:hint="default"/>
        </w:rPr>
        <w:t>3</w:t>
      </w:r>
      <w:r>
        <w:rPr/>
        <w:t>）报告期合并财务报表合并范围的变化 本报告期内新增子公司四家，自设立之日起纳入集团合并报表范围。</w:t>
      </w:r>
    </w:p>
    <w:p>
      <w:pPr>
        <w:spacing w:line="240" w:lineRule="auto" w:before="3"/>
        <w:rPr>
          <w:rFonts w:ascii="宋体" w:hAnsi="宋体" w:cs="宋体" w:eastAsia="宋体" w:hint="default"/>
          <w:sz w:val="26"/>
          <w:szCs w:val="26"/>
        </w:rPr>
      </w:pPr>
    </w:p>
    <w:p>
      <w:pPr>
        <w:pStyle w:val="BodyText"/>
        <w:spacing w:line="300" w:lineRule="auto"/>
        <w:ind w:left="515" w:right="0" w:hanging="75"/>
        <w:jc w:val="left"/>
      </w:pPr>
      <w:r>
        <w:rPr/>
        <w:t>（</w:t>
      </w:r>
      <w:r>
        <w:rPr>
          <w:rFonts w:ascii="Times New Roman" w:hAnsi="Times New Roman" w:cs="Times New Roman" w:eastAsia="Times New Roman" w:hint="default"/>
        </w:rPr>
        <w:t>4</w:t>
      </w:r>
      <w:r>
        <w:rPr/>
        <w:t>）报告期合并财务报表原则、范围 </w:t>
      </w:r>
      <w:r>
        <w:rPr>
          <w:spacing w:val="-2"/>
        </w:rPr>
        <w:t>本公司合并财务报表的合并范围以控制为基础予以确定。控制是指本公司拥有对被投资方的权力，通过参与被投资方的</w:t>
      </w:r>
    </w:p>
    <w:p>
      <w:pPr>
        <w:pStyle w:val="BodyText"/>
        <w:spacing w:line="316" w:lineRule="auto" w:before="31"/>
        <w:ind w:right="0"/>
        <w:jc w:val="left"/>
      </w:pPr>
      <w:r>
        <w:rPr>
          <w:spacing w:val="-4"/>
        </w:rPr>
        <w:t>相关活动而享有可变回报，并且有能力运用对被投资方的权力影响该回报金额。合并范围包括本公司及全部子公司。子公司，</w:t>
      </w:r>
      <w:r>
        <w:rPr>
          <w:spacing w:val="-44"/>
        </w:rPr>
        <w:t> </w:t>
      </w:r>
      <w:r>
        <w:rPr>
          <w:spacing w:val="-44"/>
        </w:rPr>
      </w:r>
      <w:r>
        <w:rPr/>
        <w:t>是指被本公司控制的主体。</w:t>
      </w:r>
    </w:p>
    <w:p>
      <w:pPr>
        <w:spacing w:line="240" w:lineRule="auto" w:before="4"/>
        <w:rPr>
          <w:rFonts w:ascii="宋体" w:hAnsi="宋体" w:cs="宋体" w:eastAsia="宋体" w:hint="default"/>
          <w:sz w:val="25"/>
          <w:szCs w:val="25"/>
        </w:rPr>
      </w:pPr>
    </w:p>
    <w:p>
      <w:pPr>
        <w:pStyle w:val="BodyText"/>
        <w:spacing w:line="240" w:lineRule="auto"/>
        <w:ind w:left="441" w:right="4991"/>
        <w:jc w:val="left"/>
      </w:pPr>
      <w:r>
        <w:rPr/>
        <w:pict>
          <v:shape style="position:absolute;margin-left:56.279999pt;margin-top:15.191676pt;width:539.8pt;height:103.15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7"/>
                    <w:gridCol w:w="5778"/>
                    <w:gridCol w:w="1275"/>
                    <w:gridCol w:w="1274"/>
                    <w:gridCol w:w="740"/>
                  </w:tblGrid>
                  <w:tr>
                    <w:trPr>
                      <w:trHeight w:val="349" w:hRule="exact"/>
                    </w:trPr>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成立日期</w:t>
                        </w:r>
                        <w:r>
                          <w:rPr>
                            <w:rFonts w:ascii="Times New Roman" w:hAnsi="Times New Roman" w:cs="Times New Roman" w:eastAsia="Times New Roman" w:hint="default"/>
                            <w:sz w:val="18"/>
                            <w:szCs w:val="18"/>
                          </w:rPr>
                          <w:t>/</w:t>
                        </w:r>
                        <w:r>
                          <w:rPr>
                            <w:rFonts w:ascii="宋体" w:hAnsi="宋体" w:cs="宋体" w:eastAsia="宋体" w:hint="default"/>
                            <w:sz w:val="18"/>
                            <w:szCs w:val="18"/>
                          </w:rPr>
                          <w:t>收购日期</w:t>
                        </w:r>
                      </w:p>
                    </w:tc>
                    <w:tc>
                      <w:tcPr>
                        <w:tcW w:w="5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7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62"/>
                          <w:jc w:val="right"/>
                          <w:rPr>
                            <w:rFonts w:ascii="宋体" w:hAnsi="宋体" w:cs="宋体" w:eastAsia="宋体" w:hint="default"/>
                            <w:sz w:val="18"/>
                            <w:szCs w:val="18"/>
                          </w:rPr>
                        </w:pPr>
                        <w:r>
                          <w:rPr>
                            <w:rFonts w:ascii="宋体" w:hAnsi="宋体" w:cs="宋体" w:eastAsia="宋体" w:hint="default"/>
                            <w:sz w:val="18"/>
                            <w:szCs w:val="18"/>
                          </w:rPr>
                          <w:t>备注</w:t>
                        </w:r>
                      </w:p>
                    </w:tc>
                  </w:tr>
                  <w:tr>
                    <w:trPr>
                      <w:trHeight w:val="346" w:hRule="exact"/>
                    </w:trPr>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2017-04-19</w:t>
                        </w:r>
                      </w:p>
                    </w:tc>
                    <w:tc>
                      <w:tcPr>
                        <w:tcW w:w="5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Philippines Qian Jia Services</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Incorporated</w:t>
                        </w:r>
                        <w:r>
                          <w:rPr>
                            <w:rFonts w:ascii="宋体" w:hAnsi="宋体" w:cs="宋体" w:eastAsia="宋体" w:hint="default"/>
                            <w:sz w:val="18"/>
                            <w:szCs w:val="18"/>
                          </w:rPr>
                          <w:t>（菲律宾乾嘉服务公司）</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宋体" w:hAnsi="宋体" w:cs="宋体" w:eastAsia="宋体" w:hint="default"/>
                            <w:sz w:val="18"/>
                            <w:szCs w:val="18"/>
                          </w:rPr>
                          <w:t>万比索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c>
                      <w:tcPr>
                        <w:tcW w:w="7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48" w:hRule="exact"/>
                    </w:trPr>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2017-10-25</w:t>
                        </w:r>
                      </w:p>
                    </w:tc>
                    <w:tc>
                      <w:tcPr>
                        <w:tcW w:w="5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青岛恒顺众昇电力工程技术研究院</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万人民币</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w:t>
                        </w:r>
                      </w:p>
                    </w:tc>
                    <w:tc>
                      <w:tcPr>
                        <w:tcW w:w="7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658" w:hRule="exact"/>
                    </w:trPr>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2017-11-03</w:t>
                        </w:r>
                      </w:p>
                    </w:tc>
                    <w:tc>
                      <w:tcPr>
                        <w:tcW w:w="577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H&amp;Shun International Holdings Hong Kong Limited</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（恒顺（香港）国际控 股有限公司）</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万美元</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c>
                      <w:tcPr>
                        <w:tcW w:w="7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48" w:hRule="exact"/>
                    </w:trPr>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2017-12-06</w:t>
                        </w:r>
                      </w:p>
                    </w:tc>
                    <w:tc>
                      <w:tcPr>
                        <w:tcW w:w="5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China Africa Cigarette Company (Private)</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（中非香烟有限公司）</w:t>
                        </w:r>
                      </w:p>
                    </w:tc>
                    <w:tc>
                      <w:tcPr>
                        <w:tcW w:w="127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w:t>
                        </w:r>
                      </w:p>
                    </w:tc>
                    <w:tc>
                      <w:tcPr>
                        <w:tcW w:w="7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8"/>
                          <w:jc w:val="right"/>
                          <w:rPr>
                            <w:rFonts w:ascii="宋体" w:hAnsi="宋体" w:cs="宋体" w:eastAsia="宋体" w:hint="default"/>
                            <w:sz w:val="18"/>
                            <w:szCs w:val="18"/>
                          </w:rPr>
                        </w:pPr>
                        <w:r>
                          <w:rPr>
                            <w:rFonts w:ascii="宋体" w:hAnsi="宋体" w:cs="宋体" w:eastAsia="宋体" w:hint="default"/>
                            <w:sz w:val="18"/>
                            <w:szCs w:val="18"/>
                          </w:rPr>
                          <w:t>投资设立</w:t>
                        </w:r>
                      </w:p>
                    </w:tc>
                  </w:tr>
                </w:tbl>
                <w:p>
                  <w:pPr/>
                </w:p>
              </w:txbxContent>
            </v:textbox>
            <w10:wrap type="none"/>
          </v:shape>
        </w:pict>
      </w:r>
      <w:r>
        <w:rPr/>
        <w:t>（</w:t>
      </w:r>
      <w:r>
        <w:rPr>
          <w:rFonts w:ascii="Times New Roman" w:hAnsi="Times New Roman" w:cs="Times New Roman" w:eastAsia="Times New Roman" w:hint="default"/>
        </w:rPr>
        <w:t>5</w:t>
      </w:r>
      <w:r>
        <w:rPr/>
        <w:t>）合并范围发生变更的其他说明：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240" w:lineRule="auto" w:before="44"/>
        <w:ind w:left="441" w:right="4991"/>
        <w:jc w:val="left"/>
      </w:pPr>
      <w:r>
        <w:rPr/>
        <w:t>（</w:t>
      </w:r>
      <w:r>
        <w:rPr>
          <w:rFonts w:ascii="Times New Roman" w:hAnsi="Times New Roman" w:cs="Times New Roman" w:eastAsia="Times New Roman" w:hint="default"/>
        </w:rPr>
        <w:t>6</w:t>
      </w:r>
      <w:r>
        <w:rPr/>
        <w:t>）本期新纳入合并范围的子公司：</w:t>
      </w:r>
    </w:p>
    <w:p>
      <w:pPr>
        <w:spacing w:line="240" w:lineRule="auto" w:before="2"/>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6337"/>
        <w:gridCol w:w="1296"/>
        <w:gridCol w:w="1275"/>
      </w:tblGrid>
      <w:tr>
        <w:trPr>
          <w:trHeight w:val="343" w:hRule="exact"/>
        </w:trPr>
        <w:tc>
          <w:tcPr>
            <w:tcW w:w="6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82"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341" w:hRule="exact"/>
        </w:trPr>
        <w:tc>
          <w:tcPr>
            <w:tcW w:w="6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Philippines Qian Jia Services</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Incorporated</w:t>
            </w:r>
            <w:r>
              <w:rPr>
                <w:rFonts w:ascii="宋体" w:hAnsi="宋体" w:cs="宋体" w:eastAsia="宋体" w:hint="default"/>
                <w:sz w:val="18"/>
                <w:szCs w:val="18"/>
              </w:rPr>
              <w:t>（菲律宾乾嘉服务公司）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1,225,152.55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-95,720.63</w:t>
            </w:r>
          </w:p>
        </w:tc>
      </w:tr>
      <w:tr>
        <w:trPr>
          <w:trHeight w:val="343" w:hRule="exact"/>
        </w:trPr>
        <w:tc>
          <w:tcPr>
            <w:tcW w:w="6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青岛恒顺众昇电力工程技术研究院</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99,411.25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-588.75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337"/>
        <w:gridCol w:w="1296"/>
        <w:gridCol w:w="1275"/>
      </w:tblGrid>
      <w:tr>
        <w:trPr>
          <w:trHeight w:val="653" w:hRule="exact"/>
        </w:trPr>
        <w:tc>
          <w:tcPr>
            <w:tcW w:w="63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8"/>
              <w:ind w:left="7"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H&amp;Shun International Holdings Hong Kong Limited</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（恒顺（香港）国际控股有限 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33,421.72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-32,973.90</w:t>
            </w:r>
          </w:p>
        </w:tc>
      </w:tr>
      <w:tr>
        <w:trPr>
          <w:trHeight w:val="343" w:hRule="exact"/>
        </w:trPr>
        <w:tc>
          <w:tcPr>
            <w:tcW w:w="6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China Africa Cigarette Company (Private)</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（中非香烟有限公司）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-2,156.29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-2,229.05</w:t>
            </w:r>
          </w:p>
        </w:tc>
      </w:tr>
    </w:tbl>
    <w:p>
      <w:pPr>
        <w:spacing w:line="240" w:lineRule="auto" w:before="1"/>
        <w:rPr>
          <w:rFonts w:ascii="宋体" w:hAnsi="宋体" w:cs="宋体" w:eastAsia="宋体" w:hint="default"/>
          <w:sz w:val="18"/>
          <w:szCs w:val="18"/>
        </w:rPr>
      </w:pPr>
    </w:p>
    <w:p>
      <w:pPr>
        <w:pStyle w:val="Heading2"/>
        <w:spacing w:line="240" w:lineRule="auto" w:before="26"/>
        <w:ind w:right="6754"/>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6754"/>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91" w:firstLine="362"/>
        <w:jc w:val="both"/>
      </w:pPr>
      <w:r>
        <w:rPr/>
        <w:t>公司财务报表以持续经营为基础，根据实际发生的交易和事项，按照财政部颁布的《企业会计准则</w:t>
      </w:r>
      <w:r>
        <w:rPr>
          <w:rFonts w:ascii="Times New Roman" w:hAnsi="Times New Roman" w:cs="Times New Roman" w:eastAsia="Times New Roman" w:hint="default"/>
        </w:rPr>
        <w:t>-</w:t>
      </w:r>
      <w:r>
        <w:rPr/>
        <w:t>基本准则》、具体 </w:t>
      </w:r>
      <w:r>
        <w:rPr>
          <w:spacing w:val="-2"/>
        </w:rPr>
        <w:t>会计准则和其后颁布的企业会计准则应用指南、企业会计准则解释及其他相关规定（以下简称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w:t>
      </w:r>
      <w:r>
        <w:rPr>
          <w:spacing w:val="-45"/>
        </w:rPr>
        <w:t> </w:t>
      </w:r>
      <w:r>
        <w:rPr>
          <w:spacing w:val="-45"/>
        </w:rPr>
      </w:r>
      <w:r>
        <w:rPr>
          <w:spacing w:val="-1"/>
        </w:rPr>
        <w:t>券监督管理委员会《公开发行证券的公司信息披露编报规则第</w:t>
      </w:r>
      <w:r>
        <w:rPr>
          <w:rFonts w:ascii="Times New Roman" w:hAnsi="Times New Roman" w:cs="Times New Roman" w:eastAsia="Times New Roman" w:hint="default"/>
          <w:spacing w:val="-1"/>
        </w:rPr>
        <w:t>15</w:t>
      </w:r>
      <w:r>
        <w:rPr>
          <w:spacing w:val="-1"/>
        </w:rPr>
        <w:t>号</w:t>
      </w:r>
      <w:r>
        <w:rPr>
          <w:rFonts w:ascii="Times New Roman" w:hAnsi="Times New Roman" w:cs="Times New Roman" w:eastAsia="Times New Roman" w:hint="default"/>
          <w:spacing w:val="-1"/>
        </w:rPr>
        <w:t>——</w:t>
      </w:r>
      <w:r>
        <w:rPr>
          <w:spacing w:val="-1"/>
        </w:rPr>
        <w:t>财务报告的一般规定》</w:t>
      </w:r>
      <w:r>
        <w:rPr>
          <w:rFonts w:ascii="Times New Roman" w:hAnsi="Times New Roman" w:cs="Times New Roman" w:eastAsia="Times New Roman" w:hint="default"/>
          <w:spacing w:val="-1"/>
        </w:rPr>
        <w:t>(2014</w:t>
      </w:r>
      <w:r>
        <w:rPr>
          <w:spacing w:val="-1"/>
        </w:rPr>
        <w:t>年修订</w:t>
      </w:r>
      <w:r>
        <w:rPr>
          <w:rFonts w:ascii="Times New Roman" w:hAnsi="Times New Roman" w:cs="Times New Roman" w:eastAsia="Times New Roman" w:hint="default"/>
          <w:spacing w:val="-1"/>
        </w:rPr>
        <w:t>)</w:t>
      </w:r>
      <w:r>
        <w:rPr>
          <w:spacing w:val="-1"/>
        </w:rPr>
        <w:t>的披露规定，并</w:t>
      </w:r>
      <w:r>
        <w:rPr>
          <w:spacing w:val="-56"/>
        </w:rPr>
        <w:t> </w:t>
      </w:r>
      <w:r>
        <w:rPr>
          <w:spacing w:val="-56"/>
        </w:rPr>
      </w:r>
      <w:r>
        <w:rPr/>
        <w:t>基于以下所述重要会计政策、会计估计进行编制。</w:t>
      </w:r>
    </w:p>
    <w:p>
      <w:pPr>
        <w:spacing w:line="240" w:lineRule="auto" w:before="10"/>
        <w:rPr>
          <w:rFonts w:ascii="宋体" w:hAnsi="宋体" w:cs="宋体" w:eastAsia="宋体" w:hint="default"/>
          <w:sz w:val="23"/>
          <w:szCs w:val="23"/>
        </w:rPr>
      </w:pPr>
    </w:p>
    <w:p>
      <w:pPr>
        <w:pStyle w:val="Heading3"/>
        <w:spacing w:line="240" w:lineRule="auto"/>
        <w:ind w:right="6754"/>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2" w:firstLine="362"/>
        <w:jc w:val="both"/>
      </w:pPr>
      <w:r>
        <w:rPr>
          <w:spacing w:val="-2"/>
        </w:rPr>
        <w:t>报告期内及报告期末起至少十二个月，公司生产经营稳定，资产负债结构合理，具备持续经营能力，不存在影响持续经</w:t>
      </w:r>
      <w:r>
        <w:rPr/>
        <w:t> 营能力的重大不利风险。</w:t>
      </w:r>
    </w:p>
    <w:p>
      <w:pPr>
        <w:spacing w:line="240" w:lineRule="auto" w:before="11"/>
        <w:rPr>
          <w:rFonts w:ascii="宋体" w:hAnsi="宋体" w:cs="宋体" w:eastAsia="宋体" w:hint="default"/>
          <w:sz w:val="20"/>
          <w:szCs w:val="20"/>
        </w:rPr>
      </w:pPr>
    </w:p>
    <w:p>
      <w:pPr>
        <w:pStyle w:val="Heading2"/>
        <w:spacing w:line="240" w:lineRule="auto"/>
        <w:ind w:right="93"/>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是</w:t>
      </w:r>
    </w:p>
    <w:p>
      <w:pPr>
        <w:pStyle w:val="BodyText"/>
        <w:spacing w:line="357" w:lineRule="auto" w:before="27"/>
        <w:ind w:right="6754"/>
        <w:jc w:val="left"/>
      </w:pPr>
      <w:r>
        <w:rPr/>
        <w:t>光伏产业链相关业 具体会计政策和会计估计提示：</w:t>
      </w:r>
    </w:p>
    <w:p>
      <w:pPr>
        <w:spacing w:line="240" w:lineRule="auto" w:before="6"/>
        <w:rPr>
          <w:rFonts w:ascii="宋体" w:hAnsi="宋体" w:cs="宋体" w:eastAsia="宋体" w:hint="default"/>
          <w:sz w:val="20"/>
          <w:szCs w:val="20"/>
        </w:rPr>
      </w:pPr>
    </w:p>
    <w:p>
      <w:pPr>
        <w:pStyle w:val="Heading3"/>
        <w:spacing w:line="240" w:lineRule="auto"/>
        <w:ind w:right="6754"/>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87" w:firstLine="362"/>
        <w:jc w:val="both"/>
      </w:pPr>
      <w:r>
        <w:rPr/>
        <w:t>本公司编制的财务报表符合《企业会计准则》的要求，真实、完整地反映了本公司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日的财务状况及</w:t>
      </w:r>
      <w:r>
        <w:rPr>
          <w:rFonts w:ascii="Times New Roman" w:hAnsi="Times New Roman" w:cs="Times New Roman" w:eastAsia="Times New Roman" w:hint="default"/>
        </w:rPr>
        <w:t>2017 </w:t>
      </w:r>
      <w:r>
        <w:rPr/>
        <w:t>年度的经营成果和现金流量等有关信息。此外，本公司的财务报表在所有重大方面符合中国证券监督管理委员会</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39"/>
        </w:rPr>
        <w:t> </w:t>
      </w:r>
      <w:r>
        <w:rPr>
          <w:spacing w:val="-2"/>
        </w:rPr>
        <w:t>月</w:t>
      </w:r>
      <w:r>
        <w:rPr>
          <w:rFonts w:ascii="Times New Roman" w:hAnsi="Times New Roman" w:cs="Times New Roman" w:eastAsia="Times New Roman" w:hint="default"/>
          <w:spacing w:val="-2"/>
        </w:rPr>
        <w:t>25</w:t>
      </w:r>
      <w:r>
        <w:rPr>
          <w:spacing w:val="-2"/>
        </w:rPr>
        <w:t>日发布修订的《公开发行证券的公司信息披露编报规则第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财务报告的一般规定（</w:t>
      </w:r>
      <w:r>
        <w:rPr>
          <w:rFonts w:ascii="Times New Roman" w:hAnsi="Times New Roman" w:cs="Times New Roman" w:eastAsia="Times New Roman" w:hint="default"/>
          <w:spacing w:val="-2"/>
        </w:rPr>
        <w:t>2014</w:t>
      </w:r>
      <w:r>
        <w:rPr>
          <w:spacing w:val="-2"/>
        </w:rPr>
        <w:t>年修订）》有关财务报表</w:t>
      </w:r>
      <w:r>
        <w:rPr>
          <w:spacing w:val="-61"/>
        </w:rPr>
        <w:t> </w:t>
      </w:r>
      <w:r>
        <w:rPr>
          <w:spacing w:val="-61"/>
        </w:rPr>
      </w:r>
      <w:r>
        <w:rPr/>
        <w:t>及其附注的披露要求。</w:t>
      </w:r>
    </w:p>
    <w:p>
      <w:pPr>
        <w:spacing w:line="240" w:lineRule="auto" w:before="10"/>
        <w:rPr>
          <w:rFonts w:ascii="宋体" w:hAnsi="宋体" w:cs="宋体" w:eastAsia="宋体" w:hint="default"/>
          <w:sz w:val="23"/>
          <w:szCs w:val="23"/>
        </w:rPr>
      </w:pPr>
    </w:p>
    <w:p>
      <w:pPr>
        <w:pStyle w:val="Heading3"/>
        <w:spacing w:line="240" w:lineRule="auto"/>
        <w:ind w:right="6754"/>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8" w:firstLine="362"/>
        <w:jc w:val="both"/>
      </w:pPr>
      <w:r>
        <w:rPr/>
        <w:t>本公司的会计期间分为年度和中期，会计中期指短于一个完整的会计年度的报告期间。本公司会计年度采用公历年度， 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4"/>
        <w:rPr>
          <w:rFonts w:ascii="宋体" w:hAnsi="宋体" w:cs="宋体" w:eastAsia="宋体" w:hint="default"/>
          <w:sz w:val="21"/>
          <w:szCs w:val="21"/>
        </w:rPr>
      </w:pPr>
    </w:p>
    <w:p>
      <w:pPr>
        <w:pStyle w:val="Heading3"/>
        <w:spacing w:line="240" w:lineRule="auto"/>
        <w:ind w:right="6754"/>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5" w:right="93"/>
        <w:jc w:val="left"/>
      </w:pPr>
      <w:r>
        <w:rPr/>
        <w:t>公司以一年（</w:t>
      </w:r>
      <w:r>
        <w:rPr>
          <w:rFonts w:ascii="Times New Roman" w:hAnsi="Times New Roman" w:cs="Times New Roman" w:eastAsia="Times New Roman" w:hint="default"/>
        </w:rPr>
        <w:t>12</w:t>
      </w:r>
      <w:r>
        <w:rPr/>
        <w:t>个月）作为正常营业周期，并以其作为资产和负债的流动性划分标准。</w:t>
      </w:r>
    </w:p>
    <w:p>
      <w:pPr>
        <w:spacing w:line="240" w:lineRule="auto" w:before="2"/>
        <w:rPr>
          <w:rFonts w:ascii="宋体" w:hAnsi="宋体" w:cs="宋体" w:eastAsia="宋体" w:hint="default"/>
          <w:sz w:val="26"/>
          <w:szCs w:val="26"/>
        </w:rPr>
      </w:pPr>
    </w:p>
    <w:p>
      <w:pPr>
        <w:pStyle w:val="Heading3"/>
        <w:spacing w:line="240" w:lineRule="auto"/>
        <w:ind w:right="6754"/>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5" w:right="0"/>
        <w:jc w:val="left"/>
      </w:pPr>
      <w:r>
        <w:rPr/>
        <w:t>本公司及境内子公司的记账本位币为人民币，本公司位于香港、新加坡、印尼、南非、津巴布韦、菲律宾的子公司分别</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93"/>
        <w:jc w:val="left"/>
      </w:pPr>
      <w:r>
        <w:rPr/>
        <w:t>采用港币、新币、印尼盾、兰特、美元、比索作为记账本位币。本集团合并财务报表以人民币列示。</w:t>
      </w:r>
    </w:p>
    <w:p>
      <w:pPr>
        <w:spacing w:line="240" w:lineRule="auto" w:before="0"/>
        <w:rPr>
          <w:rFonts w:ascii="宋体" w:hAnsi="宋体" w:cs="宋体" w:eastAsia="宋体" w:hint="default"/>
          <w:sz w:val="18"/>
          <w:szCs w:val="18"/>
        </w:rPr>
      </w:pPr>
    </w:p>
    <w:p>
      <w:pPr>
        <w:pStyle w:val="Heading3"/>
        <w:spacing w:line="240" w:lineRule="auto" w:before="120"/>
        <w:ind w:right="93"/>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3" w:firstLine="362"/>
        <w:jc w:val="left"/>
      </w:pPr>
      <w:r>
        <w:rPr>
          <w:spacing w:val="-2"/>
        </w:rPr>
        <w:t>企业合并，是指将两个或两个以上单独的企业合并形成一个报告主体的交易或事项。企业合并分为同一控制下企业合并</w:t>
      </w:r>
      <w:r>
        <w:rPr/>
        <w:t> 和非同一控制下企业合并。</w:t>
      </w:r>
    </w:p>
    <w:p>
      <w:pPr>
        <w:pStyle w:val="Heading3"/>
        <w:spacing w:line="289" w:lineRule="exact"/>
        <w:ind w:left="575" w:right="6754"/>
        <w:jc w:val="left"/>
        <w:rPr>
          <w:b w:val="0"/>
          <w:bCs w:val="0"/>
        </w:rPr>
      </w:pPr>
      <w:r>
        <w:rPr/>
        <w:t>（</w:t>
      </w:r>
      <w:r>
        <w:rPr>
          <w:rFonts w:ascii="Times New Roman" w:hAnsi="Times New Roman" w:cs="Times New Roman" w:eastAsia="Times New Roman" w:hint="default"/>
        </w:rPr>
        <w:t>1</w:t>
      </w:r>
      <w:r>
        <w:rPr/>
        <w:t>）同一控制下企业合并</w:t>
      </w:r>
      <w:r>
        <w:rPr>
          <w:b w:val="0"/>
          <w:bCs w:val="0"/>
        </w:rPr>
      </w:r>
    </w:p>
    <w:p>
      <w:pPr>
        <w:pStyle w:val="BodyText"/>
        <w:spacing w:line="309" w:lineRule="auto" w:before="42"/>
        <w:ind w:right="190" w:firstLine="362"/>
        <w:jc w:val="both"/>
      </w:pPr>
      <w:r>
        <w:rPr>
          <w:spacing w:val="-2"/>
        </w:rPr>
        <w:t>参与合并的企业在合并前后均受同一方或相同的多方最终控制且该控制并非暂时性的，为同一控制下的企业合并。本公</w:t>
      </w:r>
      <w:r>
        <w:rPr/>
        <w:t> </w:t>
      </w:r>
      <w:r>
        <w:rPr>
          <w:spacing w:val="-2"/>
        </w:rPr>
        <w:t>司在企业合并同时满足下列条件时，界定为同一控制下的企业合并：合并各方在合并前后同受集团公司或相同的多方最终控</w:t>
      </w:r>
      <w:r>
        <w:rPr>
          <w:spacing w:val="-64"/>
        </w:rPr>
        <w:t> </w:t>
      </w:r>
      <w:r>
        <w:rPr>
          <w:spacing w:val="-64"/>
        </w:rPr>
      </w:r>
      <w:r>
        <w:rPr>
          <w:spacing w:val="-2"/>
        </w:rPr>
        <w:t>制；合并前，参与合并各方受最终控制方控制时间一般在</w:t>
      </w:r>
      <w:r>
        <w:rPr>
          <w:rFonts w:ascii="Times New Roman" w:hAnsi="Times New Roman" w:cs="Times New Roman" w:eastAsia="Times New Roman" w:hint="default"/>
          <w:spacing w:val="-2"/>
        </w:rPr>
        <w:t>1</w:t>
      </w:r>
      <w:r>
        <w:rPr>
          <w:spacing w:val="-2"/>
        </w:rPr>
        <w:t>年以上（含</w:t>
      </w:r>
      <w:r>
        <w:rPr>
          <w:rFonts w:ascii="Times New Roman" w:hAnsi="Times New Roman" w:cs="Times New Roman" w:eastAsia="Times New Roman" w:hint="default"/>
          <w:spacing w:val="-2"/>
        </w:rPr>
        <w:t>1</w:t>
      </w:r>
      <w:r>
        <w:rPr>
          <w:spacing w:val="-2"/>
        </w:rPr>
        <w:t>年），企业合并后所形成的报告主体受最终控制方控</w:t>
      </w:r>
      <w:r>
        <w:rPr>
          <w:spacing w:val="-63"/>
        </w:rPr>
        <w:t> </w:t>
      </w:r>
      <w:r>
        <w:rPr>
          <w:spacing w:val="-63"/>
        </w:rPr>
      </w:r>
      <w:r>
        <w:rPr>
          <w:spacing w:val="-2"/>
        </w:rPr>
        <w:t>制时间也达到</w:t>
      </w:r>
      <w:r>
        <w:rPr>
          <w:rFonts w:ascii="Times New Roman" w:hAnsi="Times New Roman" w:cs="Times New Roman" w:eastAsia="Times New Roman" w:hint="default"/>
          <w:spacing w:val="-2"/>
        </w:rPr>
        <w:t>1</w:t>
      </w:r>
      <w:r>
        <w:rPr>
          <w:spacing w:val="-2"/>
        </w:rPr>
        <w:t>年以上（含</w:t>
      </w:r>
      <w:r>
        <w:rPr>
          <w:rFonts w:ascii="Times New Roman" w:hAnsi="Times New Roman" w:cs="Times New Roman" w:eastAsia="Times New Roman" w:hint="default"/>
          <w:spacing w:val="-2"/>
        </w:rPr>
        <w:t>1</w:t>
      </w:r>
      <w:r>
        <w:rPr>
          <w:spacing w:val="-2"/>
        </w:rPr>
        <w:t>年）。在合并日取得对其他参与合并企业控制权的一方为合并方，参与合并的其他企业为被合并</w:t>
      </w:r>
      <w:r>
        <w:rPr>
          <w:spacing w:val="-62"/>
        </w:rPr>
        <w:t> </w:t>
      </w:r>
      <w:r>
        <w:rPr>
          <w:spacing w:val="-62"/>
        </w:rPr>
      </w:r>
      <w:r>
        <w:rPr/>
        <w:t>方。合并日为合并方实际取得对被合并方控制权的日期。</w:t>
      </w:r>
    </w:p>
    <w:p>
      <w:pPr>
        <w:pStyle w:val="BodyText"/>
        <w:spacing w:line="316" w:lineRule="auto" w:before="24"/>
        <w:ind w:right="191" w:firstLine="362"/>
        <w:jc w:val="both"/>
      </w:pPr>
      <w:r>
        <w:rPr>
          <w:spacing w:val="-2"/>
        </w:rPr>
        <w:t>合并成本按在合并日为取得对被合并方的控制权而付出的资产、发生或承担的负债以及发行的权益性证券的账面价值确</w:t>
      </w:r>
      <w:r>
        <w:rPr/>
        <w:t> </w:t>
      </w:r>
      <w:r>
        <w:rPr>
          <w:spacing w:val="-2"/>
        </w:rPr>
        <w:t>定。对于吸收合并，公司在企业合并中取得的资产和负债，按照合并日在被合并方的账面价值计量，取得的净资产账面价值</w:t>
      </w:r>
      <w:r>
        <w:rPr>
          <w:spacing w:val="-64"/>
        </w:rPr>
        <w:t> </w:t>
      </w:r>
      <w:r>
        <w:rPr>
          <w:spacing w:val="-64"/>
        </w:rPr>
      </w:r>
      <w:r>
        <w:rPr>
          <w:spacing w:val="-2"/>
        </w:rPr>
        <w:t>与支付的合并对价账面价值（或发行股份面值总额）的差额，调整资本公积；资本公积不足冲减的，调整留存收益。对于控</w:t>
      </w:r>
      <w:r>
        <w:rPr>
          <w:spacing w:val="-66"/>
        </w:rPr>
        <w:t> </w:t>
      </w:r>
      <w:r>
        <w:rPr>
          <w:spacing w:val="-66"/>
        </w:rPr>
      </w:r>
      <w:r>
        <w:rPr/>
        <w:t>股合并，合并资产负债表中被合并方的各项资产、负债，按其账面价值计量。</w:t>
      </w:r>
    </w:p>
    <w:p>
      <w:pPr>
        <w:pStyle w:val="BodyText"/>
        <w:spacing w:line="316" w:lineRule="auto" w:before="19"/>
        <w:ind w:right="93" w:firstLine="362"/>
        <w:jc w:val="left"/>
      </w:pPr>
      <w:r>
        <w:rPr>
          <w:spacing w:val="-4"/>
        </w:rPr>
        <w:t>合并方为进行企业合并发生的各项直接相关费用，包括为进行企业合并而支付的审计费用、评估费用、法律服务费用等，</w:t>
      </w:r>
      <w:r>
        <w:rPr/>
        <w:t> </w:t>
      </w:r>
      <w:r>
        <w:rPr>
          <w:spacing w:val="-2"/>
        </w:rPr>
        <w:t>应当于发生时计入当期损益。为企业合并发行的债券或承担其他债务支付的手续费、佣金等，应当计入所发行债券及其他债</w:t>
      </w:r>
      <w:r>
        <w:rPr>
          <w:spacing w:val="-63"/>
        </w:rPr>
        <w:t> </w:t>
      </w:r>
      <w:r>
        <w:rPr>
          <w:spacing w:val="-63"/>
        </w:rPr>
      </w:r>
      <w:r>
        <w:rPr>
          <w:spacing w:val="-2"/>
        </w:rPr>
        <w:t>务的初始计量金额。企业合并中发行权益性证券发生的手续费、佣金等费用，应当抵减权益性证券溢价收入，溢价收入不足</w:t>
      </w:r>
      <w:r>
        <w:rPr>
          <w:spacing w:val="-64"/>
        </w:rPr>
        <w:t> </w:t>
      </w:r>
      <w:r>
        <w:rPr>
          <w:spacing w:val="-64"/>
        </w:rPr>
      </w:r>
      <w:r>
        <w:rPr/>
        <w:t>冲减的，冲减留存收益。</w:t>
      </w:r>
    </w:p>
    <w:p>
      <w:pPr>
        <w:pStyle w:val="Heading3"/>
        <w:spacing w:line="289" w:lineRule="exact"/>
        <w:ind w:left="575" w:right="93"/>
        <w:jc w:val="left"/>
        <w:rPr>
          <w:b w:val="0"/>
          <w:bCs w:val="0"/>
        </w:rPr>
      </w:pPr>
      <w:r>
        <w:rPr/>
        <w:t>（</w:t>
      </w:r>
      <w:r>
        <w:rPr>
          <w:rFonts w:ascii="Times New Roman" w:hAnsi="Times New Roman" w:cs="Times New Roman" w:eastAsia="Times New Roman" w:hint="default"/>
        </w:rPr>
        <w:t>2</w:t>
      </w:r>
      <w:r>
        <w:rPr/>
        <w:t>）非同一控制下企业合并</w:t>
      </w:r>
      <w:r>
        <w:rPr>
          <w:b w:val="0"/>
          <w:bCs w:val="0"/>
        </w:rPr>
      </w:r>
    </w:p>
    <w:p>
      <w:pPr>
        <w:pStyle w:val="BodyText"/>
        <w:spacing w:line="316" w:lineRule="auto" w:before="42"/>
        <w:ind w:right="93" w:firstLine="362"/>
        <w:jc w:val="left"/>
      </w:pPr>
      <w:r>
        <w:rPr>
          <w:spacing w:val="-2"/>
        </w:rPr>
        <w:t>参与合并的各方在合并前后不受同一方或相同的多方最终控制的，为非同一控制下的企业合并。非同一控制下的企业合</w:t>
      </w:r>
      <w:r>
        <w:rPr/>
        <w:t> 并，在购买日取得对其他参与合并企业控制权的一方为购买方，参与合并的其他企业为被购买方。</w:t>
      </w:r>
    </w:p>
    <w:p>
      <w:pPr>
        <w:pStyle w:val="BodyText"/>
        <w:spacing w:line="314" w:lineRule="auto" w:before="19"/>
        <w:ind w:right="94" w:firstLine="362"/>
        <w:jc w:val="left"/>
      </w:pPr>
      <w:r>
        <w:rPr>
          <w:spacing w:val="-2"/>
        </w:rPr>
        <w:t>购买日为购买方实际取得对被合并方控制权的日期。当满足以下条件时，本公司认为实行了控制权的转移，并确定为购</w:t>
      </w:r>
      <w:r>
        <w:rPr/>
        <w:t> 买日：企业合并合同或协议已获得股东大会等内部权利机构通过；按照规定，合并事项需要经过国家有关主管部门审批的， </w:t>
      </w:r>
      <w:r>
        <w:rPr>
          <w:spacing w:val="-8"/>
        </w:rPr>
        <w:t>已获得相关部门的批准；参与合并各方已办理了必要的财产权交接手续；购买方已支付了购买价款的大部分（一般超过</w:t>
      </w:r>
      <w:r>
        <w:rPr>
          <w:rFonts w:ascii="Times New Roman" w:hAnsi="Times New Roman" w:cs="Times New Roman" w:eastAsia="Times New Roman" w:hint="default"/>
          <w:spacing w:val="-8"/>
        </w:rPr>
        <w:t>50%</w:t>
      </w:r>
      <w:r>
        <w:rPr>
          <w:spacing w:val="-8"/>
        </w:rPr>
        <w:t>），</w:t>
      </w:r>
      <w:r>
        <w:rPr>
          <w:spacing w:val="-78"/>
        </w:rPr>
        <w:t> </w:t>
      </w:r>
      <w:r>
        <w:rPr>
          <w:spacing w:val="-2"/>
        </w:rPr>
        <w:t>并且有能力、有计划支付剩余款项；购买方实际上已经控制了被购买方的财务和经营政策，享有相应的收益并承担相应的风</w:t>
      </w:r>
      <w:r>
        <w:rPr>
          <w:spacing w:val="-62"/>
        </w:rPr>
        <w:t> </w:t>
      </w:r>
      <w:r>
        <w:rPr>
          <w:spacing w:val="-62"/>
        </w:rPr>
      </w:r>
      <w:r>
        <w:rPr/>
        <w:t>险。</w:t>
      </w:r>
    </w:p>
    <w:p>
      <w:pPr>
        <w:pStyle w:val="BodyText"/>
        <w:spacing w:line="316" w:lineRule="auto" w:before="20"/>
        <w:ind w:right="111" w:firstLine="362"/>
        <w:jc w:val="both"/>
      </w:pPr>
      <w:r>
        <w:rPr>
          <w:spacing w:val="-2"/>
        </w:rPr>
        <w:t>合并成本为购买日本公司为取得对被购买方的控制权而付出的资产、发生或承担的负债以及发行的权益性证券的公允价</w:t>
      </w:r>
      <w:r>
        <w:rPr/>
        <w:t> </w:t>
      </w:r>
      <w:r>
        <w:rPr>
          <w:spacing w:val="-2"/>
        </w:rPr>
        <w:t>值。通过多次交换交易分步实现的企业合并，合并成本为每一单项交易成本之和。在合并合同中对可能影响合并成本的未来</w:t>
      </w:r>
      <w:r>
        <w:rPr>
          <w:spacing w:val="-63"/>
        </w:rPr>
        <w:t> </w:t>
      </w:r>
      <w:r>
        <w:rPr>
          <w:spacing w:val="-63"/>
        </w:rPr>
      </w:r>
      <w:r>
        <w:rPr/>
        <w:t>事项作出约定的，购买日如果估计未来事项可能发生并且对合并成本的影响金额能够可靠计量的，本公司也计入合并成本。</w:t>
      </w:r>
    </w:p>
    <w:p>
      <w:pPr>
        <w:pStyle w:val="BodyText"/>
        <w:spacing w:line="319" w:lineRule="auto" w:before="19"/>
        <w:ind w:right="190" w:firstLine="362"/>
        <w:jc w:val="both"/>
      </w:pPr>
      <w:r>
        <w:rPr>
          <w:spacing w:val="-2"/>
        </w:rPr>
        <w:t>对于吸收合并，合并成本大于合并中取得的被购买方可辨认净资产公允价值份额的差额，确认为商誉；合并成本小于合</w:t>
      </w:r>
      <w:r>
        <w:rPr/>
        <w:t> </w:t>
      </w:r>
      <w:r>
        <w:rPr>
          <w:spacing w:val="-2"/>
        </w:rPr>
        <w:t>并中取得的被购买方可辨认净资产公允价值份额的差额，计入当期损益。对于控股合并，合并资产负债表中被购买方可辨认</w:t>
      </w:r>
      <w:r>
        <w:rPr>
          <w:spacing w:val="-65"/>
        </w:rPr>
        <w:t> </w:t>
      </w:r>
      <w:r>
        <w:rPr>
          <w:spacing w:val="-65"/>
        </w:rPr>
      </w:r>
      <w:r>
        <w:rPr>
          <w:spacing w:val="-2"/>
        </w:rPr>
        <w:t>资产、负债按照合并中确定的公允价值列示，合并成本大于合并中取得的各项可辨认资产、负债公允价值份额的差额，确认</w:t>
      </w:r>
      <w:r>
        <w:rPr>
          <w:spacing w:val="-64"/>
        </w:rPr>
        <w:t> </w:t>
      </w:r>
      <w:r>
        <w:rPr>
          <w:spacing w:val="-64"/>
        </w:rPr>
      </w:r>
      <w:r>
        <w:rPr>
          <w:spacing w:val="-2"/>
        </w:rPr>
        <w:t>为合并资产负债表中的商誉，企业合并成本小于合并中取得的各项可辨认资产、负债公允价值份额的差额，计入合并当期损</w:t>
      </w:r>
      <w:r>
        <w:rPr>
          <w:spacing w:val="-63"/>
        </w:rPr>
        <w:t> </w:t>
      </w:r>
      <w:r>
        <w:rPr>
          <w:spacing w:val="-63"/>
        </w:rPr>
      </w:r>
      <w:r>
        <w:rPr/>
        <w:t>益。</w:t>
      </w:r>
    </w:p>
    <w:p>
      <w:pPr>
        <w:pStyle w:val="BodyText"/>
        <w:spacing w:line="316" w:lineRule="auto" w:before="14"/>
        <w:ind w:right="92" w:firstLine="362"/>
        <w:jc w:val="left"/>
      </w:pPr>
      <w:r>
        <w:rPr/>
        <w:t>公司为进行企业合并发生的各项中介费用以及其他相关管理费用，包括为进行企业合并而支付的审计费用、评估费用、 </w:t>
      </w:r>
      <w:r>
        <w:rPr>
          <w:spacing w:val="-2"/>
        </w:rPr>
        <w:t>法律服务费用等，于发生时计入当期损益。为企业合并发行的债券或承担其他债务支付的手续费、佣金等，计入所发行债券</w:t>
      </w:r>
      <w:r>
        <w:rPr>
          <w:spacing w:val="-62"/>
        </w:rPr>
        <w:t> </w:t>
      </w:r>
      <w:r>
        <w:rPr>
          <w:spacing w:val="-62"/>
        </w:rPr>
      </w:r>
      <w:r>
        <w:rPr>
          <w:spacing w:val="-2"/>
        </w:rPr>
        <w:t>及其他债务的初始计量金额。企业合并中发行权益性证券发生的手续费、佣金等费用，抵减权益性证券溢价收入，溢价收入</w:t>
      </w:r>
      <w:r>
        <w:rPr>
          <w:spacing w:val="-64"/>
        </w:rPr>
        <w:t> </w:t>
      </w:r>
      <w:r>
        <w:rPr>
          <w:spacing w:val="-64"/>
        </w:rPr>
      </w:r>
      <w:r>
        <w:rPr/>
        <w:t>不足冲减的，冲减留存收益。</w:t>
      </w:r>
    </w:p>
    <w:p>
      <w:pPr>
        <w:spacing w:line="240" w:lineRule="auto" w:before="10"/>
        <w:rPr>
          <w:rFonts w:ascii="宋体" w:hAnsi="宋体" w:cs="宋体" w:eastAsia="宋体" w:hint="default"/>
          <w:sz w:val="22"/>
          <w:szCs w:val="22"/>
        </w:rPr>
      </w:pPr>
    </w:p>
    <w:p>
      <w:pPr>
        <w:pStyle w:val="Heading3"/>
        <w:spacing w:line="240" w:lineRule="auto"/>
        <w:ind w:right="6754"/>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93" w:firstLine="362"/>
        <w:jc w:val="left"/>
      </w:pPr>
      <w:r>
        <w:rPr>
          <w:rFonts w:ascii="Times New Roman" w:hAnsi="Times New Roman" w:cs="Times New Roman" w:eastAsia="Times New Roman" w:hint="default"/>
        </w:rPr>
        <w:t>(1)</w:t>
      </w:r>
      <w:r>
        <w:rPr/>
        <w:t>公司对合并财务报表的合并范围以控制为基础予以确定。控制是指本公司拥有对被投资方的权利，通过参与被投资</w:t>
      </w:r>
      <w:r>
        <w:rPr>
          <w:w w:val="99"/>
        </w:rPr>
        <w:t> </w:t>
      </w:r>
      <w:r>
        <w:rPr>
          <w:spacing w:val="-2"/>
        </w:rPr>
        <w:t>方的相关活动而享有可变回报，并且有能力运用对被投资方的权利影响该回报金额。合并范围包括本公司及全部子公司。子</w:t>
      </w:r>
    </w:p>
    <w:p>
      <w:pPr>
        <w:spacing w:after="0" w:line="300" w:lineRule="auto"/>
        <w:jc w:val="left"/>
        <w:sectPr>
          <w:footerReference w:type="default" r:id="rId18"/>
          <w:pgSz w:w="11910" w:h="16840"/>
          <w:pgMar w:footer="979" w:header="745" w:top="1060" w:bottom="1160" w:left="980" w:right="940"/>
          <w:pgNumType w:start="79"/>
        </w:sectPr>
      </w:pPr>
    </w:p>
    <w:p>
      <w:pPr>
        <w:spacing w:line="240" w:lineRule="auto" w:before="10"/>
        <w:rPr>
          <w:rFonts w:ascii="宋体" w:hAnsi="宋体" w:cs="宋体" w:eastAsia="宋体" w:hint="default"/>
          <w:sz w:val="25"/>
          <w:szCs w:val="25"/>
        </w:rPr>
      </w:pPr>
    </w:p>
    <w:p>
      <w:pPr>
        <w:pStyle w:val="BodyText"/>
        <w:spacing w:line="240" w:lineRule="auto" w:before="44"/>
        <w:ind w:right="6754"/>
        <w:jc w:val="left"/>
      </w:pPr>
      <w:r>
        <w:rPr/>
        <w:t>公司，是指被本公司控制的主体。</w:t>
      </w:r>
    </w:p>
    <w:p>
      <w:pPr>
        <w:pStyle w:val="BodyText"/>
        <w:spacing w:line="300" w:lineRule="auto" w:before="76"/>
        <w:ind w:right="190" w:firstLine="362"/>
        <w:jc w:val="both"/>
      </w:pPr>
      <w:r>
        <w:rPr>
          <w:rFonts w:ascii="Times New Roman" w:hAnsi="Times New Roman" w:cs="Times New Roman" w:eastAsia="Times New Roman" w:hint="default"/>
        </w:rPr>
        <w:t>(2)</w:t>
      </w:r>
      <w:r>
        <w:rPr/>
        <w:t>合并财务报表系以本公司和列入合并范围内的子公司的个别财务报表为基础，经按照权益法调整了对子公司的长期</w:t>
      </w:r>
      <w:r>
        <w:rPr>
          <w:w w:val="99"/>
        </w:rPr>
        <w:t> </w:t>
      </w:r>
      <w:r>
        <w:rPr/>
        <w:t>股权投资、且抵销了内部交易的影响后编制而成。少数股东所占的权益和损益，以单独项目列示于合并财务报表内。</w:t>
      </w:r>
    </w:p>
    <w:p>
      <w:pPr>
        <w:pStyle w:val="BodyText"/>
        <w:spacing w:line="300" w:lineRule="auto" w:before="31"/>
        <w:ind w:right="196" w:firstLine="362"/>
        <w:jc w:val="both"/>
      </w:pPr>
      <w:r>
        <w:rPr>
          <w:rFonts w:ascii="Times New Roman" w:hAnsi="Times New Roman" w:cs="Times New Roman" w:eastAsia="Times New Roman" w:hint="default"/>
        </w:rPr>
        <w:t>(3)</w:t>
      </w:r>
      <w:r>
        <w:rPr/>
        <w:t>对于因非同一控制企业合并形成的子公司，合并成本大于合并中取得的子公司可辨认净资产公允价值份额的差额，</w:t>
      </w:r>
      <w:r>
        <w:rPr>
          <w:w w:val="99"/>
        </w:rPr>
        <w:t> </w:t>
      </w:r>
      <w:r>
        <w:rPr/>
        <w:t>不调整投资成本，在合并财务报表中列作商誉。</w:t>
      </w:r>
    </w:p>
    <w:p>
      <w:pPr>
        <w:pStyle w:val="BodyText"/>
        <w:spacing w:line="314" w:lineRule="auto" w:before="31"/>
        <w:ind w:right="104" w:firstLine="362"/>
        <w:jc w:val="both"/>
      </w:pPr>
      <w:r>
        <w:rPr>
          <w:rFonts w:ascii="Times New Roman" w:hAnsi="Times New Roman" w:cs="Times New Roman" w:eastAsia="Times New Roman" w:hint="default"/>
        </w:rPr>
        <w:t>(4)</w:t>
      </w:r>
      <w:r>
        <w:rPr/>
        <w:t>对于报告期内增加的子公司，若属于同一控制下企业合并的，调整合并资产负债表的期初数，并将该子公司当期期</w:t>
      </w:r>
      <w:r>
        <w:rPr>
          <w:w w:val="99"/>
        </w:rPr>
        <w:t> </w:t>
      </w:r>
      <w:r>
        <w:rPr>
          <w:spacing w:val="-2"/>
        </w:rPr>
        <w:t>初至报告期末的收入、费用、利润纳入合并利润表，将同期的现金流量纳入合并现金流量表；若属于非同一控制下的企业合</w:t>
      </w:r>
      <w:r>
        <w:rPr>
          <w:spacing w:val="-65"/>
        </w:rPr>
        <w:t> </w:t>
      </w:r>
      <w:r>
        <w:rPr>
          <w:spacing w:val="-65"/>
        </w:rPr>
      </w:r>
      <w:r>
        <w:rPr>
          <w:spacing w:val="-2"/>
        </w:rPr>
        <w:t>并的，则不调整合并资产负债表的期初数，并将该子公司购买日至报告期末的收入、费用、利润纳入合并利润表，将同期的</w:t>
      </w:r>
      <w:r>
        <w:rPr>
          <w:spacing w:val="-68"/>
        </w:rPr>
        <w:t> </w:t>
      </w:r>
      <w:r>
        <w:rPr>
          <w:spacing w:val="-68"/>
        </w:rPr>
      </w:r>
      <w:r>
        <w:rPr>
          <w:spacing w:val="-2"/>
        </w:rPr>
        <w:t>现金流量纳入合并现金流量表。对于报告期内处置的子公司，不论属于同一控制抑或非同一控制企业合并，均不调整合并资</w:t>
      </w:r>
      <w:r>
        <w:rPr>
          <w:spacing w:val="-64"/>
        </w:rPr>
        <w:t> </w:t>
      </w:r>
      <w:r>
        <w:rPr>
          <w:spacing w:val="-64"/>
        </w:rPr>
      </w:r>
      <w:r>
        <w:rPr>
          <w:spacing w:val="-4"/>
        </w:rPr>
        <w:t>产负债表的期初数，并将该子公司期初至处置日收入、费用、利润纳入合并利润表，及同期的现金流量纳入合并现金流量表。</w:t>
      </w:r>
    </w:p>
    <w:p>
      <w:pPr>
        <w:pStyle w:val="BodyText"/>
        <w:spacing w:line="309" w:lineRule="auto" w:before="20"/>
        <w:ind w:right="188" w:firstLine="362"/>
        <w:jc w:val="both"/>
      </w:pPr>
      <w:r>
        <w:rPr>
          <w:rFonts w:ascii="Times New Roman" w:hAnsi="Times New Roman" w:cs="Times New Roman" w:eastAsia="Times New Roman" w:hint="default"/>
        </w:rPr>
        <w:t>(5)</w:t>
      </w:r>
      <w:r>
        <w:rPr/>
        <w:t>如果子公司执行的会计政策与本公司不一致，编制合并财务报表时已按照本公司的会计政策对子公司财务报表进行</w:t>
      </w:r>
      <w:r>
        <w:rPr>
          <w:w w:val="99"/>
        </w:rPr>
        <w:t> </w:t>
      </w:r>
      <w:r>
        <w:rPr>
          <w:spacing w:val="-2"/>
        </w:rPr>
        <w:t>了相应的调整；对非同一控制下企业合并取得的子公司，已按照购买日该子公司可辨认的资产、负债及或有负债的公允价值</w:t>
      </w:r>
      <w:r>
        <w:rPr>
          <w:spacing w:val="-62"/>
        </w:rPr>
        <w:t> </w:t>
      </w:r>
      <w:r>
        <w:rPr>
          <w:spacing w:val="-62"/>
        </w:rPr>
      </w:r>
      <w:r>
        <w:rPr/>
        <w:t>对子公司财务报表进行了相应的调整。</w:t>
      </w:r>
    </w:p>
    <w:p>
      <w:pPr>
        <w:pStyle w:val="BodyText"/>
        <w:spacing w:line="300" w:lineRule="auto" w:before="24"/>
        <w:ind w:left="729" w:right="93" w:hanging="214"/>
        <w:jc w:val="left"/>
      </w:pPr>
      <w:r>
        <w:rPr>
          <w:rFonts w:ascii="Times New Roman" w:hAnsi="Times New Roman" w:cs="Times New Roman" w:eastAsia="Times New Roman" w:hint="default"/>
        </w:rPr>
        <w:t>(6)</w:t>
      </w:r>
      <w:r>
        <w:rPr/>
        <w:t>在编制合并财务报表时，本公司与子公司及子公司相互之间的所有交易、往来余额、损益均予以抵销。</w:t>
      </w:r>
      <w:r>
        <w:rPr>
          <w:w w:val="99"/>
        </w:rPr>
        <w:t> </w:t>
      </w:r>
      <w:r>
        <w:rPr>
          <w:rFonts w:ascii="Times New Roman" w:hAnsi="Times New Roman" w:cs="Times New Roman" w:eastAsia="Times New Roman" w:hint="default"/>
        </w:rPr>
        <w:t>(7)</w:t>
      </w:r>
      <w:r>
        <w:rPr/>
        <w:t>少数股东权益包括子公司合并当日少数股东按股权比例拥有的权益金额以及自合并日起少数股东所占的权益变动</w:t>
      </w:r>
    </w:p>
    <w:p>
      <w:pPr>
        <w:pStyle w:val="BodyText"/>
        <w:spacing w:line="316" w:lineRule="auto" w:before="13"/>
        <w:ind w:right="93"/>
        <w:jc w:val="left"/>
      </w:pPr>
      <w:r>
        <w:rPr>
          <w:spacing w:val="-2"/>
        </w:rPr>
        <w:t>额。子公司少数股东分担的当期亏损超过了少数股东在该子公司期初所有者权益中所享有份额而形成的余额，冲减少数股东</w:t>
      </w:r>
      <w:r>
        <w:rPr>
          <w:spacing w:val="-64"/>
        </w:rPr>
        <w:t> </w:t>
      </w:r>
      <w:r>
        <w:rPr>
          <w:spacing w:val="-64"/>
        </w:rPr>
      </w:r>
      <w:r>
        <w:rPr/>
        <w:t>权益。</w:t>
      </w:r>
    </w:p>
    <w:p>
      <w:pPr>
        <w:spacing w:line="240" w:lineRule="auto" w:before="10"/>
        <w:rPr>
          <w:rFonts w:ascii="宋体" w:hAnsi="宋体" w:cs="宋体" w:eastAsia="宋体" w:hint="default"/>
          <w:sz w:val="22"/>
          <w:szCs w:val="22"/>
        </w:rPr>
      </w:pPr>
    </w:p>
    <w:p>
      <w:pPr>
        <w:pStyle w:val="Heading3"/>
        <w:spacing w:line="240" w:lineRule="auto"/>
        <w:ind w:right="93"/>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88" w:firstLine="362"/>
        <w:jc w:val="both"/>
      </w:pPr>
      <w:r>
        <w:rPr>
          <w:spacing w:val="-2"/>
        </w:rPr>
        <w:t>合营安排分为共同经营和合营企业。本公司确认与共同经营中利益份额相关的下列项目，并按照相关企业会计准则的规</w:t>
      </w:r>
      <w:r>
        <w:rPr/>
        <w:t> 定进行会计处理：</w:t>
      </w:r>
    </w:p>
    <w:p>
      <w:pPr>
        <w:pStyle w:val="BodyText"/>
        <w:spacing w:line="300" w:lineRule="auto" w:before="17"/>
        <w:ind w:left="515" w:right="4021"/>
        <w:jc w:val="left"/>
      </w:pPr>
      <w:r>
        <w:rPr>
          <w:rFonts w:ascii="Times New Roman" w:hAnsi="Times New Roman" w:cs="Times New Roman" w:eastAsia="Times New Roman" w:hint="default"/>
        </w:rPr>
        <w:t>(1)</w:t>
      </w:r>
      <w:r>
        <w:rPr/>
        <w:t>确认单独所持有的资产，以及按其份额确认共同持有的资产；</w:t>
      </w:r>
      <w:r>
        <w:rPr>
          <w:w w:val="99"/>
        </w:rPr>
        <w:t> </w:t>
      </w:r>
      <w:r>
        <w:rPr>
          <w:rFonts w:ascii="Times New Roman" w:hAnsi="Times New Roman" w:cs="Times New Roman" w:eastAsia="Times New Roman" w:hint="default"/>
        </w:rPr>
        <w:t>(2)</w:t>
      </w:r>
      <w:r>
        <w:rPr/>
        <w:t>确认单独所承担的负债，以及按其份额确认共同承担的负债；</w:t>
      </w:r>
      <w:r>
        <w:rPr>
          <w:w w:val="99"/>
        </w:rPr>
        <w:t> </w:t>
      </w:r>
      <w:r>
        <w:rPr>
          <w:rFonts w:ascii="Times New Roman" w:hAnsi="Times New Roman" w:cs="Times New Roman" w:eastAsia="Times New Roman" w:hint="default"/>
        </w:rPr>
        <w:t>(3)</w:t>
      </w:r>
      <w:r>
        <w:rPr/>
        <w:t>确认出售其享有的共同经营产出份额所产生的收入；</w:t>
      </w:r>
      <w:r>
        <w:rPr>
          <w:w w:val="99"/>
        </w:rPr>
        <w:t> </w:t>
      </w:r>
      <w:r>
        <w:rPr>
          <w:rFonts w:ascii="Times New Roman" w:hAnsi="Times New Roman" w:cs="Times New Roman" w:eastAsia="Times New Roman" w:hint="default"/>
        </w:rPr>
        <w:t>(4)</w:t>
      </w:r>
      <w:r>
        <w:rPr/>
        <w:t>按其份额确认共同经营因出售产出所产生的收入；</w:t>
      </w:r>
      <w:r>
        <w:rPr>
          <w:w w:val="99"/>
        </w:rPr>
        <w:t> </w:t>
      </w:r>
      <w:r>
        <w:rPr>
          <w:rFonts w:ascii="Times New Roman" w:hAnsi="Times New Roman" w:cs="Times New Roman" w:eastAsia="Times New Roman" w:hint="default"/>
        </w:rPr>
        <w:t>(5)</w:t>
      </w:r>
      <w:r>
        <w:rPr/>
        <w:t>确认单独所发生的费用，以及按其份额确认共同经营发生的费用。</w:t>
      </w:r>
    </w:p>
    <w:p>
      <w:pPr>
        <w:spacing w:line="240" w:lineRule="auto" w:before="4"/>
        <w:rPr>
          <w:rFonts w:ascii="宋体" w:hAnsi="宋体" w:cs="宋体" w:eastAsia="宋体" w:hint="default"/>
          <w:sz w:val="22"/>
          <w:szCs w:val="22"/>
        </w:rPr>
      </w:pPr>
    </w:p>
    <w:p>
      <w:pPr>
        <w:pStyle w:val="Heading3"/>
        <w:spacing w:line="240" w:lineRule="auto"/>
        <w:ind w:right="93"/>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5" w:right="93"/>
        <w:jc w:val="left"/>
      </w:pPr>
      <w:r>
        <w:rPr/>
        <w:t>本公司在编制现金流量表时所确定的现金，是指本公司库存现金以及可以随时用于支付的存款。 </w:t>
      </w:r>
      <w:r>
        <w:rPr>
          <w:spacing w:val="-2"/>
        </w:rPr>
        <w:t>本公司在编制现金流量表时所确定的现金等价物，是指本公司持有的期限短、流动性强、易于转换为已知金额现金、价</w:t>
      </w:r>
    </w:p>
    <w:p>
      <w:pPr>
        <w:pStyle w:val="BodyText"/>
        <w:spacing w:line="240" w:lineRule="auto" w:before="19"/>
        <w:ind w:right="6754"/>
        <w:jc w:val="left"/>
      </w:pPr>
      <w:r>
        <w:rPr/>
        <w:t>值变动风险很小的投资。</w:t>
      </w:r>
    </w:p>
    <w:p>
      <w:pPr>
        <w:pStyle w:val="Heading3"/>
        <w:spacing w:line="610" w:lineRule="atLeast" w:before="36"/>
        <w:ind w:left="578" w:right="7192" w:hanging="426"/>
        <w:jc w:val="left"/>
        <w:rPr>
          <w:b w:val="0"/>
          <w:bCs w:val="0"/>
        </w:rPr>
      </w:pPr>
      <w:r>
        <w:rPr>
          <w:rFonts w:ascii="Times New Roman" w:hAnsi="Times New Roman" w:cs="Times New Roman" w:eastAsia="Times New Roman" w:hint="default"/>
          <w:spacing w:val="-1"/>
        </w:rPr>
        <w:t>9</w:t>
      </w:r>
      <w:r>
        <w:rPr>
          <w:spacing w:val="-1"/>
        </w:rPr>
        <w:t>、外币业务和外币报表折算</w:t>
      </w:r>
      <w:r>
        <w:rPr>
          <w:spacing w:val="-94"/>
        </w:rPr>
        <w:t> </w:t>
      </w:r>
      <w:r>
        <w:rPr>
          <w:spacing w:val="-94"/>
        </w:rPr>
      </w:r>
      <w:r>
        <w:rPr>
          <w:rFonts w:ascii="Times New Roman" w:hAnsi="Times New Roman" w:cs="Times New Roman" w:eastAsia="Times New Roman" w:hint="default"/>
        </w:rPr>
        <w:t>(1)</w:t>
      </w:r>
      <w:r>
        <w:rPr/>
        <w:t>外币业务折算</w:t>
      </w:r>
      <w:r>
        <w:rPr>
          <w:b w:val="0"/>
          <w:bCs w:val="0"/>
        </w:rPr>
      </w:r>
    </w:p>
    <w:p>
      <w:pPr>
        <w:pStyle w:val="BodyText"/>
        <w:spacing w:line="316" w:lineRule="auto" w:before="42"/>
        <w:ind w:left="515" w:right="93"/>
        <w:jc w:val="left"/>
      </w:pPr>
      <w:r>
        <w:rPr/>
        <w:t>对于发生的外币交易，初始采用交易发生日的即期汇率折算人民币入账。 </w:t>
      </w:r>
      <w:r>
        <w:rPr>
          <w:spacing w:val="-2"/>
        </w:rPr>
        <w:t>在资产负债表日，外币货币性项目采用资产负债表日即期汇率计算，由此产生的汇兑差额，除：①属于与购建符合资本</w:t>
      </w:r>
    </w:p>
    <w:p>
      <w:pPr>
        <w:pStyle w:val="BodyText"/>
        <w:spacing w:line="319" w:lineRule="auto" w:before="19"/>
        <w:ind w:right="93"/>
        <w:jc w:val="left"/>
      </w:pPr>
      <w:r>
        <w:rPr>
          <w:spacing w:val="-2"/>
        </w:rPr>
        <w:t>化条件的资产相关的外币专门借款产生的汇兑差额按照借款费用资本化的原则处理；②可供出售的外币货币性项目除摊余成</w:t>
      </w:r>
      <w:r>
        <w:rPr>
          <w:spacing w:val="-64"/>
        </w:rPr>
        <w:t> </w:t>
      </w:r>
      <w:r>
        <w:rPr>
          <w:spacing w:val="-64"/>
        </w:rPr>
      </w:r>
      <w:r>
        <w:rPr>
          <w:spacing w:val="-4"/>
        </w:rPr>
        <w:t>本之外的其他账面余额变动产生的汇兑差额计入其他综合收益之外，均计入当期损益。以历史成本计量的外币非货币性项目，</w:t>
      </w:r>
      <w:r>
        <w:rPr>
          <w:spacing w:val="-44"/>
        </w:rPr>
        <w:t> </w:t>
      </w:r>
      <w:r>
        <w:rPr>
          <w:spacing w:val="-44"/>
        </w:rPr>
      </w:r>
      <w:r>
        <w:rPr>
          <w:spacing w:val="-2"/>
        </w:rPr>
        <w:t>仍采用交易发生日的即期汇率折算，不改变其记账本位币金额；以公允价值计量的非货币性项目，如果期末的公允价值以外</w:t>
      </w:r>
      <w:r>
        <w:rPr>
          <w:spacing w:val="-63"/>
        </w:rPr>
        <w:t> </w:t>
      </w:r>
      <w:r>
        <w:rPr>
          <w:spacing w:val="-63"/>
        </w:rPr>
      </w:r>
      <w:r>
        <w:rPr>
          <w:spacing w:val="-2"/>
        </w:rPr>
        <w:t>币反映，将该外币按照公允价值确定当日的即期汇率折算，折算后的记账本位币金额与原记账本位币金额的差额，作为公允</w:t>
      </w:r>
      <w:r>
        <w:rPr>
          <w:spacing w:val="-63"/>
        </w:rPr>
        <w:t> </w:t>
      </w:r>
      <w:r>
        <w:rPr>
          <w:spacing w:val="-63"/>
        </w:rPr>
      </w:r>
      <w:r>
        <w:rPr/>
        <w:t>价值变动损益，计入当期损益或资本公积。</w:t>
      </w:r>
    </w:p>
    <w:p>
      <w:pPr>
        <w:pStyle w:val="Heading3"/>
        <w:spacing w:line="287" w:lineRule="exact"/>
        <w:ind w:left="578" w:right="6754"/>
        <w:jc w:val="left"/>
        <w:rPr>
          <w:b w:val="0"/>
          <w:bCs w:val="0"/>
        </w:rPr>
      </w:pPr>
      <w:r>
        <w:rPr>
          <w:rFonts w:ascii="Times New Roman" w:hAnsi="Times New Roman" w:cs="Times New Roman" w:eastAsia="Times New Roman" w:hint="default"/>
        </w:rPr>
        <w:t>(2)</w:t>
      </w:r>
      <w:r>
        <w:rPr/>
        <w:t>外币财务报表折算</w:t>
      </w:r>
      <w:r>
        <w:rPr>
          <w:b w:val="0"/>
          <w:bCs w:val="0"/>
        </w:rPr>
      </w:r>
    </w:p>
    <w:p>
      <w:pPr>
        <w:spacing w:after="0" w:line="287" w:lineRule="exact"/>
        <w:jc w:val="left"/>
        <w:sectPr>
          <w:pgSz w:w="11910" w:h="16840"/>
          <w:pgMar w:header="745" w:footer="979" w:top="1060" w:bottom="1160" w:left="980" w:right="940"/>
        </w:sectPr>
      </w:pPr>
    </w:p>
    <w:p>
      <w:pPr>
        <w:spacing w:line="240" w:lineRule="auto" w:before="10"/>
        <w:rPr>
          <w:rFonts w:ascii="宋体" w:hAnsi="宋体" w:cs="宋体" w:eastAsia="宋体" w:hint="default"/>
          <w:b/>
          <w:bCs/>
          <w:sz w:val="25"/>
          <w:szCs w:val="25"/>
        </w:rPr>
      </w:pPr>
    </w:p>
    <w:p>
      <w:pPr>
        <w:pStyle w:val="BodyText"/>
        <w:spacing w:line="316" w:lineRule="auto" w:before="44"/>
        <w:ind w:right="135" w:firstLine="362"/>
        <w:jc w:val="left"/>
      </w:pPr>
      <w:r>
        <w:rPr>
          <w:spacing w:val="-2"/>
        </w:rPr>
        <w:t>本公司的控股子公司、合营企业、联营企业等，若采用与本公司不同的记账本位币，需对其外币财务报表折算后，再进</w:t>
      </w:r>
      <w:r>
        <w:rPr/>
        <w:t> 行会计核算及合并财务报表的编报。</w:t>
      </w:r>
    </w:p>
    <w:p>
      <w:pPr>
        <w:pStyle w:val="BodyText"/>
        <w:spacing w:line="300" w:lineRule="auto" w:before="19"/>
        <w:ind w:right="135" w:firstLine="362"/>
        <w:jc w:val="left"/>
      </w:pP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r>
        <w:rPr/>
        <w:t> 目采用发生时的即期汇率折算。</w:t>
      </w:r>
    </w:p>
    <w:p>
      <w:pPr>
        <w:pStyle w:val="BodyText"/>
        <w:spacing w:line="316" w:lineRule="auto" w:before="31"/>
        <w:ind w:right="135" w:firstLine="362"/>
        <w:jc w:val="left"/>
      </w:pPr>
      <w:r>
        <w:rPr>
          <w:spacing w:val="-2"/>
        </w:rPr>
        <w:t>利润表中的收入和费用项目，采用按照系统合理的方法确定的、与交易发生日即期汇率近似的汇率折算，折算产生的外</w:t>
      </w:r>
      <w:r>
        <w:rPr/>
        <w:t> 币财务报表折算差额，在资产负债表中所有者权益项目其他综合收益下单独列示。</w:t>
      </w:r>
    </w:p>
    <w:p>
      <w:pPr>
        <w:pStyle w:val="BodyText"/>
        <w:spacing w:line="316" w:lineRule="auto" w:before="19"/>
        <w:ind w:left="515" w:right="231"/>
        <w:jc w:val="left"/>
      </w:pPr>
      <w:r>
        <w:rPr/>
        <w:t>外币现金流量采用现金流量发生日即期汇率近似的汇率折算。汇率变动对现金的影响额，在现金流量表中单独列示。 处置境外经营时，与该境外经营有关的外币报表折算差额，按比例转入处置当期损益。</w:t>
      </w:r>
    </w:p>
    <w:p>
      <w:pPr>
        <w:spacing w:line="240" w:lineRule="auto" w:before="10"/>
        <w:rPr>
          <w:rFonts w:ascii="宋体" w:hAnsi="宋体" w:cs="宋体" w:eastAsia="宋体" w:hint="default"/>
          <w:sz w:val="22"/>
          <w:szCs w:val="22"/>
        </w:rPr>
      </w:pPr>
    </w:p>
    <w:p>
      <w:pPr>
        <w:pStyle w:val="Heading3"/>
        <w:spacing w:line="240" w:lineRule="auto"/>
        <w:ind w:right="135"/>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10"/>
        <w:rPr>
          <w:rFonts w:ascii="宋体" w:hAnsi="宋体" w:cs="宋体" w:eastAsia="宋体" w:hint="default"/>
          <w:b/>
          <w:bCs/>
          <w:sz w:val="24"/>
          <w:szCs w:val="24"/>
        </w:rPr>
      </w:pPr>
    </w:p>
    <w:p>
      <w:pPr>
        <w:spacing w:line="285" w:lineRule="auto" w:before="0"/>
        <w:ind w:left="515" w:right="5814" w:firstLine="62"/>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金融资产和金融负债的确认依据：</w:t>
      </w:r>
      <w:r>
        <w:rPr>
          <w:rFonts w:ascii="宋体" w:hAnsi="宋体" w:cs="宋体" w:eastAsia="宋体" w:hint="default"/>
          <w:b/>
          <w:bCs/>
          <w:w w:val="100"/>
          <w:sz w:val="21"/>
          <w:szCs w:val="21"/>
        </w:rPr>
        <w:t> </w:t>
      </w:r>
      <w:r>
        <w:rPr>
          <w:rFonts w:ascii="宋体" w:hAnsi="宋体" w:cs="宋体" w:eastAsia="宋体" w:hint="default"/>
          <w:sz w:val="18"/>
          <w:szCs w:val="18"/>
        </w:rPr>
        <w:t>公司已经成为金融工具合同的一方。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金融资产和金融负债分类</w:t>
      </w:r>
      <w:r>
        <w:rPr>
          <w:rFonts w:ascii="宋体" w:hAnsi="宋体" w:cs="宋体" w:eastAsia="宋体" w:hint="default"/>
          <w:sz w:val="21"/>
          <w:szCs w:val="21"/>
        </w:rPr>
      </w:r>
    </w:p>
    <w:p>
      <w:pPr>
        <w:pStyle w:val="BodyText"/>
        <w:spacing w:line="233" w:lineRule="exact"/>
        <w:ind w:left="513" w:right="135"/>
        <w:jc w:val="left"/>
      </w:pPr>
      <w:r>
        <w:rPr/>
        <w:t>①金融资产在初始确认时划分为四类</w:t>
      </w:r>
    </w:p>
    <w:p>
      <w:pPr>
        <w:pStyle w:val="BodyText"/>
        <w:spacing w:line="300" w:lineRule="auto" w:before="76"/>
        <w:ind w:right="135" w:firstLine="362"/>
        <w:jc w:val="left"/>
      </w:pPr>
      <w:r>
        <w:rPr>
          <w:rFonts w:ascii="Times New Roman" w:hAnsi="Times New Roman" w:cs="Times New Roman" w:eastAsia="Times New Roman" w:hint="default"/>
          <w:spacing w:val="-1"/>
        </w:rPr>
        <w:t>A</w:t>
      </w:r>
      <w:r>
        <w:rPr>
          <w:spacing w:val="-1"/>
        </w:rPr>
        <w:t>、以公允价值计量且其变动计入当期损益的金融资产，包括交易性金融资产和指定为以公允价值计量且其变动计入当</w:t>
      </w:r>
      <w:r>
        <w:rPr/>
        <w:t> 期损益的金融资产；</w:t>
      </w:r>
    </w:p>
    <w:p>
      <w:pPr>
        <w:pStyle w:val="BodyText"/>
        <w:spacing w:line="300" w:lineRule="auto" w:before="31"/>
        <w:ind w:left="515" w:right="7481"/>
        <w:jc w:val="left"/>
      </w:pPr>
      <w:r>
        <w:rPr>
          <w:rFonts w:ascii="Times New Roman" w:hAnsi="Times New Roman" w:cs="Times New Roman" w:eastAsia="Times New Roman" w:hint="default"/>
        </w:rPr>
        <w:t>B</w:t>
      </w:r>
      <w:r>
        <w:rPr/>
        <w:t>、持有至到期投资； </w:t>
      </w:r>
      <w:r>
        <w:rPr>
          <w:rFonts w:ascii="Times New Roman" w:hAnsi="Times New Roman" w:cs="Times New Roman" w:eastAsia="Times New Roman" w:hint="default"/>
        </w:rPr>
        <w:t>C</w:t>
      </w:r>
      <w:r>
        <w:rPr/>
        <w:t>、应收款项； </w:t>
      </w:r>
      <w:r>
        <w:rPr>
          <w:rFonts w:ascii="Times New Roman" w:hAnsi="Times New Roman" w:cs="Times New Roman" w:eastAsia="Times New Roman" w:hint="default"/>
        </w:rPr>
        <w:t>D</w:t>
      </w:r>
      <w:r>
        <w:rPr/>
        <w:t>、可供出售金融资产。</w:t>
      </w:r>
    </w:p>
    <w:p>
      <w:pPr>
        <w:pStyle w:val="BodyText"/>
        <w:spacing w:line="240" w:lineRule="auto" w:before="13"/>
        <w:ind w:left="515" w:right="135"/>
        <w:jc w:val="left"/>
      </w:pPr>
      <w:r>
        <w:rPr/>
        <w:t>②金融负债在初始确认时划分为两类</w:t>
      </w:r>
    </w:p>
    <w:p>
      <w:pPr>
        <w:pStyle w:val="BodyText"/>
        <w:spacing w:line="300" w:lineRule="auto" w:before="77"/>
        <w:ind w:right="135" w:firstLine="362"/>
        <w:jc w:val="left"/>
      </w:pPr>
      <w:r>
        <w:rPr>
          <w:rFonts w:ascii="Times New Roman" w:hAnsi="Times New Roman" w:cs="Times New Roman" w:eastAsia="Times New Roman" w:hint="default"/>
          <w:spacing w:val="-1"/>
        </w:rPr>
        <w:t>A</w:t>
      </w:r>
      <w:r>
        <w:rPr>
          <w:spacing w:val="-1"/>
        </w:rPr>
        <w:t>、以公允价值计量且其变动计入当期损益的金融负债，包括交易性金融负债和直接指定为以公允价值计量且其变动计</w:t>
      </w:r>
      <w:r>
        <w:rPr/>
        <w:t> 入当期损益的金融负债；</w:t>
      </w:r>
    </w:p>
    <w:p>
      <w:pPr>
        <w:pStyle w:val="BodyText"/>
        <w:spacing w:line="240" w:lineRule="auto" w:before="31"/>
        <w:ind w:left="515" w:right="135"/>
        <w:jc w:val="left"/>
      </w:pPr>
      <w:r>
        <w:rPr>
          <w:rFonts w:ascii="Times New Roman" w:hAnsi="Times New Roman" w:cs="Times New Roman" w:eastAsia="Times New Roman" w:hint="default"/>
        </w:rPr>
        <w:t>B</w:t>
      </w:r>
      <w:r>
        <w:rPr/>
        <w:t>、其他金融负债。</w:t>
      </w:r>
    </w:p>
    <w:p>
      <w:pPr>
        <w:pStyle w:val="Heading3"/>
        <w:spacing w:line="240" w:lineRule="auto" w:before="42"/>
        <w:ind w:left="578" w:right="135"/>
        <w:jc w:val="left"/>
        <w:rPr>
          <w:b w:val="0"/>
          <w:bCs w:val="0"/>
        </w:rPr>
      </w:pPr>
      <w:r>
        <w:rPr>
          <w:rFonts w:ascii="Times New Roman" w:hAnsi="Times New Roman" w:cs="Times New Roman" w:eastAsia="Times New Roman" w:hint="default"/>
        </w:rPr>
        <w:t>(3)</w:t>
      </w:r>
      <w:r>
        <w:rPr/>
        <w:t>金融资产或金融负债的初始计量</w:t>
      </w:r>
      <w:r>
        <w:rPr>
          <w:b w:val="0"/>
          <w:bCs w:val="0"/>
        </w:rPr>
      </w:r>
    </w:p>
    <w:p>
      <w:pPr>
        <w:pStyle w:val="BodyText"/>
        <w:spacing w:line="316" w:lineRule="auto" w:before="42"/>
        <w:ind w:right="135" w:firstLine="362"/>
        <w:jc w:val="left"/>
      </w:pPr>
      <w:r>
        <w:rPr>
          <w:spacing w:val="-2"/>
        </w:rPr>
        <w:t>初始确认金融资产或金融负债时，按照公允价值计量；对于以公允价值计量且其变动计入当期损益的金融资产和金融负</w:t>
      </w:r>
      <w:r>
        <w:rPr/>
        <w:t> 债，相关交易费用直接计入当期损益；对于其他类别的金融资产或金融负债，相关交易费用计入初始确认金额。</w:t>
      </w:r>
    </w:p>
    <w:p>
      <w:pPr>
        <w:pStyle w:val="Heading3"/>
        <w:spacing w:line="289" w:lineRule="exact"/>
        <w:ind w:left="578" w:right="135"/>
        <w:jc w:val="left"/>
        <w:rPr>
          <w:b w:val="0"/>
          <w:bCs w:val="0"/>
        </w:rPr>
      </w:pPr>
      <w:r>
        <w:rPr>
          <w:rFonts w:ascii="Times New Roman" w:hAnsi="Times New Roman" w:cs="Times New Roman" w:eastAsia="Times New Roman" w:hint="default"/>
        </w:rPr>
        <w:t>(4)</w:t>
      </w:r>
      <w:r>
        <w:rPr/>
        <w:t>金融资产后续计量</w:t>
      </w:r>
      <w:r>
        <w:rPr>
          <w:b w:val="0"/>
          <w:bCs w:val="0"/>
        </w:rPr>
      </w:r>
    </w:p>
    <w:p>
      <w:pPr>
        <w:pStyle w:val="BodyText"/>
        <w:spacing w:line="240" w:lineRule="auto" w:before="42"/>
        <w:ind w:left="515" w:right="135"/>
        <w:jc w:val="left"/>
      </w:pPr>
      <w:r>
        <w:rPr/>
        <w:t>①持有至到期投资和应收款项，采用实际利率法，按摊余成本计量。</w:t>
      </w:r>
    </w:p>
    <w:p>
      <w:pPr>
        <w:pStyle w:val="BodyText"/>
        <w:spacing w:line="316" w:lineRule="auto" w:before="76"/>
        <w:ind w:right="135" w:firstLine="362"/>
        <w:jc w:val="left"/>
      </w:pPr>
      <w:r>
        <w:rPr>
          <w:spacing w:val="-2"/>
        </w:rPr>
        <w:t>②在活跃市场中没有报价且其公允价值不能可靠计量的权益工具投资，以及与该权益工具挂钩并须通过交付该权益工具</w:t>
      </w:r>
      <w:r>
        <w:rPr/>
        <w:t> 结算的衍生金融资产，按照成本计量。</w:t>
      </w:r>
    </w:p>
    <w:p>
      <w:pPr>
        <w:pStyle w:val="BodyText"/>
        <w:spacing w:line="319" w:lineRule="auto" w:before="19"/>
        <w:ind w:left="515" w:right="135"/>
        <w:jc w:val="left"/>
      </w:pPr>
      <w:r>
        <w:rPr/>
        <w:t>③除此之外的金融资产按照公允价值进行后续计量，且不扣除将来处置该金融资产时可能发生的交易费用。 </w:t>
      </w:r>
      <w:r>
        <w:rPr>
          <w:spacing w:val="-2"/>
        </w:rPr>
        <w:t>公司因持有意图或能力发生改变，使某项投资不再适合划分为持有至到期投资的，将其重分类为可供出售金融资产，并</w:t>
      </w:r>
    </w:p>
    <w:p>
      <w:pPr>
        <w:pStyle w:val="BodyText"/>
        <w:spacing w:line="316" w:lineRule="auto" w:before="17"/>
        <w:ind w:right="135"/>
        <w:jc w:val="left"/>
      </w:pPr>
      <w:r>
        <w:rPr>
          <w:spacing w:val="-2"/>
        </w:rPr>
        <w:t>以公允价值进行后续计量。重分类日，该投资的账面价值与公允价值之间的差额计入所有者权益，在该可供出售金融资产发</w:t>
      </w:r>
      <w:r>
        <w:rPr>
          <w:spacing w:val="-63"/>
        </w:rPr>
        <w:t> </w:t>
      </w:r>
      <w:r>
        <w:rPr>
          <w:spacing w:val="-63"/>
        </w:rPr>
      </w:r>
      <w:r>
        <w:rPr/>
        <w:t>生减值或终止确认时转出，计入当期损益。</w:t>
      </w:r>
    </w:p>
    <w:p>
      <w:pPr>
        <w:pStyle w:val="BodyText"/>
        <w:spacing w:line="240" w:lineRule="auto" w:before="19"/>
        <w:ind w:left="515" w:right="135"/>
        <w:jc w:val="left"/>
      </w:pPr>
      <w:r>
        <w:rPr/>
        <w:t>存在下列情况之一的，表明公司没有明确意图将金融资产投资持有至到期：</w:t>
      </w:r>
    </w:p>
    <w:p>
      <w:pPr>
        <w:pStyle w:val="BodyText"/>
        <w:spacing w:line="300" w:lineRule="auto" w:before="74"/>
        <w:ind w:left="515" w:right="135"/>
        <w:jc w:val="left"/>
      </w:pPr>
      <w:r>
        <w:rPr>
          <w:rFonts w:ascii="Times New Roman" w:hAnsi="Times New Roman" w:cs="Times New Roman" w:eastAsia="Times New Roman" w:hint="default"/>
        </w:rPr>
        <w:t>A</w:t>
      </w:r>
      <w:r>
        <w:rPr/>
        <w:t>、持有该金融资产的期限不确定。 </w:t>
      </w:r>
      <w:r>
        <w:rPr>
          <w:rFonts w:ascii="Times New Roman" w:hAnsi="Times New Roman" w:cs="Times New Roman" w:eastAsia="Times New Roman" w:hint="default"/>
          <w:spacing w:val="-1"/>
        </w:rPr>
        <w:t>B</w:t>
      </w:r>
      <w:r>
        <w:rPr>
          <w:spacing w:val="-1"/>
        </w:rPr>
        <w:t>、发生市场利率变化、流动性需要变化、替代投资机会及其投资收益率变化、融资来源和条件变化、外汇风险变化等</w:t>
      </w:r>
    </w:p>
    <w:p>
      <w:pPr>
        <w:pStyle w:val="BodyText"/>
        <w:spacing w:line="300" w:lineRule="auto" w:before="13"/>
        <w:ind w:left="462" w:right="2786" w:hanging="311"/>
        <w:jc w:val="left"/>
        <w:rPr>
          <w:rFonts w:ascii="宋体" w:hAnsi="宋体" w:cs="宋体" w:eastAsia="宋体" w:hint="default"/>
          <w:sz w:val="21"/>
          <w:szCs w:val="21"/>
        </w:rPr>
      </w:pPr>
      <w:r>
        <w:rPr/>
        <w:t>情况时，将出售该金融资产。 </w:t>
      </w:r>
      <w:r>
        <w:rPr>
          <w:rFonts w:ascii="Times New Roman" w:hAnsi="Times New Roman" w:cs="Times New Roman" w:eastAsia="Times New Roman" w:hint="default"/>
        </w:rPr>
        <w:t>C</w:t>
      </w:r>
      <w:r>
        <w:rPr/>
        <w:t>、该金融资产的发行方可以按照明显低于其摊余成本的金额清偿。 </w:t>
      </w:r>
      <w:r>
        <w:rPr>
          <w:rFonts w:ascii="Times New Roman" w:hAnsi="Times New Roman" w:cs="Times New Roman" w:eastAsia="Times New Roman" w:hint="default"/>
        </w:rPr>
        <w:t>D</w:t>
      </w:r>
      <w:r>
        <w:rPr/>
        <w:t>、其他表明公司没有明确意图将该金融资产持有至到期的情况。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金融负债的后续计量</w:t>
      </w:r>
      <w:r>
        <w:rPr>
          <w:rFonts w:ascii="宋体" w:hAnsi="宋体" w:cs="宋体" w:eastAsia="宋体" w:hint="default"/>
          <w:sz w:val="21"/>
          <w:szCs w:val="21"/>
        </w:rPr>
      </w:r>
    </w:p>
    <w:p>
      <w:pPr>
        <w:pStyle w:val="BodyText"/>
        <w:spacing w:line="220" w:lineRule="exact"/>
        <w:ind w:left="515" w:right="0"/>
        <w:jc w:val="left"/>
      </w:pPr>
      <w:r>
        <w:rPr/>
        <w:t>①以公允价值计量且其变动计入当期损益的金融负债按照公允价值计量</w:t>
      </w:r>
      <w:r>
        <w:rPr>
          <w:spacing w:val="-85"/>
        </w:rPr>
        <w:t>，</w:t>
      </w:r>
      <w:r>
        <w:rPr/>
        <w:t>且不扣除将来结清金融负债时可能发生的交易</w:t>
      </w:r>
    </w:p>
    <w:p>
      <w:pPr>
        <w:pStyle w:val="BodyText"/>
        <w:spacing w:line="240" w:lineRule="auto" w:before="76"/>
        <w:ind w:right="135"/>
        <w:jc w:val="left"/>
      </w:pPr>
      <w:r>
        <w:rPr/>
        <w:t>费用。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16" w:lineRule="auto" w:before="44"/>
        <w:ind w:right="192" w:firstLine="362"/>
        <w:jc w:val="both"/>
      </w:pPr>
      <w:r>
        <w:rPr>
          <w:spacing w:val="-2"/>
        </w:rPr>
        <w:t>②与在活跃市场中没有报价，公允价值不能可靠计量的权益工具挂钩并须通过交付该权益工具结算的衍生金融负债，按</w:t>
      </w:r>
      <w:r>
        <w:rPr/>
        <w:t> 照成本计量。</w:t>
      </w:r>
    </w:p>
    <w:p>
      <w:pPr>
        <w:pStyle w:val="BodyText"/>
        <w:spacing w:line="316" w:lineRule="auto" w:before="19"/>
        <w:ind w:right="192" w:firstLine="362"/>
        <w:jc w:val="both"/>
      </w:pPr>
      <w:r>
        <w:rPr>
          <w:spacing w:val="-2"/>
        </w:rPr>
        <w:t>③不属于指定为以公允价值计量且其变动计入当期损益的金融负债的财务担保合同，或没有指定为以公允价值计量且其</w:t>
      </w:r>
      <w:r>
        <w:rPr/>
        <w:t> </w:t>
      </w:r>
      <w:r>
        <w:rPr>
          <w:spacing w:val="-2"/>
        </w:rPr>
        <w:t>变动计入当期损益并将以低于市场利率贷款的贷款承诺，按照履行相关现时义务所需支出的最佳估计数与初始确认金额扣除</w:t>
      </w:r>
      <w:r>
        <w:rPr>
          <w:spacing w:val="-64"/>
        </w:rPr>
        <w:t> </w:t>
      </w:r>
      <w:r>
        <w:rPr>
          <w:spacing w:val="-64"/>
        </w:rPr>
      </w:r>
      <w:r>
        <w:rPr/>
        <w:t>按照实际利率法摊销的累计摊销额后的余额两项金额之中的较高者进行后续计量。</w:t>
      </w:r>
    </w:p>
    <w:p>
      <w:pPr>
        <w:pStyle w:val="BodyText"/>
        <w:spacing w:line="240" w:lineRule="auto" w:before="19"/>
        <w:ind w:left="515" w:right="93"/>
        <w:jc w:val="left"/>
      </w:pPr>
      <w:r>
        <w:rPr/>
        <w:t>④除此之外的金融负债，采用实际利率法，按摊余成本计量。</w:t>
      </w:r>
    </w:p>
    <w:p>
      <w:pPr>
        <w:pStyle w:val="Heading3"/>
        <w:spacing w:line="240" w:lineRule="auto" w:before="56"/>
        <w:ind w:left="578" w:right="6754"/>
        <w:jc w:val="left"/>
        <w:rPr>
          <w:b w:val="0"/>
          <w:bCs w:val="0"/>
        </w:rPr>
      </w:pPr>
      <w:r>
        <w:rPr>
          <w:rFonts w:ascii="Times New Roman" w:hAnsi="Times New Roman" w:cs="Times New Roman" w:eastAsia="Times New Roman" w:hint="default"/>
        </w:rPr>
        <w:t>(6)</w:t>
      </w:r>
      <w:r>
        <w:rPr/>
        <w:t>金融资产转移确认依据</w:t>
      </w:r>
      <w:r>
        <w:rPr>
          <w:b w:val="0"/>
          <w:bCs w:val="0"/>
        </w:rPr>
      </w:r>
    </w:p>
    <w:p>
      <w:pPr>
        <w:pStyle w:val="BodyText"/>
        <w:spacing w:line="316" w:lineRule="auto" w:before="42"/>
        <w:ind w:right="190" w:firstLine="362"/>
        <w:jc w:val="both"/>
      </w:pPr>
      <w:r>
        <w:rPr>
          <w:spacing w:val="-2"/>
        </w:rPr>
        <w:t>公司已将金融资产所有权上几乎所有的风险和报酬转移给了转入方的，终止确认该金融资产；保留了金融资产所有权上</w:t>
      </w:r>
      <w:r>
        <w:rPr/>
        <w:t> </w:t>
      </w:r>
      <w:r>
        <w:rPr>
          <w:spacing w:val="-2"/>
        </w:rPr>
        <w:t>几乎所有的风险和报酬的，继续确认所转移的金融资产，并将收到的对价确认为一项金融负债。公司既没有转移也没有保留</w:t>
      </w:r>
      <w:r>
        <w:rPr>
          <w:spacing w:val="-63"/>
        </w:rPr>
        <w:t> </w:t>
      </w:r>
      <w:r>
        <w:rPr>
          <w:spacing w:val="-63"/>
        </w:rPr>
      </w:r>
      <w:r>
        <w:rPr/>
        <w:t>金融资产所有权上几乎所有的风险和报酬的，分别下列情况处理：</w:t>
      </w:r>
    </w:p>
    <w:p>
      <w:pPr>
        <w:pStyle w:val="BodyText"/>
        <w:spacing w:line="240" w:lineRule="auto" w:before="19"/>
        <w:ind w:left="515" w:right="93"/>
        <w:jc w:val="left"/>
      </w:pPr>
      <w:r>
        <w:rPr/>
        <w:t>①放弃了对该金融资产控制的，终止确认该金融资产；</w:t>
      </w:r>
    </w:p>
    <w:p>
      <w:pPr>
        <w:pStyle w:val="BodyText"/>
        <w:spacing w:line="285" w:lineRule="auto" w:before="77"/>
        <w:ind w:left="515" w:right="631"/>
        <w:jc w:val="left"/>
      </w:pPr>
      <w:r>
        <w:rPr/>
        <w:t>②未放弃对该金融资产控制的，按照继续涉入所转移金融资产的程度确认有关金融资产，并相应确认有关负债。 </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金融资产转移的确认和计量</w:t>
      </w:r>
      <w:r>
        <w:rPr>
          <w:rFonts w:ascii="宋体" w:hAnsi="宋体" w:cs="宋体" w:eastAsia="宋体" w:hint="default"/>
          <w:b/>
          <w:bCs/>
          <w:w w:val="100"/>
          <w:sz w:val="21"/>
          <w:szCs w:val="21"/>
        </w:rPr>
        <w:t> </w:t>
      </w:r>
      <w:r>
        <w:rPr/>
        <w:t>金融资产整体转移满足终止确认条件的，将下列两项金额的差额计入当期损益：</w:t>
      </w:r>
    </w:p>
    <w:p>
      <w:pPr>
        <w:pStyle w:val="BodyText"/>
        <w:spacing w:line="240" w:lineRule="auto" w:before="42"/>
        <w:ind w:left="515" w:right="6754"/>
        <w:jc w:val="left"/>
      </w:pPr>
      <w:r>
        <w:rPr/>
        <w:t>①所转移金融资产的账面价值；</w:t>
      </w:r>
    </w:p>
    <w:p>
      <w:pPr>
        <w:pStyle w:val="BodyText"/>
        <w:spacing w:line="316" w:lineRule="auto" w:before="76"/>
        <w:ind w:right="190" w:firstLine="362"/>
        <w:jc w:val="both"/>
      </w:pPr>
      <w:r>
        <w:rPr>
          <w:spacing w:val="-2"/>
        </w:rPr>
        <w:t>②因转移而收到的对价，与原直接计入所有者权益的公允价值变动累计额（涉及转移的金融资产为可供出售金融资产的</w:t>
      </w:r>
      <w:r>
        <w:rPr/>
        <w:t> 情形）之和。</w:t>
      </w:r>
    </w:p>
    <w:p>
      <w:pPr>
        <w:pStyle w:val="BodyText"/>
        <w:spacing w:line="316" w:lineRule="auto" w:before="19"/>
        <w:ind w:right="108" w:firstLine="362"/>
        <w:jc w:val="both"/>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19"/>
        <w:ind w:left="515" w:right="6754"/>
        <w:jc w:val="left"/>
      </w:pPr>
      <w:r>
        <w:rPr/>
        <w:t>①终止确认部分的账面价值；</w:t>
      </w:r>
    </w:p>
    <w:p>
      <w:pPr>
        <w:pStyle w:val="BodyText"/>
        <w:spacing w:line="285" w:lineRule="auto" w:before="76"/>
        <w:ind w:left="515" w:right="93"/>
        <w:jc w:val="left"/>
      </w:pPr>
      <w:r>
        <w:rPr/>
        <w:t>②终止确认部分的对价，与原直接计入所有者权益的公允价值变动累计额中对应终止确认部分的金额之和。 </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金融负债终止确认条件</w:t>
      </w:r>
      <w:r>
        <w:rPr>
          <w:rFonts w:ascii="宋体" w:hAnsi="宋体" w:cs="宋体" w:eastAsia="宋体" w:hint="default"/>
          <w:b/>
          <w:bCs/>
          <w:spacing w:val="-103"/>
          <w:sz w:val="21"/>
          <w:szCs w:val="21"/>
        </w:rPr>
        <w:t> </w:t>
      </w:r>
      <w:r>
        <w:rPr>
          <w:spacing w:val="-2"/>
        </w:rPr>
        <w:t>金融负债的现时义务全部或部分已解除时才能终止确认该金融负债或其一部分。公司将用于偿付金融负债的资产转入某</w:t>
      </w:r>
    </w:p>
    <w:p>
      <w:pPr>
        <w:pStyle w:val="BodyText"/>
        <w:spacing w:line="316" w:lineRule="auto" w:before="42"/>
        <w:ind w:left="515" w:right="93" w:hanging="363"/>
        <w:jc w:val="left"/>
      </w:pPr>
      <w:r>
        <w:rPr/>
        <w:t>个机构或设立信托，偿付债务的现时义务仍存在的，不终止确认该金融负债，也不能终止确认转出的资产。 </w:t>
      </w:r>
      <w:r>
        <w:rPr>
          <w:spacing w:val="-2"/>
        </w:rPr>
        <w:t>公司（债务人）与债权人之间签订协议，以承担新金融负债方式替换现存金融负债，且新金融负债与现存金融负债的合</w:t>
      </w:r>
    </w:p>
    <w:p>
      <w:pPr>
        <w:pStyle w:val="BodyText"/>
        <w:spacing w:line="316" w:lineRule="auto" w:before="19"/>
        <w:ind w:left="515" w:right="93" w:hanging="363"/>
        <w:jc w:val="left"/>
      </w:pPr>
      <w:r>
        <w:rPr/>
        <w:t>同条款实质上不同的，终止确认现存金融负债，并同时确认新金融负债。 </w:t>
      </w:r>
      <w:r>
        <w:rPr>
          <w:spacing w:val="-2"/>
        </w:rPr>
        <w:t>公司对现存金融负债全部或部分的合同条款作出实质性修改的，终止确认现存金融负债或其一部分，同时将修改条款后</w:t>
      </w:r>
    </w:p>
    <w:p>
      <w:pPr>
        <w:pStyle w:val="BodyText"/>
        <w:spacing w:line="316" w:lineRule="auto" w:before="19"/>
        <w:ind w:left="515" w:right="93" w:hanging="363"/>
        <w:jc w:val="left"/>
      </w:pPr>
      <w:r>
        <w:rPr/>
        <w:t>的金融负债确认为一项新金融负债。 </w:t>
      </w:r>
      <w:r>
        <w:rPr>
          <w:spacing w:val="-2"/>
        </w:rPr>
        <w:t>金融负债全部或部分终止确认的，公司将终止确认部分的账面价值与支付的对价（包括转出的非现金资产或承担的新金</w:t>
      </w:r>
    </w:p>
    <w:p>
      <w:pPr>
        <w:pStyle w:val="BodyText"/>
        <w:spacing w:line="316" w:lineRule="auto" w:before="19"/>
        <w:ind w:left="515" w:right="93" w:hanging="363"/>
        <w:jc w:val="left"/>
      </w:pPr>
      <w:r>
        <w:rPr/>
        <w:t>融负债）之间的差额，计入当期损益。 </w:t>
      </w:r>
      <w:r>
        <w:rPr>
          <w:spacing w:val="-2"/>
        </w:rPr>
        <w:t>公司回购金融负债一部分的，在回购日按照继续确认部分和终止确认部分的相对公允价值，将该金融负债整体的账面价</w:t>
      </w:r>
    </w:p>
    <w:p>
      <w:pPr>
        <w:pStyle w:val="BodyText"/>
        <w:spacing w:line="319" w:lineRule="auto" w:before="19"/>
        <w:ind w:right="93"/>
        <w:jc w:val="left"/>
      </w:pPr>
      <w:r>
        <w:rPr>
          <w:spacing w:val="-2"/>
        </w:rPr>
        <w:t>值进行分配。分配给终止确认部分的账面价值与支付的对价（包括转出的非现金资产或承担的新金融负债）之间的差额，计</w:t>
      </w:r>
      <w:r>
        <w:rPr>
          <w:spacing w:val="-64"/>
        </w:rPr>
        <w:t> </w:t>
      </w:r>
      <w:r>
        <w:rPr>
          <w:spacing w:val="-64"/>
        </w:rPr>
      </w:r>
      <w:r>
        <w:rPr/>
        <w:t>入当期损益。</w:t>
      </w:r>
    </w:p>
    <w:p>
      <w:pPr>
        <w:pStyle w:val="Heading3"/>
        <w:spacing w:line="287" w:lineRule="exact"/>
        <w:ind w:left="578" w:right="93"/>
        <w:jc w:val="left"/>
        <w:rPr>
          <w:b w:val="0"/>
          <w:bCs w:val="0"/>
        </w:rPr>
      </w:pPr>
      <w:r>
        <w:rPr>
          <w:rFonts w:ascii="Times New Roman" w:hAnsi="Times New Roman" w:cs="Times New Roman" w:eastAsia="Times New Roman" w:hint="default"/>
        </w:rPr>
        <w:t>(9)</w:t>
      </w:r>
      <w:r>
        <w:rPr/>
        <w:t>金融资产和金融负债的公允价值确认方法</w:t>
      </w:r>
      <w:r>
        <w:rPr>
          <w:b w:val="0"/>
          <w:bCs w:val="0"/>
        </w:rPr>
      </w:r>
    </w:p>
    <w:p>
      <w:pPr>
        <w:pStyle w:val="BodyText"/>
        <w:spacing w:line="240" w:lineRule="auto" w:before="42"/>
        <w:ind w:left="515" w:right="93"/>
        <w:jc w:val="left"/>
      </w:pPr>
      <w:r>
        <w:rPr/>
        <w:t>①存在活跃市场的金融资产或金融负债，以活跃市场中的报价确定其公允价值。</w:t>
      </w:r>
    </w:p>
    <w:p>
      <w:pPr>
        <w:pStyle w:val="BodyText"/>
        <w:spacing w:line="316" w:lineRule="auto" w:before="76"/>
        <w:ind w:right="192" w:firstLine="362"/>
        <w:jc w:val="both"/>
      </w:pPr>
      <w:r>
        <w:rPr>
          <w:spacing w:val="-2"/>
        </w:rPr>
        <w:t>②金融工具不存在活跃市场的，公司采用估值技术（包括参考熟悉情况并自愿交易的各方最近进行的市场交易中使用的</w:t>
      </w:r>
      <w:r>
        <w:rPr/>
        <w:t> 价格、参照实质上相同的其他金融工具的当前公允价值、现金流量折现法和期权定价模型等）确定其公允价值。</w:t>
      </w:r>
    </w:p>
    <w:p>
      <w:pPr>
        <w:pStyle w:val="BodyText"/>
        <w:spacing w:line="240" w:lineRule="auto" w:before="19"/>
        <w:ind w:left="515" w:right="93"/>
        <w:jc w:val="left"/>
      </w:pPr>
      <w:r>
        <w:rPr/>
        <w:t>③初始取得或源生的金融资产或承担的金融负债，以市场交易价格作为确定其公允价值的基础。</w:t>
      </w:r>
    </w:p>
    <w:p>
      <w:pPr>
        <w:pStyle w:val="Heading3"/>
        <w:spacing w:line="240" w:lineRule="auto" w:before="56"/>
        <w:ind w:left="578" w:right="6754"/>
        <w:jc w:val="left"/>
        <w:rPr>
          <w:b w:val="0"/>
          <w:bCs w:val="0"/>
        </w:rPr>
      </w:pPr>
      <w:r>
        <w:rPr>
          <w:rFonts w:ascii="Times New Roman" w:hAnsi="Times New Roman" w:cs="Times New Roman" w:eastAsia="Times New Roman" w:hint="default"/>
        </w:rPr>
        <w:t>(10)</w:t>
      </w:r>
      <w:r>
        <w:rPr/>
        <w:t>金融资产减值</w:t>
      </w:r>
      <w:r>
        <w:rPr>
          <w:b w:val="0"/>
          <w:bCs w:val="0"/>
        </w:rPr>
      </w:r>
    </w:p>
    <w:p>
      <w:pPr>
        <w:pStyle w:val="BodyText"/>
        <w:spacing w:line="316" w:lineRule="auto" w:before="42"/>
        <w:ind w:right="192" w:firstLine="362"/>
        <w:jc w:val="both"/>
      </w:pPr>
      <w:r>
        <w:rPr>
          <w:spacing w:val="-2"/>
        </w:rPr>
        <w:t>公司在资产负债表日对以公允价值计量且其变动计入当期损益以外的金融资产的账面价值进行检查，有客观证据表明该</w:t>
      </w:r>
      <w:r>
        <w:rPr/>
        <w:t> 金融资产发生减值的，确认减值损失，计提减值准备。</w:t>
      </w:r>
    </w:p>
    <w:p>
      <w:pPr>
        <w:pStyle w:val="BodyText"/>
        <w:spacing w:line="319" w:lineRule="auto" w:before="19"/>
        <w:ind w:right="190" w:firstLine="362"/>
        <w:jc w:val="both"/>
      </w:pPr>
      <w:r>
        <w:rPr>
          <w:spacing w:val="-2"/>
        </w:rPr>
        <w:t>①对单项金额重大的金融资产单独进行减值测试；对单项金额不重大的金融资产，包括在具有类似信用风险特征的金融</w:t>
      </w:r>
      <w:r>
        <w:rPr/>
        <w:t> </w:t>
      </w:r>
      <w:r>
        <w:rPr>
          <w:spacing w:val="-2"/>
        </w:rPr>
        <w:t>资产组合中进行减值测试；单独测试未发生减值的金融资产（包括单项金额重大和不重大的金融资产），包括在具有类似信</w:t>
      </w:r>
      <w:r>
        <w:rPr>
          <w:spacing w:val="-64"/>
        </w:rPr>
        <w:t> </w:t>
      </w:r>
      <w:r>
        <w:rPr>
          <w:spacing w:val="-64"/>
        </w:rPr>
      </w:r>
      <w:r>
        <w:rPr/>
        <w:t>用风险特征的金融资产组合中进行减值测试。</w:t>
      </w:r>
    </w:p>
    <w:p>
      <w:pPr>
        <w:spacing w:after="0" w:line="319" w:lineRule="auto"/>
        <w:jc w:val="both"/>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150" w:firstLine="362"/>
        <w:jc w:val="both"/>
      </w:pPr>
      <w:r>
        <w:rPr>
          <w:spacing w:val="-2"/>
        </w:rPr>
        <w:t>②按摊余成本计量的金融资产，期末有客观证据表明其发生了减值的，根据其账面价值与预计未来现金流量现值之间的</w:t>
      </w:r>
      <w:r>
        <w:rPr/>
        <w:t> </w:t>
      </w:r>
      <w:r>
        <w:rPr>
          <w:spacing w:val="-2"/>
        </w:rPr>
        <w:t>差额确认减值损失。在活跃市场中没有报价且其公允价值不能可靠计量的权益工具投资，或与该权益工具挂钩并须通过交付</w:t>
      </w:r>
      <w:r>
        <w:rPr>
          <w:spacing w:val="-64"/>
        </w:rPr>
        <w:t> </w:t>
      </w:r>
      <w:r>
        <w:rPr>
          <w:spacing w:val="-64"/>
        </w:rPr>
      </w:r>
      <w:r>
        <w:rPr>
          <w:spacing w:val="-2"/>
        </w:rPr>
        <w:t>该权益工具结算的衍生金融资产发生减值时，将该权益工具投资或衍生金融资产的账面价值，与按照类似金融资产当时市场</w:t>
      </w:r>
      <w:r>
        <w:rPr>
          <w:spacing w:val="-64"/>
        </w:rPr>
        <w:t> </w:t>
      </w:r>
      <w:r>
        <w:rPr>
          <w:spacing w:val="-64"/>
        </w:rPr>
      </w:r>
      <w:r>
        <w:rPr/>
        <w:t>收益率对未来现金流量折现确定的现值之间的差额，确认为减值损失。</w:t>
      </w:r>
    </w:p>
    <w:p>
      <w:pPr>
        <w:pStyle w:val="BodyText"/>
        <w:spacing w:line="309" w:lineRule="auto" w:before="59"/>
        <w:ind w:right="150" w:firstLine="420"/>
        <w:jc w:val="both"/>
      </w:pPr>
      <w:r>
        <w:rPr/>
        <w:t>可供出售金融资产：在资产负债表日本公司对可供出售金融资产的减值情况进行分析，判断该项金融资产公允价值是 </w:t>
      </w:r>
      <w:r>
        <w:rPr>
          <w:spacing w:val="-1"/>
        </w:rPr>
        <w:t>否持续下降。通常情况下，如果可供出售金融资产的期末公允价值相对于成本的下跌幅度已达到或超过</w:t>
      </w:r>
      <w:r>
        <w:rPr>
          <w:rFonts w:ascii="Times New Roman" w:hAnsi="Times New Roman" w:cs="Times New Roman" w:eastAsia="Times New Roman" w:hint="default"/>
          <w:spacing w:val="-1"/>
        </w:rPr>
        <w:t>50%</w:t>
      </w:r>
      <w:r>
        <w:rPr>
          <w:spacing w:val="-1"/>
        </w:rPr>
        <w:t>，或者持续下跌</w:t>
      </w:r>
      <w:r>
        <w:rPr>
          <w:spacing w:val="-88"/>
        </w:rPr>
        <w:t> </w:t>
      </w:r>
      <w:r>
        <w:rPr>
          <w:spacing w:val="-88"/>
        </w:rPr>
      </w:r>
      <w:r>
        <w:rPr>
          <w:spacing w:val="-2"/>
        </w:rPr>
        <w:t>时间已达到或超过</w:t>
      </w:r>
      <w:r>
        <w:rPr>
          <w:rFonts w:ascii="Times New Roman" w:hAnsi="Times New Roman" w:cs="Times New Roman" w:eastAsia="Times New Roman" w:hint="default"/>
          <w:spacing w:val="-2"/>
        </w:rPr>
        <w:t>12</w:t>
      </w:r>
      <w:r>
        <w:rPr>
          <w:spacing w:val="-2"/>
        </w:rPr>
        <w:t>个月，在综合考虑各种相关因素后，预期这种下降趋势属于非暂时性的，可以认定该可供出售金融资产</w:t>
      </w:r>
      <w:r>
        <w:rPr>
          <w:spacing w:val="-62"/>
        </w:rPr>
        <w:t> </w:t>
      </w:r>
      <w:r>
        <w:rPr>
          <w:spacing w:val="-62"/>
        </w:rPr>
      </w:r>
      <w:r>
        <w:rPr>
          <w:spacing w:val="-2"/>
        </w:rPr>
        <w:t>已发生减值，确认减值损失。可供出售金融资产发生减值的，在确认减值损失时，将原直接计入所有者权益的公允价值下降</w:t>
      </w:r>
      <w:r>
        <w:rPr>
          <w:spacing w:val="-66"/>
        </w:rPr>
        <w:t> </w:t>
      </w:r>
      <w:r>
        <w:rPr>
          <w:spacing w:val="-66"/>
        </w:rPr>
      </w:r>
      <w:r>
        <w:rPr/>
        <w:t>形成的累计损失一并转出，计入资产减值损失。</w:t>
      </w:r>
    </w:p>
    <w:p>
      <w:pPr>
        <w:spacing w:line="240" w:lineRule="auto" w:before="0"/>
        <w:rPr>
          <w:rFonts w:ascii="宋体" w:hAnsi="宋体" w:cs="宋体" w:eastAsia="宋体" w:hint="default"/>
          <w:sz w:val="23"/>
          <w:szCs w:val="23"/>
        </w:rPr>
      </w:pPr>
    </w:p>
    <w:p>
      <w:pPr>
        <w:pStyle w:val="Heading3"/>
        <w:spacing w:line="240" w:lineRule="auto"/>
        <w:ind w:right="135"/>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35"/>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BodyText"/>
        <w:spacing w:line="240" w:lineRule="auto"/>
        <w:ind w:left="0" w:right="161"/>
        <w:jc w:val="right"/>
      </w:pPr>
      <w:r>
        <w:rPr/>
        <w:pict>
          <v:shape style="position:absolute;margin-left:56.459999pt;margin-top:-85.368248pt;width:479.2pt;height:149.9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3"/>
                    <w:gridCol w:w="4787"/>
                  </w:tblGrid>
                  <w:tr>
                    <w:trPr>
                      <w:trHeight w:val="102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单项金额重大的应收账款、其他应收款是指单个客户金额在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万元以上（含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万元）且占全部应收账款、其他应收款</w:t>
                        </w:r>
                        <w:r>
                          <w:rPr>
                            <w:rFonts w:ascii="宋体" w:hAnsi="宋体" w:cs="宋体" w:eastAsia="宋体" w:hint="default"/>
                            <w:sz w:val="18"/>
                            <w:szCs w:val="18"/>
                          </w:rPr>
                          <w:t> 余额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以上（含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）的应收款项。</w:t>
                        </w:r>
                      </w:p>
                    </w:tc>
                  </w:tr>
                  <w:tr>
                    <w:trPr>
                      <w:trHeight w:val="196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对于单项金额重大的应收账款、其他应收款，单独进行减值 测试，根据未来现金流量现值低于其账面价值的差额，计提 坏账准备。单项金额重大的应收账款，合同尚未执行完毕的 货款收回的风险较小，坏账计提比例为</w:t>
                        </w:r>
                        <w:r>
                          <w:rPr>
                            <w:rFonts w:ascii="宋体" w:hAnsi="宋体" w:cs="宋体" w:eastAsia="宋体" w:hint="default"/>
                            <w:spacing w:val="-67"/>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。以后如有客观证</w:t>
                        </w:r>
                        <w:r>
                          <w:rPr>
                            <w:rFonts w:ascii="宋体" w:hAnsi="宋体" w:cs="宋体" w:eastAsia="宋体" w:hint="default"/>
                            <w:sz w:val="18"/>
                            <w:szCs w:val="18"/>
                          </w:rPr>
                          <w:t> 据表明价值已恢复，且客观上与确认该损失后发生的事项有 关，原确认的坏账准备予以转回，计入当期损益。</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Heading3"/>
        <w:spacing w:line="240" w:lineRule="auto" w:before="36"/>
        <w:ind w:right="135"/>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49"/>
        <w:ind w:right="135"/>
        <w:jc w:val="left"/>
      </w:pPr>
      <w:r>
        <w:rPr/>
        <w:t>组合中，采用账龄分析法计提坏账准备的：</w:t>
      </w:r>
    </w:p>
    <w:p>
      <w:pPr>
        <w:pStyle w:val="BodyText"/>
        <w:spacing w:line="240" w:lineRule="auto" w:before="115"/>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135"/>
        <w:jc w:val="left"/>
      </w:pPr>
      <w:r>
        <w:rPr/>
        <w:t>组合中，采用余额百分比法计提坏账准备的：</w:t>
      </w:r>
    </w:p>
    <w:p>
      <w:pPr>
        <w:pStyle w:val="BodyText"/>
        <w:spacing w:line="338" w:lineRule="auto" w:before="117"/>
        <w:ind w:right="65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spacing w:after="0" w:line="338"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35"/>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102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单项金额不重大但按客户的以往信用记录、正常付款周期、 合同违约情况、客户的财务状况等信用风险特征组合后风险 较大的应收款项。</w:t>
            </w:r>
          </w:p>
        </w:tc>
      </w:tr>
      <w:tr>
        <w:trPr>
          <w:trHeight w:val="1340"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根据该组合的未来现金流量现值低于其账面价值的差额，计 提坏账准备。以后如有客观证据表明该组合价值已恢复，且 客观上与确认该损失后发生的事项有关，原确认的坏账准备 予以转回，计入当期损益。</w:t>
            </w:r>
          </w:p>
        </w:tc>
      </w:tr>
    </w:tbl>
    <w:p>
      <w:pPr>
        <w:spacing w:line="240" w:lineRule="auto" w:before="3"/>
        <w:rPr>
          <w:rFonts w:ascii="宋体" w:hAnsi="宋体" w:cs="宋体" w:eastAsia="宋体" w:hint="default"/>
          <w:b/>
          <w:bCs/>
          <w:sz w:val="19"/>
          <w:szCs w:val="19"/>
        </w:rPr>
      </w:pPr>
    </w:p>
    <w:p>
      <w:pPr>
        <w:pStyle w:val="Heading3"/>
        <w:spacing w:line="240" w:lineRule="auto" w:before="36"/>
        <w:ind w:right="135"/>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6714"/>
        <w:jc w:val="left"/>
      </w:pPr>
      <w:r>
        <w:rPr/>
        <w:t>公司是否需要遵守特殊行业的披露要求 是</w:t>
      </w:r>
    </w:p>
    <w:p>
      <w:pPr>
        <w:pStyle w:val="BodyText"/>
        <w:spacing w:line="240" w:lineRule="auto" w:before="27"/>
        <w:ind w:right="135"/>
        <w:jc w:val="left"/>
      </w:pPr>
      <w:r>
        <w:rPr/>
        <w:t>光伏产业链相关业</w:t>
      </w:r>
    </w:p>
    <w:p>
      <w:pPr>
        <w:pStyle w:val="BodyText"/>
        <w:spacing w:line="309" w:lineRule="auto" w:before="115"/>
        <w:ind w:right="203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存货分类</w:t>
      </w:r>
      <w:r>
        <w:rPr>
          <w:w w:val="99"/>
        </w:rPr>
        <w:t> </w:t>
      </w:r>
      <w:r>
        <w:rPr/>
        <w:t>公司存货包括生产经营过程中为销售或耗用而持有的原材料、低值易耗品、在产品、库存商品等。</w:t>
      </w:r>
      <w:r>
        <w:rPr>
          <w:w w:val="99"/>
        </w:rPr>
        <w:t> </w:t>
      </w: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存货取得和发出的计价方法</w:t>
      </w:r>
    </w:p>
    <w:p>
      <w:pPr>
        <w:pStyle w:val="BodyText"/>
        <w:spacing w:line="240" w:lineRule="auto" w:before="5"/>
        <w:ind w:right="135"/>
        <w:jc w:val="left"/>
      </w:pPr>
      <w:r>
        <w:rPr/>
        <w:t>①库存商品入库时按实际成本记账，发出时采用个别认定法核算。</w:t>
      </w:r>
    </w:p>
    <w:p>
      <w:pPr>
        <w:pStyle w:val="BodyText"/>
        <w:spacing w:line="240" w:lineRule="auto" w:before="77"/>
        <w:ind w:right="135"/>
        <w:jc w:val="left"/>
      </w:pPr>
      <w:r>
        <w:rPr/>
        <w:t>②除库存商品外的其他存货按实际成本记账，发出时采用加权平均法核算。</w:t>
      </w:r>
    </w:p>
    <w:p>
      <w:pPr>
        <w:pStyle w:val="BodyText"/>
        <w:spacing w:line="240" w:lineRule="auto" w:before="76"/>
        <w:ind w:right="135"/>
        <w:jc w:val="left"/>
      </w:pPr>
      <w:r>
        <w:rPr/>
        <w:t>③低值易耗品采用一次摊销法核算。</w:t>
      </w:r>
    </w:p>
    <w:p>
      <w:pPr>
        <w:pStyle w:val="BodyText"/>
        <w:spacing w:line="309" w:lineRule="auto" w:before="76"/>
        <w:ind w:right="6354"/>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存货数量的盘存方法</w:t>
      </w:r>
      <w:r>
        <w:rPr>
          <w:w w:val="99"/>
        </w:rPr>
        <w:t> </w:t>
      </w:r>
      <w:r>
        <w:rPr/>
        <w:t>公司存货数量的盘存方法采用永续盘存制。</w:t>
      </w:r>
      <w:r>
        <w:rPr>
          <w:w w:val="99"/>
        </w:rPr>
        <w:t> </w:t>
      </w:r>
      <w:r>
        <w:rPr>
          <w:rFonts w:ascii="Times New Roman" w:hAnsi="Times New Roman" w:cs="Times New Roman" w:eastAsia="Times New Roman" w:hint="default"/>
        </w:rPr>
        <w:t>(4)</w:t>
      </w:r>
      <w:r>
        <w:rPr>
          <w:rFonts w:ascii="Times New Roman" w:hAnsi="Times New Roman" w:cs="Times New Roman" w:eastAsia="Times New Roman" w:hint="default"/>
          <w:spacing w:val="28"/>
        </w:rPr>
        <w:t> </w:t>
      </w:r>
      <w:r>
        <w:rPr/>
        <w:t>存货跌价准备</w:t>
      </w:r>
    </w:p>
    <w:p>
      <w:pPr>
        <w:pStyle w:val="BodyText"/>
        <w:spacing w:line="316" w:lineRule="auto" w:before="5"/>
        <w:ind w:right="135"/>
        <w:jc w:val="left"/>
      </w:pPr>
      <w:r>
        <w:rPr/>
        <w:t>资产负债表日，公司存货按照成本与可变现净值孰低计量，并按单个存货项目的可变现净值低于存货成本的差额，计提 </w:t>
      </w:r>
      <w:r>
        <w:rPr>
          <w:spacing w:val="-2"/>
        </w:rPr>
        <w:t>存货跌价准备，计入当期损益；以前减记存货价值的影响因素已经消失的，减记的金额予以恢复，并在原已计提的存货跌价</w:t>
      </w:r>
      <w:r>
        <w:rPr>
          <w:spacing w:val="-65"/>
        </w:rPr>
        <w:t> </w:t>
      </w:r>
      <w:r>
        <w:rPr>
          <w:spacing w:val="-65"/>
        </w:rPr>
      </w:r>
      <w:r>
        <w:rPr/>
        <w:t>准备金额内转回，转回的金额计入当期损益。 存货可变现净值是指在日常活动中，存货的估计售价减去至完工时估计将要发生的成本、估计的销售费用以及相关税费 后的金额。</w:t>
      </w:r>
    </w:p>
    <w:p>
      <w:pPr>
        <w:pStyle w:val="Heading3"/>
        <w:spacing w:line="614" w:lineRule="exact" w:before="53"/>
        <w:ind w:left="578" w:right="5814" w:hanging="426"/>
        <w:jc w:val="left"/>
        <w:rPr>
          <w:b w:val="0"/>
          <w:bCs w:val="0"/>
        </w:rPr>
      </w:pPr>
      <w:r>
        <w:rPr>
          <w:rFonts w:ascii="Times New Roman" w:hAnsi="Times New Roman" w:cs="Times New Roman" w:eastAsia="Times New Roman" w:hint="default"/>
        </w:rPr>
        <w:t>13</w:t>
      </w:r>
      <w:r>
        <w:rPr/>
        <w:t>、持有待售资产</w:t>
      </w:r>
      <w:r>
        <w:rPr>
          <w:w w:val="100"/>
        </w:rPr>
        <w:t> </w:t>
      </w:r>
      <w:r>
        <w:rPr>
          <w:rFonts w:ascii="Times New Roman" w:hAnsi="Times New Roman" w:cs="Times New Roman" w:eastAsia="Times New Roman" w:hint="default"/>
          <w:spacing w:val="-1"/>
        </w:rPr>
        <w:t>(1)</w:t>
      </w:r>
      <w:r>
        <w:rPr>
          <w:spacing w:val="-1"/>
        </w:rPr>
        <w:t>划分为持有待售的资产确认标准</w:t>
      </w:r>
      <w:r>
        <w:rPr>
          <w:b w:val="0"/>
          <w:bCs w:val="0"/>
          <w:spacing w:val="-1"/>
        </w:rPr>
      </w:r>
    </w:p>
    <w:p>
      <w:pPr>
        <w:pStyle w:val="BodyText"/>
        <w:spacing w:line="214" w:lineRule="exact"/>
        <w:ind w:left="515" w:right="135"/>
        <w:jc w:val="left"/>
      </w:pPr>
      <w:r>
        <w:rPr/>
        <w:t>同时满足下列条件</w:t>
      </w:r>
      <w:r>
        <w:rPr>
          <w:rFonts w:ascii="Times New Roman" w:hAnsi="Times New Roman" w:cs="Times New Roman" w:eastAsia="Times New Roman" w:hint="default"/>
        </w:rPr>
        <w:t>:</w:t>
      </w:r>
      <w:r>
        <w:rPr/>
        <w:t>公司已经就处置该资产作出决议；公司已经与受让方签订了不可撤消的转让协议；该项资产转让将</w:t>
      </w:r>
    </w:p>
    <w:p>
      <w:pPr>
        <w:pStyle w:val="BodyText"/>
        <w:spacing w:line="240" w:lineRule="auto" w:before="63"/>
        <w:ind w:right="135"/>
        <w:jc w:val="left"/>
      </w:pPr>
      <w:r>
        <w:rPr/>
        <w:t>在一年内完成。</w:t>
      </w:r>
    </w:p>
    <w:p>
      <w:pPr>
        <w:pStyle w:val="Heading3"/>
        <w:spacing w:line="240" w:lineRule="auto" w:before="56"/>
        <w:ind w:left="578" w:right="135"/>
        <w:jc w:val="left"/>
        <w:rPr>
          <w:b w:val="0"/>
          <w:bCs w:val="0"/>
        </w:rPr>
      </w:pPr>
      <w:r>
        <w:rPr>
          <w:rFonts w:ascii="Times New Roman" w:hAnsi="Times New Roman" w:cs="Times New Roman" w:eastAsia="Times New Roman" w:hint="default"/>
        </w:rPr>
        <w:t>(2)</w:t>
      </w:r>
      <w:r>
        <w:rPr/>
        <w:t>划分为持有待售的资产会计处理</w:t>
      </w:r>
      <w:r>
        <w:rPr>
          <w:b w:val="0"/>
          <w:bCs w:val="0"/>
        </w:rPr>
      </w:r>
    </w:p>
    <w:p>
      <w:pPr>
        <w:pStyle w:val="BodyText"/>
        <w:spacing w:line="309" w:lineRule="auto" w:before="42"/>
        <w:ind w:right="150" w:firstLine="362"/>
        <w:jc w:val="both"/>
      </w:pPr>
      <w:r>
        <w:rPr/>
        <w:t>对于持有待售的固定资产</w:t>
      </w:r>
      <w:r>
        <w:rPr>
          <w:rFonts w:ascii="Times New Roman" w:hAnsi="Times New Roman" w:cs="Times New Roman" w:eastAsia="Times New Roman" w:hint="default"/>
        </w:rPr>
        <w:t>,</w:t>
      </w:r>
      <w:r>
        <w:rPr/>
        <w:t>应当调整该项固定资产的预计净残值，使该固定资产的预计净残值反映其公允价值减去处置 </w:t>
      </w:r>
      <w:r>
        <w:rPr>
          <w:spacing w:val="-2"/>
        </w:rPr>
        <w:t>费用后的金额，但不得超过符合持有待售条件时该项固定资产的原账面价值，原账面价值高于调整后预计净残值的差额，应</w:t>
      </w:r>
      <w:r>
        <w:rPr>
          <w:spacing w:val="-63"/>
        </w:rPr>
        <w:t> </w:t>
      </w:r>
      <w:r>
        <w:rPr>
          <w:spacing w:val="-63"/>
        </w:rPr>
      </w:r>
      <w:r>
        <w:rPr/>
        <w:t>作为资产减值损失计入当期损益。</w:t>
      </w:r>
    </w:p>
    <w:p>
      <w:pPr>
        <w:pStyle w:val="BodyText"/>
        <w:spacing w:line="319" w:lineRule="auto" w:before="24"/>
        <w:ind w:right="151" w:firstLine="362"/>
        <w:jc w:val="both"/>
      </w:pPr>
      <w:r>
        <w:rPr>
          <w:spacing w:val="-2"/>
        </w:rPr>
        <w:t>对于持有待售其他非流动资产，比照上述原则处理，持有待售的非流动资产包括单项资产和处置组，处置组是指作为整</w:t>
      </w:r>
      <w:r>
        <w:rPr/>
        <w:t> 体出售或其他方式一并处置的一组资产以及在该交易中转让的与这些资产直接相关的负债。</w:t>
      </w:r>
    </w:p>
    <w:p>
      <w:pPr>
        <w:spacing w:after="0" w:line="319"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6754"/>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578" w:right="6754"/>
        <w:jc w:val="left"/>
        <w:rPr>
          <w:b w:val="0"/>
          <w:bCs w:val="0"/>
        </w:rPr>
      </w:pPr>
      <w:r>
        <w:rPr>
          <w:rFonts w:ascii="Times New Roman" w:hAnsi="Times New Roman" w:cs="Times New Roman" w:eastAsia="Times New Roman" w:hint="default"/>
        </w:rPr>
        <w:t>(1)</w:t>
      </w:r>
      <w:r>
        <w:rPr/>
        <w:t>初始投资成本确定</w:t>
      </w:r>
      <w:r>
        <w:rPr>
          <w:b w:val="0"/>
          <w:bCs w:val="0"/>
        </w:rPr>
      </w:r>
    </w:p>
    <w:p>
      <w:pPr>
        <w:pStyle w:val="BodyText"/>
        <w:spacing w:line="316" w:lineRule="auto" w:before="42"/>
        <w:ind w:right="93" w:firstLine="362"/>
        <w:jc w:val="left"/>
      </w:pPr>
      <w:r>
        <w:rPr>
          <w:spacing w:val="-2"/>
        </w:rPr>
        <w:t>①对于企业合并取得的长期股权投资，如为同一控制下的企业合并，应当按照取得被合并方所有者权益账面价值的份额</w:t>
      </w:r>
      <w:r>
        <w:rPr/>
        <w:t> 确认为初始成本；非同一控制下的企业合并，应当按购买日确定的合并成本确认为初始成本；</w:t>
      </w:r>
    </w:p>
    <w:p>
      <w:pPr>
        <w:pStyle w:val="BodyText"/>
        <w:spacing w:line="240" w:lineRule="auto" w:before="19"/>
        <w:ind w:left="515" w:right="93"/>
        <w:jc w:val="left"/>
      </w:pPr>
      <w:r>
        <w:rPr/>
        <w:t>②以支付现金取得的长期股权投资，初始投资成本为实际支付的购买价款；</w:t>
      </w:r>
    </w:p>
    <w:p>
      <w:pPr>
        <w:pStyle w:val="BodyText"/>
        <w:spacing w:line="240" w:lineRule="auto" w:before="76"/>
        <w:ind w:left="515" w:right="93"/>
        <w:jc w:val="left"/>
      </w:pPr>
      <w:r>
        <w:rPr/>
        <w:t>③以发行权益性证券取得的长期股权投资，初始投资成本为发行权益性证券的公允价值；</w:t>
      </w:r>
    </w:p>
    <w:p>
      <w:pPr>
        <w:pStyle w:val="BodyText"/>
        <w:spacing w:line="240" w:lineRule="auto" w:before="76"/>
        <w:ind w:left="515" w:right="93"/>
        <w:jc w:val="left"/>
      </w:pPr>
      <w:r>
        <w:rPr>
          <w:spacing w:val="-4"/>
        </w:rPr>
        <w:t>④通过债务重组取得的长期股权投资，其初始投资成本应当按照《企业会计准则第</w:t>
      </w:r>
      <w:r>
        <w:rPr>
          <w:rFonts w:ascii="Times New Roman" w:hAnsi="Times New Roman" w:cs="Times New Roman" w:eastAsia="Times New Roman" w:hint="default"/>
          <w:spacing w:val="-4"/>
        </w:rPr>
        <w:t>12</w:t>
      </w:r>
      <w:r>
        <w:rPr>
          <w:spacing w:val="-4"/>
        </w:rPr>
        <w:t>号</w:t>
      </w:r>
      <w:r>
        <w:rPr>
          <w:rFonts w:ascii="Times New Roman" w:hAnsi="Times New Roman" w:cs="Times New Roman" w:eastAsia="Times New Roman" w:hint="default"/>
          <w:spacing w:val="-4"/>
        </w:rPr>
        <w:t>——</w:t>
      </w:r>
      <w:r>
        <w:rPr>
          <w:spacing w:val="-4"/>
        </w:rPr>
        <w:t>债务重组》的有关规定确定；</w:t>
      </w:r>
    </w:p>
    <w:p>
      <w:pPr>
        <w:pStyle w:val="BodyText"/>
        <w:spacing w:line="240" w:lineRule="auto" w:before="63"/>
        <w:ind w:left="515" w:right="93"/>
        <w:jc w:val="left"/>
      </w:pPr>
      <w:r>
        <w:rPr/>
        <w:t>⑤非货币性资产交换取得，初始投资成本根据准则相关规定确定。</w:t>
      </w:r>
    </w:p>
    <w:p>
      <w:pPr>
        <w:pStyle w:val="Heading3"/>
        <w:spacing w:line="240" w:lineRule="auto" w:before="56"/>
        <w:ind w:left="578" w:right="6754"/>
        <w:jc w:val="left"/>
        <w:rPr>
          <w:b w:val="0"/>
          <w:bCs w:val="0"/>
        </w:rPr>
      </w:pPr>
      <w:r>
        <w:rPr>
          <w:rFonts w:ascii="Times New Roman" w:hAnsi="Times New Roman" w:cs="Times New Roman" w:eastAsia="Times New Roman" w:hint="default"/>
        </w:rPr>
        <w:t>(2)</w:t>
      </w:r>
      <w:r>
        <w:rPr/>
        <w:t>后续计量及损益确认方法</w:t>
      </w:r>
      <w:r>
        <w:rPr>
          <w:b w:val="0"/>
          <w:bCs w:val="0"/>
        </w:rPr>
      </w:r>
    </w:p>
    <w:p>
      <w:pPr>
        <w:pStyle w:val="BodyText"/>
        <w:spacing w:line="319" w:lineRule="auto" w:before="42"/>
        <w:ind w:right="93" w:firstLine="362"/>
        <w:jc w:val="left"/>
      </w:pPr>
      <w:r>
        <w:rPr>
          <w:spacing w:val="-2"/>
        </w:rPr>
        <w:t>投资方能够对被投资单位实施控制的长期股权投资应当采用成本法核算。采用成本法核算的长期股权投资，除追加或收</w:t>
      </w:r>
      <w:r>
        <w:rPr/>
        <w:t> 回投资外，账面价值一般不变。当宣告分派的利润或现金股利计算应分得的部分，确认投资收益。</w:t>
      </w:r>
    </w:p>
    <w:p>
      <w:pPr>
        <w:pStyle w:val="BodyText"/>
        <w:spacing w:line="314" w:lineRule="auto" w:before="17"/>
        <w:ind w:right="190" w:firstLine="362"/>
        <w:jc w:val="both"/>
      </w:pPr>
      <w:r>
        <w:rPr>
          <w:spacing w:val="-2"/>
        </w:rPr>
        <w:t>投资方对联营企业和合营企业的长期股权投资采用权益法核算。投资方对联营企业的权益性投资，其中一部分通过风险</w:t>
      </w:r>
      <w:r>
        <w:rPr/>
        <w:t> </w:t>
      </w:r>
      <w:r>
        <w:rPr>
          <w:spacing w:val="-2"/>
        </w:rPr>
        <w:t>投资机构、共同基金、信托公司或包括投连险基金在内的类似主体间接持有的，无论以上主体是否对这部分投资具有重大影</w:t>
      </w:r>
      <w:r>
        <w:rPr>
          <w:spacing w:val="-65"/>
        </w:rPr>
        <w:t> </w:t>
      </w:r>
      <w:r>
        <w:rPr>
          <w:spacing w:val="-65"/>
        </w:rPr>
      </w:r>
      <w:r>
        <w:rPr>
          <w:spacing w:val="-2"/>
        </w:rPr>
        <w:t>响，投资方都可以按照《企业会计准则第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金融工具确认和计量》的有关规定，对间接持有的该部分投资选择以公允</w:t>
      </w:r>
      <w:r>
        <w:rPr>
          <w:spacing w:val="-64"/>
        </w:rPr>
        <w:t> </w:t>
      </w:r>
      <w:r>
        <w:rPr>
          <w:spacing w:val="-64"/>
        </w:rPr>
      </w:r>
      <w:r>
        <w:rPr>
          <w:spacing w:val="-2"/>
        </w:rPr>
        <w:t>价值计量且其变动计入损益，并对其余部分采用权益法核算。采用权益法核算的长期股权投资，按照应享有或应分担的被投</w:t>
      </w:r>
      <w:r>
        <w:rPr>
          <w:spacing w:val="-63"/>
        </w:rPr>
        <w:t> </w:t>
      </w:r>
      <w:r>
        <w:rPr>
          <w:spacing w:val="-63"/>
        </w:rPr>
      </w:r>
      <w:r>
        <w:rPr>
          <w:spacing w:val="-2"/>
        </w:rPr>
        <w:t>资单位实现的净损益的份额，确认投资收益并调整长期股权投资。当宣告分派的利润或现金股利计算应分得的部分，相应减</w:t>
      </w:r>
      <w:r>
        <w:rPr>
          <w:spacing w:val="-63"/>
        </w:rPr>
        <w:t> </w:t>
      </w:r>
      <w:r>
        <w:rPr>
          <w:spacing w:val="-63"/>
        </w:rPr>
      </w:r>
      <w:r>
        <w:rPr/>
        <w:t>少长期股权投资的账面价值。</w:t>
      </w:r>
    </w:p>
    <w:p>
      <w:pPr>
        <w:pStyle w:val="Heading3"/>
        <w:spacing w:line="240" w:lineRule="auto"/>
        <w:ind w:left="578" w:right="93"/>
        <w:jc w:val="left"/>
        <w:rPr>
          <w:b w:val="0"/>
          <w:bCs w:val="0"/>
        </w:rPr>
      </w:pPr>
      <w:r>
        <w:rPr>
          <w:rFonts w:ascii="Times New Roman" w:hAnsi="Times New Roman" w:cs="Times New Roman" w:eastAsia="Times New Roman" w:hint="default"/>
        </w:rPr>
        <w:t>(3)</w:t>
      </w:r>
      <w:r>
        <w:rPr/>
        <w:t>长期股权投资核算方法的转换</w:t>
      </w:r>
      <w:r>
        <w:rPr>
          <w:b w:val="0"/>
          <w:bCs w:val="0"/>
        </w:rPr>
      </w:r>
    </w:p>
    <w:p>
      <w:pPr>
        <w:pStyle w:val="BodyText"/>
        <w:spacing w:line="319" w:lineRule="auto" w:before="42"/>
        <w:ind w:right="94" w:firstLine="362"/>
        <w:jc w:val="left"/>
      </w:pPr>
      <w:r>
        <w:rPr>
          <w:spacing w:val="-2"/>
        </w:rPr>
        <w:t>公允价值计量转权益法核算：原持有的对被投资单位的股权投资（不具有控制、共同控制或重大影响的），按照金融工</w:t>
      </w:r>
      <w:r>
        <w:rPr/>
        <w:t> 具确认和计量准则进行会计处理的，因追加投资等原因导致持股比例上升，能够对被投资单位施加共同控制或重大影响的， </w:t>
      </w:r>
      <w:r>
        <w:rPr>
          <w:spacing w:val="-2"/>
        </w:rPr>
        <w:t>在转按权益法核算时，投资方应当按照金融工具确认和计量准则确定的原股权投资的公允价值加上为取得新增投资而应支付</w:t>
      </w:r>
      <w:r>
        <w:rPr>
          <w:spacing w:val="-64"/>
        </w:rPr>
        <w:t> </w:t>
      </w:r>
      <w:r>
        <w:rPr>
          <w:spacing w:val="-64"/>
        </w:rPr>
      </w:r>
      <w:r>
        <w:rPr/>
        <w:t>对价的公允价值，作为改按权益法核算的初始投资成本。</w:t>
      </w:r>
    </w:p>
    <w:p>
      <w:pPr>
        <w:pStyle w:val="BodyText"/>
        <w:spacing w:line="316" w:lineRule="auto" w:before="17"/>
        <w:ind w:right="94" w:firstLine="362"/>
        <w:jc w:val="left"/>
      </w:pPr>
      <w:r>
        <w:rPr>
          <w:spacing w:val="-2"/>
        </w:rPr>
        <w:t>公允价值计量或权益法核算转成本法核算：投资方原持有的对被投资单位不具有控制、共同控制或重大影响的按照金融</w:t>
      </w:r>
      <w:r>
        <w:rPr/>
        <w:t> 工具确认和计量准则进行会计处理的权益性投资，或者原持有对联营企业、合营企业的长期股权投资，因追加投资等原因， 能够对被投资单位实施控制的，按有关企业合并形成的长期股权投资进行会计处理。</w:t>
      </w:r>
    </w:p>
    <w:p>
      <w:pPr>
        <w:pStyle w:val="BodyText"/>
        <w:spacing w:line="316" w:lineRule="auto" w:before="19"/>
        <w:ind w:right="192" w:firstLine="362"/>
        <w:jc w:val="both"/>
      </w:pPr>
      <w:r>
        <w:rPr>
          <w:spacing w:val="-2"/>
        </w:rPr>
        <w:t>权益法核算转公允价值计量：原持有的对被投资单位具有共同控制或重大影响的长期股权投资，因部分处置等原因导致</w:t>
      </w:r>
      <w:r>
        <w:rPr/>
        <w:t> </w:t>
      </w:r>
      <w:r>
        <w:rPr>
          <w:spacing w:val="-2"/>
        </w:rPr>
        <w:t>持股比例下降，不能再对被投资单位实施共同控制或重大影响的，应改按金融工具确认和计量准则对剩余股权投资进行会计</w:t>
      </w:r>
      <w:r>
        <w:rPr>
          <w:spacing w:val="-64"/>
        </w:rPr>
        <w:t> </w:t>
      </w:r>
      <w:r>
        <w:rPr>
          <w:spacing w:val="-64"/>
        </w:rPr>
      </w:r>
      <w:r>
        <w:rPr/>
        <w:t>处理，其在丧失共同控制或重大影响之目的公允价值与账面价值之间的差额计入当期损益。</w:t>
      </w:r>
    </w:p>
    <w:p>
      <w:pPr>
        <w:pStyle w:val="BodyText"/>
        <w:spacing w:line="319" w:lineRule="auto" w:before="19"/>
        <w:ind w:right="94" w:firstLine="362"/>
        <w:jc w:val="left"/>
      </w:pPr>
      <w:r>
        <w:rPr>
          <w:spacing w:val="-2"/>
        </w:rPr>
        <w:t>成本法转权益法：因处置投资等原因导致对被投资单位由能够实施控制转为具有重大影响或者与其他投资方一起实施共</w:t>
      </w:r>
      <w:r>
        <w:rPr/>
        <w:t> </w:t>
      </w:r>
      <w:r>
        <w:rPr>
          <w:spacing w:val="-2"/>
        </w:rPr>
        <w:t>同控制的，首先应按处置投资的比例结转应终止确认的长期股权投资成本。然后比较剩余长期股权投资的成本与按照剩余持</w:t>
      </w:r>
      <w:r>
        <w:rPr>
          <w:spacing w:val="-64"/>
        </w:rPr>
        <w:t> </w:t>
      </w:r>
      <w:r>
        <w:rPr>
          <w:spacing w:val="-64"/>
        </w:rPr>
      </w:r>
      <w:r>
        <w:rPr/>
        <w:t>股比例计算原投资时应享有被投资单位可辨认净资产公允价值的份额，前者大于后者的，属于投资作价中体现的商誉部分， 不调整长期股权投资的账面价值；前者小于后者的，在调整长期股权投资成本的同时，调整留存收益。</w:t>
      </w:r>
    </w:p>
    <w:p>
      <w:pPr>
        <w:pStyle w:val="Heading3"/>
        <w:spacing w:line="287" w:lineRule="exact"/>
        <w:ind w:left="578" w:right="93"/>
        <w:jc w:val="left"/>
        <w:rPr>
          <w:b w:val="0"/>
          <w:bCs w:val="0"/>
        </w:rPr>
      </w:pPr>
      <w:r>
        <w:rPr>
          <w:rFonts w:ascii="Times New Roman" w:hAnsi="Times New Roman" w:cs="Times New Roman" w:eastAsia="Times New Roman" w:hint="default"/>
        </w:rPr>
        <w:t>(4)</w:t>
      </w:r>
      <w:r>
        <w:rPr/>
        <w:t>确定对被投资单位具有共同控制、重大影响的依据</w:t>
      </w:r>
      <w:r>
        <w:rPr>
          <w:b w:val="0"/>
          <w:bCs w:val="0"/>
        </w:rPr>
      </w:r>
    </w:p>
    <w:p>
      <w:pPr>
        <w:pStyle w:val="BodyText"/>
        <w:spacing w:line="314" w:lineRule="auto" w:before="42"/>
        <w:ind w:right="93" w:firstLine="362"/>
        <w:jc w:val="left"/>
      </w:pPr>
      <w:r>
        <w:rPr>
          <w:spacing w:val="-2"/>
        </w:rPr>
        <w:t>①确定对被投资单位具有共同控制的依据：是指对某项安排的回报产生重大影响的活动必须经过分享控制权的参与方一</w:t>
      </w:r>
      <w:r>
        <w:rPr/>
        <w:t> </w:t>
      </w:r>
      <w:r>
        <w:rPr>
          <w:spacing w:val="-4"/>
        </w:rPr>
        <w:t>致同意后才能决策。包括商品或劳务的销售和购买、金融资产的管理、资产的购买和处置、研究与开发活动以及融资活动等。</w:t>
      </w:r>
    </w:p>
    <w:p>
      <w:pPr>
        <w:pStyle w:val="BodyText"/>
        <w:spacing w:line="300" w:lineRule="auto" w:before="20"/>
        <w:ind w:right="93" w:firstLine="362"/>
        <w:jc w:val="left"/>
      </w:pPr>
      <w:r>
        <w:rPr>
          <w:spacing w:val="-1"/>
        </w:rPr>
        <w:t>②确定对被投资单位具有重大影响的依据：当持有被投资单位</w:t>
      </w:r>
      <w:r>
        <w:rPr>
          <w:rFonts w:ascii="Times New Roman" w:hAnsi="Times New Roman" w:cs="Times New Roman" w:eastAsia="Times New Roman" w:hint="default"/>
          <w:spacing w:val="-1"/>
        </w:rPr>
        <w:t>20%</w:t>
      </w:r>
      <w:r>
        <w:rPr>
          <w:spacing w:val="-1"/>
        </w:rPr>
        <w:t>以上至</w:t>
      </w:r>
      <w:r>
        <w:rPr>
          <w:rFonts w:ascii="Times New Roman" w:hAnsi="Times New Roman" w:cs="Times New Roman" w:eastAsia="Times New Roman" w:hint="default"/>
          <w:spacing w:val="-1"/>
        </w:rPr>
        <w:t>50%</w:t>
      </w:r>
      <w:r>
        <w:rPr>
          <w:spacing w:val="-1"/>
        </w:rPr>
        <w:t>的表决权资本时，具有重大影响。或虽不</w:t>
      </w:r>
      <w:r>
        <w:rPr/>
        <w:t> 足</w:t>
      </w:r>
      <w:r>
        <w:rPr>
          <w:rFonts w:ascii="Times New Roman" w:hAnsi="Times New Roman" w:cs="Times New Roman" w:eastAsia="Times New Roman" w:hint="default"/>
        </w:rPr>
        <w:t>20%</w:t>
      </w:r>
      <w:r>
        <w:rPr/>
        <w:t>，但符合下列条件之一时，具有重大影响：</w:t>
      </w:r>
    </w:p>
    <w:p>
      <w:pPr>
        <w:pStyle w:val="BodyText"/>
        <w:spacing w:line="297" w:lineRule="auto" w:before="13"/>
        <w:ind w:left="515" w:right="4821"/>
        <w:jc w:val="left"/>
        <w:rPr>
          <w:rFonts w:ascii="宋体" w:hAnsi="宋体" w:cs="宋体" w:eastAsia="宋体" w:hint="default"/>
          <w:sz w:val="21"/>
          <w:szCs w:val="21"/>
        </w:rPr>
      </w:pPr>
      <w:r>
        <w:rPr>
          <w:rFonts w:ascii="Times New Roman" w:hAnsi="Times New Roman" w:cs="Times New Roman" w:eastAsia="Times New Roman" w:hint="default"/>
        </w:rPr>
        <w:t>A</w:t>
      </w:r>
      <w:r>
        <w:rPr/>
        <w:t>、在被投资单位的董事会或类似的权力机构中派有代表； </w:t>
      </w:r>
      <w:r>
        <w:rPr>
          <w:rFonts w:ascii="Times New Roman" w:hAnsi="Times New Roman" w:cs="Times New Roman" w:eastAsia="Times New Roman" w:hint="default"/>
        </w:rPr>
        <w:t>B</w:t>
      </w:r>
      <w:r>
        <w:rPr/>
        <w:t>、参与被投资单位的政策制定过程； </w:t>
      </w:r>
      <w:r>
        <w:rPr>
          <w:rFonts w:ascii="Times New Roman" w:hAnsi="Times New Roman" w:cs="Times New Roman" w:eastAsia="Times New Roman" w:hint="default"/>
        </w:rPr>
        <w:t>C</w:t>
      </w:r>
      <w:r>
        <w:rPr/>
        <w:t>、向被投资单位派出管理人员； </w:t>
      </w:r>
      <w:r>
        <w:rPr>
          <w:rFonts w:ascii="Times New Roman" w:hAnsi="Times New Roman" w:cs="Times New Roman" w:eastAsia="Times New Roman" w:hint="default"/>
        </w:rPr>
        <w:t>D</w:t>
      </w:r>
      <w:r>
        <w:rPr/>
        <w:t>、被投资单位依赖投资公司的技术或技术资料； </w:t>
      </w:r>
      <w:r>
        <w:rPr>
          <w:rFonts w:ascii="Times New Roman" w:hAnsi="Times New Roman" w:cs="Times New Roman" w:eastAsia="Times New Roman" w:hint="default"/>
        </w:rPr>
        <w:t>E</w:t>
      </w:r>
      <w:r>
        <w:rPr/>
        <w:t>、与被投资单位之间发生重要交易。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减值测试方法及减值准备计提方法</w:t>
      </w:r>
      <w:r>
        <w:rPr>
          <w:rFonts w:ascii="宋体" w:hAnsi="宋体" w:cs="宋体" w:eastAsia="宋体" w:hint="default"/>
          <w:sz w:val="21"/>
          <w:szCs w:val="21"/>
        </w:rPr>
      </w:r>
    </w:p>
    <w:p>
      <w:pPr>
        <w:spacing w:after="0" w:line="297" w:lineRule="auto"/>
        <w:jc w:val="left"/>
        <w:rPr>
          <w:rFonts w:ascii="宋体" w:hAnsi="宋体" w:cs="宋体" w:eastAsia="宋体" w:hint="default"/>
          <w:sz w:val="21"/>
          <w:szCs w:val="21"/>
        </w:rPr>
        <w:sectPr>
          <w:pgSz w:w="11910" w:h="16840"/>
          <w:pgMar w:header="745" w:footer="979" w:top="1060" w:bottom="1160" w:left="980" w:right="940"/>
        </w:sectPr>
      </w:pPr>
    </w:p>
    <w:p>
      <w:pPr>
        <w:spacing w:line="240" w:lineRule="auto" w:before="10"/>
        <w:rPr>
          <w:rFonts w:ascii="宋体" w:hAnsi="宋体" w:cs="宋体" w:eastAsia="宋体" w:hint="default"/>
          <w:b/>
          <w:bCs/>
          <w:sz w:val="25"/>
          <w:szCs w:val="25"/>
        </w:rPr>
      </w:pPr>
    </w:p>
    <w:p>
      <w:pPr>
        <w:pStyle w:val="BodyText"/>
        <w:spacing w:line="316" w:lineRule="auto" w:before="44"/>
        <w:ind w:right="135" w:firstLine="362"/>
        <w:jc w:val="left"/>
      </w:pPr>
      <w:r>
        <w:rPr>
          <w:spacing w:val="-2"/>
        </w:rPr>
        <w:t>资产负债表日，本公司对长期股权投资检查是否存在可能发生减值的迹象，当存在减值迹象时应进行减值测试确认其可</w:t>
      </w:r>
      <w:r>
        <w:rPr/>
        <w:t> 收回金额，按可收回金额低于账面价值部分计提减值准备，减值损失一经计提，在以后会计期间不再转回。</w:t>
      </w:r>
    </w:p>
    <w:p>
      <w:pPr>
        <w:pStyle w:val="BodyText"/>
        <w:spacing w:line="240" w:lineRule="auto" w:before="19"/>
        <w:ind w:left="515" w:right="135"/>
        <w:jc w:val="left"/>
      </w:pPr>
      <w:r>
        <w:rPr/>
        <w:t>可收回金额按照长期股权投资出售的公允价值净额与预计未来现金流量的现值之间孰高确定。</w:t>
      </w:r>
    </w:p>
    <w:p>
      <w:pPr>
        <w:spacing w:line="240" w:lineRule="auto" w:before="0"/>
        <w:rPr>
          <w:rFonts w:ascii="宋体" w:hAnsi="宋体" w:cs="宋体" w:eastAsia="宋体" w:hint="default"/>
          <w:sz w:val="18"/>
          <w:szCs w:val="18"/>
        </w:rPr>
      </w:pPr>
    </w:p>
    <w:p>
      <w:pPr>
        <w:pStyle w:val="Heading3"/>
        <w:spacing w:line="240" w:lineRule="auto" w:before="120"/>
        <w:ind w:right="135"/>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974"/>
        <w:jc w:val="left"/>
      </w:pPr>
      <w:r>
        <w:rPr/>
        <w:t>投资性房地产计量模式 成本法计量 折旧或摊销方法</w:t>
      </w:r>
    </w:p>
    <w:p>
      <w:pPr>
        <w:pStyle w:val="BodyText"/>
        <w:spacing w:line="316" w:lineRule="auto" w:before="29"/>
        <w:ind w:left="515" w:right="1671"/>
        <w:jc w:val="left"/>
      </w:pPr>
      <w:r>
        <w:rPr/>
        <w:t>投资性房地产指能够单独计量和出售的，为赚取租金或资本增值，或者两者兼有而持有的房地产。 投资性房地产取得时按照成本进行初始计量。</w:t>
      </w:r>
    </w:p>
    <w:p>
      <w:pPr>
        <w:pStyle w:val="BodyText"/>
        <w:spacing w:line="316" w:lineRule="auto" w:before="19"/>
        <w:ind w:left="515" w:right="135"/>
        <w:jc w:val="left"/>
      </w:pPr>
      <w:r>
        <w:rPr/>
        <w:t>公司对投资性房地产采用成本模式进行后续计量。 </w:t>
      </w:r>
      <w:r>
        <w:rPr>
          <w:spacing w:val="-2"/>
        </w:rPr>
        <w:t>采用成本模式计量的建筑物的后续计量采用与本公司固定资产相同的折旧政策，采用成本模式计量的土地使用权的后续</w:t>
      </w:r>
    </w:p>
    <w:p>
      <w:pPr>
        <w:pStyle w:val="BodyText"/>
        <w:spacing w:line="316" w:lineRule="auto" w:before="19"/>
        <w:ind w:left="515" w:right="135" w:hanging="363"/>
        <w:jc w:val="left"/>
      </w:pPr>
      <w:r>
        <w:rPr/>
        <w:t>计量按与无形资产相同的摊销政策执行。 </w:t>
      </w:r>
      <w:r>
        <w:rPr>
          <w:spacing w:val="-2"/>
        </w:rPr>
        <w:t>有确凿证据表明房地产用途发生改变的，投资性房地产转换为自用房地产时，应当将房地产转换前的账面价值作为转换</w:t>
      </w:r>
    </w:p>
    <w:p>
      <w:pPr>
        <w:pStyle w:val="BodyText"/>
        <w:spacing w:line="316" w:lineRule="auto" w:before="19"/>
        <w:ind w:right="151"/>
        <w:jc w:val="both"/>
      </w:pPr>
      <w:r>
        <w:rPr>
          <w:spacing w:val="-2"/>
        </w:rPr>
        <w:t>后的入账价值。自用房地产或存货转换为采用公允价值模式计量的投资性房地产时，投资性房地产按照转换当日的公允价值</w:t>
      </w:r>
      <w:r>
        <w:rPr>
          <w:spacing w:val="-64"/>
        </w:rPr>
        <w:t> </w:t>
      </w:r>
      <w:r>
        <w:rPr>
          <w:spacing w:val="-64"/>
        </w:rPr>
      </w:r>
      <w:r>
        <w:rPr>
          <w:spacing w:val="-2"/>
        </w:rPr>
        <w:t>计价，转换当日的公允价值小于原账面价值的，其差额计入当期损益；转换当日的公允价值大于原账面价值的，其差额计入</w:t>
      </w:r>
      <w:r>
        <w:rPr>
          <w:spacing w:val="-65"/>
        </w:rPr>
        <w:t> </w:t>
      </w:r>
      <w:r>
        <w:rPr>
          <w:spacing w:val="-65"/>
        </w:rPr>
      </w:r>
      <w:r>
        <w:rPr/>
        <w:t>所有者权益。</w:t>
      </w:r>
    </w:p>
    <w:p>
      <w:pPr>
        <w:spacing w:line="240" w:lineRule="auto" w:before="10"/>
        <w:rPr>
          <w:rFonts w:ascii="宋体" w:hAnsi="宋体" w:cs="宋体" w:eastAsia="宋体" w:hint="default"/>
          <w:sz w:val="22"/>
          <w:szCs w:val="22"/>
        </w:rPr>
      </w:pPr>
    </w:p>
    <w:p>
      <w:pPr>
        <w:pStyle w:val="Heading3"/>
        <w:spacing w:line="240" w:lineRule="auto"/>
        <w:ind w:right="135"/>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5"/>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35"/>
        <w:jc w:val="left"/>
      </w:pPr>
      <w:r>
        <w:rPr/>
        <w:t>为生产商品、提供劳务、出租或经营管理而持有且使用寿命超过一个会计年度且未列入存货的有形资产。</w:t>
      </w:r>
    </w:p>
    <w:p>
      <w:pPr>
        <w:spacing w:line="240" w:lineRule="auto" w:before="0"/>
        <w:rPr>
          <w:rFonts w:ascii="宋体" w:hAnsi="宋体" w:cs="宋体" w:eastAsia="宋体" w:hint="default"/>
          <w:sz w:val="18"/>
          <w:szCs w:val="18"/>
        </w:rPr>
      </w:pPr>
    </w:p>
    <w:p>
      <w:pPr>
        <w:pStyle w:val="Heading3"/>
        <w:spacing w:line="240" w:lineRule="auto" w:before="118"/>
        <w:ind w:right="135"/>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2.71%-12.13%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机械设备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7.92%-19.40%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9.50%-24.25%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9.50%-16.17%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节能资产</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按节能效益分摊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按折旧年限均匀分摊</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both"/>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pStyle w:val="BodyText"/>
        <w:tabs>
          <w:tab w:pos="2452" w:val="left" w:leader="none"/>
        </w:tabs>
        <w:spacing w:line="316" w:lineRule="auto"/>
        <w:ind w:right="150"/>
        <w:jc w:val="both"/>
      </w:pPr>
      <w:r>
        <w:rPr>
          <w:spacing w:val="-2"/>
        </w:rPr>
        <w:t>①融资租赁租入的固定资产，按租赁开始日租赁资产公允价值与最低租赁付款额的现值两者中较低者，作为入账价值。承租</w:t>
      </w:r>
      <w:r>
        <w:rPr>
          <w:spacing w:val="-65"/>
        </w:rPr>
        <w:t> </w:t>
      </w:r>
      <w:r>
        <w:rPr>
          <w:spacing w:val="-65"/>
        </w:rPr>
      </w:r>
      <w:r>
        <w:rPr>
          <w:spacing w:val="-2"/>
        </w:rPr>
        <w:t>人在租赁谈判和签订租赁合同过程中发生的，可归属于租赁项目的手续费、律师费、差旅费、印花税等初始直接费用，计入</w:t>
      </w:r>
      <w:r>
        <w:rPr>
          <w:spacing w:val="-67"/>
        </w:rPr>
        <w:t> </w:t>
      </w:r>
      <w:r>
        <w:rPr>
          <w:spacing w:val="-67"/>
        </w:rPr>
      </w:r>
      <w:r>
        <w:rPr/>
        <w:t>租入资产价值。</w:t>
        <w:tab/>
      </w:r>
      <w:r>
        <w:rPr>
          <w:spacing w:val="-1"/>
        </w:rPr>
        <w:t>②承租人采用与自有固定资产相一致的折旧政策计提租赁资产折旧。能够合理确定租赁期届满</w:t>
      </w:r>
      <w:r>
        <w:rPr/>
        <w:t> </w:t>
      </w:r>
      <w:r>
        <w:rPr>
          <w:spacing w:val="-2"/>
        </w:rPr>
        <w:t>时取得租赁资产所有权的，在租赁资产使用寿命内计提折旧；无法合理确定租赁期届满时能够取得租赁资产所有权的，在租</w:t>
      </w:r>
      <w:r>
        <w:rPr>
          <w:spacing w:val="-63"/>
        </w:rPr>
        <w:t> </w:t>
      </w:r>
      <w:r>
        <w:rPr>
          <w:spacing w:val="-63"/>
        </w:rPr>
      </w:r>
      <w:r>
        <w:rPr/>
        <w:t>赁期与租赁资产使用寿命两者中较短的期间内计提折旧。</w:t>
      </w:r>
    </w:p>
    <w:p>
      <w:pPr>
        <w:spacing w:after="0" w:line="316"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6754"/>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6754"/>
        <w:jc w:val="left"/>
      </w:pPr>
      <w:r>
        <w:rPr/>
        <w:t>公司是否需要遵守特殊行业的披露要求 是</w:t>
      </w:r>
    </w:p>
    <w:p>
      <w:pPr>
        <w:pStyle w:val="BodyText"/>
        <w:spacing w:line="360" w:lineRule="auto" w:before="29"/>
        <w:ind w:left="515" w:right="93" w:hanging="363"/>
        <w:jc w:val="left"/>
      </w:pPr>
      <w:r>
        <w:rPr/>
        <w:t>光伏产业链相关业 </w:t>
      </w:r>
      <w:r>
        <w:rPr>
          <w:spacing w:val="-2"/>
        </w:rPr>
        <w:t>在建工程是指正在施工中尚未完工或虽已完工但尚未达到预定可使用状态的工程。在建工程按实际发生的支出确定其工</w:t>
      </w:r>
    </w:p>
    <w:p>
      <w:pPr>
        <w:pStyle w:val="BodyText"/>
        <w:spacing w:line="222" w:lineRule="exact"/>
        <w:ind w:right="6754"/>
        <w:jc w:val="left"/>
      </w:pPr>
      <w:r>
        <w:rPr/>
        <w:t>程成本。</w:t>
      </w:r>
    </w:p>
    <w:p>
      <w:pPr>
        <w:pStyle w:val="BodyText"/>
        <w:spacing w:line="316" w:lineRule="auto" w:before="76"/>
        <w:ind w:right="93" w:firstLine="362"/>
        <w:jc w:val="left"/>
      </w:pPr>
      <w:r>
        <w:rPr>
          <w:spacing w:val="-2"/>
        </w:rPr>
        <w:t>所建造的固定资产已达到预定可使用状态，但尚未办理竣工决算的，自达到预定可使用状态之日起，根据工程预算、造</w:t>
      </w:r>
      <w:r>
        <w:rPr/>
        <w:t> 价或者工程实际成本等，按估计的价值转入固定资产，待办理了竣工决算手续后再作调整。</w:t>
      </w:r>
    </w:p>
    <w:p>
      <w:pPr>
        <w:pStyle w:val="BodyText"/>
        <w:spacing w:line="240" w:lineRule="auto" w:before="19"/>
        <w:ind w:left="515" w:right="93"/>
        <w:jc w:val="left"/>
      </w:pPr>
      <w:r>
        <w:rPr/>
        <w:t>在建工程减值准备的计提按照资产减值核算方法处理。在建工程减值损失一经确认，在以后会计期间不再转回。</w:t>
      </w:r>
    </w:p>
    <w:p>
      <w:pPr>
        <w:spacing w:line="240" w:lineRule="auto" w:before="0"/>
        <w:rPr>
          <w:rFonts w:ascii="宋体" w:hAnsi="宋体" w:cs="宋体" w:eastAsia="宋体" w:hint="default"/>
          <w:sz w:val="18"/>
          <w:szCs w:val="18"/>
        </w:rPr>
      </w:pPr>
    </w:p>
    <w:p>
      <w:pPr>
        <w:pStyle w:val="Heading3"/>
        <w:spacing w:line="240" w:lineRule="auto" w:before="121"/>
        <w:ind w:right="6754"/>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2" w:firstLine="362"/>
        <w:jc w:val="left"/>
      </w:pPr>
      <w:r>
        <w:rPr/>
        <w:t>借款费用包括借款利息、折价或者溢价的摊销、辅助费用以及因外币借款而发生的汇兑差额等。公司发生的借款费用， </w:t>
      </w:r>
      <w:r>
        <w:rPr>
          <w:spacing w:val="-2"/>
        </w:rPr>
        <w:t>可直接归属于符合资本化条件的资产的购建，予以资本化，计入相关资产成本；其他借款费用，在发生时根据其发生额确认</w:t>
      </w:r>
      <w:r>
        <w:rPr>
          <w:spacing w:val="-64"/>
        </w:rPr>
        <w:t> </w:t>
      </w:r>
      <w:r>
        <w:rPr>
          <w:spacing w:val="-64"/>
        </w:rPr>
      </w:r>
      <w:r>
        <w:rPr/>
        <w:t>为费用，计入当期损益。</w:t>
      </w:r>
    </w:p>
    <w:p>
      <w:pPr>
        <w:pStyle w:val="BodyText"/>
        <w:spacing w:line="240" w:lineRule="auto" w:before="19"/>
        <w:ind w:left="515" w:right="93"/>
        <w:jc w:val="left"/>
      </w:pPr>
      <w:r>
        <w:rPr/>
        <w:t>借款费用同时满足下列条件的，才能开始资本化：</w:t>
      </w:r>
    </w:p>
    <w:p>
      <w:pPr>
        <w:pStyle w:val="BodyText"/>
        <w:spacing w:line="300" w:lineRule="auto" w:before="76"/>
        <w:ind w:right="182" w:firstLine="362"/>
        <w:jc w:val="left"/>
      </w:pPr>
      <w:r>
        <w:rPr/>
        <w:t>（</w:t>
      </w:r>
      <w:r>
        <w:rPr>
          <w:rFonts w:ascii="Times New Roman" w:hAnsi="Times New Roman" w:cs="Times New Roman" w:eastAsia="Times New Roman" w:hint="default"/>
        </w:rPr>
        <w:t>1</w:t>
      </w:r>
      <w:r>
        <w:rPr/>
        <w:t>）资产支出已经发生，资产支出包括为购建符合资本化条件的资产而以支付现金、转移非现金资产或者承担带息债 务形式发生的支出；</w:t>
      </w:r>
    </w:p>
    <w:p>
      <w:pPr>
        <w:pStyle w:val="BodyText"/>
        <w:spacing w:line="240" w:lineRule="auto" w:before="31"/>
        <w:ind w:left="515" w:right="6754"/>
        <w:jc w:val="left"/>
      </w:pPr>
      <w:r>
        <w:rPr/>
        <w:t>（</w:t>
      </w:r>
      <w:r>
        <w:rPr>
          <w:rFonts w:ascii="Times New Roman" w:hAnsi="Times New Roman" w:cs="Times New Roman" w:eastAsia="Times New Roman" w:hint="default"/>
        </w:rPr>
        <w:t>2</w:t>
      </w:r>
      <w:r>
        <w:rPr/>
        <w:t>）借款费用已经发生；</w:t>
      </w:r>
    </w:p>
    <w:p>
      <w:pPr>
        <w:pStyle w:val="BodyText"/>
        <w:spacing w:line="300" w:lineRule="auto" w:before="63"/>
        <w:ind w:left="515" w:right="93"/>
        <w:jc w:val="left"/>
      </w:pPr>
      <w:r>
        <w:rPr/>
        <w:t>（</w:t>
      </w:r>
      <w:r>
        <w:rPr>
          <w:rFonts w:ascii="Times New Roman" w:hAnsi="Times New Roman" w:cs="Times New Roman" w:eastAsia="Times New Roman" w:hint="default"/>
        </w:rPr>
        <w:t>3</w:t>
      </w:r>
      <w:r>
        <w:rPr/>
        <w:t>）为使资产达到预定可使用状态所必要的购建活动已经开始。 </w:t>
      </w:r>
      <w:r>
        <w:rPr>
          <w:spacing w:val="-2"/>
        </w:rPr>
        <w:t>为购建符合资本化条件的资产而借入专门借款的，以专门借款当期实际发生的利息费用，减去将尚未动用的借款资金存</w:t>
      </w:r>
    </w:p>
    <w:p>
      <w:pPr>
        <w:pStyle w:val="BodyText"/>
        <w:spacing w:line="316" w:lineRule="auto" w:before="31"/>
        <w:ind w:left="515" w:right="93" w:hanging="363"/>
        <w:jc w:val="left"/>
      </w:pPr>
      <w:r>
        <w:rPr/>
        <w:t>入银行取得的利息收入或进行暂时性投资取得的投资收益后的金额确定。 </w:t>
      </w:r>
      <w:r>
        <w:rPr>
          <w:spacing w:val="-2"/>
        </w:rPr>
        <w:t>为购建符合资本化条件的资产而占用了一般借款的，根据累计资产支出超过专门借款部分的资产支出加权平均数乘以所</w:t>
      </w:r>
    </w:p>
    <w:p>
      <w:pPr>
        <w:pStyle w:val="BodyText"/>
        <w:spacing w:line="316" w:lineRule="auto" w:before="19"/>
        <w:ind w:left="515" w:right="181" w:hanging="363"/>
        <w:jc w:val="left"/>
      </w:pPr>
      <w:r>
        <w:rPr/>
        <w:t>占用一般借款的资本化率，计算确定一般借款应予资本化的利息金额。资本化率根据一般借款加权平均利率计算确认。 符合资本化条件的资产在购建过程中发生非正常中断、且中断时间连续超过</w:t>
      </w:r>
      <w:r>
        <w:rPr>
          <w:rFonts w:ascii="Times New Roman" w:hAnsi="Times New Roman" w:cs="Times New Roman" w:eastAsia="Times New Roman" w:hint="default"/>
        </w:rPr>
        <w:t>3</w:t>
      </w:r>
      <w:r>
        <w:rPr/>
        <w:t>个月的，暂停借款费用的资本化，在中断</w:t>
      </w:r>
    </w:p>
    <w:p>
      <w:pPr>
        <w:pStyle w:val="BodyText"/>
        <w:spacing w:line="316" w:lineRule="auto"/>
        <w:ind w:left="515" w:right="271" w:hanging="363"/>
        <w:jc w:val="left"/>
      </w:pPr>
      <w:r>
        <w:rPr/>
        <w:t>期间发生的借款费用，计入当期损益。 购建符合资本化条件的资产达到预定可使用状态之后所发生的借款费用，根据其发生额确认为费用，计入当期损益。</w:t>
      </w:r>
    </w:p>
    <w:p>
      <w:pPr>
        <w:spacing w:line="240" w:lineRule="auto" w:before="10"/>
        <w:rPr>
          <w:rFonts w:ascii="宋体" w:hAnsi="宋体" w:cs="宋体" w:eastAsia="宋体" w:hint="default"/>
          <w:sz w:val="22"/>
          <w:szCs w:val="22"/>
        </w:rPr>
      </w:pPr>
    </w:p>
    <w:p>
      <w:pPr>
        <w:pStyle w:val="Heading3"/>
        <w:spacing w:line="240" w:lineRule="auto"/>
        <w:ind w:right="6754"/>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3"/>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是</w:t>
      </w:r>
    </w:p>
    <w:p>
      <w:pPr>
        <w:pStyle w:val="BodyText"/>
        <w:spacing w:line="240" w:lineRule="auto" w:before="25"/>
        <w:ind w:right="6754"/>
        <w:jc w:val="left"/>
      </w:pPr>
      <w:r>
        <w:rPr/>
        <w:t>光伏产业链相关业</w:t>
      </w:r>
    </w:p>
    <w:p>
      <w:pPr>
        <w:pStyle w:val="BodyText"/>
        <w:spacing w:line="316" w:lineRule="auto" w:before="117"/>
        <w:ind w:right="93" w:firstLine="362"/>
        <w:jc w:val="left"/>
      </w:pPr>
      <w:r>
        <w:rPr>
          <w:spacing w:val="-2"/>
        </w:rPr>
        <w:t>①无形资产是指公司拥有或实际控制的没有实物形态的可辨认非货币性资产，只有与无形资产有关的经济利益很可能流</w:t>
      </w:r>
      <w:r>
        <w:rPr/>
        <w:t> 入公司，同时该无形资产的成本能够可靠计量时，无形资产才予以确认。</w:t>
      </w:r>
    </w:p>
    <w:p>
      <w:pPr>
        <w:pStyle w:val="BodyText"/>
        <w:spacing w:line="240" w:lineRule="auto" w:before="19"/>
        <w:ind w:left="515" w:right="93"/>
        <w:jc w:val="left"/>
      </w:pPr>
      <w:r>
        <w:rPr/>
        <w:t>根据其使用寿命分为使用寿命有限的无形资产和使用寿命不确定的无形资产。无形资产按照成本作进行初始计量。</w:t>
      </w:r>
    </w:p>
    <w:p>
      <w:pPr>
        <w:pStyle w:val="BodyText"/>
        <w:spacing w:line="316" w:lineRule="auto" w:before="76"/>
        <w:ind w:right="93" w:firstLine="362"/>
        <w:jc w:val="left"/>
      </w:pPr>
      <w:r>
        <w:rPr>
          <w:spacing w:val="-2"/>
        </w:rPr>
        <w:t>②公司取得的土地使用权按取得时的实际成本进行初始计量；企业取得的非专利技术按照双方协议确定的价格进行初始</w:t>
      </w:r>
      <w:r>
        <w:rPr/>
        <w:t> 计量。</w:t>
      </w:r>
    </w:p>
    <w:p>
      <w:pPr>
        <w:pStyle w:val="BodyText"/>
        <w:spacing w:line="240" w:lineRule="auto" w:before="19"/>
        <w:ind w:left="515" w:right="93"/>
        <w:jc w:val="left"/>
      </w:pPr>
      <w:r>
        <w:rPr/>
        <w:t>③无形资产使用寿命的确定及复核</w:t>
      </w:r>
    </w:p>
    <w:p>
      <w:pPr>
        <w:pStyle w:val="BodyText"/>
        <w:spacing w:line="300" w:lineRule="auto" w:before="77"/>
        <w:ind w:right="206" w:firstLine="362"/>
        <w:jc w:val="left"/>
      </w:pPr>
      <w:r>
        <w:rPr>
          <w:rFonts w:ascii="Times New Roman" w:hAnsi="Times New Roman" w:cs="Times New Roman" w:eastAsia="Times New Roman" w:hint="default"/>
        </w:rPr>
        <w:t>A</w:t>
      </w:r>
      <w:r>
        <w:rPr/>
        <w:t>、公司无形资产源自合同性权利或其他法定权利</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且合同规定或法律规定有明确的使用年限，其使用寿命按照合同性 权利或其他法定权利的期限确定。</w:t>
      </w:r>
    </w:p>
    <w:p>
      <w:pPr>
        <w:spacing w:after="0" w:line="30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00" w:lineRule="auto" w:before="44"/>
        <w:ind w:left="695" w:right="93" w:hanging="180"/>
        <w:jc w:val="left"/>
      </w:pPr>
      <w:r>
        <w:rPr>
          <w:rFonts w:ascii="Times New Roman" w:hAnsi="Times New Roman" w:cs="Times New Roman" w:eastAsia="Times New Roman" w:hint="default"/>
          <w:spacing w:val="-1"/>
        </w:rPr>
        <w:t>B</w:t>
      </w:r>
      <w:r>
        <w:rPr>
          <w:spacing w:val="-1"/>
        </w:rPr>
        <w:t>、没有明确的合同或法律规定的无形资产</w:t>
      </w:r>
      <w:r>
        <w:rPr>
          <w:rFonts w:ascii="Times New Roman" w:hAnsi="Times New Roman" w:cs="Times New Roman" w:eastAsia="Times New Roman" w:hint="default"/>
          <w:spacing w:val="-1"/>
        </w:rPr>
        <w:t>,</w:t>
      </w:r>
      <w:r>
        <w:rPr>
          <w:spacing w:val="-1"/>
        </w:rPr>
        <w:t>公司综合以下各方面情况</w:t>
      </w:r>
      <w:r>
        <w:rPr>
          <w:rFonts w:ascii="Times New Roman" w:hAnsi="Times New Roman" w:cs="Times New Roman" w:eastAsia="Times New Roman" w:hint="default"/>
          <w:spacing w:val="-1"/>
        </w:rPr>
        <w:t>,</w:t>
      </w:r>
      <w:r>
        <w:rPr>
          <w:spacing w:val="-1"/>
        </w:rPr>
        <w:t>来确定无形资产为公司带来未来经济利益的期限。</w:t>
      </w:r>
      <w:r>
        <w:rPr>
          <w:spacing w:val="-61"/>
        </w:rPr>
        <w:t> </w:t>
      </w:r>
      <w:r>
        <w:rPr>
          <w:rFonts w:ascii="Times New Roman" w:hAnsi="Times New Roman" w:cs="Times New Roman" w:eastAsia="Times New Roman" w:hint="default"/>
        </w:rPr>
        <w:t>a</w:t>
      </w:r>
      <w:r>
        <w:rPr/>
        <w:t>、运用该资产生产的产品通常的寿命周期、可获得的类似资产使用寿命的信息； </w:t>
      </w:r>
      <w:r>
        <w:rPr>
          <w:rFonts w:ascii="Times New Roman" w:hAnsi="Times New Roman" w:cs="Times New Roman" w:eastAsia="Times New Roman" w:hint="default"/>
        </w:rPr>
        <w:t>b</w:t>
      </w:r>
      <w:r>
        <w:rPr/>
        <w:t>、技术、工艺等方面的现阶段情况及对未来发展趋势的估计；</w:t>
      </w:r>
    </w:p>
    <w:p>
      <w:pPr>
        <w:pStyle w:val="BodyText"/>
        <w:spacing w:line="300" w:lineRule="auto" w:before="13"/>
        <w:ind w:left="695" w:right="2171"/>
        <w:jc w:val="left"/>
      </w:pPr>
      <w:r>
        <w:rPr>
          <w:rFonts w:ascii="Times New Roman" w:hAnsi="Times New Roman" w:cs="Times New Roman" w:eastAsia="Times New Roman" w:hint="default"/>
        </w:rPr>
        <w:t>c</w:t>
      </w:r>
      <w:r>
        <w:rPr/>
        <w:t>、以该资产生产的产品或提供劳务的市场需求情况； </w:t>
      </w:r>
      <w:r>
        <w:rPr>
          <w:rFonts w:ascii="Times New Roman" w:hAnsi="Times New Roman" w:cs="Times New Roman" w:eastAsia="Times New Roman" w:hint="default"/>
        </w:rPr>
        <w:t>d</w:t>
      </w:r>
      <w:r>
        <w:rPr/>
        <w:t>、现在或潜在的竞争者预期采取的行动； </w:t>
      </w:r>
      <w:r>
        <w:rPr>
          <w:rFonts w:ascii="Times New Roman" w:hAnsi="Times New Roman" w:cs="Times New Roman" w:eastAsia="Times New Roman" w:hint="default"/>
        </w:rPr>
        <w:t>e</w:t>
      </w:r>
      <w:r>
        <w:rPr/>
        <w:t>、为维持该资产带来经济利益能力的预期维护支出，以及公司预计支付有关支出的能力； </w:t>
      </w:r>
      <w:r>
        <w:rPr>
          <w:rFonts w:ascii="Times New Roman" w:hAnsi="Times New Roman" w:cs="Times New Roman" w:eastAsia="Times New Roman" w:hint="default"/>
        </w:rPr>
        <w:t>f</w:t>
      </w:r>
      <w:r>
        <w:rPr/>
        <w:t>、与公司持有其他资产使用寿命的关联性等。</w:t>
      </w:r>
    </w:p>
    <w:p>
      <w:pPr>
        <w:pStyle w:val="BodyText"/>
        <w:spacing w:line="240" w:lineRule="auto" w:before="13"/>
        <w:ind w:left="515" w:right="93"/>
        <w:jc w:val="left"/>
      </w:pPr>
      <w:r>
        <w:rPr/>
        <w:t>如果经过上述努力确实无法合理确定无形资产为公司带来经济利益的期限</w:t>
      </w:r>
      <w:r>
        <w:rPr>
          <w:rFonts w:ascii="Times New Roman" w:hAnsi="Times New Roman" w:cs="Times New Roman" w:eastAsia="Times New Roman" w:hint="default"/>
        </w:rPr>
        <w:t>,</w:t>
      </w:r>
      <w:r>
        <w:rPr/>
        <w:t>则将其作为使用寿命不确定的无形资产。</w:t>
      </w:r>
    </w:p>
    <w:p>
      <w:pPr>
        <w:pStyle w:val="BodyText"/>
        <w:spacing w:line="300" w:lineRule="auto" w:before="63"/>
        <w:ind w:right="198" w:firstLine="362"/>
        <w:jc w:val="both"/>
      </w:pPr>
      <w:r>
        <w:rPr>
          <w:rFonts w:ascii="Times New Roman" w:hAnsi="Times New Roman" w:cs="Times New Roman" w:eastAsia="Times New Roman" w:hint="default"/>
        </w:rPr>
        <w:t>C</w:t>
      </w:r>
      <w:r>
        <w:rPr/>
        <w:t>、根据可获得的情况判断</w:t>
      </w:r>
      <w:r>
        <w:rPr>
          <w:rFonts w:ascii="Times New Roman" w:hAnsi="Times New Roman" w:cs="Times New Roman" w:eastAsia="Times New Roman" w:hint="default"/>
        </w:rPr>
        <w:t>,</w:t>
      </w:r>
      <w:r>
        <w:rPr/>
        <w:t>有确凿证据表明无法合理估计其使用寿命的无形资产</w:t>
      </w:r>
      <w:r>
        <w:rPr>
          <w:rFonts w:ascii="Times New Roman" w:hAnsi="Times New Roman" w:cs="Times New Roman" w:eastAsia="Times New Roman" w:hint="default"/>
        </w:rPr>
        <w:t>,</w:t>
      </w:r>
      <w:r>
        <w:rPr/>
        <w:t>作为使用寿命不确定的无形资产。如 果期末重新复核后仍为不确定的</w:t>
      </w:r>
      <w:r>
        <w:rPr>
          <w:rFonts w:ascii="Times New Roman" w:hAnsi="Times New Roman" w:cs="Times New Roman" w:eastAsia="Times New Roman" w:hint="default"/>
        </w:rPr>
        <w:t>,</w:t>
      </w:r>
      <w:r>
        <w:rPr/>
        <w:t>公司在每个会计期间进行减值测试，严格按照计提资产减值核算方法的规定处理</w:t>
      </w:r>
      <w:r>
        <w:rPr>
          <w:rFonts w:ascii="Times New Roman" w:hAnsi="Times New Roman" w:cs="Times New Roman" w:eastAsia="Times New Roman" w:hint="default"/>
        </w:rPr>
        <w:t>,</w:t>
      </w:r>
      <w:r>
        <w:rPr/>
        <w:t>需要计提 减值准备的</w:t>
      </w:r>
      <w:r>
        <w:rPr>
          <w:rFonts w:ascii="Times New Roman" w:hAnsi="Times New Roman" w:cs="Times New Roman" w:eastAsia="Times New Roman" w:hint="default"/>
        </w:rPr>
        <w:t>,</w:t>
      </w:r>
      <w:r>
        <w:rPr/>
        <w:t>相应计提有关的减值准备。</w:t>
      </w:r>
    </w:p>
    <w:p>
      <w:pPr>
        <w:pStyle w:val="BodyText"/>
        <w:spacing w:line="300" w:lineRule="auto" w:before="13"/>
        <w:ind w:right="193" w:firstLine="362"/>
        <w:jc w:val="both"/>
      </w:pPr>
      <w:r>
        <w:rPr>
          <w:rFonts w:ascii="Times New Roman" w:hAnsi="Times New Roman" w:cs="Times New Roman" w:eastAsia="Times New Roman" w:hint="default"/>
          <w:spacing w:val="-1"/>
        </w:rPr>
        <w:t>D</w:t>
      </w:r>
      <w:r>
        <w:rPr>
          <w:spacing w:val="-1"/>
        </w:rPr>
        <w:t>、公司于每年年度终了，对使用寿命有限的无形资产的使用寿命及未来经济利益消耗方式进行复核。无形资产的预计</w:t>
      </w:r>
      <w:r>
        <w:rPr/>
        <w:t> 使用寿命及未来经济利益的预期消耗方式与以前估计不同的，相应改变摊销期限和摊销方法。</w:t>
      </w:r>
    </w:p>
    <w:p>
      <w:pPr>
        <w:pStyle w:val="BodyText"/>
        <w:spacing w:line="316" w:lineRule="auto" w:before="31"/>
        <w:ind w:right="288" w:firstLine="362"/>
        <w:jc w:val="both"/>
      </w:pPr>
      <w:r>
        <w:rPr/>
        <w:t>公司在每个会计期间对使用寿命不确定的无形资产的使用寿命进行复核。如果有证据表明无形资产的使用寿命是有限 的，估计其使用寿命，并按其估计使用寿命进行摊销。</w:t>
      </w:r>
    </w:p>
    <w:p>
      <w:pPr>
        <w:pStyle w:val="BodyText"/>
        <w:spacing w:line="240" w:lineRule="auto" w:before="19"/>
        <w:ind w:left="515" w:right="6754"/>
        <w:jc w:val="left"/>
      </w:pPr>
      <w:r>
        <w:rPr/>
        <w:t>④无形资产摊销方法</w:t>
      </w:r>
    </w:p>
    <w:p>
      <w:pPr>
        <w:pStyle w:val="BodyText"/>
        <w:spacing w:line="300" w:lineRule="auto" w:before="76"/>
        <w:ind w:right="192" w:firstLine="362"/>
        <w:jc w:val="both"/>
      </w:pPr>
      <w:r>
        <w:rPr>
          <w:rFonts w:ascii="Times New Roman" w:hAnsi="Times New Roman" w:cs="Times New Roman" w:eastAsia="Times New Roman" w:hint="default"/>
          <w:spacing w:val="-1"/>
        </w:rPr>
        <w:t>A</w:t>
      </w:r>
      <w:r>
        <w:rPr>
          <w:spacing w:val="-1"/>
        </w:rPr>
        <w:t>、使用寿命有限的无形资产，公司根据其有关的经济利益的预期实现方式，确定无形资产摊销方法；无法可靠确定其</w:t>
      </w:r>
      <w:r>
        <w:rPr/>
        <w:t> 预期经济利益实现方式的，采用直线法摊销。</w:t>
      </w:r>
    </w:p>
    <w:p>
      <w:pPr>
        <w:pStyle w:val="BodyText"/>
        <w:spacing w:line="300" w:lineRule="auto" w:before="31"/>
        <w:ind w:left="515" w:right="93"/>
        <w:jc w:val="left"/>
      </w:pPr>
      <w:r>
        <w:rPr>
          <w:rFonts w:ascii="Times New Roman" w:hAnsi="Times New Roman" w:cs="Times New Roman" w:eastAsia="Times New Roman" w:hint="default"/>
        </w:rPr>
        <w:t>B</w:t>
      </w:r>
      <w:r>
        <w:rPr/>
        <w:t>、对于使用寿命不确定的无形资产，不摊销。 </w:t>
      </w:r>
      <w:r>
        <w:rPr>
          <w:spacing w:val="-2"/>
        </w:rPr>
        <w:t>土地使用权摊销期限，直接取得的土地使用权按照土地使用权证标明的使用年限在使用期内采用直线法摊销；间接取得</w:t>
      </w:r>
    </w:p>
    <w:p>
      <w:pPr>
        <w:pStyle w:val="BodyText"/>
        <w:spacing w:line="319" w:lineRule="auto" w:before="31"/>
        <w:ind w:left="515" w:right="1714" w:hanging="363"/>
        <w:jc w:val="left"/>
      </w:pPr>
      <w:r>
        <w:rPr/>
        <w:t>的土地使用权根据土地使用权证标明的使用年限在取得后的使用期内按尚可使用年限采用直线法摊销。 采矿权摊销期限，按照探明经济可采储量与年开采能力计算预计使用年限。</w:t>
      </w:r>
    </w:p>
    <w:p>
      <w:pPr>
        <w:pStyle w:val="BodyText"/>
        <w:spacing w:line="316" w:lineRule="auto" w:before="17"/>
        <w:ind w:left="515" w:right="93"/>
        <w:jc w:val="left"/>
      </w:pPr>
      <w:r>
        <w:rPr/>
        <w:t>⑤无形资产减值准备 </w:t>
      </w:r>
      <w:r>
        <w:rPr>
          <w:spacing w:val="-2"/>
        </w:rPr>
        <w:t>无形资产减值准备的计提按照资产减值核算方法处理。无形资产减值损失一经确认在以后会计期间不再转回，当该项资</w:t>
      </w:r>
    </w:p>
    <w:p>
      <w:pPr>
        <w:pStyle w:val="BodyText"/>
        <w:spacing w:line="240" w:lineRule="auto" w:before="19"/>
        <w:ind w:right="6754"/>
        <w:jc w:val="left"/>
      </w:pPr>
      <w:r>
        <w:rPr/>
        <w:t>产处置时予以转出。</w:t>
      </w:r>
    </w:p>
    <w:p>
      <w:pPr>
        <w:spacing w:line="240" w:lineRule="auto" w:before="0"/>
        <w:rPr>
          <w:rFonts w:ascii="宋体" w:hAnsi="宋体" w:cs="宋体" w:eastAsia="宋体" w:hint="default"/>
          <w:sz w:val="18"/>
          <w:szCs w:val="18"/>
        </w:rPr>
      </w:pPr>
    </w:p>
    <w:p>
      <w:pPr>
        <w:pStyle w:val="Heading3"/>
        <w:spacing w:line="240" w:lineRule="auto" w:before="120"/>
        <w:ind w:right="93"/>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5" w:right="93"/>
        <w:jc w:val="left"/>
      </w:pPr>
      <w:r>
        <w:rPr/>
        <w:t>公司内部研究开发项目开发阶段的支出，同时满足下列条件的，才能确认为无形资产：</w:t>
      </w:r>
    </w:p>
    <w:p>
      <w:pPr>
        <w:pStyle w:val="BodyText"/>
        <w:spacing w:line="240" w:lineRule="auto" w:before="76"/>
        <w:ind w:left="515" w:right="93"/>
        <w:jc w:val="left"/>
      </w:pPr>
      <w:r>
        <w:rPr/>
        <w:t>①完成该无形资产以使其能够使用或出售在技术上具有可行性；</w:t>
      </w:r>
    </w:p>
    <w:p>
      <w:pPr>
        <w:pStyle w:val="BodyText"/>
        <w:spacing w:line="240" w:lineRule="auto" w:before="76"/>
        <w:ind w:left="515" w:right="93"/>
        <w:jc w:val="left"/>
      </w:pPr>
      <w:r>
        <w:rPr/>
        <w:t>②具有完成该无形资产并使用或出售的意图；</w:t>
      </w:r>
    </w:p>
    <w:p>
      <w:pPr>
        <w:pStyle w:val="BodyText"/>
        <w:spacing w:line="319" w:lineRule="auto" w:before="76"/>
        <w:ind w:right="192" w:firstLine="362"/>
        <w:jc w:val="both"/>
      </w:pPr>
      <w:r>
        <w:rPr>
          <w:spacing w:val="-2"/>
        </w:rPr>
        <w:t>③无形资产产生经济利益的方式，包括能够证明运用该无形资产生产的产品存在市场或无形资产自身存在市场，无形资</w:t>
      </w:r>
      <w:r>
        <w:rPr/>
        <w:t> 产将在内部使用的，应当证明其有用性；</w:t>
      </w:r>
    </w:p>
    <w:p>
      <w:pPr>
        <w:pStyle w:val="BodyText"/>
        <w:spacing w:line="240" w:lineRule="auto" w:before="17"/>
        <w:ind w:left="515" w:right="93"/>
        <w:jc w:val="left"/>
      </w:pPr>
      <w:r>
        <w:rPr/>
        <w:t>④有足够的技术、财务资源和其他资源支持，以完成该无形资产的开发，并有能力使用或出售该无形资产；</w:t>
      </w:r>
    </w:p>
    <w:p>
      <w:pPr>
        <w:pStyle w:val="BodyText"/>
        <w:spacing w:line="360" w:lineRule="auto" w:before="76"/>
        <w:ind w:left="573" w:right="2553" w:hanging="58"/>
        <w:jc w:val="left"/>
      </w:pPr>
      <w:r>
        <w:rPr/>
        <w:t>⑤归属于该无形资产开发阶段的支出能够可靠地计量。 除满足上述条件的开发阶段的支出外，其他研究、开发支出均于发生时计入当期损益。</w:t>
      </w:r>
    </w:p>
    <w:p>
      <w:pPr>
        <w:spacing w:line="240" w:lineRule="auto" w:before="2"/>
        <w:rPr>
          <w:rFonts w:ascii="宋体" w:hAnsi="宋体" w:cs="宋体" w:eastAsia="宋体" w:hint="default"/>
          <w:sz w:val="20"/>
          <w:szCs w:val="20"/>
        </w:rPr>
      </w:pPr>
    </w:p>
    <w:p>
      <w:pPr>
        <w:pStyle w:val="Heading3"/>
        <w:spacing w:line="240" w:lineRule="auto"/>
        <w:ind w:right="6754"/>
        <w:jc w:val="left"/>
        <w:rPr>
          <w:b w:val="0"/>
          <w:bCs w:val="0"/>
        </w:rPr>
      </w:pPr>
      <w:r>
        <w:rPr>
          <w:rFonts w:ascii="Times New Roman" w:hAnsi="Times New Roman" w:cs="Times New Roman" w:eastAsia="Times New Roman" w:hint="default"/>
        </w:rPr>
        <w:t>20</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90" w:firstLine="360"/>
        <w:jc w:val="both"/>
      </w:pPr>
      <w:r>
        <w:rPr>
          <w:spacing w:val="-2"/>
        </w:rPr>
        <w:t>本公司对长期股权投资、采用成本模式计量的投资性房地产、固定资产、在建工程、无形资产等长期资产，于资产负债</w:t>
      </w:r>
      <w:r>
        <w:rPr/>
        <w:t> </w:t>
      </w:r>
      <w:r>
        <w:rPr>
          <w:spacing w:val="-2"/>
        </w:rPr>
        <w:t>表日存在减值迹象的，进行减值测试。减值测试结果表明资产的可收回金额低于其账面价值的，按其差额计提减值准备并计</w:t>
      </w:r>
      <w:r>
        <w:rPr>
          <w:spacing w:val="-63"/>
        </w:rPr>
        <w:t> </w:t>
      </w:r>
      <w:r>
        <w:rPr>
          <w:spacing w:val="-63"/>
        </w:rPr>
      </w:r>
      <w:r>
        <w:rPr>
          <w:spacing w:val="-2"/>
        </w:rPr>
        <w:t>入减值损失。可收回金额为资产的公允价值减去处置费用后的净额与资产预计未来现金流量的现值两者之间的较高者。资产</w:t>
      </w:r>
      <w:r>
        <w:rPr>
          <w:spacing w:val="-64"/>
        </w:rPr>
        <w:t> </w:t>
      </w:r>
      <w:r>
        <w:rPr>
          <w:spacing w:val="-64"/>
        </w:rPr>
      </w:r>
      <w:r>
        <w:rPr>
          <w:spacing w:val="-2"/>
        </w:rPr>
        <w:t>减值准备按单项资产为基础计算并确认，如果难以对单项资产的可收回金额进行估计的，以该资产所属的资产组确定资产组</w:t>
      </w:r>
      <w:r>
        <w:rPr>
          <w:spacing w:val="-64"/>
        </w:rPr>
        <w:t> </w:t>
      </w:r>
      <w:r>
        <w:rPr>
          <w:spacing w:val="-64"/>
        </w:rPr>
      </w:r>
      <w:r>
        <w:rPr/>
        <w:t>的可收回金额。资产组是能够独立产生现金流入的最小资产组合。</w:t>
      </w:r>
    </w:p>
    <w:p>
      <w:pPr>
        <w:spacing w:after="0" w:line="319" w:lineRule="auto"/>
        <w:jc w:val="both"/>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left="513" w:right="93"/>
        <w:jc w:val="left"/>
      </w:pPr>
      <w:r>
        <w:rPr/>
        <w:t>商誉至少在每年年度终了进行减值测试。</w:t>
      </w:r>
    </w:p>
    <w:p>
      <w:pPr>
        <w:spacing w:line="240" w:lineRule="auto" w:before="3"/>
        <w:rPr>
          <w:rFonts w:ascii="宋体" w:hAnsi="宋体" w:cs="宋体" w:eastAsia="宋体" w:hint="default"/>
          <w:sz w:val="15"/>
          <w:szCs w:val="15"/>
        </w:rPr>
      </w:pPr>
    </w:p>
    <w:p>
      <w:pPr>
        <w:pStyle w:val="BodyText"/>
        <w:spacing w:line="316" w:lineRule="auto"/>
        <w:ind w:right="94" w:firstLine="360"/>
        <w:jc w:val="left"/>
      </w:pPr>
      <w:r>
        <w:rPr/>
        <w:t>本公司进行商誉减值测试，对于因企业合并形成的商誉的账面价值，自购买日起按照合理的方法分摊至相关的资产组； 难以分摊至相关的资产组的，将其分摊至相关的资产组组合。在将商誉的账面价值分摊至相关的资产组或者资产组组合时， </w:t>
      </w:r>
      <w:r>
        <w:rPr>
          <w:spacing w:val="-2"/>
        </w:rPr>
        <w:t>按照各资产组或者资产组组合的公允价值占相关资产组或者资产组组合公允价值总额的比例进行分摊。公允价值难以可靠计</w:t>
      </w:r>
      <w:r>
        <w:rPr>
          <w:spacing w:val="-64"/>
        </w:rPr>
        <w:t> </w:t>
      </w:r>
      <w:r>
        <w:rPr>
          <w:spacing w:val="-64"/>
        </w:rPr>
      </w:r>
      <w:r>
        <w:rPr/>
        <w:t>量的，按照各资产组或者资产组组合的账面价值占相关资产组或者资产组组合账面价值总额的比例进行分摊。</w:t>
      </w:r>
    </w:p>
    <w:p>
      <w:pPr>
        <w:pStyle w:val="BodyText"/>
        <w:spacing w:line="316" w:lineRule="auto" w:before="69"/>
        <w:ind w:right="190" w:firstLine="360"/>
        <w:jc w:val="both"/>
      </w:pPr>
      <w:r>
        <w:rPr>
          <w:spacing w:val="-2"/>
        </w:rPr>
        <w:t>本公司在对包含商誉的相关资产组或者资产组组合进行减值测试时，如与商誉相关的资产组或者资产组组合存在减值迹</w:t>
      </w:r>
      <w:r>
        <w:rPr/>
        <w:t> </w:t>
      </w:r>
      <w:r>
        <w:rPr>
          <w:spacing w:val="-2"/>
        </w:rPr>
        <w:t>象的，先对不包含商誉的资产组或者资产组组合进行减值测试，计算可收回金额，并与相关账面价值相比较，确认相应的减</w:t>
      </w:r>
      <w:r>
        <w:rPr>
          <w:spacing w:val="-64"/>
        </w:rPr>
        <w:t> </w:t>
      </w:r>
      <w:r>
        <w:rPr>
          <w:spacing w:val="-64"/>
        </w:rPr>
      </w:r>
      <w:r>
        <w:rPr>
          <w:spacing w:val="-2"/>
        </w:rPr>
        <w:t>值损失。再对包含商誉的资产组或者资产组组合进行减值测试，比较这些相关资产组或者资产组组合的账面价值（包括所分</w:t>
      </w:r>
      <w:r>
        <w:rPr>
          <w:spacing w:val="-63"/>
        </w:rPr>
        <w:t> </w:t>
      </w:r>
      <w:r>
        <w:rPr>
          <w:spacing w:val="-63"/>
        </w:rPr>
      </w:r>
      <w:r>
        <w:rPr>
          <w:spacing w:val="-2"/>
        </w:rPr>
        <w:t>摊的商誉的账面价值部分）与其可收回金额，如相关资产组或者资产组组合的可收回金额低于其账面价值的，确认商誉的减</w:t>
      </w:r>
      <w:r>
        <w:rPr>
          <w:spacing w:val="-63"/>
        </w:rPr>
        <w:t> </w:t>
      </w:r>
      <w:r>
        <w:rPr>
          <w:spacing w:val="-63"/>
        </w:rPr>
      </w:r>
      <w:r>
        <w:rPr/>
        <w:t>值损失。  </w:t>
      </w:r>
      <w:r>
        <w:rPr>
          <w:spacing w:val="18"/>
        </w:rPr>
        <w:t> </w:t>
      </w:r>
      <w:r>
        <w:rPr/>
        <w:t>上述资产减值损失一经确认，在以后会计期间不予转回。</w:t>
      </w:r>
    </w:p>
    <w:p>
      <w:pPr>
        <w:spacing w:line="240" w:lineRule="auto" w:before="11"/>
        <w:rPr>
          <w:rFonts w:ascii="宋体" w:hAnsi="宋体" w:cs="宋体" w:eastAsia="宋体" w:hint="default"/>
          <w:sz w:val="22"/>
          <w:szCs w:val="22"/>
        </w:rPr>
      </w:pPr>
    </w:p>
    <w:p>
      <w:pPr>
        <w:pStyle w:val="Heading3"/>
        <w:spacing w:line="240" w:lineRule="auto"/>
        <w:ind w:right="6754"/>
        <w:jc w:val="left"/>
        <w:rPr>
          <w:b w:val="0"/>
          <w:bCs w:val="0"/>
        </w:rPr>
      </w:pPr>
      <w:r>
        <w:rPr>
          <w:rFonts w:ascii="Times New Roman" w:hAnsi="Times New Roman" w:cs="Times New Roman" w:eastAsia="Times New Roman" w:hint="default"/>
        </w:rPr>
        <w:t>21</w:t>
      </w:r>
      <w:r>
        <w:rPr/>
        <w:t>、长期待摊费用</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3" w:firstLine="362"/>
        <w:jc w:val="both"/>
      </w:pPr>
      <w:r>
        <w:rPr>
          <w:spacing w:val="-2"/>
        </w:rPr>
        <w:t>长期待摊费用按实际发生额核算，在项目受益期内平均摊销。如果长期摊销的费用项目不能使以后会计期间受益的，应</w:t>
      </w:r>
      <w:r>
        <w:rPr/>
        <w:t> </w:t>
      </w:r>
      <w:r>
        <w:rPr>
          <w:spacing w:val="-2"/>
        </w:rPr>
        <w:t>当将尚未摊销的该项目的摊余价值全部转入当期损益。长期待摊费用包括主要为租入固定资产的改良支出等。租入固定资产</w:t>
      </w:r>
      <w:r>
        <w:rPr>
          <w:spacing w:val="-64"/>
        </w:rPr>
        <w:t> </w:t>
      </w:r>
      <w:r>
        <w:rPr>
          <w:spacing w:val="-64"/>
        </w:rPr>
      </w:r>
      <w:r>
        <w:rPr/>
        <w:t>改良支出，在租赁使用年限与租赁资产尚可使用年限孰短的期限内平均摊销；其他长期待摊费用在受益期内平均摊销。</w:t>
      </w:r>
    </w:p>
    <w:p>
      <w:pPr>
        <w:spacing w:line="240" w:lineRule="auto" w:before="10"/>
        <w:rPr>
          <w:rFonts w:ascii="宋体" w:hAnsi="宋体" w:cs="宋体" w:eastAsia="宋体" w:hint="default"/>
          <w:sz w:val="22"/>
          <w:szCs w:val="22"/>
        </w:rPr>
      </w:pPr>
    </w:p>
    <w:p>
      <w:pPr>
        <w:pStyle w:val="Heading3"/>
        <w:spacing w:line="240" w:lineRule="auto"/>
        <w:ind w:right="6754"/>
        <w:jc w:val="left"/>
        <w:rPr>
          <w:b w:val="0"/>
          <w:bCs w:val="0"/>
        </w:rPr>
      </w:pPr>
      <w:r>
        <w:rPr>
          <w:rFonts w:ascii="Times New Roman" w:hAnsi="Times New Roman" w:cs="Times New Roman" w:eastAsia="Times New Roman" w:hint="default"/>
        </w:rPr>
        <w:t>22</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6754"/>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200" w:firstLine="434"/>
        <w:jc w:val="left"/>
      </w:pPr>
      <w:r>
        <w:rPr/>
        <w:t>短期薪酬，是指企业预期在职工提供相关服务的年度报告期间结束后十二个月内将全部予以支付的职工薪酬，因解除 与职工的劳动关系给予的补偿除外。</w:t>
      </w:r>
    </w:p>
    <w:p>
      <w:pPr>
        <w:pStyle w:val="BodyText"/>
        <w:spacing w:line="240" w:lineRule="auto" w:before="59"/>
        <w:ind w:left="573" w:right="93"/>
        <w:jc w:val="left"/>
      </w:pPr>
      <w:r>
        <w:rPr/>
        <w:t>公司在职工提供服务的会计期间，将实际发生的职工短期薪酬确认为负债，并计入当期损益或者相关资产的成本。</w:t>
      </w:r>
    </w:p>
    <w:p>
      <w:pPr>
        <w:spacing w:line="240" w:lineRule="auto" w:before="0"/>
        <w:rPr>
          <w:rFonts w:ascii="宋体" w:hAnsi="宋体" w:cs="宋体" w:eastAsia="宋体" w:hint="default"/>
          <w:sz w:val="18"/>
          <w:szCs w:val="18"/>
        </w:rPr>
      </w:pPr>
    </w:p>
    <w:p>
      <w:pPr>
        <w:pStyle w:val="Heading3"/>
        <w:spacing w:line="240" w:lineRule="auto" w:before="120"/>
        <w:ind w:right="93"/>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2" w:firstLine="362"/>
        <w:jc w:val="left"/>
      </w:pPr>
      <w:r>
        <w:rPr/>
        <w:t>离职后福利，是指企业为获得职工提供的服务而在职工退休或与企业解除劳动关系后，提供的各种形式的报酬和福利， 属于短期薪酬和辞退福利的除外。</w:t>
      </w:r>
    </w:p>
    <w:p>
      <w:pPr>
        <w:pStyle w:val="BodyText"/>
        <w:spacing w:line="319" w:lineRule="auto" w:before="19"/>
        <w:ind w:right="94" w:firstLine="576"/>
        <w:jc w:val="left"/>
      </w:pPr>
      <w:r>
        <w:rPr/>
        <w:t>离职后福利计划分类为设定提存计划和设定受益计划。对于设定提存计划，企业应当在职工为其提供的会计期间， </w:t>
      </w:r>
      <w:r>
        <w:rPr>
          <w:spacing w:val="-2"/>
        </w:rPr>
        <w:t>将根据设定提存计划计算的应缴存金额确认为负债，并计入当期损益或者相关资产成本。对于设定受益计划，企业应当根据</w:t>
      </w:r>
      <w:r>
        <w:rPr>
          <w:spacing w:val="-63"/>
        </w:rPr>
        <w:t> </w:t>
      </w:r>
      <w:r>
        <w:rPr>
          <w:spacing w:val="-63"/>
        </w:rPr>
      </w:r>
      <w:r>
        <w:rPr/>
        <w:t>预期累计福利单位法确认设定受益计划的福利义务，按照归属于职工提供服务的期间，因设定受益计划所产生的服务成本、</w:t>
      </w:r>
      <w:r>
        <w:rPr/>
        <w:t> </w:t>
      </w:r>
      <w:r>
        <w:rPr>
          <w:spacing w:val="-2"/>
        </w:rPr>
        <w:t>设定受益计划净负债或净资产的利息净额，一次性计入当期损益或者相关资产成本；因重新计量设定受益计划净负债或净资</w:t>
      </w:r>
      <w:r>
        <w:rPr>
          <w:spacing w:val="-64"/>
        </w:rPr>
        <w:t> </w:t>
      </w:r>
      <w:r>
        <w:rPr>
          <w:spacing w:val="-64"/>
        </w:rPr>
      </w:r>
      <w:r>
        <w:rPr/>
        <w:t>产所产生的变动，应当计入其他综合收益，并且在后续会计期间不允许转回至损益。</w:t>
      </w:r>
    </w:p>
    <w:p>
      <w:pPr>
        <w:spacing w:line="240" w:lineRule="auto" w:before="9"/>
        <w:rPr>
          <w:rFonts w:ascii="宋体" w:hAnsi="宋体" w:cs="宋体" w:eastAsia="宋体" w:hint="default"/>
          <w:sz w:val="22"/>
          <w:szCs w:val="22"/>
        </w:rPr>
      </w:pPr>
    </w:p>
    <w:p>
      <w:pPr>
        <w:pStyle w:val="Heading3"/>
        <w:spacing w:line="240" w:lineRule="auto"/>
        <w:ind w:right="6754"/>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5" w:right="91"/>
        <w:jc w:val="left"/>
      </w:pPr>
      <w:r>
        <w:rPr>
          <w:spacing w:val="-4"/>
        </w:rPr>
        <w:t>辞退福利，是指企业在职工劳动合同到期之前解除与职工的劳动关系，或者为鼓励职工自愿接受裁减而给予职工的补偿。</w:t>
      </w:r>
      <w:r>
        <w:rPr>
          <w:spacing w:val="-52"/>
        </w:rPr>
        <w:t> </w:t>
      </w:r>
      <w:r>
        <w:rPr>
          <w:spacing w:val="-52"/>
        </w:rPr>
      </w:r>
      <w:r>
        <w:rPr/>
        <w:t>对于辞退福利，同时满足下列条件的，确认因解除与职工的劳动关系给予补偿而产生的预计负债，同时计入当期损益：</w:t>
      </w:r>
    </w:p>
    <w:p>
      <w:pPr>
        <w:pStyle w:val="BodyText"/>
        <w:spacing w:line="240" w:lineRule="auto" w:before="19"/>
        <w:ind w:left="515" w:right="93"/>
        <w:jc w:val="left"/>
      </w:pPr>
      <w:r>
        <w:rPr/>
        <w:t>①公司已经制定正式的解除劳动关系计划或提出自愿裁减建议，并即将实施；</w:t>
      </w:r>
    </w:p>
    <w:p>
      <w:pPr>
        <w:pStyle w:val="BodyText"/>
        <w:spacing w:line="316" w:lineRule="auto" w:before="76"/>
        <w:ind w:left="515" w:right="93"/>
        <w:jc w:val="left"/>
      </w:pPr>
      <w:r>
        <w:rPr/>
        <w:t>②公司不能单方面撤回解除劳动关系计划或裁减建议。 </w:t>
      </w:r>
      <w:r>
        <w:rPr>
          <w:spacing w:val="-2"/>
        </w:rPr>
        <w:t>职工内部退休计划采用上述辞退福利相同的原则处理。公司将自职工停止提供服务日至正常退休日的期间、公司拟支付</w:t>
      </w:r>
    </w:p>
    <w:p>
      <w:pPr>
        <w:pStyle w:val="BodyText"/>
        <w:spacing w:line="316" w:lineRule="auto" w:before="19"/>
        <w:ind w:right="93"/>
        <w:jc w:val="left"/>
      </w:pPr>
      <w:r>
        <w:rPr>
          <w:spacing w:val="-2"/>
        </w:rPr>
        <w:t>的内退人员工资和缴纳的社会保险费等确认为预计负债，一次计入当期管理费用，不在职工内退后各期分期确认因支付内退</w:t>
      </w:r>
      <w:r>
        <w:rPr>
          <w:spacing w:val="-64"/>
        </w:rPr>
        <w:t> </w:t>
      </w:r>
      <w:r>
        <w:rPr>
          <w:spacing w:val="-64"/>
        </w:rPr>
      </w:r>
      <w:r>
        <w:rPr/>
        <w:t>职工工资和为其缴纳社会保险费而产生的义务。</w:t>
      </w:r>
    </w:p>
    <w:p>
      <w:pPr>
        <w:spacing w:after="0" w:line="316"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93"/>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3" w:firstLine="362"/>
        <w:jc w:val="left"/>
      </w:pPr>
      <w:r>
        <w:rPr>
          <w:spacing w:val="-4"/>
        </w:rPr>
        <w:t>其他长期职工福利，是指除短期薪酬、离职后福利、辞退福利之外所有的职工薪酬，包括长期带薪缺勤、长期残疾福利、</w:t>
      </w:r>
      <w:r>
        <w:rPr/>
        <w:t> 长期利润分享计划等。</w:t>
      </w:r>
    </w:p>
    <w:p>
      <w:pPr>
        <w:pStyle w:val="BodyText"/>
        <w:spacing w:line="316" w:lineRule="auto" w:before="19"/>
        <w:ind w:right="190" w:firstLine="362"/>
        <w:jc w:val="both"/>
      </w:pPr>
      <w:r>
        <w:rPr>
          <w:spacing w:val="-2"/>
        </w:rPr>
        <w:t>企业向职工提供的其他长期职工福利，符合设定提存计划条件的，应当按照设定提存计划的有关规定进行会计处理。企</w:t>
      </w:r>
      <w:r>
        <w:rPr/>
        <w:t> </w:t>
      </w:r>
      <w:r>
        <w:rPr>
          <w:spacing w:val="-2"/>
        </w:rPr>
        <w:t>业向职工提供的其他长期职工福利，符合设定受益计划条件的，企业应当设定受益计划的有关规定，确认和计量其他长期职</w:t>
      </w:r>
      <w:r>
        <w:rPr>
          <w:spacing w:val="-63"/>
        </w:rPr>
        <w:t> </w:t>
      </w:r>
      <w:r>
        <w:rPr>
          <w:spacing w:val="-63"/>
        </w:rPr>
      </w:r>
      <w:r>
        <w:rPr/>
        <w:t>工净负债或资产。在报告期末，企业应当将其他长期职工福利产生的职工薪酬成本确认为下列组成部分：</w:t>
      </w:r>
    </w:p>
    <w:p>
      <w:pPr>
        <w:pStyle w:val="BodyText"/>
        <w:spacing w:line="240" w:lineRule="auto" w:before="19"/>
        <w:ind w:left="515" w:right="6754"/>
        <w:jc w:val="left"/>
      </w:pPr>
      <w:r>
        <w:rPr/>
        <w:t>①服务成本。</w:t>
      </w:r>
    </w:p>
    <w:p>
      <w:pPr>
        <w:pStyle w:val="BodyText"/>
        <w:spacing w:line="240" w:lineRule="auto" w:before="76"/>
        <w:ind w:left="515" w:right="93"/>
        <w:jc w:val="left"/>
      </w:pPr>
      <w:r>
        <w:rPr/>
        <w:t>②其他长期职工福利净负债或净资产的利息净额。</w:t>
      </w:r>
    </w:p>
    <w:p>
      <w:pPr>
        <w:pStyle w:val="BodyText"/>
        <w:spacing w:line="316" w:lineRule="auto" w:before="76"/>
        <w:ind w:left="515" w:right="4411"/>
        <w:jc w:val="left"/>
      </w:pPr>
      <w:r>
        <w:rPr/>
        <w:t>③重新计量跟其他长期职工福利净负债或净资产所产生的变动。 上述项目的总净额应计入当期损益或相关资产成本。</w:t>
      </w:r>
    </w:p>
    <w:p>
      <w:pPr>
        <w:pStyle w:val="BodyText"/>
        <w:spacing w:line="316" w:lineRule="auto" w:before="19"/>
        <w:ind w:right="191" w:firstLine="362"/>
        <w:jc w:val="both"/>
      </w:pPr>
      <w:r>
        <w:rPr>
          <w:spacing w:val="-2"/>
        </w:rPr>
        <w:t>长期残疾福利水平取决于职工提供服务期间长短的，企业应在职工提供服务的期间确认应付长期残疾福利义务，计量时</w:t>
      </w:r>
      <w:r>
        <w:rPr/>
        <w:t> </w:t>
      </w:r>
      <w:r>
        <w:rPr>
          <w:spacing w:val="-2"/>
        </w:rPr>
        <w:t>应当考虑长期残疾福利支付的可能性和预期支付的期限；与职工提供服务期间长短无关的，企业应当在导致职工长期残疾的</w:t>
      </w:r>
      <w:r>
        <w:rPr>
          <w:spacing w:val="-64"/>
        </w:rPr>
        <w:t> </w:t>
      </w:r>
      <w:r>
        <w:rPr>
          <w:spacing w:val="-64"/>
        </w:rPr>
      </w:r>
      <w:r>
        <w:rPr/>
        <w:t>事件的当期确认应付长期残疾福利义务。</w:t>
      </w:r>
    </w:p>
    <w:p>
      <w:pPr>
        <w:spacing w:line="240" w:lineRule="auto" w:before="10"/>
        <w:rPr>
          <w:rFonts w:ascii="宋体" w:hAnsi="宋体" w:cs="宋体" w:eastAsia="宋体" w:hint="default"/>
          <w:sz w:val="22"/>
          <w:szCs w:val="22"/>
        </w:rPr>
      </w:pPr>
    </w:p>
    <w:p>
      <w:pPr>
        <w:pStyle w:val="Heading3"/>
        <w:spacing w:line="240" w:lineRule="auto"/>
        <w:ind w:right="6754"/>
        <w:jc w:val="left"/>
        <w:rPr>
          <w:b w:val="0"/>
          <w:bCs w:val="0"/>
        </w:rPr>
      </w:pPr>
      <w:r>
        <w:rPr>
          <w:rFonts w:ascii="Times New Roman" w:hAnsi="Times New Roman" w:cs="Times New Roman" w:eastAsia="Times New Roman" w:hint="default"/>
        </w:rPr>
        <w:t>23</w:t>
      </w:r>
      <w:r>
        <w:rPr/>
        <w:t>、预计负债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578" w:right="6754"/>
        <w:jc w:val="left"/>
        <w:rPr>
          <w:b w:val="0"/>
          <w:bCs w:val="0"/>
        </w:rPr>
      </w:pPr>
      <w:r>
        <w:rPr>
          <w:rFonts w:ascii="Times New Roman" w:hAnsi="Times New Roman" w:cs="Times New Roman" w:eastAsia="Times New Roman" w:hint="default"/>
        </w:rPr>
        <w:t>(1)</w:t>
      </w:r>
      <w:r>
        <w:rPr/>
        <w:t>确认原则</w:t>
      </w:r>
      <w:r>
        <w:rPr>
          <w:b w:val="0"/>
          <w:bCs w:val="0"/>
        </w:rPr>
      </w:r>
    </w:p>
    <w:p>
      <w:pPr>
        <w:pStyle w:val="BodyText"/>
        <w:spacing w:line="316" w:lineRule="auto" w:before="42"/>
        <w:ind w:right="93" w:firstLine="362"/>
        <w:jc w:val="left"/>
      </w:pPr>
      <w:r>
        <w:rPr>
          <w:spacing w:val="-2"/>
        </w:rPr>
        <w:t>当与对外担保、未决诉讼或仲裁、产品质量保证、裁员计划、亏损合同、重组义务等或有事项相关的业务同时符合以下</w:t>
      </w:r>
      <w:r>
        <w:rPr/>
        <w:t> 条件时，确认为预计负债：</w:t>
      </w:r>
    </w:p>
    <w:p>
      <w:pPr>
        <w:pStyle w:val="BodyText"/>
        <w:spacing w:line="240" w:lineRule="auto" w:before="19"/>
        <w:ind w:left="515" w:right="93"/>
        <w:jc w:val="left"/>
      </w:pPr>
      <w:r>
        <w:rPr/>
        <w:t>①该义务是企业承担的现时义务；</w:t>
      </w:r>
    </w:p>
    <w:p>
      <w:pPr>
        <w:pStyle w:val="BodyText"/>
        <w:spacing w:line="240" w:lineRule="auto" w:before="77"/>
        <w:ind w:left="515" w:right="93"/>
        <w:jc w:val="left"/>
      </w:pPr>
      <w:r>
        <w:rPr/>
        <w:t>②履行该义务很可能导致经济利益流出企业；</w:t>
      </w:r>
    </w:p>
    <w:p>
      <w:pPr>
        <w:pStyle w:val="BodyText"/>
        <w:spacing w:line="240" w:lineRule="auto" w:before="76"/>
        <w:ind w:left="515" w:right="93"/>
        <w:jc w:val="left"/>
      </w:pPr>
      <w:r>
        <w:rPr/>
        <w:t>③该义务的金额能够可靠地计量。</w:t>
      </w:r>
    </w:p>
    <w:p>
      <w:pPr>
        <w:pStyle w:val="Heading3"/>
        <w:spacing w:line="240" w:lineRule="auto" w:before="56"/>
        <w:ind w:left="578" w:right="6754"/>
        <w:jc w:val="left"/>
        <w:rPr>
          <w:b w:val="0"/>
          <w:bCs w:val="0"/>
        </w:rPr>
      </w:pPr>
      <w:r>
        <w:rPr>
          <w:rFonts w:ascii="Times New Roman" w:hAnsi="Times New Roman" w:cs="Times New Roman" w:eastAsia="Times New Roman" w:hint="default"/>
        </w:rPr>
        <w:t>(2)</w:t>
      </w:r>
      <w:r>
        <w:rPr/>
        <w:t>计量方法</w:t>
      </w:r>
      <w:r>
        <w:rPr>
          <w:b w:val="0"/>
          <w:bCs w:val="0"/>
        </w:rPr>
      </w:r>
    </w:p>
    <w:p>
      <w:pPr>
        <w:pStyle w:val="BodyText"/>
        <w:spacing w:line="240" w:lineRule="auto" w:before="42"/>
        <w:ind w:left="515" w:right="93"/>
        <w:jc w:val="left"/>
      </w:pPr>
      <w:r>
        <w:rPr/>
        <w:t>预计负债按照履行相关现实义务所需支出的最佳估计数进行初始计量</w:t>
      </w:r>
      <w:r>
        <w:rPr>
          <w:spacing w:val="-85"/>
        </w:rPr>
        <w:t>，</w:t>
      </w:r>
      <w:r>
        <w:rPr/>
        <w:t>并在资产负债表日对预计负债的账面价值进行复</w:t>
      </w:r>
    </w:p>
    <w:p>
      <w:pPr>
        <w:pStyle w:val="BodyText"/>
        <w:spacing w:line="240" w:lineRule="auto" w:before="76"/>
        <w:ind w:right="6754"/>
        <w:jc w:val="left"/>
      </w:pPr>
      <w:r>
        <w:rPr/>
        <w:t>核。</w:t>
      </w:r>
    </w:p>
    <w:p>
      <w:pPr>
        <w:spacing w:line="240" w:lineRule="auto" w:before="0"/>
        <w:rPr>
          <w:rFonts w:ascii="宋体" w:hAnsi="宋体" w:cs="宋体" w:eastAsia="宋体" w:hint="default"/>
          <w:sz w:val="18"/>
          <w:szCs w:val="18"/>
        </w:rPr>
      </w:pPr>
    </w:p>
    <w:p>
      <w:pPr>
        <w:pStyle w:val="Heading3"/>
        <w:spacing w:line="240" w:lineRule="auto" w:before="120"/>
        <w:ind w:right="6754"/>
        <w:jc w:val="left"/>
        <w:rPr>
          <w:b w:val="0"/>
          <w:bCs w:val="0"/>
        </w:rPr>
      </w:pPr>
      <w:r>
        <w:rPr>
          <w:rFonts w:ascii="Times New Roman" w:hAnsi="Times New Roman" w:cs="Times New Roman" w:eastAsia="Times New Roman" w:hint="default"/>
        </w:rPr>
        <w:t>24</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5" w:right="93"/>
        <w:jc w:val="left"/>
      </w:pPr>
      <w:r>
        <w:rPr/>
        <w:t>公司的股份支付分为以权益结算的股份支付和以现金结算的股份支付。</w:t>
      </w:r>
    </w:p>
    <w:p>
      <w:pPr>
        <w:pStyle w:val="Heading3"/>
        <w:spacing w:line="240" w:lineRule="auto" w:before="56"/>
        <w:ind w:left="578" w:right="6754"/>
        <w:jc w:val="left"/>
        <w:rPr>
          <w:b w:val="0"/>
          <w:bCs w:val="0"/>
        </w:rPr>
      </w:pPr>
      <w:r>
        <w:rPr>
          <w:rFonts w:ascii="Times New Roman" w:hAnsi="Times New Roman" w:cs="Times New Roman" w:eastAsia="Times New Roman" w:hint="default"/>
        </w:rPr>
        <w:t>(1)</w:t>
      </w:r>
      <w:r>
        <w:rPr/>
        <w:t>权益工具公允价值的确定</w:t>
      </w:r>
      <w:r>
        <w:rPr>
          <w:b w:val="0"/>
          <w:bCs w:val="0"/>
        </w:rPr>
      </w:r>
    </w:p>
    <w:p>
      <w:pPr>
        <w:pStyle w:val="BodyText"/>
        <w:spacing w:line="319" w:lineRule="auto" w:before="42"/>
        <w:ind w:right="93" w:firstLine="362"/>
        <w:jc w:val="left"/>
      </w:pPr>
      <w:r>
        <w:rPr>
          <w:spacing w:val="-2"/>
        </w:rPr>
        <w:t>以权益结算的股份支付，以授予职工权益工具的公允价值计量。以现金结算的股份支付，按照公司承担的以股份或其他</w:t>
      </w:r>
      <w:r>
        <w:rPr/>
        <w:t> 权益工具为基础计算确定的负债的公允价值计量。</w:t>
      </w:r>
    </w:p>
    <w:p>
      <w:pPr>
        <w:pStyle w:val="BodyText"/>
        <w:spacing w:line="316" w:lineRule="auto" w:before="17"/>
        <w:ind w:right="93" w:firstLine="362"/>
        <w:jc w:val="left"/>
      </w:pPr>
      <w:r>
        <w:rPr>
          <w:spacing w:val="-2"/>
        </w:rPr>
        <w:t>对于授予的存在活跃市场的期权等权益工具，按照活跃市场中的报价确定其公允价值。对于授予的不存在活跃市场的期</w:t>
      </w:r>
      <w:r>
        <w:rPr/>
        <w:t> 权等权益工具，采用期权定价模型等确定其公允价值，选用的期权定价模型考虑以下因素：</w:t>
      </w:r>
    </w:p>
    <w:p>
      <w:pPr>
        <w:pStyle w:val="BodyText"/>
        <w:spacing w:line="240" w:lineRule="auto" w:before="19"/>
        <w:ind w:left="515" w:right="0"/>
        <w:jc w:val="left"/>
      </w:pPr>
      <w:r>
        <w:rPr/>
        <w:t>期权的行权价格、期权的有效期、标的股份的现行价格、股价预计波动率、股份的预计股利、期权有效期内的无风险利</w:t>
      </w:r>
    </w:p>
    <w:p>
      <w:pPr>
        <w:pStyle w:val="BodyText"/>
        <w:spacing w:line="240" w:lineRule="auto" w:before="76"/>
        <w:ind w:right="6754"/>
        <w:jc w:val="left"/>
      </w:pPr>
      <w:r>
        <w:rPr/>
        <w:t>率。</w:t>
      </w:r>
    </w:p>
    <w:p>
      <w:pPr>
        <w:pStyle w:val="Heading3"/>
        <w:spacing w:line="240" w:lineRule="auto" w:before="56"/>
        <w:ind w:left="578" w:right="93"/>
        <w:jc w:val="left"/>
        <w:rPr>
          <w:b w:val="0"/>
          <w:bCs w:val="0"/>
        </w:rPr>
      </w:pPr>
      <w:r>
        <w:rPr>
          <w:rFonts w:ascii="Times New Roman" w:hAnsi="Times New Roman" w:cs="Times New Roman" w:eastAsia="Times New Roman" w:hint="default"/>
        </w:rPr>
        <w:t>(2)</w:t>
      </w:r>
      <w:r>
        <w:rPr/>
        <w:t>以权益工具结算的股份支付会计处理</w:t>
      </w:r>
      <w:r>
        <w:rPr>
          <w:b w:val="0"/>
          <w:bCs w:val="0"/>
        </w:rPr>
      </w:r>
    </w:p>
    <w:p>
      <w:pPr>
        <w:pStyle w:val="BodyText"/>
        <w:spacing w:line="240" w:lineRule="auto" w:before="42"/>
        <w:ind w:left="515" w:right="0"/>
        <w:jc w:val="left"/>
      </w:pPr>
      <w:r>
        <w:rPr/>
        <w:t>①授予后立即可行权的以权益结算的股份支付，在授予日以权益工具的公允价值计入相关成本或费用，相应增加资本公</w:t>
      </w:r>
    </w:p>
    <w:p>
      <w:pPr>
        <w:pStyle w:val="BodyText"/>
        <w:spacing w:line="240" w:lineRule="auto" w:before="76"/>
        <w:ind w:right="6754"/>
        <w:jc w:val="left"/>
      </w:pPr>
      <w:r>
        <w:rPr/>
        <w:t>积。</w:t>
      </w:r>
    </w:p>
    <w:p>
      <w:pPr>
        <w:pStyle w:val="BodyText"/>
        <w:spacing w:line="240" w:lineRule="auto" w:before="76"/>
        <w:ind w:left="515" w:right="93"/>
        <w:jc w:val="left"/>
      </w:pPr>
      <w:r>
        <w:rPr/>
        <w:t>授予日，是指股份支付协议获得批准的日期。</w:t>
      </w:r>
    </w:p>
    <w:p>
      <w:pPr>
        <w:pStyle w:val="BodyText"/>
        <w:spacing w:line="240" w:lineRule="auto" w:before="76"/>
        <w:ind w:left="515" w:right="93"/>
        <w:jc w:val="left"/>
      </w:pPr>
      <w:r>
        <w:rPr/>
        <w:t>②完成等待期内的服务或达到规定业绩条件才可行权的换取职工服务的以权益结算的股份支付</w:t>
      </w:r>
      <w:r>
        <w:rPr>
          <w:spacing w:val="-85"/>
        </w:rPr>
        <w:t>，</w:t>
      </w:r>
      <w:r>
        <w:rPr/>
        <w:t>在等待期内的每个资产</w:t>
      </w:r>
    </w:p>
    <w:p>
      <w:pPr>
        <w:pStyle w:val="BodyText"/>
        <w:spacing w:line="319" w:lineRule="auto" w:before="76"/>
        <w:ind w:right="93"/>
        <w:jc w:val="left"/>
      </w:pPr>
      <w:r>
        <w:rPr>
          <w:spacing w:val="-2"/>
        </w:rPr>
        <w:t>负债表日，以对可行权权益工具数量的最佳估计为基础，按照权益工具授予日的公允价值，将当期取得的服务计入相关成本</w:t>
      </w:r>
      <w:r>
        <w:rPr>
          <w:spacing w:val="-61"/>
        </w:rPr>
        <w:t> </w:t>
      </w:r>
      <w:r>
        <w:rPr>
          <w:spacing w:val="-61"/>
        </w:rPr>
      </w:r>
      <w:r>
        <w:rPr/>
        <w:t>或费用和资本公积，不确认后续公允价值变动。</w:t>
      </w:r>
    </w:p>
    <w:p>
      <w:pPr>
        <w:pStyle w:val="BodyText"/>
        <w:spacing w:line="240" w:lineRule="auto" w:before="17"/>
        <w:ind w:left="515" w:right="0"/>
        <w:jc w:val="left"/>
      </w:pPr>
      <w:r>
        <w:rPr/>
        <w:t>等待期内每个资产负债表日，公司根据最新取得的可行权职工人数变动等后续信息作出最佳估计，修正预计可行权的权</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93"/>
        <w:jc w:val="left"/>
      </w:pPr>
      <w:r>
        <w:rPr/>
        <w:t>益工具数量。在可行权日，最终预计可行权权益工具的数量与实际可行权工具的数量一致。</w:t>
      </w:r>
    </w:p>
    <w:p>
      <w:pPr>
        <w:pStyle w:val="BodyText"/>
        <w:spacing w:line="316" w:lineRule="auto" w:before="76"/>
        <w:ind w:right="192" w:firstLine="362"/>
        <w:jc w:val="both"/>
      </w:pPr>
      <w:r>
        <w:rPr>
          <w:spacing w:val="-2"/>
        </w:rPr>
        <w:t>③对于权益结算的股份支付，在可行权日之后不再对已确认的成本费用和所有者权益总额进行调整。公司在行权日根据</w:t>
      </w:r>
      <w:r>
        <w:rPr/>
        <w:t> 行权情况，确认股本和股本溢价，同时结转等待期内确认的资本公积。</w:t>
      </w:r>
    </w:p>
    <w:p>
      <w:pPr>
        <w:pStyle w:val="Heading3"/>
        <w:spacing w:line="289" w:lineRule="exact"/>
        <w:ind w:left="578" w:right="93"/>
        <w:jc w:val="left"/>
        <w:rPr>
          <w:b w:val="0"/>
          <w:bCs w:val="0"/>
        </w:rPr>
      </w:pPr>
      <w:r>
        <w:rPr>
          <w:rFonts w:ascii="Times New Roman" w:hAnsi="Times New Roman" w:cs="Times New Roman" w:eastAsia="Times New Roman" w:hint="default"/>
        </w:rPr>
        <w:t>(3)</w:t>
      </w:r>
      <w:r>
        <w:rPr/>
        <w:t>以现金结算的股份支付的会计处理</w:t>
      </w:r>
      <w:r>
        <w:rPr>
          <w:b w:val="0"/>
          <w:bCs w:val="0"/>
        </w:rPr>
      </w:r>
    </w:p>
    <w:p>
      <w:pPr>
        <w:pStyle w:val="BodyText"/>
        <w:spacing w:line="316" w:lineRule="auto" w:before="42"/>
        <w:ind w:right="191" w:firstLine="362"/>
        <w:jc w:val="both"/>
      </w:pPr>
      <w:r>
        <w:rPr>
          <w:spacing w:val="-2"/>
        </w:rPr>
        <w:t>①授予后立即可行权的以现金结算的股份支付，在授予日以本公司承担负债的公允价值计入相关成本或费用，相应增加</w:t>
      </w:r>
      <w:r>
        <w:rPr/>
        <w:t> 应付职工薪酬。</w:t>
      </w:r>
    </w:p>
    <w:p>
      <w:pPr>
        <w:pStyle w:val="BodyText"/>
        <w:spacing w:line="316" w:lineRule="auto" w:before="19"/>
        <w:ind w:right="108" w:firstLine="362"/>
        <w:jc w:val="both"/>
      </w:pPr>
      <w:r>
        <w:rPr/>
        <w:t>②完成等待期内的服务或达到规定业绩条件以后才可行权的以现金结算的股份支付，在等待期内的每个资产负债表日， 以对可行权情况的最佳估计为基础，按照公司承担负债的公允价值金额，将当期取得的服务计入成本或费用和相应的负债。</w:t>
      </w:r>
    </w:p>
    <w:p>
      <w:pPr>
        <w:pStyle w:val="BodyText"/>
        <w:spacing w:line="300" w:lineRule="auto" w:before="19"/>
        <w:ind w:right="191" w:firstLine="362"/>
        <w:jc w:val="both"/>
      </w:pPr>
      <w:r>
        <w:rPr>
          <w:spacing w:val="-1"/>
        </w:rPr>
        <w:t>③对于现金结算的股份支付，公司在可行权日之后不再确认成本费用，负债</w:t>
      </w:r>
      <w:r>
        <w:rPr>
          <w:rFonts w:ascii="Times New Roman" w:hAnsi="Times New Roman" w:cs="Times New Roman" w:eastAsia="Times New Roman" w:hint="default"/>
          <w:spacing w:val="-1"/>
        </w:rPr>
        <w:t>(</w:t>
      </w:r>
      <w:r>
        <w:rPr>
          <w:spacing w:val="-1"/>
        </w:rPr>
        <w:t>应付职工薪酬</w:t>
      </w:r>
      <w:r>
        <w:rPr>
          <w:rFonts w:ascii="Times New Roman" w:hAnsi="Times New Roman" w:cs="Times New Roman" w:eastAsia="Times New Roman" w:hint="default"/>
          <w:spacing w:val="-1"/>
        </w:rPr>
        <w:t>)</w:t>
      </w:r>
      <w:r>
        <w:rPr>
          <w:spacing w:val="-1"/>
        </w:rPr>
        <w:t>公允价值的变动计入当期损</w:t>
      </w:r>
      <w:r>
        <w:rPr/>
        <w:t> 益</w:t>
      </w:r>
      <w:r>
        <w:rPr>
          <w:rFonts w:ascii="Times New Roman" w:hAnsi="Times New Roman" w:cs="Times New Roman" w:eastAsia="Times New Roman" w:hint="default"/>
        </w:rPr>
        <w:t>(</w:t>
      </w:r>
      <w:r>
        <w:rPr/>
        <w:t>公允价值变动损益</w:t>
      </w:r>
      <w:r>
        <w:rPr>
          <w:rFonts w:ascii="Times New Roman" w:hAnsi="Times New Roman" w:cs="Times New Roman" w:eastAsia="Times New Roman" w:hint="default"/>
        </w:rPr>
        <w:t>)</w:t>
      </w:r>
      <w:r>
        <w:rPr/>
        <w:t>。</w:t>
      </w:r>
    </w:p>
    <w:p>
      <w:pPr>
        <w:pStyle w:val="Heading3"/>
        <w:spacing w:line="283" w:lineRule="exact"/>
        <w:ind w:left="578" w:right="93"/>
        <w:jc w:val="left"/>
        <w:rPr>
          <w:b w:val="0"/>
          <w:bCs w:val="0"/>
        </w:rPr>
      </w:pPr>
      <w:r>
        <w:rPr>
          <w:rFonts w:ascii="Times New Roman" w:hAnsi="Times New Roman" w:cs="Times New Roman" w:eastAsia="Times New Roman" w:hint="default"/>
        </w:rPr>
        <w:t>(4)</w:t>
      </w:r>
      <w:r>
        <w:rPr/>
        <w:t>股份支付计划的修改、终止</w:t>
      </w:r>
      <w:r>
        <w:rPr>
          <w:b w:val="0"/>
          <w:bCs w:val="0"/>
        </w:rPr>
      </w:r>
    </w:p>
    <w:p>
      <w:pPr>
        <w:pStyle w:val="BodyText"/>
        <w:spacing w:line="316" w:lineRule="auto" w:before="42"/>
        <w:ind w:right="191" w:firstLine="362"/>
        <w:jc w:val="both"/>
      </w:pPr>
      <w:r>
        <w:rPr>
          <w:spacing w:val="-2"/>
        </w:rPr>
        <w:t>无论已授予的权益工具的条款和条件如何修改，或者取消权益工具的授予或结算该权益工具，公司确认按照所授予的权</w:t>
      </w:r>
      <w:r>
        <w:rPr/>
        <w:t> </w:t>
      </w:r>
      <w:r>
        <w:rPr>
          <w:spacing w:val="-2"/>
        </w:rPr>
        <w:t>益工具在授予日的公允价值来计量获取的相应的服务，除非因不能满足权益工具的可行权条件（除市场条件外）而无法可行</w:t>
      </w:r>
      <w:r>
        <w:rPr>
          <w:spacing w:val="-66"/>
        </w:rPr>
        <w:t> </w:t>
      </w:r>
      <w:r>
        <w:rPr>
          <w:spacing w:val="-66"/>
        </w:rPr>
      </w:r>
      <w:r>
        <w:rPr/>
        <w:t>权。</w:t>
      </w:r>
    </w:p>
    <w:p>
      <w:pPr>
        <w:spacing w:line="240" w:lineRule="auto" w:before="10"/>
        <w:rPr>
          <w:rFonts w:ascii="宋体" w:hAnsi="宋体" w:cs="宋体" w:eastAsia="宋体" w:hint="default"/>
          <w:sz w:val="22"/>
          <w:szCs w:val="22"/>
        </w:rPr>
      </w:pPr>
    </w:p>
    <w:p>
      <w:pPr>
        <w:pStyle w:val="Heading3"/>
        <w:spacing w:line="240" w:lineRule="auto"/>
        <w:ind w:right="6754"/>
        <w:jc w:val="left"/>
        <w:rPr>
          <w:b w:val="0"/>
          <w:bCs w:val="0"/>
        </w:rPr>
      </w:pPr>
      <w:r>
        <w:rPr>
          <w:rFonts w:ascii="Times New Roman" w:hAnsi="Times New Roman" w:cs="Times New Roman" w:eastAsia="Times New Roman" w:hint="default"/>
        </w:rPr>
        <w:t>25</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6754"/>
        <w:jc w:val="left"/>
      </w:pPr>
      <w:r>
        <w:rPr/>
        <w:t>公司是否需要遵守特殊行业的披露要求 是</w:t>
      </w:r>
    </w:p>
    <w:p>
      <w:pPr>
        <w:pStyle w:val="BodyText"/>
        <w:spacing w:line="240" w:lineRule="auto" w:before="29"/>
        <w:ind w:right="6754"/>
        <w:jc w:val="left"/>
      </w:pPr>
      <w:r>
        <w:rPr/>
        <w:t>光伏产业链相关业</w:t>
      </w:r>
    </w:p>
    <w:p>
      <w:pPr>
        <w:pStyle w:val="BodyText"/>
        <w:spacing w:line="240" w:lineRule="auto" w:before="117"/>
        <w:ind w:right="675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销售商品收入的确认原则</w:t>
      </w:r>
    </w:p>
    <w:p>
      <w:pPr>
        <w:pStyle w:val="BodyText"/>
        <w:spacing w:line="240" w:lineRule="auto" w:before="63"/>
        <w:ind w:right="93"/>
        <w:jc w:val="left"/>
      </w:pPr>
      <w:r>
        <w:rPr/>
        <w:t>①公司已将商品所有权上的主要风险和报酬转移给购货方；</w:t>
      </w:r>
    </w:p>
    <w:p>
      <w:pPr>
        <w:pStyle w:val="BodyText"/>
        <w:spacing w:line="240" w:lineRule="auto" w:before="76"/>
        <w:ind w:right="93"/>
        <w:jc w:val="left"/>
      </w:pPr>
      <w:r>
        <w:rPr/>
        <w:t>②公司既没有保留通常与所有权相联系的继续管理权，也没有对已售出的商品实施有效控制；</w:t>
      </w:r>
    </w:p>
    <w:p>
      <w:pPr>
        <w:pStyle w:val="BodyText"/>
        <w:spacing w:line="240" w:lineRule="auto" w:before="76"/>
        <w:ind w:right="6754"/>
        <w:jc w:val="left"/>
      </w:pPr>
      <w:r>
        <w:rPr/>
        <w:t>③收入的金额能够可靠地计量；</w:t>
      </w:r>
    </w:p>
    <w:p>
      <w:pPr>
        <w:pStyle w:val="BodyText"/>
        <w:spacing w:line="240" w:lineRule="auto" w:before="76"/>
        <w:ind w:right="6754"/>
        <w:jc w:val="left"/>
      </w:pPr>
      <w:r>
        <w:rPr/>
        <w:t>④相关的经济利益很可能流入公司；</w:t>
      </w:r>
    </w:p>
    <w:p>
      <w:pPr>
        <w:pStyle w:val="BodyText"/>
        <w:spacing w:line="316" w:lineRule="auto" w:before="76"/>
        <w:ind w:right="93"/>
        <w:jc w:val="left"/>
      </w:pPr>
      <w:r>
        <w:rPr/>
        <w:t>⑤相关的已发生或将发生的成本能够可靠地计量。 在具体业务中，公司根据合同内容的不同，对于一般销售项目，根据合同约定公司只负指导安装的职责，在货物运至合 </w:t>
      </w:r>
      <w:r>
        <w:rPr>
          <w:spacing w:val="-2"/>
        </w:rPr>
        <w:t>同规定的交货地点，并得到对方的验收后，开具销售发票，确认销售收入；对大包项目（公司负责安装并完成试运行），在</w:t>
      </w:r>
      <w:r>
        <w:rPr>
          <w:spacing w:val="-73"/>
        </w:rPr>
        <w:t> </w:t>
      </w:r>
      <w:r>
        <w:rPr>
          <w:spacing w:val="-73"/>
        </w:rPr>
      </w:r>
      <w:r>
        <w:rPr/>
        <w:t>货物发出且运至合同规定的交货地点，验收合格后安装且试运行结束后，开具销售发票，确认销售收入。</w:t>
      </w:r>
    </w:p>
    <w:p>
      <w:pPr>
        <w:pStyle w:val="BodyText"/>
        <w:spacing w:line="319" w:lineRule="auto" w:before="19"/>
        <w:ind w:right="93"/>
        <w:jc w:val="left"/>
      </w:pPr>
      <w:r>
        <w:rPr/>
        <w:t>⑥分期收款销售商品收入的确认原则 对于实质上具有融资性质的分期收款商品销售，按照合同或协议应收价款的现值或同样商品的现销价格确定销售收入 </w:t>
      </w:r>
      <w:r>
        <w:rPr>
          <w:spacing w:val="-2"/>
        </w:rPr>
        <w:t>额，在销售商品符合收入确认的条件时确认销售收入；按应收的合同或协议价款与其公允价值之间的差额，在合同或协议期</w:t>
      </w:r>
      <w:r>
        <w:rPr>
          <w:spacing w:val="-61"/>
        </w:rPr>
        <w:t> </w:t>
      </w:r>
      <w:r>
        <w:rPr>
          <w:spacing w:val="-61"/>
        </w:rPr>
      </w:r>
      <w:r>
        <w:rPr/>
        <w:t>间内，按照应收款项摊余成本和实际利率计算确定的摊销金额，递减财务费用。</w:t>
      </w:r>
    </w:p>
    <w:p>
      <w:pPr>
        <w:pStyle w:val="BodyText"/>
        <w:spacing w:line="240" w:lineRule="auto" w:before="17"/>
        <w:ind w:right="675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提供劳务收入的确认</w:t>
      </w:r>
    </w:p>
    <w:p>
      <w:pPr>
        <w:pStyle w:val="BodyText"/>
        <w:spacing w:line="240" w:lineRule="auto" w:before="63"/>
        <w:ind w:right="93"/>
        <w:jc w:val="left"/>
      </w:pPr>
      <w:r>
        <w:rPr/>
        <w:t>①公司在资产负债表日提供劳务交易的结果能够可靠估计的，采用完工百分比法确认提供劳务收入。</w:t>
      </w:r>
    </w:p>
    <w:p>
      <w:pPr>
        <w:pStyle w:val="BodyText"/>
        <w:spacing w:line="316" w:lineRule="auto" w:before="76"/>
        <w:ind w:right="454"/>
        <w:jc w:val="left"/>
      </w:pPr>
      <w:r>
        <w:rPr/>
        <w:t>②公司在资产负债表日提供劳务交易结果不能够可靠估计的，分别下列情况处理： 已经发生的劳务成本预计能够得到补偿的，按照已经发生的劳务成本金额确认提供劳务收入，并按相同金额结转劳务成 本。</w:t>
      </w:r>
    </w:p>
    <w:p>
      <w:pPr>
        <w:pStyle w:val="BodyText"/>
        <w:spacing w:line="240" w:lineRule="auto" w:before="19"/>
        <w:ind w:right="93"/>
        <w:jc w:val="left"/>
      </w:pPr>
      <w:r>
        <w:rPr/>
        <w:t>已经发生的劳务成本预计不能够得到补偿的，将已经发生的劳务成本计入当期损益，不确认提供劳务收入。</w:t>
      </w:r>
    </w:p>
    <w:p>
      <w:pPr>
        <w:pStyle w:val="BodyText"/>
        <w:spacing w:line="309" w:lineRule="auto" w:before="76"/>
        <w:ind w:right="454"/>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让渡资产使用权收入的确认</w:t>
      </w:r>
      <w:r>
        <w:rPr>
          <w:w w:val="99"/>
        </w:rPr>
        <w:t> </w:t>
      </w:r>
      <w:r>
        <w:rPr/>
        <w:t>让渡资产使用权收入包括利息收入、使用费收入。同时满足下列条件时，予以确认：相关的经济利益很可能流入公司；</w:t>
      </w:r>
      <w:r>
        <w:rPr>
          <w:w w:val="99"/>
        </w:rPr>
        <w:t> </w:t>
      </w:r>
      <w:r>
        <w:rPr/>
        <w:t>收入的金额能够可靠计量。</w:t>
      </w:r>
    </w:p>
    <w:p>
      <w:pPr>
        <w:pStyle w:val="BodyText"/>
        <w:spacing w:line="240" w:lineRule="auto" w:before="24"/>
        <w:ind w:right="93"/>
        <w:jc w:val="left"/>
      </w:pPr>
      <w:r>
        <w:rPr/>
        <w:t>公司对于拥有产权的办公房屋出租等租赁收入确认的具体条件：</w:t>
      </w:r>
    </w:p>
    <w:p>
      <w:pPr>
        <w:pStyle w:val="BodyText"/>
        <w:spacing w:line="240" w:lineRule="auto" w:before="76"/>
        <w:ind w:right="6754"/>
        <w:jc w:val="left"/>
      </w:pPr>
      <w:r>
        <w:rPr/>
        <w:t>①根据合同，约定的义务已经履行；</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135"/>
        <w:jc w:val="left"/>
      </w:pPr>
      <w:r>
        <w:rPr/>
        <w:t>②房屋出租相应的租赁款项已收到或按合同约定取得收款的权利。</w:t>
      </w:r>
    </w:p>
    <w:p>
      <w:pPr>
        <w:pStyle w:val="BodyText"/>
        <w:spacing w:line="312" w:lineRule="auto" w:before="76"/>
        <w:ind w:right="135"/>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建造合同收入</w:t>
      </w:r>
      <w:r>
        <w:rPr>
          <w:w w:val="99"/>
        </w:rPr>
        <w:t> </w:t>
      </w:r>
      <w:r>
        <w:rPr/>
        <w:t>本公司在资产负债表日，建造合同的结果能够可靠估计的，根据完工百分比法确认合同收入和费用。完工百分比法，是</w:t>
      </w:r>
      <w:r>
        <w:rPr>
          <w:w w:val="99"/>
        </w:rPr>
        <w:t> </w:t>
      </w:r>
      <w:r>
        <w:rPr>
          <w:spacing w:val="-2"/>
          <w:w w:val="99"/>
        </w:rPr>
        <w:t>指根据合同完工进度确认收入与费用的方法。本公司采用累计实际发生的合同成本占合同预计总成本的比例确定合同完工进</w:t>
      </w:r>
      <w:r>
        <w:rPr>
          <w:spacing w:val="-63"/>
          <w:w w:val="99"/>
        </w:rPr>
        <w:t> </w:t>
      </w:r>
      <w:r>
        <w:rPr>
          <w:spacing w:val="-63"/>
          <w:w w:val="99"/>
        </w:rPr>
      </w:r>
      <w:r>
        <w:rPr/>
        <w:t>度，根据完工进度确认当期的收入和成本。</w:t>
      </w:r>
    </w:p>
    <w:p>
      <w:pPr>
        <w:pStyle w:val="BodyText"/>
        <w:spacing w:line="240" w:lineRule="auto" w:before="22"/>
        <w:ind w:right="135"/>
        <w:jc w:val="left"/>
      </w:pPr>
      <w:r>
        <w:rPr/>
        <w:t>固定造价合同的结果能够可靠估计确定依据为：</w:t>
      </w:r>
    </w:p>
    <w:p>
      <w:pPr>
        <w:pStyle w:val="BodyText"/>
        <w:spacing w:line="240" w:lineRule="auto" w:before="76"/>
        <w:ind w:right="135"/>
        <w:jc w:val="left"/>
      </w:pPr>
      <w:r>
        <w:rPr/>
        <w:t>①合同总收入能够可靠地计量；</w:t>
      </w:r>
    </w:p>
    <w:p>
      <w:pPr>
        <w:pStyle w:val="BodyText"/>
        <w:spacing w:line="240" w:lineRule="auto" w:before="76"/>
        <w:ind w:right="135"/>
        <w:jc w:val="left"/>
      </w:pPr>
      <w:r>
        <w:rPr/>
        <w:t>②与合同相关的经济利益很可能流入本公司；</w:t>
      </w:r>
    </w:p>
    <w:p>
      <w:pPr>
        <w:pStyle w:val="BodyText"/>
        <w:spacing w:line="240" w:lineRule="auto" w:before="76"/>
        <w:ind w:right="135"/>
        <w:jc w:val="left"/>
      </w:pPr>
      <w:r>
        <w:rPr/>
        <w:t>③实际发生的合同成本能够清楚地区分和可靠地计量；</w:t>
      </w:r>
    </w:p>
    <w:p>
      <w:pPr>
        <w:pStyle w:val="BodyText"/>
        <w:spacing w:line="316" w:lineRule="auto" w:before="76"/>
        <w:ind w:right="4734"/>
        <w:jc w:val="left"/>
      </w:pPr>
      <w:r>
        <w:rPr/>
        <w:t>④合同完工进度和为完成合同尚需发生的成本能够可靠地确定。 成本加成合同的结果能够可靠估计，确定依据为：</w:t>
      </w:r>
    </w:p>
    <w:p>
      <w:pPr>
        <w:pStyle w:val="BodyText"/>
        <w:spacing w:line="240" w:lineRule="auto" w:before="19"/>
        <w:ind w:right="135"/>
        <w:jc w:val="left"/>
      </w:pPr>
      <w:r>
        <w:rPr/>
        <w:t>①与合同相关的经济利益很可能流入本公司；</w:t>
      </w:r>
    </w:p>
    <w:p>
      <w:pPr>
        <w:pStyle w:val="BodyText"/>
        <w:spacing w:line="316" w:lineRule="auto" w:before="76"/>
        <w:ind w:right="5454"/>
        <w:jc w:val="left"/>
      </w:pPr>
      <w:r>
        <w:rPr/>
        <w:t>②实际发生的合同成本能够清楚地区分和可靠地计量。 建造合同的结果不能可靠估计的，分别情况进行处理：</w:t>
      </w:r>
    </w:p>
    <w:p>
      <w:pPr>
        <w:pStyle w:val="BodyText"/>
        <w:spacing w:line="240" w:lineRule="auto" w:before="19"/>
        <w:ind w:right="135"/>
        <w:jc w:val="left"/>
      </w:pPr>
      <w:r>
        <w:rPr/>
        <w:t>①合同成本能够收回的，合同收入根据能够收回的实际合同成本予以确认，合同成本在其发生的当期确认为合同费用；</w:t>
      </w:r>
    </w:p>
    <w:p>
      <w:pPr>
        <w:pStyle w:val="BodyText"/>
        <w:spacing w:line="240" w:lineRule="auto" w:before="76"/>
        <w:ind w:right="135"/>
        <w:jc w:val="left"/>
      </w:pPr>
      <w:r>
        <w:rPr/>
        <w:t>②合同成本不可能收回的，在发生时立即确认为合同费用，不确认合同收入。</w:t>
      </w:r>
    </w:p>
    <w:p>
      <w:pPr>
        <w:spacing w:line="240" w:lineRule="auto" w:before="0"/>
        <w:rPr>
          <w:rFonts w:ascii="宋体" w:hAnsi="宋体" w:cs="宋体" w:eastAsia="宋体" w:hint="default"/>
          <w:sz w:val="18"/>
          <w:szCs w:val="18"/>
        </w:rPr>
      </w:pPr>
    </w:p>
    <w:p>
      <w:pPr>
        <w:pStyle w:val="Heading3"/>
        <w:spacing w:line="240" w:lineRule="auto" w:before="120"/>
        <w:ind w:right="135"/>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35"/>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3" w:right="135"/>
        <w:jc w:val="left"/>
      </w:pPr>
      <w:r>
        <w:rPr/>
        <w:t>与资产相关的政府补助，是指本公司取得的、用于购建或以其他方式形成长期资产的政府补助。 </w:t>
      </w:r>
      <w:r>
        <w:rPr>
          <w:spacing w:val="-2"/>
        </w:rPr>
        <w:t>本公司对与资产相关的政府补助，冲减相关资产账面价值或确认为递延收益。确认为递延收益的，在相关资产使用寿命</w:t>
      </w:r>
    </w:p>
    <w:p>
      <w:pPr>
        <w:pStyle w:val="BodyText"/>
        <w:spacing w:line="297" w:lineRule="auto" w:before="19"/>
        <w:ind w:right="135"/>
        <w:jc w:val="left"/>
        <w:rPr>
          <w:sz w:val="21"/>
          <w:szCs w:val="21"/>
        </w:rPr>
      </w:pPr>
      <w:r>
        <w:rPr>
          <w:spacing w:val="-2"/>
        </w:rPr>
        <w:t>内按照合理、系统的方法分期计入当期损益（与本公司日常活动相关的，计入其他收益；与本公司日常活动无关的，计入营</w:t>
      </w:r>
      <w:r>
        <w:rPr>
          <w:spacing w:val="-67"/>
        </w:rPr>
        <w:t> </w:t>
      </w:r>
      <w:r>
        <w:rPr>
          <w:spacing w:val="-67"/>
        </w:rPr>
      </w:r>
      <w:r>
        <w:rPr/>
        <w:t>业外收入）</w:t>
      </w:r>
      <w:r>
        <w:rPr>
          <w:sz w:val="21"/>
          <w:szCs w:val="21"/>
        </w:rPr>
        <w:t>。</w:t>
      </w:r>
    </w:p>
    <w:p>
      <w:pPr>
        <w:spacing w:line="240" w:lineRule="auto" w:before="12"/>
        <w:rPr>
          <w:rFonts w:ascii="宋体" w:hAnsi="宋体" w:cs="宋体" w:eastAsia="宋体" w:hint="default"/>
          <w:sz w:val="21"/>
          <w:szCs w:val="21"/>
        </w:rPr>
      </w:pPr>
    </w:p>
    <w:p>
      <w:pPr>
        <w:pStyle w:val="Heading3"/>
        <w:spacing w:line="240" w:lineRule="auto"/>
        <w:ind w:right="135"/>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135"/>
        <w:jc w:val="left"/>
      </w:pPr>
      <w:r>
        <w:rPr/>
        <w:t>与收益相关的政府补助，是指本公司取得的除与资产相关的政府补助之外的政府补助。 </w:t>
      </w:r>
      <w:r>
        <w:rPr>
          <w:spacing w:val="-2"/>
        </w:rPr>
        <w:t>本公司对与收益相关的政府补助，用于补偿本公司以后期间的相关成本费用或损失的，确认为递延收益，并在确认相关</w:t>
      </w:r>
    </w:p>
    <w:p>
      <w:pPr>
        <w:pStyle w:val="BodyText"/>
        <w:spacing w:line="319" w:lineRule="auto" w:before="19"/>
        <w:ind w:right="151"/>
        <w:jc w:val="both"/>
      </w:pPr>
      <w:r>
        <w:rPr>
          <w:spacing w:val="-2"/>
        </w:rPr>
        <w:t>成本费用或损失的期间，计入当期损益（与本公司日常活动相关的，计入其他收益；与本公司日常活动无关的，计入营业外</w:t>
      </w:r>
      <w:r>
        <w:rPr>
          <w:spacing w:val="-67"/>
        </w:rPr>
        <w:t> </w:t>
      </w:r>
      <w:r>
        <w:rPr>
          <w:spacing w:val="-67"/>
        </w:rPr>
      </w:r>
      <w:r>
        <w:rPr>
          <w:spacing w:val="-2"/>
        </w:rPr>
        <w:t>收入）或冲减相关成本费用或损失；用于补偿本公司已发生的相关成本费用或损失的，直接计入当期损益（与本公司日常活</w:t>
      </w:r>
      <w:r>
        <w:rPr>
          <w:spacing w:val="-65"/>
        </w:rPr>
        <w:t> </w:t>
      </w:r>
      <w:r>
        <w:rPr>
          <w:spacing w:val="-65"/>
        </w:rPr>
      </w:r>
      <w:r>
        <w:rPr/>
        <w:t>动相关的，计入其他收益；与本公司日常活动无关的，计入营业外收入）或冲减相关成本费用或损失。</w:t>
      </w:r>
    </w:p>
    <w:p>
      <w:pPr>
        <w:spacing w:line="240" w:lineRule="auto" w:before="9"/>
        <w:rPr>
          <w:rFonts w:ascii="宋体" w:hAnsi="宋体" w:cs="宋体" w:eastAsia="宋体" w:hint="default"/>
          <w:sz w:val="22"/>
          <w:szCs w:val="22"/>
        </w:rPr>
      </w:pPr>
    </w:p>
    <w:p>
      <w:pPr>
        <w:pStyle w:val="Heading3"/>
        <w:spacing w:line="240" w:lineRule="auto"/>
        <w:ind w:right="135"/>
        <w:jc w:val="left"/>
        <w:rPr>
          <w:b w:val="0"/>
          <w:bCs w:val="0"/>
        </w:rPr>
      </w:pP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right="135" w:firstLine="362"/>
        <w:jc w:val="left"/>
      </w:pPr>
      <w:r>
        <w:rPr>
          <w:rFonts w:ascii="Times New Roman" w:hAnsi="Times New Roman" w:cs="Times New Roman" w:eastAsia="Times New Roman" w:hint="default"/>
        </w:rPr>
        <w:t>(1)</w:t>
      </w:r>
      <w:r>
        <w:rPr/>
        <w:t>公司根据资产、负债的账面价值与其计税基础之间的差额（未作为资产和负债确认的项目按照税法规定可以确定其</w:t>
      </w:r>
      <w:r>
        <w:rPr>
          <w:w w:val="99"/>
        </w:rPr>
        <w:t> </w:t>
      </w:r>
      <w:r>
        <w:rPr>
          <w:spacing w:val="-2"/>
        </w:rPr>
        <w:t>计税基础的，该计税基础与其账面数之间的差额），按照预期收回该资产或清偿该负债期间的适用税率计算确认递延所得税</w:t>
      </w:r>
      <w:r>
        <w:rPr>
          <w:spacing w:val="-67"/>
        </w:rPr>
        <w:t> </w:t>
      </w:r>
      <w:r>
        <w:rPr>
          <w:spacing w:val="-67"/>
        </w:rPr>
      </w:r>
      <w:r>
        <w:rPr/>
        <w:t>资产或递延所得税负债。</w:t>
      </w:r>
    </w:p>
    <w:p>
      <w:pPr>
        <w:pStyle w:val="BodyText"/>
        <w:spacing w:line="309" w:lineRule="auto" w:before="24"/>
        <w:ind w:right="217" w:firstLine="362"/>
        <w:jc w:val="right"/>
      </w:pPr>
      <w:r>
        <w:rPr>
          <w:rFonts w:ascii="Times New Roman" w:hAnsi="Times New Roman" w:cs="Times New Roman" w:eastAsia="Times New Roman" w:hint="default"/>
        </w:rPr>
        <w:t>(2)</w:t>
      </w:r>
      <w:r>
        <w:rPr/>
        <w:t>确认递延所得税资产以很可能取得用来抵扣可抵扣暂时性差异的应纳税所得额为限。资产负债表日，有确凿证据表</w:t>
      </w:r>
      <w:r>
        <w:rPr>
          <w:w w:val="99"/>
        </w:rPr>
        <w:t> </w:t>
      </w:r>
      <w:r>
        <w:rPr/>
        <w:t>明未来期间很可能获得足够的应纳税所得额用来抵扣可抵扣暂时性差异的，确认以前会计期间未确认的递延所得税资产。</w:t>
      </w:r>
      <w:r>
        <w:rPr>
          <w:w w:val="99"/>
        </w:rPr>
        <w:t> </w:t>
      </w:r>
      <w:r>
        <w:rPr>
          <w:rFonts w:ascii="Times New Roman" w:hAnsi="Times New Roman" w:cs="Times New Roman" w:eastAsia="Times New Roman" w:hint="default"/>
        </w:rPr>
        <w:t>(3)</w:t>
      </w:r>
      <w:r>
        <w:rPr/>
        <w:t>资产负债表日，对已确认的递延所得税资产账面价值进行复核，如果未来期间很可能无法获得足够的应纳税所得额</w:t>
      </w:r>
    </w:p>
    <w:p>
      <w:pPr>
        <w:pStyle w:val="BodyText"/>
        <w:spacing w:line="319" w:lineRule="auto" w:before="5"/>
        <w:ind w:right="135"/>
        <w:jc w:val="left"/>
      </w:pPr>
      <w:r>
        <w:rPr>
          <w:spacing w:val="-2"/>
        </w:rPr>
        <w:t>用以抵扣递延所得税资产时，则减记递延所得税资产的账面价值。在很可能获得足够的应纳税所得额时，减记的金额予以转</w:t>
      </w:r>
      <w:r>
        <w:rPr>
          <w:spacing w:val="-63"/>
        </w:rPr>
        <w:t> </w:t>
      </w:r>
      <w:r>
        <w:rPr>
          <w:spacing w:val="-63"/>
        </w:rPr>
      </w:r>
      <w:r>
        <w:rPr/>
        <w:t>回。公司未来期间很可能获得足够的应纳税所得额的金额是依据管理层批准的经营计划（或盈利预测）确定。</w:t>
      </w:r>
    </w:p>
    <w:p>
      <w:pPr>
        <w:pStyle w:val="BodyText"/>
        <w:spacing w:line="240" w:lineRule="auto" w:before="17"/>
        <w:ind w:left="515" w:right="135"/>
        <w:jc w:val="left"/>
      </w:pPr>
      <w:r>
        <w:rPr>
          <w:rFonts w:ascii="Times New Roman" w:hAnsi="Times New Roman" w:cs="Times New Roman" w:eastAsia="Times New Roman" w:hint="default"/>
        </w:rPr>
        <w:t>(4)</w:t>
      </w:r>
      <w:r>
        <w:rPr/>
        <w:t>公司当期所得税和递延所得税作为所得税费用或收益计入当期损益，但不包括下列情况产生的所得税：</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left="515" w:right="6754"/>
        <w:jc w:val="left"/>
      </w:pPr>
      <w:r>
        <w:rPr/>
        <w:t>①企业合并；</w:t>
      </w:r>
    </w:p>
    <w:p>
      <w:pPr>
        <w:pStyle w:val="BodyText"/>
        <w:spacing w:line="240" w:lineRule="auto" w:before="76"/>
        <w:ind w:left="515" w:right="93"/>
        <w:jc w:val="left"/>
      </w:pPr>
      <w:r>
        <w:rPr/>
        <w:t>②直接在所有者权益中确认的交易或者事项。</w:t>
      </w:r>
    </w:p>
    <w:p>
      <w:pPr>
        <w:spacing w:line="240" w:lineRule="auto" w:before="0"/>
        <w:rPr>
          <w:rFonts w:ascii="宋体" w:hAnsi="宋体" w:cs="宋体" w:eastAsia="宋体" w:hint="default"/>
          <w:sz w:val="18"/>
          <w:szCs w:val="18"/>
        </w:rPr>
      </w:pPr>
    </w:p>
    <w:p>
      <w:pPr>
        <w:pStyle w:val="Heading3"/>
        <w:spacing w:line="240" w:lineRule="auto" w:before="120"/>
        <w:ind w:right="6754"/>
        <w:jc w:val="left"/>
        <w:rPr>
          <w:b w:val="0"/>
          <w:bCs w:val="0"/>
        </w:rPr>
      </w:pPr>
      <w:r>
        <w:rPr>
          <w:rFonts w:ascii="Times New Roman" w:hAnsi="Times New Roman" w:cs="Times New Roman" w:eastAsia="Times New Roman" w:hint="default"/>
        </w:rPr>
        <w:t>28</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6754"/>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66" w:firstLine="288"/>
        <w:jc w:val="left"/>
      </w:pPr>
      <w:r>
        <w:rPr/>
        <w:t>①对于经营租赁的租金，承租人（公司）在租赁期内各个期间按照直线法确认为当期损益；其他方法更为系统合理的， 可以采用其他方法。</w:t>
      </w:r>
    </w:p>
    <w:p>
      <w:pPr>
        <w:pStyle w:val="BodyText"/>
        <w:spacing w:line="240" w:lineRule="auto" w:before="19"/>
        <w:ind w:right="93"/>
        <w:jc w:val="left"/>
      </w:pPr>
      <w:r>
        <w:rPr/>
        <w:t>承租人（公司）发生的初始直接费用，计入当期损益。或有租金在实际发生时计入当期损益。</w:t>
      </w:r>
    </w:p>
    <w:p>
      <w:pPr>
        <w:pStyle w:val="BodyText"/>
        <w:spacing w:line="319" w:lineRule="auto" w:before="76"/>
        <w:ind w:right="166" w:firstLine="288"/>
        <w:jc w:val="left"/>
      </w:pPr>
      <w:r>
        <w:rPr/>
        <w:t>②对于经营租赁的租金，出租人（公司）在租赁期内各个期间按照直线法确认为当期损益；其他方法更为系统合理的， 可以采用其他方法。</w:t>
      </w:r>
    </w:p>
    <w:p>
      <w:pPr>
        <w:pStyle w:val="BodyText"/>
        <w:spacing w:line="316" w:lineRule="auto" w:before="17"/>
        <w:ind w:left="441" w:right="93"/>
        <w:jc w:val="left"/>
      </w:pPr>
      <w:r>
        <w:rPr/>
        <w:t>出租人（公司）发生的初始直接费用，计入当期损益。 </w:t>
      </w:r>
      <w:r>
        <w:rPr>
          <w:spacing w:val="-1"/>
        </w:rPr>
        <w:t>对于经营租赁资产中的固定资产，出租人（公司）采用类似资产的折旧政策计提折旧；对于其它经营租赁资产，采用系</w:t>
      </w:r>
    </w:p>
    <w:p>
      <w:pPr>
        <w:pStyle w:val="BodyText"/>
        <w:spacing w:line="316" w:lineRule="auto" w:before="19"/>
        <w:ind w:left="515" w:right="5131" w:hanging="363"/>
        <w:jc w:val="left"/>
      </w:pPr>
      <w:r>
        <w:rPr/>
        <w:t>统合理的方法进行摊销。 出租人（公司）或有租金在实际发生时计入当期损益。</w:t>
      </w:r>
    </w:p>
    <w:p>
      <w:pPr>
        <w:spacing w:line="240" w:lineRule="auto" w:before="10"/>
        <w:rPr>
          <w:rFonts w:ascii="宋体" w:hAnsi="宋体" w:cs="宋体" w:eastAsia="宋体" w:hint="default"/>
          <w:sz w:val="22"/>
          <w:szCs w:val="22"/>
        </w:rPr>
      </w:pPr>
    </w:p>
    <w:p>
      <w:pPr>
        <w:pStyle w:val="Heading3"/>
        <w:spacing w:line="240" w:lineRule="auto"/>
        <w:ind w:right="6754"/>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3" w:firstLine="362"/>
        <w:jc w:val="left"/>
      </w:pPr>
      <w:r>
        <w:rPr>
          <w:spacing w:val="-2"/>
        </w:rPr>
        <w:t>①在租赁期开始日，承租人（公司）将租赁开始日租赁资产公允价值与最低租赁付款额现值两者中较低者作为租入资产</w:t>
      </w:r>
      <w:r>
        <w:rPr/>
        <w:t> 的入账价值，将最低租赁付款额作为长期应付款的入账价值，其差额作为未确认融资费用。</w:t>
      </w:r>
    </w:p>
    <w:p>
      <w:pPr>
        <w:pStyle w:val="BodyText"/>
        <w:spacing w:line="319" w:lineRule="auto" w:before="19"/>
        <w:ind w:right="93" w:firstLine="362"/>
        <w:jc w:val="left"/>
      </w:pPr>
      <w:r>
        <w:rPr>
          <w:spacing w:val="-4"/>
        </w:rPr>
        <w:t>②在租赁期开始日，出租人（公司）将租赁开始日最低租赁收款额与初始直接费用之和作为应收融资租赁款的入账价值，</w:t>
      </w:r>
      <w:r>
        <w:rPr/>
        <w:t> 同时记录未担保余值；将最低租赁收款额、初始直接费用及未担保余值之和与其现值之和的差额确认为未实现融资收益。</w:t>
      </w:r>
    </w:p>
    <w:p>
      <w:pPr>
        <w:pStyle w:val="BodyText"/>
        <w:spacing w:line="316" w:lineRule="auto" w:before="17"/>
        <w:ind w:right="93" w:firstLine="362"/>
        <w:jc w:val="left"/>
      </w:pPr>
      <w:r>
        <w:rPr>
          <w:spacing w:val="-2"/>
        </w:rPr>
        <w:t>融资租入的固定资产按同类固定资产的折旧政策采用直线法计提折旧。对能够合理确定租赁期届满时取得租入资产所有</w:t>
      </w:r>
      <w:r>
        <w:rPr/>
        <w:t> 权的租入资产在使用寿命内计提折旧。否则，租赁资产在租赁期与租赁资产使用寿命两者中较短的期间内计提折旧。</w:t>
      </w:r>
    </w:p>
    <w:p>
      <w:pPr>
        <w:pStyle w:val="BodyText"/>
        <w:spacing w:line="316" w:lineRule="auto" w:before="19"/>
        <w:ind w:left="515" w:right="93"/>
        <w:jc w:val="left"/>
      </w:pPr>
      <w:r>
        <w:rPr/>
        <w:t>本公司对未确认融资费用采用实际利率法在租赁期内各个期间进行分摊，并按照借款费用的原则处理。 </w:t>
      </w:r>
      <w:r>
        <w:rPr>
          <w:spacing w:val="-2"/>
        </w:rPr>
        <w:t>资产负债表日，本公司将与融资租赁相关的长期应付款减去未确认融资费用的差额，分别以长期负债和一年内到期的长</w:t>
      </w:r>
    </w:p>
    <w:p>
      <w:pPr>
        <w:pStyle w:val="BodyText"/>
        <w:spacing w:line="240" w:lineRule="auto" w:before="19"/>
        <w:ind w:right="6754"/>
        <w:jc w:val="left"/>
      </w:pPr>
      <w:r>
        <w:rPr/>
        <w:t>期负债列示。</w:t>
      </w:r>
    </w:p>
    <w:p>
      <w:pPr>
        <w:spacing w:line="240" w:lineRule="auto" w:before="0"/>
        <w:rPr>
          <w:rFonts w:ascii="宋体" w:hAnsi="宋体" w:cs="宋体" w:eastAsia="宋体" w:hint="default"/>
          <w:sz w:val="18"/>
          <w:szCs w:val="18"/>
        </w:rPr>
      </w:pPr>
    </w:p>
    <w:p>
      <w:pPr>
        <w:pStyle w:val="Heading3"/>
        <w:spacing w:line="240" w:lineRule="auto" w:before="120"/>
        <w:ind w:right="93"/>
        <w:jc w:val="left"/>
        <w:rPr>
          <w:b w:val="0"/>
          <w:bCs w:val="0"/>
        </w:rPr>
      </w:pPr>
      <w:r>
        <w:rPr>
          <w:rFonts w:ascii="Times New Roman" w:hAnsi="Times New Roman" w:cs="Times New Roman" w:eastAsia="Times New Roman" w:hint="default"/>
        </w:rPr>
        <w:t>29</w:t>
      </w:r>
      <w:r>
        <w:rPr/>
        <w:t>、其他重要的会计政策和会计估计</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94" w:firstLine="362"/>
        <w:jc w:val="left"/>
      </w:pPr>
      <w:r>
        <w:rPr>
          <w:spacing w:val="-2"/>
        </w:rPr>
        <w:t>本公司在运用会计政策过程中，由于经营活动内在的不确定性，本公司需要对无法准确计量的报表项目的账面价值进行</w:t>
      </w:r>
      <w:r>
        <w:rPr/>
        <w:t> 判断、估计和假设。这些判断、估计和假设是基于本公司管理层过去的历史经验，并在考虑其他相关因素的基础上做出的。 </w:t>
      </w:r>
      <w:r>
        <w:rPr>
          <w:spacing w:val="-2"/>
        </w:rPr>
        <w:t>这些判断、估计和假设会影响收入、费用、资产和负债的报告金额以及资产负债表日或有负债的披露。然而，这些估计的不</w:t>
      </w:r>
      <w:r>
        <w:rPr>
          <w:spacing w:val="-67"/>
        </w:rPr>
        <w:t> </w:t>
      </w:r>
      <w:r>
        <w:rPr>
          <w:spacing w:val="-67"/>
        </w:rPr>
      </w:r>
      <w:r>
        <w:rPr>
          <w:spacing w:val="-2"/>
        </w:rPr>
        <w:t>确定性所导致的实际结果可能与本公司管理层当前的估计存在差异，进而造成对未来受影响的资产或负债的账面金额进行重</w:t>
      </w:r>
      <w:r>
        <w:rPr>
          <w:spacing w:val="-64"/>
        </w:rPr>
        <w:t> </w:t>
      </w:r>
      <w:r>
        <w:rPr>
          <w:spacing w:val="-64"/>
        </w:rPr>
      </w:r>
      <w:r>
        <w:rPr/>
        <w:t>大调整。</w:t>
      </w:r>
    </w:p>
    <w:p>
      <w:pPr>
        <w:pStyle w:val="BodyText"/>
        <w:spacing w:line="316" w:lineRule="auto" w:before="17"/>
        <w:ind w:right="93" w:firstLine="362"/>
        <w:jc w:val="left"/>
      </w:pPr>
      <w:r>
        <w:rPr>
          <w:spacing w:val="-2"/>
        </w:rPr>
        <w:t>本公司对前述判断、估计和假设在持续经营的基础上进行定期复核，会计估计的变更仅影响变更当期的，其影响数在变</w:t>
      </w:r>
      <w:r>
        <w:rPr/>
        <w:t> 更当期予以确认；既影响变更当期又影响未来期间的，其影响数在变更当期和未来期间予以确认。</w:t>
      </w:r>
    </w:p>
    <w:p>
      <w:pPr>
        <w:pStyle w:val="BodyText"/>
        <w:spacing w:line="240" w:lineRule="auto" w:before="19"/>
        <w:ind w:left="515" w:right="93"/>
        <w:jc w:val="left"/>
      </w:pPr>
      <w:r>
        <w:rPr/>
        <w:t>于资产负债表日，本公司需对财务报表项目金额进行判断、估计和假设的重要领域如下：</w:t>
      </w:r>
    </w:p>
    <w:p>
      <w:pPr>
        <w:pStyle w:val="BodyText"/>
        <w:spacing w:line="300" w:lineRule="auto" w:before="76"/>
        <w:ind w:left="515" w:right="93"/>
        <w:jc w:val="left"/>
      </w:pPr>
      <w:r>
        <w:rPr>
          <w:rFonts w:ascii="Times New Roman" w:hAnsi="Times New Roman" w:cs="Times New Roman" w:eastAsia="Times New Roman" w:hint="default"/>
        </w:rPr>
        <w:t>(1)</w:t>
      </w:r>
      <w:r>
        <w:rPr/>
        <w:t>坏账准备计提</w:t>
      </w:r>
      <w:r>
        <w:rPr>
          <w:w w:val="99"/>
        </w:rPr>
        <w:t> </w:t>
      </w:r>
      <w:r>
        <w:rPr>
          <w:spacing w:val="-2"/>
        </w:rPr>
        <w:t>本公司根据应收款项的会计政策，采用备抵法核算坏账损失。应收账款减值是基于评估应收账款的可收回性。鉴定应收</w:t>
      </w:r>
    </w:p>
    <w:p>
      <w:pPr>
        <w:pStyle w:val="BodyText"/>
        <w:spacing w:line="316" w:lineRule="auto" w:before="31"/>
        <w:ind w:right="93"/>
        <w:jc w:val="left"/>
      </w:pPr>
      <w:r>
        <w:rPr>
          <w:spacing w:val="-2"/>
        </w:rPr>
        <w:t>账款减值要求管理层的判断和估计。实际的结果与原先估计的差异将在估计被改变的期间影响应收账款的账面价值及应收账</w:t>
      </w:r>
      <w:r>
        <w:rPr>
          <w:spacing w:val="-64"/>
        </w:rPr>
        <w:t> </w:t>
      </w:r>
      <w:r>
        <w:rPr>
          <w:spacing w:val="-64"/>
        </w:rPr>
      </w:r>
      <w:r>
        <w:rPr/>
        <w:t>款坏账准备的计提或转回。</w:t>
      </w:r>
    </w:p>
    <w:p>
      <w:pPr>
        <w:pStyle w:val="BodyText"/>
        <w:spacing w:line="300" w:lineRule="auto" w:before="19"/>
        <w:ind w:left="515" w:right="93"/>
        <w:jc w:val="left"/>
      </w:pPr>
      <w:r>
        <w:rPr>
          <w:rFonts w:ascii="Times New Roman" w:hAnsi="Times New Roman" w:cs="Times New Roman" w:eastAsia="Times New Roman" w:hint="default"/>
        </w:rPr>
        <w:t>(2)</w:t>
      </w:r>
      <w:r>
        <w:rPr/>
        <w:t>存货跌价准备</w:t>
      </w:r>
      <w:r>
        <w:rPr>
          <w:w w:val="99"/>
        </w:rPr>
        <w:t> </w:t>
      </w:r>
      <w:r>
        <w:rPr>
          <w:spacing w:val="-2"/>
        </w:rPr>
        <w:t>本公司根据存货会计政策，按照成本与可变现净值孰低计量，对成本高于可变现净值及陈旧和滞销的存货，计提存货跌</w:t>
      </w:r>
    </w:p>
    <w:p>
      <w:pPr>
        <w:spacing w:after="0" w:line="300" w:lineRule="auto"/>
        <w:jc w:val="left"/>
        <w:sectPr>
          <w:footerReference w:type="default" r:id="rId19"/>
          <w:pgSz w:w="11910" w:h="16840"/>
          <w:pgMar w:footer="979" w:header="745" w:top="1060" w:bottom="1160" w:left="980" w:right="940"/>
          <w:pgNumType w:start="93"/>
        </w:sectPr>
      </w:pPr>
    </w:p>
    <w:p>
      <w:pPr>
        <w:spacing w:line="240" w:lineRule="auto" w:before="10"/>
        <w:rPr>
          <w:rFonts w:ascii="宋体" w:hAnsi="宋体" w:cs="宋体" w:eastAsia="宋体" w:hint="default"/>
          <w:sz w:val="25"/>
          <w:szCs w:val="25"/>
        </w:rPr>
      </w:pPr>
    </w:p>
    <w:p>
      <w:pPr>
        <w:pStyle w:val="BodyText"/>
        <w:spacing w:line="316" w:lineRule="auto" w:before="44"/>
        <w:ind w:right="190"/>
        <w:jc w:val="both"/>
      </w:pPr>
      <w:r>
        <w:rPr>
          <w:spacing w:val="-2"/>
        </w:rPr>
        <w:t>价准备。存货减值至可变现净值是基于评估存货的可售性及其可变现净值。鉴定存货减值要求管理层在取得确凿证据，并且</w:t>
      </w:r>
      <w:r>
        <w:rPr>
          <w:spacing w:val="-63"/>
        </w:rPr>
        <w:t> </w:t>
      </w:r>
      <w:r>
        <w:rPr>
          <w:spacing w:val="-63"/>
        </w:rPr>
      </w:r>
      <w:r>
        <w:rPr>
          <w:spacing w:val="-2"/>
        </w:rPr>
        <w:t>考虑持有存货的目的、资产负债表日后事项的影响等因素的基础上作出判断和估计。实际的结果与原先估计的差异将在估计</w:t>
      </w:r>
      <w:r>
        <w:rPr>
          <w:spacing w:val="-64"/>
        </w:rPr>
        <w:t> </w:t>
      </w:r>
      <w:r>
        <w:rPr>
          <w:spacing w:val="-64"/>
        </w:rPr>
      </w:r>
      <w:r>
        <w:rPr/>
        <w:t>被改变的期间影响存货的账面价值及存货跌价准备的计提或转回。</w:t>
      </w:r>
    </w:p>
    <w:p>
      <w:pPr>
        <w:pStyle w:val="BodyText"/>
        <w:spacing w:line="300" w:lineRule="auto" w:before="19"/>
        <w:ind w:left="515" w:right="271"/>
        <w:jc w:val="left"/>
      </w:pPr>
      <w:r>
        <w:rPr>
          <w:rFonts w:ascii="Times New Roman" w:hAnsi="Times New Roman" w:cs="Times New Roman" w:eastAsia="Times New Roman" w:hint="default"/>
        </w:rPr>
        <w:t>(3)</w:t>
      </w:r>
      <w:r>
        <w:rPr/>
        <w:t>持有至到期投资</w:t>
      </w:r>
      <w:r>
        <w:rPr>
          <w:w w:val="99"/>
        </w:rPr>
        <w:t> </w:t>
      </w:r>
      <w:r>
        <w:rPr/>
        <w:t>本公司将符合条件的有固定或可确定还款金额和固定到期日且本公司有明确意图和能力持有至到期的非衍生金融资产</w:t>
      </w:r>
    </w:p>
    <w:p>
      <w:pPr>
        <w:pStyle w:val="BodyText"/>
        <w:spacing w:line="316" w:lineRule="auto" w:before="31"/>
        <w:ind w:right="190"/>
        <w:jc w:val="both"/>
      </w:pPr>
      <w:r>
        <w:rPr>
          <w:spacing w:val="-2"/>
        </w:rPr>
        <w:t>归类为持有至到期投资。进行此项归类工作需涉及大量的判断。在进行判断的过程中，本公司会对其持有该类投资至到期日</w:t>
      </w:r>
      <w:r>
        <w:rPr>
          <w:spacing w:val="-64"/>
        </w:rPr>
        <w:t> </w:t>
      </w:r>
      <w:r>
        <w:rPr>
          <w:spacing w:val="-64"/>
        </w:rPr>
      </w:r>
      <w:r>
        <w:rPr>
          <w:spacing w:val="-2"/>
        </w:rPr>
        <w:t>的意愿和能力进行评估。除特定情况外（例如在接近到期日时出售金额不重大的投资），如果本公司未能将这些投资持有至</w:t>
      </w:r>
      <w:r>
        <w:rPr>
          <w:spacing w:val="-64"/>
        </w:rPr>
        <w:t> </w:t>
      </w:r>
      <w:r>
        <w:rPr>
          <w:spacing w:val="-64"/>
        </w:rPr>
      </w:r>
      <w:r>
        <w:rPr>
          <w:spacing w:val="-2"/>
        </w:rPr>
        <w:t>到期日，则须将全部该类投资重分类至可供出售金融资产，且在本会计年度及以后两个完整的会计年度内不得再将该金融资</w:t>
      </w:r>
      <w:r>
        <w:rPr>
          <w:spacing w:val="-64"/>
        </w:rPr>
        <w:t> </w:t>
      </w:r>
      <w:r>
        <w:rPr>
          <w:spacing w:val="-64"/>
        </w:rPr>
      </w:r>
      <w:r>
        <w:rPr>
          <w:spacing w:val="-2"/>
        </w:rPr>
        <w:t>产划分为持有至到期投资。如出现此类情况，可能对财务报表上所列报的相关金融资产价值产生重大的影响，并且可能影响</w:t>
      </w:r>
      <w:r>
        <w:rPr>
          <w:spacing w:val="-63"/>
        </w:rPr>
        <w:t> </w:t>
      </w:r>
      <w:r>
        <w:rPr>
          <w:spacing w:val="-63"/>
        </w:rPr>
      </w:r>
      <w:r>
        <w:rPr/>
        <w:t>本公司的金融工具风险管理策略。</w:t>
      </w:r>
    </w:p>
    <w:p>
      <w:pPr>
        <w:pStyle w:val="BodyText"/>
        <w:spacing w:line="300" w:lineRule="auto" w:before="19"/>
        <w:ind w:left="515" w:right="93"/>
        <w:jc w:val="left"/>
      </w:pPr>
      <w:r>
        <w:rPr>
          <w:rFonts w:ascii="Times New Roman" w:hAnsi="Times New Roman" w:cs="Times New Roman" w:eastAsia="Times New Roman" w:hint="default"/>
        </w:rPr>
        <w:t>(4)</w:t>
      </w:r>
      <w:r>
        <w:rPr/>
        <w:t>持有至到期投资减值</w:t>
      </w:r>
      <w:r>
        <w:rPr>
          <w:w w:val="99"/>
        </w:rPr>
        <w:t> </w:t>
      </w:r>
      <w:r>
        <w:rPr>
          <w:spacing w:val="-2"/>
          <w:w w:val="99"/>
        </w:rPr>
        <w:t>本公司确定持有至到期投资是否减值在很大程度上依赖于管理层的判断。发生减值的客观证据包括发行方发生严重财务</w:t>
      </w:r>
      <w:r>
        <w:rPr>
          <w:spacing w:val="-2"/>
        </w:rPr>
      </w:r>
    </w:p>
    <w:p>
      <w:pPr>
        <w:pStyle w:val="BodyText"/>
        <w:spacing w:line="316" w:lineRule="auto" w:before="31"/>
        <w:ind w:right="194"/>
        <w:jc w:val="both"/>
      </w:pPr>
      <w:r>
        <w:rPr>
          <w:spacing w:val="-2"/>
        </w:rPr>
        <w:t>困难使该金融资产无法在活跃市场继续交易、无法履行合同条款（例如，偿付利息或本金发生违约）等。在进行判断的过程</w:t>
      </w:r>
      <w:r>
        <w:rPr>
          <w:spacing w:val="-67"/>
        </w:rPr>
        <w:t> </w:t>
      </w:r>
      <w:r>
        <w:rPr>
          <w:spacing w:val="-67"/>
        </w:rPr>
      </w:r>
      <w:r>
        <w:rPr/>
        <w:t>中，本公司需评估发生减值的客观证据对该项投资预计未来现金流的影响。</w:t>
      </w:r>
    </w:p>
    <w:p>
      <w:pPr>
        <w:pStyle w:val="BodyText"/>
        <w:spacing w:line="300" w:lineRule="auto" w:before="19"/>
        <w:ind w:left="515" w:right="93"/>
        <w:jc w:val="left"/>
      </w:pPr>
      <w:r>
        <w:rPr>
          <w:rFonts w:ascii="Times New Roman" w:hAnsi="Times New Roman" w:cs="Times New Roman" w:eastAsia="Times New Roman" w:hint="default"/>
        </w:rPr>
        <w:t>(5)</w:t>
      </w:r>
      <w:r>
        <w:rPr/>
        <w:t>可供出售金融资产减值</w:t>
      </w:r>
      <w:r>
        <w:rPr>
          <w:w w:val="99"/>
        </w:rPr>
        <w:t> </w:t>
      </w:r>
      <w:r>
        <w:rPr>
          <w:spacing w:val="-2"/>
          <w:w w:val="99"/>
        </w:rPr>
        <w:t>本公司确定可供出售金融资产是否减值在很大程度上依赖于管理层的判断和假设，以确定是否需要在利润表中确认其减</w:t>
      </w:r>
      <w:r>
        <w:rPr>
          <w:spacing w:val="-2"/>
        </w:rPr>
      </w:r>
    </w:p>
    <w:p>
      <w:pPr>
        <w:pStyle w:val="BodyText"/>
        <w:spacing w:line="316" w:lineRule="auto" w:before="31"/>
        <w:ind w:right="190"/>
        <w:jc w:val="both"/>
      </w:pPr>
      <w:r>
        <w:rPr>
          <w:spacing w:val="-2"/>
        </w:rPr>
        <w:t>值损失。在进行判断和作出假设的过程中，本公司需评估该项投资的公允价值低于成本的程度和持续期间，以及被投资对象</w:t>
      </w:r>
      <w:r>
        <w:rPr>
          <w:spacing w:val="-63"/>
        </w:rPr>
        <w:t> </w:t>
      </w:r>
      <w:r>
        <w:rPr>
          <w:spacing w:val="-63"/>
        </w:rPr>
      </w:r>
      <w:r>
        <w:rPr/>
        <w:t>的财务状况和短期业务展望，包括行业状况、技术变革、信用评级、违约率和对手方的风险。</w:t>
      </w:r>
    </w:p>
    <w:p>
      <w:pPr>
        <w:pStyle w:val="BodyText"/>
        <w:spacing w:line="300" w:lineRule="auto" w:before="19"/>
        <w:ind w:left="515" w:right="93"/>
        <w:jc w:val="left"/>
      </w:pPr>
      <w:r>
        <w:rPr>
          <w:rFonts w:ascii="Times New Roman" w:hAnsi="Times New Roman" w:cs="Times New Roman" w:eastAsia="Times New Roman" w:hint="default"/>
        </w:rPr>
        <w:t>(6)</w:t>
      </w:r>
      <w:r>
        <w:rPr/>
        <w:t>非金融非流动资产减值准备</w:t>
      </w:r>
      <w:r>
        <w:rPr>
          <w:w w:val="99"/>
        </w:rPr>
        <w:t> </w:t>
      </w:r>
      <w:r>
        <w:rPr>
          <w:spacing w:val="-2"/>
          <w:w w:val="99"/>
        </w:rPr>
        <w:t>本公司于资产负债表日对除金融资产之外的非流动资产判断是否存在可能发生减值的迹象。对使用寿命不确定的无形资</w:t>
      </w:r>
      <w:r>
        <w:rPr>
          <w:spacing w:val="-2"/>
        </w:rPr>
      </w:r>
    </w:p>
    <w:p>
      <w:pPr>
        <w:pStyle w:val="BodyText"/>
        <w:spacing w:line="319" w:lineRule="auto" w:before="31"/>
        <w:ind w:right="195"/>
        <w:jc w:val="both"/>
      </w:pPr>
      <w:r>
        <w:rPr>
          <w:spacing w:val="-2"/>
        </w:rPr>
        <w:t>产，除每年进行的减值测试外，当其存在减值迹象时，也进行减值测试。其他除金融资产之外的非流动资产，当存在迹象表</w:t>
      </w:r>
      <w:r>
        <w:rPr>
          <w:spacing w:val="-67"/>
        </w:rPr>
        <w:t> </w:t>
      </w:r>
      <w:r>
        <w:rPr>
          <w:spacing w:val="-67"/>
        </w:rPr>
      </w:r>
      <w:r>
        <w:rPr/>
        <w:t>明其账面金额不可收回时，进行减值测试。</w:t>
      </w:r>
    </w:p>
    <w:p>
      <w:pPr>
        <w:pStyle w:val="BodyText"/>
        <w:spacing w:line="316" w:lineRule="auto" w:before="17"/>
        <w:ind w:right="272" w:firstLine="362"/>
        <w:jc w:val="left"/>
      </w:pPr>
      <w:r>
        <w:rPr/>
        <w:t>当资产或资产组的账面价值高于可收回金额，即公允价值减去处置费用后的净额和预计未来现金流量的现值中的较高 者，表明发生了减值。</w:t>
      </w:r>
    </w:p>
    <w:p>
      <w:pPr>
        <w:pStyle w:val="BodyText"/>
        <w:spacing w:line="316" w:lineRule="auto" w:before="19"/>
        <w:ind w:right="93" w:firstLine="362"/>
        <w:jc w:val="left"/>
      </w:pPr>
      <w:r>
        <w:rPr>
          <w:spacing w:val="-2"/>
        </w:rPr>
        <w:t>公允价值减去处置费用后的净额，参考公平交易中类似资产的销售协议价格或可观察到的市场价格，减去可直接归属于</w:t>
      </w:r>
      <w:r>
        <w:rPr/>
        <w:t> 该资产处置的增量成本确定。</w:t>
      </w:r>
    </w:p>
    <w:p>
      <w:pPr>
        <w:pStyle w:val="BodyText"/>
        <w:spacing w:line="316" w:lineRule="auto" w:before="19"/>
        <w:ind w:right="93" w:firstLine="362"/>
        <w:jc w:val="left"/>
      </w:pPr>
      <w:r>
        <w:rPr>
          <w:spacing w:val="-2"/>
        </w:rPr>
        <w:t>在预计未来现金流量现值时，需要对该资产（或资产组）的产量、售价、相关经营成本以及计算现值时使用的折现率等</w:t>
      </w:r>
      <w:r>
        <w:rPr/>
        <w:t> </w:t>
      </w:r>
      <w:r>
        <w:rPr>
          <w:spacing w:val="-4"/>
        </w:rPr>
        <w:t>作出重大判断。本公司在估计可收回金额时会采用所有能够获得的相关资料，包括根据合理和可支持的假设所作出有关产量、</w:t>
      </w:r>
      <w:r>
        <w:rPr>
          <w:spacing w:val="-44"/>
        </w:rPr>
        <w:t> </w:t>
      </w:r>
      <w:r>
        <w:rPr>
          <w:spacing w:val="-44"/>
        </w:rPr>
      </w:r>
      <w:r>
        <w:rPr/>
        <w:t>售价和相关经营成本的预测。</w:t>
      </w:r>
    </w:p>
    <w:p>
      <w:pPr>
        <w:pStyle w:val="BodyText"/>
        <w:spacing w:line="316" w:lineRule="auto" w:before="19"/>
        <w:ind w:right="93" w:firstLine="362"/>
        <w:jc w:val="left"/>
      </w:pPr>
      <w:r>
        <w:rPr/>
        <w:t>本公司至少每年测试商誉是否发生减值。这要求对分配了商誉的资产组或者资产组组合的未来现金流量的现值进行预 </w:t>
      </w:r>
      <w:r>
        <w:rPr>
          <w:spacing w:val="-2"/>
        </w:rPr>
        <w:t>计。对未来现金流量的现值进行预计时，本公司需要预计未来资产组或者资产组组合产生的现金流量，同时选择恰当的折现</w:t>
      </w:r>
      <w:r>
        <w:rPr>
          <w:spacing w:val="-63"/>
        </w:rPr>
        <w:t> </w:t>
      </w:r>
      <w:r>
        <w:rPr>
          <w:spacing w:val="-63"/>
        </w:rPr>
      </w:r>
      <w:r>
        <w:rPr/>
        <w:t>率确定未来现金流量的现值。</w:t>
      </w:r>
    </w:p>
    <w:p>
      <w:pPr>
        <w:pStyle w:val="BodyText"/>
        <w:spacing w:line="300" w:lineRule="auto" w:before="19"/>
        <w:ind w:left="515" w:right="93"/>
        <w:jc w:val="left"/>
      </w:pPr>
      <w:r>
        <w:rPr>
          <w:rFonts w:ascii="Times New Roman" w:hAnsi="Times New Roman" w:cs="Times New Roman" w:eastAsia="Times New Roman" w:hint="default"/>
        </w:rPr>
        <w:t>(7)</w:t>
      </w:r>
      <w:r>
        <w:rPr/>
        <w:t>折旧和摊销</w:t>
      </w:r>
      <w:r>
        <w:rPr>
          <w:w w:val="99"/>
        </w:rPr>
        <w:t> </w:t>
      </w:r>
      <w:r>
        <w:rPr>
          <w:spacing w:val="-2"/>
        </w:rPr>
        <w:t>本公司对投资性房地产、固定资产和无形资产在考虑其残值后，在使用寿命内按直线法计提折旧和摊销。本公司定期复</w:t>
      </w:r>
    </w:p>
    <w:p>
      <w:pPr>
        <w:pStyle w:val="BodyText"/>
        <w:spacing w:line="316" w:lineRule="auto" w:before="31"/>
        <w:ind w:right="193"/>
        <w:jc w:val="both"/>
      </w:pPr>
      <w:r>
        <w:rPr>
          <w:spacing w:val="-2"/>
        </w:rPr>
        <w:t>核使用寿命，以决定将计入每个报告期的折旧和摊销费用数额。使用寿命是本公司根据对同类资产的以往经验并结合预期的</w:t>
      </w:r>
      <w:r>
        <w:rPr>
          <w:spacing w:val="-64"/>
        </w:rPr>
        <w:t> </w:t>
      </w:r>
      <w:r>
        <w:rPr>
          <w:spacing w:val="-64"/>
        </w:rPr>
      </w:r>
      <w:r>
        <w:rPr/>
        <w:t>技术更新而确定的。如果以前的估计发生重大变化，则会在未来期间对折旧和摊销费用进行调整。</w:t>
      </w:r>
    </w:p>
    <w:p>
      <w:pPr>
        <w:pStyle w:val="BodyText"/>
        <w:spacing w:line="300" w:lineRule="auto" w:before="19"/>
        <w:ind w:left="515" w:right="93"/>
        <w:jc w:val="left"/>
      </w:pPr>
      <w:r>
        <w:rPr>
          <w:rFonts w:ascii="Times New Roman" w:hAnsi="Times New Roman" w:cs="Times New Roman" w:eastAsia="Times New Roman" w:hint="default"/>
        </w:rPr>
        <w:t>(8)</w:t>
      </w:r>
      <w:r>
        <w:rPr/>
        <w:t>所得税</w:t>
      </w:r>
      <w:r>
        <w:rPr>
          <w:w w:val="99"/>
        </w:rPr>
        <w:t> </w:t>
      </w:r>
      <w:r>
        <w:rPr>
          <w:spacing w:val="-2"/>
        </w:rPr>
        <w:t>本公司在正常的经营活动中，有部分交易其最终的税务处理和计算存在一定的不确定性。部分项目是否能够在税前列支</w:t>
      </w:r>
    </w:p>
    <w:p>
      <w:pPr>
        <w:pStyle w:val="BodyText"/>
        <w:spacing w:line="316" w:lineRule="auto" w:before="31"/>
        <w:ind w:right="193"/>
        <w:jc w:val="both"/>
      </w:pPr>
      <w:r>
        <w:rPr>
          <w:spacing w:val="-2"/>
        </w:rPr>
        <w:t>需要税收主管机关的审批。如果这些税务事项的最终认定结果同最初估计的金额存在差异，则该差异将对其最终认定期间的</w:t>
      </w:r>
      <w:r>
        <w:rPr>
          <w:spacing w:val="-64"/>
        </w:rPr>
        <w:t> </w:t>
      </w:r>
      <w:r>
        <w:rPr>
          <w:spacing w:val="-64"/>
        </w:rPr>
      </w:r>
      <w:r>
        <w:rPr/>
        <w:t>当期所得税和递延所得税产生影响。</w:t>
      </w:r>
    </w:p>
    <w:p>
      <w:pPr>
        <w:pStyle w:val="BodyText"/>
        <w:spacing w:line="326" w:lineRule="auto" w:before="19"/>
        <w:ind w:right="93" w:firstLine="362"/>
        <w:jc w:val="left"/>
      </w:pPr>
      <w:r>
        <w:rPr>
          <w:rFonts w:ascii="Times New Roman" w:hAnsi="Times New Roman" w:cs="Times New Roman" w:eastAsia="Times New Roman" w:hint="default"/>
        </w:rPr>
        <w:t>(9)</w:t>
      </w:r>
      <w:r>
        <w:rPr/>
        <w:t>内部退养福利及补充退休福利</w:t>
      </w:r>
      <w:r>
        <w:rPr>
          <w:w w:val="99"/>
        </w:rPr>
        <w:t> </w:t>
      </w:r>
      <w:r>
        <w:rPr>
          <w:spacing w:val="-2"/>
        </w:rPr>
        <w:t>本公司内部退养福利和补充退休福利费用支出及负债的金额依据各种假设条件确定。这些假设条件包括折现率、平均医疗费</w:t>
      </w:r>
      <w:r>
        <w:rPr>
          <w:spacing w:val="-65"/>
        </w:rPr>
        <w:t> </w:t>
      </w:r>
      <w:r>
        <w:rPr>
          <w:spacing w:val="-65"/>
        </w:rPr>
      </w:r>
      <w:r>
        <w:rPr>
          <w:spacing w:val="-2"/>
        </w:rPr>
        <w:t>用增长率、内退人员及离退人员补贴增长率和其他因素。实际结果和假设的差异将在发生时立即确认并计入当年费用。尽管</w:t>
      </w:r>
      <w:r>
        <w:rPr>
          <w:spacing w:val="-64"/>
        </w:rPr>
        <w:t> </w:t>
      </w:r>
      <w:r>
        <w:rPr>
          <w:spacing w:val="-64"/>
        </w:rPr>
      </w:r>
      <w:r>
        <w:rPr>
          <w:spacing w:val="-2"/>
          <w:w w:val="99"/>
        </w:rPr>
        <w:t>管理层认为已采用了合理假设，但实际经验值及假设条件的变化仍将影响本公司内部退养福利和补充退休福利的费用及负债</w:t>
      </w:r>
      <w:r>
        <w:rPr>
          <w:spacing w:val="-2"/>
        </w:rPr>
      </w:r>
    </w:p>
    <w:p>
      <w:pPr>
        <w:spacing w:after="0" w:line="326"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135"/>
        <w:jc w:val="left"/>
      </w:pPr>
      <w:r>
        <w:rPr/>
        <w:t>余额。</w:t>
      </w:r>
    </w:p>
    <w:p>
      <w:pPr>
        <w:spacing w:line="240" w:lineRule="auto" w:before="0"/>
        <w:rPr>
          <w:rFonts w:ascii="宋体" w:hAnsi="宋体" w:cs="宋体" w:eastAsia="宋体" w:hint="default"/>
          <w:sz w:val="18"/>
          <w:szCs w:val="18"/>
        </w:rPr>
      </w:pPr>
    </w:p>
    <w:p>
      <w:pPr>
        <w:pStyle w:val="Heading3"/>
        <w:spacing w:line="240" w:lineRule="auto" w:before="120"/>
        <w:ind w:right="135"/>
        <w:jc w:val="left"/>
        <w:rPr>
          <w:b w:val="0"/>
          <w:bCs w:val="0"/>
        </w:rPr>
      </w:pPr>
      <w:r>
        <w:rPr>
          <w:rFonts w:ascii="Times New Roman" w:hAnsi="Times New Roman" w:cs="Times New Roman" w:eastAsia="Times New Roman" w:hint="default"/>
        </w:rPr>
        <w:t>30</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35"/>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28"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7"/>
              <w:jc w:val="both"/>
              <w:rPr>
                <w:rFonts w:ascii="宋体" w:hAnsi="宋体" w:cs="宋体" w:eastAsia="宋体" w:hint="default"/>
                <w:sz w:val="18"/>
                <w:szCs w:val="18"/>
              </w:rPr>
            </w:pPr>
            <w:r>
              <w:rPr>
                <w:rFonts w:ascii="宋体" w:hAnsi="宋体" w:cs="宋体" w:eastAsia="宋体" w:hint="default"/>
                <w:sz w:val="18"/>
                <w:szCs w:val="18"/>
              </w:rPr>
              <w:t>与本公司日常活动相关的政府补助，计 入其他收益，不再计入营业外收入。比 较数据不相应调整。</w:t>
            </w:r>
          </w:p>
        </w:tc>
        <w:tc>
          <w:tcPr>
            <w:tcW w:w="3188"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本年营业外收入减少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126.82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万元，重分</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类至其他收益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126.82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337"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pacing w:val="-5"/>
                <w:w w:val="100"/>
                <w:sz w:val="18"/>
                <w:szCs w:val="18"/>
              </w:rPr>
              <w:t>在利润表中新增</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资产处置收益</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项目，将</w:t>
            </w:r>
            <w:r>
              <w:rPr>
                <w:rFonts w:ascii="宋体" w:hAnsi="宋体" w:cs="宋体" w:eastAsia="宋体" w:hint="default"/>
                <w:spacing w:val="-83"/>
                <w:w w:val="100"/>
                <w:sz w:val="18"/>
                <w:szCs w:val="18"/>
              </w:rPr>
              <w:t> </w:t>
            </w:r>
            <w:r>
              <w:rPr>
                <w:rFonts w:ascii="宋体" w:hAnsi="宋体" w:cs="宋体" w:eastAsia="宋体" w:hint="default"/>
                <w:spacing w:val="-83"/>
                <w:w w:val="100"/>
                <w:sz w:val="18"/>
                <w:szCs w:val="18"/>
              </w:rPr>
            </w:r>
            <w:r>
              <w:rPr>
                <w:rFonts w:ascii="宋体" w:hAnsi="宋体" w:cs="宋体" w:eastAsia="宋体" w:hint="default"/>
                <w:sz w:val="18"/>
                <w:szCs w:val="18"/>
              </w:rPr>
              <w:t>部分原列示为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营业外支 出</w:t>
            </w:r>
            <w:r>
              <w:rPr>
                <w:rFonts w:ascii="Times New Roman" w:hAnsi="Times New Roman" w:cs="Times New Roman" w:eastAsia="Times New Roman" w:hint="default"/>
                <w:sz w:val="18"/>
                <w:szCs w:val="18"/>
              </w:rPr>
              <w:t>”</w:t>
            </w:r>
            <w:r>
              <w:rPr>
                <w:rFonts w:ascii="宋体" w:hAnsi="宋体" w:cs="宋体" w:eastAsia="宋体" w:hint="default"/>
                <w:sz w:val="18"/>
                <w:szCs w:val="18"/>
              </w:rPr>
              <w:t>的非流动资产处置损益重分类至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资 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项目。比较数据相应调整。</w:t>
            </w:r>
          </w:p>
        </w:tc>
        <w:tc>
          <w:tcPr>
            <w:tcW w:w="3188"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23" w:right="95"/>
              <w:jc w:val="left"/>
              <w:rPr>
                <w:rFonts w:ascii="宋体" w:hAnsi="宋体" w:cs="宋体" w:eastAsia="宋体" w:hint="default"/>
                <w:sz w:val="18"/>
                <w:szCs w:val="18"/>
              </w:rPr>
            </w:pPr>
            <w:r>
              <w:rPr>
                <w:rFonts w:ascii="宋体" w:hAnsi="宋体" w:cs="宋体" w:eastAsia="宋体" w:hint="default"/>
                <w:sz w:val="18"/>
                <w:szCs w:val="18"/>
              </w:rPr>
              <w:t>上年营业外支出减少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9,130.40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元，重分 类至资产处置收益</w:t>
            </w:r>
            <w:r>
              <w:rPr>
                <w:rFonts w:ascii="Times New Roman" w:hAnsi="Times New Roman" w:cs="Times New Roman" w:eastAsia="Times New Roman" w:hint="default"/>
                <w:sz w:val="18"/>
                <w:szCs w:val="18"/>
              </w:rPr>
              <w:t>-9,130.40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both"/>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31</w:t>
      </w:r>
      <w:r>
        <w:rPr/>
        <w:t>、其他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578" w:right="135"/>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pStyle w:val="BodyText"/>
        <w:spacing w:line="240" w:lineRule="auto" w:before="102"/>
        <w:ind w:left="515" w:right="135"/>
        <w:jc w:val="left"/>
        <w:rPr>
          <w:rFonts w:ascii="Times New Roman" w:hAnsi="Times New Roman" w:cs="Times New Roman" w:eastAsia="Times New Roman" w:hint="default"/>
        </w:rPr>
      </w:pPr>
      <w:r>
        <w:rPr/>
        <w:t>公司发生的非货币性资产交换同时满足下述条件的</w:t>
      </w:r>
      <w:r>
        <w:rPr>
          <w:rFonts w:ascii="Times New Roman" w:hAnsi="Times New Roman" w:cs="Times New Roman" w:eastAsia="Times New Roman" w:hint="default"/>
        </w:rPr>
        <w:t>:</w:t>
      </w:r>
    </w:p>
    <w:p>
      <w:pPr>
        <w:pStyle w:val="BodyText"/>
        <w:spacing w:line="240" w:lineRule="auto" w:before="63"/>
        <w:ind w:left="515" w:right="135"/>
        <w:jc w:val="left"/>
      </w:pPr>
      <w:r>
        <w:rPr/>
        <w:t>①该项交换具有商业实质；</w:t>
      </w:r>
    </w:p>
    <w:p>
      <w:pPr>
        <w:pStyle w:val="BodyText"/>
        <w:spacing w:line="316" w:lineRule="auto" w:before="76"/>
        <w:ind w:right="152" w:firstLine="362"/>
        <w:jc w:val="both"/>
      </w:pPr>
      <w:r>
        <w:rPr>
          <w:spacing w:val="-2"/>
        </w:rPr>
        <w:t>②换入资产或换出资产的公允价值能够可靠地计量，则以公允价值和应支付的相关税费作为换入资产的成本，公允价值</w:t>
      </w:r>
      <w:r>
        <w:rPr/>
        <w:t> </w:t>
      </w:r>
      <w:r>
        <w:rPr>
          <w:spacing w:val="-2"/>
        </w:rPr>
        <w:t>与换出资产账面价值的差额计入当期损益；换入资产和换出资产公允价值均能够可靠计量的，以换出资产的公允价值作为确</w:t>
      </w:r>
      <w:r>
        <w:rPr>
          <w:spacing w:val="-64"/>
        </w:rPr>
        <w:t> </w:t>
      </w:r>
      <w:r>
        <w:rPr>
          <w:spacing w:val="-64"/>
        </w:rPr>
      </w:r>
      <w:r>
        <w:rPr/>
        <w:t>定换入资产成本的基础，但有确凿证据表明换入资产的公允价值更加可靠的除外。</w:t>
      </w:r>
    </w:p>
    <w:p>
      <w:pPr>
        <w:pStyle w:val="Heading3"/>
        <w:spacing w:line="289" w:lineRule="exact"/>
        <w:ind w:left="578" w:right="135"/>
        <w:jc w:val="left"/>
        <w:rPr>
          <w:b w:val="0"/>
          <w:bCs w:val="0"/>
        </w:rPr>
      </w:pPr>
      <w:r>
        <w:rPr/>
        <w:t>（</w:t>
      </w:r>
      <w:r>
        <w:rPr>
          <w:rFonts w:ascii="Times New Roman" w:hAnsi="Times New Roman" w:cs="Times New Roman" w:eastAsia="Times New Roman" w:hint="default"/>
        </w:rPr>
        <w:t>2</w:t>
      </w:r>
      <w:r>
        <w:rPr/>
        <w:t>）回购公司股份</w:t>
      </w:r>
      <w:r>
        <w:rPr>
          <w:b w:val="0"/>
          <w:bCs w:val="0"/>
        </w:rPr>
      </w:r>
    </w:p>
    <w:p>
      <w:pPr>
        <w:pStyle w:val="BodyText"/>
        <w:spacing w:line="316" w:lineRule="auto" w:before="42"/>
        <w:ind w:left="515" w:right="135"/>
        <w:jc w:val="left"/>
      </w:pPr>
      <w:r>
        <w:rPr/>
        <w:t>①减少注册资本而回购公司股份时的会计处理 </w:t>
      </w:r>
      <w:r>
        <w:rPr>
          <w:spacing w:val="-2"/>
        </w:rPr>
        <w:t>公司因减少注册资本而回购公司股份的，按实际支付的金额计入库存股；注销库存股时，按股票面值和注销股数计算的</w:t>
      </w:r>
    </w:p>
    <w:p>
      <w:pPr>
        <w:pStyle w:val="BodyText"/>
        <w:spacing w:line="316" w:lineRule="auto" w:before="19"/>
        <w:ind w:right="151"/>
        <w:jc w:val="both"/>
      </w:pPr>
      <w:r>
        <w:rPr>
          <w:spacing w:val="-2"/>
        </w:rPr>
        <w:t>股票面值总额，计入股本和库存股，按实际支付的金额与股票面值总额的差额计入资本公积，股本溢价不足冲减的，依次冲</w:t>
      </w:r>
      <w:r>
        <w:rPr>
          <w:spacing w:val="-64"/>
        </w:rPr>
        <w:t> </w:t>
      </w:r>
      <w:r>
        <w:rPr>
          <w:spacing w:val="-64"/>
        </w:rPr>
      </w:r>
      <w:r>
        <w:rPr/>
        <w:t>减盈余公积和未分配利润。</w:t>
      </w:r>
    </w:p>
    <w:p>
      <w:pPr>
        <w:pStyle w:val="BodyText"/>
        <w:spacing w:line="316" w:lineRule="auto" w:before="19"/>
        <w:ind w:left="515" w:right="135"/>
        <w:jc w:val="left"/>
      </w:pPr>
      <w:r>
        <w:rPr/>
        <w:t>②回购公司股份进行职工期权激励时的会计处理 </w:t>
      </w:r>
      <w:r>
        <w:rPr>
          <w:spacing w:val="-2"/>
        </w:rPr>
        <w:t>公司以回购股份形式奖励公司职工的，属于权益结算的股份支付，进行以下处理：回购股份时，按照回购股份的全部支</w:t>
      </w:r>
    </w:p>
    <w:p>
      <w:pPr>
        <w:pStyle w:val="BodyText"/>
        <w:spacing w:line="312" w:lineRule="auto" w:before="19"/>
        <w:ind w:right="150"/>
        <w:jc w:val="both"/>
      </w:pPr>
      <w:r>
        <w:rPr>
          <w:spacing w:val="-2"/>
        </w:rPr>
        <w:t>出作为库存股处理，同时进行备查登记；按照对职工权益结算股份支付的规定，公司在等待期内每个资产负债表日按照权益</w:t>
      </w:r>
      <w:r>
        <w:rPr>
          <w:spacing w:val="-63"/>
        </w:rPr>
        <w:t> </w:t>
      </w:r>
      <w:r>
        <w:rPr>
          <w:spacing w:val="-63"/>
        </w:rPr>
      </w:r>
      <w:r>
        <w:rPr>
          <w:spacing w:val="-1"/>
        </w:rPr>
        <w:t>工具在授予日的公允价值，将取得的职工服务计入成本费用，同时增加资本公积</w:t>
      </w:r>
      <w:r>
        <w:rPr>
          <w:rFonts w:ascii="Times New Roman" w:hAnsi="Times New Roman" w:cs="Times New Roman" w:eastAsia="Times New Roman" w:hint="default"/>
          <w:spacing w:val="-1"/>
        </w:rPr>
        <w:t>(</w:t>
      </w:r>
      <w:r>
        <w:rPr>
          <w:spacing w:val="-1"/>
        </w:rPr>
        <w:t>其他资本公积</w:t>
      </w:r>
      <w:r>
        <w:rPr>
          <w:rFonts w:ascii="Times New Roman" w:hAnsi="Times New Roman" w:cs="Times New Roman" w:eastAsia="Times New Roman" w:hint="default"/>
          <w:spacing w:val="-1"/>
        </w:rPr>
        <w:t>)</w:t>
      </w:r>
      <w:r>
        <w:rPr>
          <w:spacing w:val="-1"/>
        </w:rPr>
        <w:t>；公司于职工行权购买公司</w:t>
      </w:r>
      <w:r>
        <w:rPr>
          <w:spacing w:val="-58"/>
        </w:rPr>
        <w:t> </w:t>
      </w:r>
      <w:r>
        <w:rPr>
          <w:spacing w:val="-58"/>
        </w:rPr>
      </w:r>
      <w:r>
        <w:rPr>
          <w:spacing w:val="-2"/>
        </w:rPr>
        <w:t>股份收到价款时，转销交付职工的库存股成本和等待期内资本公积（其他资本公积）累计金额，同时，按照其差额调整资本</w:t>
      </w:r>
      <w:r>
        <w:rPr>
          <w:spacing w:val="-67"/>
        </w:rPr>
        <w:t> </w:t>
      </w:r>
      <w:r>
        <w:rPr>
          <w:spacing w:val="-67"/>
        </w:rPr>
      </w:r>
      <w:r>
        <w:rPr/>
        <w:t>公积（股本溢价）。</w:t>
      </w:r>
    </w:p>
    <w:p>
      <w:pPr>
        <w:spacing w:after="0" w:line="312" w:lineRule="auto"/>
        <w:jc w:val="both"/>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824"/>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824"/>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0"/>
        <w:gridCol w:w="3201"/>
        <w:gridCol w:w="3190"/>
      </w:tblGrid>
      <w:tr>
        <w:trPr>
          <w:trHeight w:val="403"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3180"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应纳税销售收入</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391" w:hRule="exact"/>
        </w:trPr>
        <w:tc>
          <w:tcPr>
            <w:tcW w:w="31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1"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80"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16.5%</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17%  </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25%</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28%  </w:t>
            </w:r>
            <w:r>
              <w:rPr>
                <w:rFonts w:ascii="Times New Roman" w:hAnsi="Times New Roman" w:cs="Times New Roman" w:eastAsia="Times New Roman" w:hint="default"/>
                <w:spacing w:val="-6"/>
                <w:sz w:val="18"/>
                <w:szCs w:val="18"/>
              </w:rPr>
              <w:t> </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0-25%</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30%</w:t>
            </w:r>
            <w:r>
              <w:rPr>
                <w:rFonts w:ascii="Times New Roman" w:hAnsi="Times New Roman" w:cs="Times New Roman" w:eastAsia="Times New Roman" w:hint="default"/>
                <w:sz w:val="18"/>
                <w:szCs w:val="18"/>
              </w:rPr>
            </w:r>
          </w:p>
        </w:tc>
      </w:tr>
      <w:tr>
        <w:trPr>
          <w:trHeight w:val="404"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bl>
    <w:p>
      <w:pPr>
        <w:pStyle w:val="BodyText"/>
        <w:spacing w:line="240" w:lineRule="auto" w:before="49"/>
        <w:ind w:right="824"/>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中国境内公司和印度尼西亚境内公司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新加坡境内公司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香港境内公司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南非境内公司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津巴布韦境内公司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菲律宾境内公司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w:t>
            </w:r>
          </w:p>
        </w:tc>
      </w:tr>
    </w:tbl>
    <w:p>
      <w:pPr>
        <w:spacing w:line="240" w:lineRule="auto" w:before="3"/>
        <w:rPr>
          <w:rFonts w:ascii="宋体" w:hAnsi="宋体" w:cs="宋体" w:eastAsia="宋体" w:hint="default"/>
          <w:sz w:val="19"/>
          <w:szCs w:val="19"/>
        </w:rPr>
      </w:pPr>
    </w:p>
    <w:p>
      <w:pPr>
        <w:pStyle w:val="Heading3"/>
        <w:spacing w:line="240" w:lineRule="auto" w:before="36"/>
        <w:ind w:right="824"/>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824" w:firstLine="504"/>
        <w:jc w:val="left"/>
      </w:pPr>
      <w:r>
        <w:rPr/>
        <w:t>青岛市科学技术局</w:t>
      </w:r>
      <w:r>
        <w:rPr>
          <w:rFonts w:ascii="MS Gothic" w:hAnsi="MS Gothic" w:cs="MS Gothic" w:eastAsia="MS Gothic" w:hint="default"/>
        </w:rPr>
        <w:t>､青</w:t>
      </w:r>
      <w:r>
        <w:rPr/>
        <w:t>岛市财政局</w:t>
      </w:r>
      <w:r>
        <w:rPr>
          <w:rFonts w:ascii="MS Gothic" w:hAnsi="MS Gothic" w:cs="MS Gothic" w:eastAsia="MS Gothic" w:hint="default"/>
        </w:rPr>
        <w:t>､青</w:t>
      </w:r>
      <w:r>
        <w:rPr/>
        <w:t>岛市国家税务局</w:t>
      </w:r>
      <w:r>
        <w:rPr>
          <w:rFonts w:ascii="MS Gothic" w:hAnsi="MS Gothic" w:cs="MS Gothic" w:eastAsia="MS Gothic" w:hint="default"/>
        </w:rPr>
        <w:t>､青</w:t>
      </w:r>
      <w:r>
        <w:rPr/>
        <w:t>岛市地方税务局于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日联合向公司颁发编号为 </w:t>
      </w:r>
      <w:r>
        <w:rPr>
          <w:rFonts w:ascii="Times New Roman" w:hAnsi="Times New Roman" w:cs="Times New Roman" w:eastAsia="Times New Roman" w:hint="default"/>
        </w:rPr>
        <w:t>GF201537100028</w:t>
      </w:r>
      <w:r>
        <w:rPr/>
        <w:t>的《高新技术企业证书》，按照《中华人民共和国企业所得税法》的规定，公司可以自</w:t>
      </w:r>
      <w:r>
        <w:rPr>
          <w:rFonts w:ascii="Times New Roman" w:hAnsi="Times New Roman" w:cs="Times New Roman" w:eastAsia="Times New Roman" w:hint="default"/>
        </w:rPr>
        <w:t>2015</w:t>
      </w:r>
      <w:r>
        <w:rPr/>
        <w:t>年度起连续三 年执行</w:t>
      </w:r>
      <w:r>
        <w:rPr>
          <w:rFonts w:ascii="Times New Roman" w:hAnsi="Times New Roman" w:cs="Times New Roman" w:eastAsia="Times New Roman" w:hint="default"/>
        </w:rPr>
        <w:t>15%</w:t>
      </w:r>
      <w:r>
        <w:rPr/>
        <w:t>的所得税优惠税率。</w:t>
      </w:r>
    </w:p>
    <w:p>
      <w:pPr>
        <w:pStyle w:val="BodyText"/>
        <w:spacing w:line="309" w:lineRule="auto" w:before="13"/>
        <w:ind w:right="224" w:firstLine="504"/>
        <w:jc w:val="left"/>
      </w:pPr>
      <w:r>
        <w:rPr>
          <w:spacing w:val="-3"/>
        </w:rPr>
        <w:t>根据《中华人民共和国企业所得税法》以及《中华人民共和国企业所得税法实施条例》，公司为开发新技术、新产品、</w:t>
      </w:r>
      <w:r>
        <w:rPr/>
        <w:t> 新工艺发生的研究开发费，未形成无形资产计入当期损益的，在按照规定据实扣除的基础上，按照研究开发费用的</w:t>
      </w:r>
      <w:r>
        <w:rPr>
          <w:rFonts w:ascii="Times New Roman" w:hAnsi="Times New Roman" w:cs="Times New Roman" w:eastAsia="Times New Roman" w:hint="default"/>
        </w:rPr>
        <w:t>50%</w:t>
      </w:r>
      <w:r>
        <w:rPr/>
        <w:t>加计 扣除。</w:t>
      </w:r>
    </w:p>
    <w:p>
      <w:pPr>
        <w:pStyle w:val="BodyText"/>
        <w:spacing w:line="300" w:lineRule="auto" w:before="24"/>
        <w:ind w:right="224" w:firstLine="504"/>
        <w:jc w:val="left"/>
      </w:pPr>
      <w:r>
        <w:rPr>
          <w:spacing w:val="-1"/>
        </w:rPr>
        <w:t>青岛市恒顺众昇集团股份有限公司出口产品实行</w:t>
      </w:r>
      <w:r>
        <w:rPr>
          <w:rFonts w:ascii="Times New Roman" w:hAnsi="Times New Roman" w:cs="Times New Roman" w:eastAsia="Times New Roman" w:hint="default"/>
          <w:spacing w:val="-1"/>
        </w:rPr>
        <w:t>“</w:t>
      </w:r>
      <w:r>
        <w:rPr>
          <w:spacing w:val="-1"/>
        </w:rPr>
        <w:t>免、抵、退</w:t>
      </w:r>
      <w:r>
        <w:rPr>
          <w:rFonts w:ascii="Times New Roman" w:hAnsi="Times New Roman" w:cs="Times New Roman" w:eastAsia="Times New Roman" w:hint="default"/>
          <w:spacing w:val="-1"/>
        </w:rPr>
        <w:t>”</w:t>
      </w:r>
      <w:r>
        <w:rPr>
          <w:spacing w:val="-1"/>
        </w:rPr>
        <w:t>税政策。子公司青岛恒顺众昇进出口有限公司出口产品</w:t>
      </w:r>
      <w:r>
        <w:rPr/>
        <w:t> 实行</w:t>
      </w:r>
      <w:r>
        <w:rPr>
          <w:rFonts w:ascii="Times New Roman" w:hAnsi="Times New Roman" w:cs="Times New Roman" w:eastAsia="Times New Roman" w:hint="default"/>
        </w:rPr>
        <w:t>“</w:t>
      </w:r>
      <w:r>
        <w:rPr/>
        <w:t>免退</w:t>
      </w:r>
      <w:r>
        <w:rPr>
          <w:rFonts w:ascii="Times New Roman" w:hAnsi="Times New Roman" w:cs="Times New Roman" w:eastAsia="Times New Roman" w:hint="default"/>
        </w:rPr>
        <w:t>”</w:t>
      </w:r>
      <w:r>
        <w:rPr/>
        <w:t>税政策。</w:t>
      </w:r>
    </w:p>
    <w:p>
      <w:pPr>
        <w:spacing w:line="240" w:lineRule="auto" w:before="4"/>
        <w:rPr>
          <w:rFonts w:ascii="宋体" w:hAnsi="宋体" w:cs="宋体" w:eastAsia="宋体" w:hint="default"/>
          <w:sz w:val="22"/>
          <w:szCs w:val="22"/>
        </w:rPr>
      </w:pPr>
    </w:p>
    <w:p>
      <w:pPr>
        <w:pStyle w:val="Heading3"/>
        <w:spacing w:line="240" w:lineRule="auto"/>
        <w:ind w:right="824"/>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824"/>
        <w:jc w:val="left"/>
      </w:pPr>
      <w:r>
        <w:rPr/>
        <w:t>增值税税率说明：</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6203"/>
        <w:gridCol w:w="4112"/>
      </w:tblGrid>
      <w:tr>
        <w:trPr>
          <w:trHeight w:val="346" w:hRule="exact"/>
        </w:trPr>
        <w:tc>
          <w:tcPr>
            <w:tcW w:w="6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企业增值税税率</w:t>
            </w:r>
          </w:p>
        </w:tc>
      </w:tr>
      <w:tr>
        <w:trPr>
          <w:trHeight w:val="348" w:hRule="exact"/>
        </w:trPr>
        <w:tc>
          <w:tcPr>
            <w:tcW w:w="6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中国境内公司（除研发和技术服务业务、增值税小规模纳税人）</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 w:right="0"/>
              <w:jc w:val="center"/>
              <w:rPr>
                <w:rFonts w:ascii="Times New Roman" w:hAnsi="Times New Roman" w:cs="Times New Roman" w:eastAsia="Times New Roman" w:hint="default"/>
                <w:sz w:val="18"/>
                <w:szCs w:val="18"/>
              </w:rPr>
            </w:pPr>
            <w:r>
              <w:rPr>
                <w:rFonts w:ascii="Times New Roman"/>
                <w:sz w:val="18"/>
              </w:rPr>
              <w:t>17%</w:t>
            </w:r>
          </w:p>
        </w:tc>
      </w:tr>
      <w:tr>
        <w:trPr>
          <w:trHeight w:val="348" w:hRule="exact"/>
        </w:trPr>
        <w:tc>
          <w:tcPr>
            <w:tcW w:w="6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中国境内公司（研发和技术服务业务）</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6%</w:t>
            </w:r>
          </w:p>
        </w:tc>
      </w:tr>
      <w:tr>
        <w:trPr>
          <w:trHeight w:val="346" w:hRule="exact"/>
        </w:trPr>
        <w:tc>
          <w:tcPr>
            <w:tcW w:w="6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中国境内公司（增值税小规模纳税人）</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34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6203"/>
        <w:gridCol w:w="4112"/>
      </w:tblGrid>
      <w:tr>
        <w:trPr>
          <w:trHeight w:val="348" w:hRule="exact"/>
        </w:trPr>
        <w:tc>
          <w:tcPr>
            <w:tcW w:w="6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印度尼西亚境内公司</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9" w:right="0"/>
              <w:jc w:val="center"/>
              <w:rPr>
                <w:rFonts w:ascii="Times New Roman" w:hAnsi="Times New Roman" w:cs="Times New Roman" w:eastAsia="Times New Roman" w:hint="default"/>
                <w:sz w:val="18"/>
                <w:szCs w:val="18"/>
              </w:rPr>
            </w:pPr>
            <w:r>
              <w:rPr>
                <w:rFonts w:ascii="Times New Roman"/>
                <w:sz w:val="18"/>
              </w:rPr>
              <w:t>10%</w:t>
            </w:r>
          </w:p>
        </w:tc>
      </w:tr>
      <w:tr>
        <w:trPr>
          <w:trHeight w:val="346" w:hRule="exact"/>
        </w:trPr>
        <w:tc>
          <w:tcPr>
            <w:tcW w:w="6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南非境内公司</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9" w:right="0"/>
              <w:jc w:val="center"/>
              <w:rPr>
                <w:rFonts w:ascii="Times New Roman" w:hAnsi="Times New Roman" w:cs="Times New Roman" w:eastAsia="Times New Roman" w:hint="default"/>
                <w:sz w:val="18"/>
                <w:szCs w:val="18"/>
              </w:rPr>
            </w:pPr>
            <w:r>
              <w:rPr>
                <w:rFonts w:ascii="Times New Roman"/>
                <w:sz w:val="18"/>
              </w:rPr>
              <w:t>14%</w:t>
            </w:r>
          </w:p>
        </w:tc>
      </w:tr>
      <w:tr>
        <w:trPr>
          <w:trHeight w:val="348" w:hRule="exact"/>
        </w:trPr>
        <w:tc>
          <w:tcPr>
            <w:tcW w:w="6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津巴布韦境内公司</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 w:right="0"/>
              <w:jc w:val="center"/>
              <w:rPr>
                <w:rFonts w:ascii="Times New Roman" w:hAnsi="Times New Roman" w:cs="Times New Roman" w:eastAsia="Times New Roman" w:hint="default"/>
                <w:sz w:val="18"/>
                <w:szCs w:val="18"/>
              </w:rPr>
            </w:pPr>
            <w:r>
              <w:rPr>
                <w:rFonts w:ascii="Times New Roman"/>
                <w:sz w:val="18"/>
              </w:rPr>
              <w:t>15%</w:t>
            </w:r>
          </w:p>
        </w:tc>
      </w:tr>
      <w:tr>
        <w:trPr>
          <w:trHeight w:val="348" w:hRule="exact"/>
        </w:trPr>
        <w:tc>
          <w:tcPr>
            <w:tcW w:w="6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菲律宾境内公司</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9" w:right="0"/>
              <w:jc w:val="center"/>
              <w:rPr>
                <w:rFonts w:ascii="Times New Roman" w:hAnsi="Times New Roman" w:cs="Times New Roman" w:eastAsia="Times New Roman" w:hint="default"/>
                <w:sz w:val="18"/>
                <w:szCs w:val="18"/>
              </w:rPr>
            </w:pPr>
            <w:r>
              <w:rPr>
                <w:rFonts w:ascii="Times New Roman"/>
                <w:sz w:val="18"/>
              </w:rPr>
              <w:t>12%</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before="26"/>
        <w:ind w:right="824"/>
        <w:jc w:val="left"/>
        <w:rPr>
          <w:b w:val="0"/>
          <w:bCs w:val="0"/>
        </w:rPr>
      </w:pP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824"/>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79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275,061.18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431,215.39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136,690,520.02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98,207,013.23</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145,868,114.99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70,268,330.85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282,833,696.19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168,906,559.47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20,013,646.12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8,528,603.46</w:t>
            </w:r>
          </w:p>
        </w:tc>
      </w:tr>
    </w:tbl>
    <w:p>
      <w:pPr>
        <w:pStyle w:val="BodyText"/>
        <w:spacing w:line="360" w:lineRule="auto" w:before="49"/>
        <w:ind w:right="3934"/>
        <w:jc w:val="left"/>
      </w:pPr>
      <w:r>
        <w:rPr/>
        <w:t>其他说明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日，本公司不存在其他质押、冻结，或有潜在收回风险的款项。</w:t>
      </w:r>
    </w:p>
    <w:p>
      <w:pPr>
        <w:spacing w:line="240" w:lineRule="auto" w:before="5"/>
        <w:rPr>
          <w:rFonts w:ascii="宋体" w:hAnsi="宋体" w:cs="宋体" w:eastAsia="宋体" w:hint="default"/>
          <w:sz w:val="18"/>
          <w:szCs w:val="18"/>
        </w:rPr>
      </w:pPr>
    </w:p>
    <w:p>
      <w:pPr>
        <w:pStyle w:val="Heading3"/>
        <w:spacing w:line="240" w:lineRule="auto"/>
        <w:ind w:right="824"/>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824"/>
        <w:jc w:val="left"/>
        <w:rPr>
          <w:b w:val="0"/>
          <w:bCs w:val="0"/>
        </w:rPr>
      </w:pPr>
      <w:r>
        <w:rPr/>
        <w:t>（</w:t>
      </w:r>
      <w:r>
        <w:rPr>
          <w:rFonts w:ascii="Times New Roman" w:hAnsi="Times New Roman" w:cs="Times New Roman" w:eastAsia="Times New Roman" w:hint="default"/>
        </w:rPr>
        <w:t>1</w:t>
      </w:r>
      <w:r>
        <w:rPr/>
        <w:t>）期末公司已背书或贴现且在资产负债表日尚未到期的应收票据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7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824"/>
        <w:jc w:val="left"/>
      </w:pPr>
      <w:r>
        <w:rPr/>
        <w:t>其他说明</w:t>
      </w:r>
    </w:p>
    <w:p>
      <w:pPr>
        <w:pStyle w:val="BodyText"/>
        <w:spacing w:line="240" w:lineRule="auto" w:before="117"/>
        <w:ind w:right="824"/>
        <w:jc w:val="left"/>
      </w:pPr>
      <w:r>
        <w:rPr/>
        <w:t>①期末公司无已质押的应收票据。</w:t>
      </w:r>
    </w:p>
    <w:p>
      <w:pPr>
        <w:pStyle w:val="BodyText"/>
        <w:spacing w:line="240" w:lineRule="auto" w:before="76"/>
        <w:ind w:right="824"/>
        <w:jc w:val="left"/>
      </w:pPr>
      <w:r>
        <w:rPr/>
        <w:t>②报告期内公司无因出票人无力履约而将票据转为应收账款的应收票据。</w:t>
      </w:r>
    </w:p>
    <w:p>
      <w:pPr>
        <w:spacing w:line="240" w:lineRule="auto" w:before="0"/>
        <w:rPr>
          <w:rFonts w:ascii="宋体" w:hAnsi="宋体" w:cs="宋体" w:eastAsia="宋体" w:hint="default"/>
          <w:sz w:val="18"/>
          <w:szCs w:val="18"/>
        </w:rPr>
      </w:pPr>
    </w:p>
    <w:p>
      <w:pPr>
        <w:pStyle w:val="Heading3"/>
        <w:spacing w:line="240" w:lineRule="auto" w:before="120"/>
        <w:ind w:right="824"/>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824"/>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7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1"/>
      </w:tblGrid>
      <w:tr>
        <w:trPr>
          <w:trHeight w:val="403"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34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6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73,939,5</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10.23%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739,395.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73,200,10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5.00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487,385</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,453.91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40.18%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4,873,854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482,511,59</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9.37</w:t>
            </w: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647,482,</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278.56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89.55%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118,353,</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555.94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18.28%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529,128,7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22.62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712,907</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,419.79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58.78%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67,055,08</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9.75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645,852,33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0.04</w:t>
            </w: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1,658,19</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1,658,19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12,638,</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190.00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1,767,990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13.99%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10,870,200.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317"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723,079,</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968.56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120,751,</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140.94</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16.70%</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602,328,8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27.62</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31,063.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73,696,93</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4.29</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6.08%</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1,139,234,1</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29.41</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317"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4" w:right="175"/>
              <w:jc w:val="left"/>
              <w:rPr>
                <w:rFonts w:ascii="Times New Roman" w:hAnsi="Times New Roman" w:cs="Times New Roman" w:eastAsia="Times New Roman" w:hint="default"/>
                <w:sz w:val="18"/>
                <w:szCs w:val="18"/>
              </w:rPr>
            </w:pPr>
            <w:r>
              <w:rPr>
                <w:rFonts w:ascii="Times New Roman"/>
                <w:sz w:val="18"/>
              </w:rPr>
              <w:t>PT.Pembangkit</w:t>
            </w:r>
            <w:r>
              <w:rPr>
                <w:rFonts w:ascii="Times New Roman"/>
                <w:spacing w:val="-18"/>
                <w:sz w:val="18"/>
              </w:rPr>
              <w:t> </w:t>
            </w:r>
            <w:r>
              <w:rPr>
                <w:rFonts w:ascii="Times New Roman"/>
                <w:sz w:val="18"/>
              </w:rPr>
              <w:t>Sumber</w:t>
            </w:r>
            <w:r>
              <w:rPr>
                <w:rFonts w:ascii="Times New Roman"/>
                <w:sz w:val="18"/>
              </w:rPr>
              <w:t> Daya</w:t>
            </w:r>
            <w:r>
              <w:rPr>
                <w:rFonts w:ascii="Times New Roman"/>
                <w:spacing w:val="-2"/>
                <w:sz w:val="18"/>
              </w:rPr>
              <w:t> </w:t>
            </w:r>
            <w:r>
              <w:rPr>
                <w:rFonts w:ascii="Times New Roman"/>
                <w:sz w:val="18"/>
              </w:rPr>
              <w:t>Indonesia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56,859,500.00</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568,595.00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尚未完工</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443"/>
              <w:jc w:val="left"/>
              <w:rPr>
                <w:rFonts w:ascii="Times New Roman" w:hAnsi="Times New Roman" w:cs="Times New Roman" w:eastAsia="Times New Roman" w:hint="default"/>
                <w:sz w:val="18"/>
                <w:szCs w:val="18"/>
              </w:rPr>
            </w:pPr>
            <w:r>
              <w:rPr>
                <w:rFonts w:ascii="Times New Roman"/>
                <w:sz w:val="18"/>
              </w:rPr>
              <w:t>PT.Artabumi</w:t>
            </w:r>
            <w:r>
              <w:rPr>
                <w:rFonts w:ascii="Times New Roman"/>
                <w:spacing w:val="-16"/>
                <w:sz w:val="18"/>
              </w:rPr>
              <w:t> </w:t>
            </w:r>
            <w:r>
              <w:rPr>
                <w:rFonts w:ascii="Times New Roman"/>
                <w:sz w:val="18"/>
              </w:rPr>
              <w:t>Sentra</w:t>
            </w:r>
            <w:r>
              <w:rPr>
                <w:rFonts w:ascii="Times New Roman"/>
                <w:sz w:val="18"/>
              </w:rPr>
              <w:t> Industri</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17,080,000.00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170,800.00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尚未完工</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73,939,500.00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739,395.00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pStyle w:val="BodyText"/>
        <w:spacing w:line="240" w:lineRule="auto" w:before="49"/>
        <w:ind w:right="-20"/>
        <w:jc w:val="left"/>
      </w:pPr>
      <w:r>
        <w:rPr/>
        <w:t>组合中，按账龄分析法计提坏账准备的应收账款：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113" w:space="471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13,013,699.13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650,684.97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13,013,699.13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650,684.97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221,634,058.24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22,163,405.82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373,479,862.46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74,695,972.49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39,354,658.73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20,843,492.66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52.96%</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27,229,477.82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13,614,738.91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9,792,854.34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4,896,427.18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2,332,326.57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2,332,326.57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647,482,278.56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1" w:right="0"/>
              <w:jc w:val="left"/>
              <w:rPr>
                <w:rFonts w:ascii="Times New Roman" w:hAnsi="Times New Roman" w:cs="Times New Roman" w:eastAsia="Times New Roman" w:hint="default"/>
                <w:sz w:val="18"/>
                <w:szCs w:val="18"/>
              </w:rPr>
            </w:pPr>
            <w:r>
              <w:rPr>
                <w:rFonts w:ascii="Times New Roman"/>
                <w:sz w:val="18"/>
              </w:rPr>
              <w:t>118,353,555.94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18.28%</w:t>
            </w:r>
          </w:p>
        </w:tc>
      </w:tr>
    </w:tbl>
    <w:p>
      <w:pPr>
        <w:pStyle w:val="BodyText"/>
        <w:spacing w:line="357" w:lineRule="auto" w:before="49"/>
        <w:ind w:right="4194"/>
        <w:jc w:val="left"/>
      </w:pPr>
      <w:r>
        <w:rPr/>
        <w:t>确定该组合依据的说明： 单项金额不重大但按信用风险特征组合后该组合的风险较大的应收账款</w:t>
      </w:r>
    </w:p>
    <w:p>
      <w:pPr>
        <w:pStyle w:val="BodyText"/>
        <w:spacing w:line="237" w:lineRule="exact"/>
        <w:ind w:right="0"/>
        <w:jc w:val="left"/>
      </w:pPr>
      <w:r>
        <w:rPr/>
        <w:t>①</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9</w:t>
      </w:r>
      <w:r>
        <w:rPr/>
        <w:t>年</w:t>
      </w:r>
      <w:r>
        <w:rPr>
          <w:rFonts w:ascii="Times New Roman" w:hAnsi="Times New Roman" w:cs="Times New Roman" w:eastAsia="Times New Roman" w:hint="default"/>
          <w:spacing w:val="1"/>
        </w:rPr>
        <w:t>5</w:t>
      </w:r>
      <w:r>
        <w:rPr/>
        <w:t>月销售给青岛青波</w:t>
      </w:r>
      <w:r>
        <w:rPr>
          <w:spacing w:val="-3"/>
        </w:rPr>
        <w:t>变</w:t>
      </w:r>
      <w:r>
        <w:rPr/>
        <w:t>压器股份有限公司产品货款</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
        </w:rPr>
        <w:t>0</w:t>
      </w:r>
      <w:r>
        <w:rPr/>
        <w:t>万元</w:t>
      </w:r>
      <w:r>
        <w:rPr>
          <w:spacing w:val="-82"/>
        </w:rPr>
        <w:t>，</w:t>
      </w:r>
      <w:r>
        <w:rPr/>
        <w:t>因对方对欠款余额不确认</w:t>
      </w:r>
      <w:r>
        <w:rPr>
          <w:spacing w:val="-82"/>
        </w:rPr>
        <w:t>，</w:t>
      </w:r>
      <w:r>
        <w:rPr/>
        <w:t>造成款项无法收回的风险</w:t>
      </w:r>
      <w:r>
        <w:rPr>
          <w:spacing w:val="-9"/>
        </w:rPr>
        <w:t>，</w:t>
      </w:r>
      <w:r>
        <w:rPr/>
        <w:t>故</w:t>
      </w:r>
    </w:p>
    <w:p>
      <w:pPr>
        <w:pStyle w:val="BodyText"/>
        <w:spacing w:line="240" w:lineRule="auto" w:before="63"/>
        <w:ind w:right="135"/>
        <w:jc w:val="left"/>
      </w:pPr>
      <w:r>
        <w:rPr/>
        <w:t>公司在</w:t>
      </w:r>
      <w:r>
        <w:rPr>
          <w:rFonts w:ascii="Times New Roman" w:hAnsi="Times New Roman" w:cs="Times New Roman" w:eastAsia="Times New Roman" w:hint="default"/>
        </w:rPr>
        <w:t>2010</w:t>
      </w:r>
      <w:r>
        <w:rPr/>
        <w:t>年全额计提坏账准备。</w:t>
      </w:r>
    </w:p>
    <w:p>
      <w:pPr>
        <w:pStyle w:val="BodyText"/>
        <w:spacing w:line="300" w:lineRule="auto" w:before="63"/>
        <w:ind w:right="144"/>
        <w:jc w:val="left"/>
      </w:pPr>
      <w:r>
        <w:rPr/>
        <w:t>②应收沁阳沁澳铝业有限公司货款</w:t>
      </w:r>
      <w:r>
        <w:rPr>
          <w:rFonts w:ascii="Times New Roman" w:hAnsi="Times New Roman" w:cs="Times New Roman" w:eastAsia="Times New Roman" w:hint="default"/>
        </w:rPr>
        <w:t>184</w:t>
      </w:r>
      <w:r>
        <w:rPr/>
        <w:t>万元，</w:t>
      </w:r>
      <w:r>
        <w:rPr>
          <w:rFonts w:ascii="Times New Roman" w:hAnsi="Times New Roman" w:cs="Times New Roman" w:eastAsia="Times New Roman" w:hint="default"/>
        </w:rPr>
        <w:t>2010</w:t>
      </w:r>
      <w:r>
        <w:rPr/>
        <w:t>年已收回</w:t>
      </w:r>
      <w:r>
        <w:rPr>
          <w:rFonts w:ascii="Times New Roman" w:hAnsi="Times New Roman" w:cs="Times New Roman" w:eastAsia="Times New Roman" w:hint="default"/>
        </w:rPr>
        <w:t>981,810.00</w:t>
      </w:r>
      <w:r>
        <w:rPr/>
        <w:t>元，余额</w:t>
      </w:r>
      <w:r>
        <w:rPr>
          <w:rFonts w:ascii="Times New Roman" w:hAnsi="Times New Roman" w:cs="Times New Roman" w:eastAsia="Times New Roman" w:hint="default"/>
        </w:rPr>
        <w:t>858,190.00</w:t>
      </w:r>
      <w:r>
        <w:rPr/>
        <w:t>元在</w:t>
      </w:r>
      <w:r>
        <w:rPr>
          <w:rFonts w:ascii="Times New Roman" w:hAnsi="Times New Roman" w:cs="Times New Roman" w:eastAsia="Times New Roman" w:hint="default"/>
        </w:rPr>
        <w:t>2010</w:t>
      </w:r>
      <w:r>
        <w:rPr/>
        <w:t>年末重新划分为单项金额 不重大但按信用风险特征组合后该组合的风险较大的应收账款种类，已全额计提了坏账准备。</w:t>
      </w:r>
    </w:p>
    <w:p>
      <w:pPr>
        <w:pStyle w:val="BodyText"/>
        <w:spacing w:line="240" w:lineRule="auto" w:before="72"/>
        <w:ind w:right="135"/>
        <w:jc w:val="left"/>
      </w:pPr>
      <w:r>
        <w:rPr/>
        <w:t>组合中，采用余额百分比法计提坏账准备的应收账款：</w:t>
      </w:r>
    </w:p>
    <w:p>
      <w:pPr>
        <w:pStyle w:val="BodyText"/>
        <w:spacing w:line="35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 无</w:t>
      </w:r>
    </w:p>
    <w:p>
      <w:pPr>
        <w:spacing w:line="240" w:lineRule="auto" w:before="11"/>
        <w:rPr>
          <w:rFonts w:ascii="宋体" w:hAnsi="宋体" w:cs="宋体" w:eastAsia="宋体" w:hint="default"/>
          <w:sz w:val="20"/>
          <w:szCs w:val="20"/>
        </w:rPr>
      </w:pPr>
    </w:p>
    <w:p>
      <w:pPr>
        <w:pStyle w:val="Heading3"/>
        <w:spacing w:line="240" w:lineRule="auto"/>
        <w:ind w:right="135"/>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35"/>
        <w:jc w:val="left"/>
      </w:pPr>
      <w:r>
        <w:rPr/>
        <w:t>本期计提坏账准备金额</w:t>
      </w:r>
      <w:r>
        <w:rPr>
          <w:spacing w:val="-48"/>
        </w:rPr>
        <w:t> </w:t>
      </w:r>
      <w:r>
        <w:rPr>
          <w:rFonts w:ascii="Times New Roman" w:hAnsi="Times New Roman" w:cs="Times New Roman" w:eastAsia="Times New Roman" w:hint="default"/>
        </w:rPr>
        <w:t>56,564,460.00</w:t>
      </w:r>
      <w:r>
        <w:rPr>
          <w:rFonts w:ascii="Times New Roman" w:hAnsi="Times New Roman" w:cs="Times New Roman" w:eastAsia="Times New Roman" w:hint="default"/>
          <w:spacing w:val="-1"/>
        </w:rPr>
        <w:t> </w:t>
      </w:r>
      <w:r>
        <w:rPr/>
        <w:t>元；本期收回或转回坏账准备金额</w:t>
      </w:r>
      <w:r>
        <w:rPr>
          <w:spacing w:val="-49"/>
        </w:rPr>
        <w:t> </w:t>
      </w:r>
      <w:r>
        <w:rPr>
          <w:rFonts w:ascii="Times New Roman" w:hAnsi="Times New Roman" w:cs="Times New Roman" w:eastAsia="Times New Roman" w:hint="default"/>
        </w:rPr>
        <w:t>9,510,253.35</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3"/>
        <w:spacing w:line="240" w:lineRule="auto"/>
        <w:ind w:right="135"/>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6714"/>
        <w:jc w:val="left"/>
      </w:pPr>
      <w:r>
        <w:rPr/>
        <w:t>公司是否需要遵守特殊行业的披露要求 是</w:t>
      </w:r>
    </w:p>
    <w:p>
      <w:pPr>
        <w:pStyle w:val="BodyText"/>
        <w:spacing w:line="360" w:lineRule="auto" w:before="29"/>
        <w:ind w:right="549"/>
        <w:jc w:val="left"/>
      </w:pPr>
      <w:r>
        <w:rPr/>
        <w:t>光伏产业链相关业 本报告期按欠款方归集的期末余额前五名应收账款汇总金额为</w:t>
      </w:r>
      <w:r>
        <w:rPr>
          <w:rFonts w:ascii="Times New Roman" w:hAnsi="Times New Roman" w:cs="Times New Roman" w:eastAsia="Times New Roman" w:hint="default"/>
        </w:rPr>
        <w:t>693,695,824.46</w:t>
      </w:r>
      <w:r>
        <w:rPr/>
        <w:t>元，占应收账款期末余额合计数的比例为</w:t>
      </w:r>
    </w:p>
    <w:p>
      <w:pPr>
        <w:pStyle w:val="BodyText"/>
        <w:spacing w:line="212" w:lineRule="exact"/>
        <w:ind w:right="135"/>
        <w:jc w:val="left"/>
      </w:pPr>
      <w:r>
        <w:rPr>
          <w:rFonts w:ascii="Times New Roman" w:hAnsi="Times New Roman" w:cs="Times New Roman" w:eastAsia="Times New Roman" w:hint="default"/>
        </w:rPr>
        <w:t>95.94%</w:t>
      </w:r>
      <w:r>
        <w:rPr/>
        <w:t>，相应计提的坏账准备期末余额汇总金额为</w:t>
      </w:r>
      <w:r>
        <w:rPr>
          <w:rFonts w:ascii="Times New Roman" w:hAnsi="Times New Roman" w:cs="Times New Roman" w:eastAsia="Times New Roman" w:hint="default"/>
        </w:rPr>
        <w:t>108,056,893.28</w:t>
      </w:r>
      <w:r>
        <w:rPr/>
        <w:t>元。</w:t>
      </w:r>
    </w:p>
    <w:p>
      <w:pPr>
        <w:pStyle w:val="BodyText"/>
        <w:spacing w:line="240" w:lineRule="auto" w:before="103"/>
        <w:ind w:right="135"/>
        <w:jc w:val="left"/>
      </w:pPr>
      <w:r>
        <w:rPr/>
        <w:t>其他说明：</w:t>
      </w:r>
    </w:p>
    <w:p>
      <w:pPr>
        <w:pStyle w:val="BodyText"/>
        <w:spacing w:line="240" w:lineRule="auto" w:before="115"/>
        <w:ind w:right="135"/>
        <w:jc w:val="left"/>
      </w:pPr>
      <w:r>
        <w:rPr/>
        <w:t>①</w:t>
      </w:r>
      <w:r>
        <w:rPr>
          <w:rFonts w:ascii="Times New Roman" w:hAnsi="Times New Roman" w:cs="Times New Roman" w:eastAsia="Times New Roman" w:hint="default"/>
        </w:rPr>
        <w:t>2017</w:t>
      </w:r>
      <w:r>
        <w:rPr/>
        <w:t>年度无通过重组等其他方式收回的应收账款、无实际核销的应收账款。</w:t>
      </w:r>
    </w:p>
    <w:p>
      <w:pPr>
        <w:pStyle w:val="BodyText"/>
        <w:spacing w:line="300" w:lineRule="auto" w:before="63"/>
        <w:ind w:right="197"/>
        <w:jc w:val="left"/>
      </w:pPr>
      <w:r>
        <w:rPr/>
        <w:t>②本期应收关联方公司款项的情况：应收关联方</w:t>
      </w:r>
      <w:r>
        <w:rPr>
          <w:rFonts w:ascii="Times New Roman" w:hAnsi="Times New Roman" w:cs="Times New Roman" w:eastAsia="Times New Roman" w:hint="default"/>
        </w:rPr>
        <w:t>PT. Metal Smeltindo</w:t>
      </w:r>
      <w:r>
        <w:rPr>
          <w:rFonts w:ascii="Times New Roman" w:hAnsi="Times New Roman" w:cs="Times New Roman" w:eastAsia="Times New Roman" w:hint="default"/>
          <w:spacing w:val="-8"/>
        </w:rPr>
        <w:t> </w:t>
      </w:r>
      <w:r>
        <w:rPr>
          <w:rFonts w:ascii="Times New Roman" w:hAnsi="Times New Roman" w:cs="Times New Roman" w:eastAsia="Times New Roman" w:hint="default"/>
        </w:rPr>
        <w:t>Selaras</w:t>
      </w:r>
      <w:r>
        <w:rPr/>
        <w:t>应收账款</w:t>
      </w:r>
      <w:r>
        <w:rPr>
          <w:rFonts w:ascii="Times New Roman" w:hAnsi="Times New Roman" w:cs="Times New Roman" w:eastAsia="Times New Roman" w:hint="default"/>
        </w:rPr>
        <w:t>2,303,953.91</w:t>
      </w:r>
      <w:r>
        <w:rPr/>
        <w:t>元，年限</w:t>
      </w:r>
      <w:r>
        <w:rPr>
          <w:rFonts w:ascii="Times New Roman" w:hAnsi="Times New Roman" w:cs="Times New Roman" w:eastAsia="Times New Roman" w:hint="default"/>
        </w:rPr>
        <w:t>1</w:t>
      </w:r>
      <w:r>
        <w:rPr/>
        <w:t>年以内，占应收 账款总额的</w:t>
      </w:r>
      <w:r>
        <w:rPr>
          <w:rFonts w:ascii="Times New Roman" w:hAnsi="Times New Roman" w:cs="Times New Roman" w:eastAsia="Times New Roman" w:hint="default"/>
        </w:rPr>
        <w:t>0.32%</w:t>
      </w:r>
      <w:r>
        <w:rPr/>
        <w:t>。</w:t>
      </w:r>
    </w:p>
    <w:p>
      <w:pPr>
        <w:pStyle w:val="BodyText"/>
        <w:spacing w:line="240" w:lineRule="auto" w:before="13"/>
        <w:ind w:right="135"/>
        <w:jc w:val="left"/>
      </w:pPr>
      <w:r>
        <w:rPr/>
        <w:t>③报告期内公司应收账款中无持有公司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）以上表决权股份的股东单位欠款情况。</w:t>
      </w:r>
    </w:p>
    <w:p>
      <w:pPr>
        <w:pStyle w:val="BodyText"/>
        <w:spacing w:line="240" w:lineRule="auto" w:before="63"/>
        <w:ind w:right="135"/>
        <w:jc w:val="left"/>
      </w:pPr>
      <w:r>
        <w:rPr/>
        <w:t>④报告期内公司无终止确认的应收款项。</w:t>
      </w:r>
    </w:p>
    <w:p>
      <w:pPr>
        <w:pStyle w:val="BodyText"/>
        <w:spacing w:line="240" w:lineRule="auto" w:before="76"/>
        <w:ind w:right="135"/>
        <w:jc w:val="left"/>
      </w:pPr>
      <w:r>
        <w:rPr/>
        <w:t>⑤报告期内公司无以应收款项为标的进行证券化的交易情况。</w:t>
      </w:r>
    </w:p>
    <w:p>
      <w:pPr>
        <w:pStyle w:val="BodyText"/>
        <w:spacing w:line="240" w:lineRule="auto" w:before="77"/>
        <w:ind w:right="135"/>
        <w:jc w:val="left"/>
      </w:pPr>
      <w:r>
        <w:rPr/>
        <w:t>⑥报告期内公司无转移应收账款且继续涉入形成的资产、负债。</w:t>
      </w:r>
    </w:p>
    <w:p>
      <w:pPr>
        <w:spacing w:line="240" w:lineRule="auto" w:before="0"/>
        <w:rPr>
          <w:rFonts w:ascii="宋体" w:hAnsi="宋体" w:cs="宋体" w:eastAsia="宋体" w:hint="default"/>
          <w:sz w:val="18"/>
          <w:szCs w:val="18"/>
        </w:rPr>
      </w:pPr>
    </w:p>
    <w:p>
      <w:pPr>
        <w:pStyle w:val="Heading3"/>
        <w:spacing w:line="240" w:lineRule="auto" w:before="120"/>
        <w:ind w:right="135"/>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35"/>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3"/>
        <w:gridCol w:w="1915"/>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5,216,871.09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39.86%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1,314,127.22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13.49%</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544,952.00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3,134,766.92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32.18%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2,454,000.14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18.75%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5,150,288.00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52.87%</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4,873,314.50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37.23%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143,026.50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1.46%</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13,089,137.73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9,742,208.64</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35"/>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pStyle w:val="BodyText"/>
        <w:spacing w:line="300" w:lineRule="auto" w:before="101"/>
        <w:ind w:right="210"/>
        <w:jc w:val="left"/>
      </w:pPr>
      <w:r>
        <w:rPr/>
        <w:t>我公司账龄为</w:t>
      </w:r>
      <w:r>
        <w:rPr>
          <w:rFonts w:ascii="Times New Roman" w:hAnsi="Times New Roman" w:cs="Times New Roman" w:eastAsia="Times New Roman" w:hint="default"/>
        </w:rPr>
        <w:t>2</w:t>
      </w:r>
      <w:r>
        <w:rPr/>
        <w:t>至</w:t>
      </w:r>
      <w:r>
        <w:rPr>
          <w:rFonts w:ascii="Times New Roman" w:hAnsi="Times New Roman" w:cs="Times New Roman" w:eastAsia="Times New Roman" w:hint="default"/>
        </w:rPr>
        <w:t>3</w:t>
      </w:r>
      <w:r>
        <w:rPr/>
        <w:t>年及</w:t>
      </w:r>
      <w:r>
        <w:rPr>
          <w:rFonts w:ascii="Times New Roman" w:hAnsi="Times New Roman" w:cs="Times New Roman" w:eastAsia="Times New Roman" w:hint="default"/>
        </w:rPr>
        <w:t>3</w:t>
      </w:r>
      <w:r>
        <w:rPr/>
        <w:t>年以上的预付款项中，</w:t>
      </w:r>
      <w:r>
        <w:rPr>
          <w:rFonts w:ascii="Times New Roman" w:hAnsi="Times New Roman" w:cs="Times New Roman" w:eastAsia="Times New Roman" w:hint="default"/>
        </w:rPr>
        <w:t>7,230,000.00</w:t>
      </w:r>
      <w:r>
        <w:rPr>
          <w:rFonts w:ascii="Times New Roman" w:hAnsi="Times New Roman" w:cs="Times New Roman" w:eastAsia="Times New Roman" w:hint="default"/>
          <w:spacing w:val="24"/>
        </w:rPr>
        <w:t> </w:t>
      </w:r>
      <w:r>
        <w:rPr/>
        <w:t>元为印尼境内子公司支付给承包商的煤炭开采订金，该订单尚 未执行。</w:t>
      </w:r>
    </w:p>
    <w:p>
      <w:pPr>
        <w:spacing w:line="240" w:lineRule="auto" w:before="10"/>
        <w:rPr>
          <w:rFonts w:ascii="宋体" w:hAnsi="宋体" w:cs="宋体" w:eastAsia="宋体" w:hint="default"/>
          <w:sz w:val="23"/>
          <w:szCs w:val="23"/>
        </w:rPr>
      </w:pPr>
    </w:p>
    <w:p>
      <w:pPr>
        <w:pStyle w:val="Heading3"/>
        <w:spacing w:line="240" w:lineRule="auto"/>
        <w:ind w:right="135"/>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35"/>
        <w:jc w:val="left"/>
      </w:pPr>
      <w:r>
        <w:rPr/>
        <w:t>本报告期按预付对象归集的期末余额前五名的预付账款汇总金额为</w:t>
      </w:r>
      <w:r>
        <w:rPr>
          <w:rFonts w:ascii="Times New Roman" w:hAnsi="Times New Roman" w:cs="Times New Roman" w:eastAsia="Times New Roman" w:hint="default"/>
        </w:rPr>
        <w:t>10,926,543.80</w:t>
      </w:r>
      <w:r>
        <w:rPr/>
        <w:t>元，占预付账款期末余额合计数的比例为</w:t>
      </w:r>
    </w:p>
    <w:p>
      <w:pPr>
        <w:pStyle w:val="BodyText"/>
        <w:spacing w:line="240" w:lineRule="auto" w:before="63"/>
        <w:ind w:right="135"/>
        <w:jc w:val="left"/>
      </w:pPr>
      <w:r>
        <w:rPr>
          <w:rFonts w:ascii="Times New Roman" w:hAnsi="Times New Roman" w:cs="Times New Roman" w:eastAsia="Times New Roman" w:hint="default"/>
        </w:rPr>
        <w:t>83.48%</w:t>
      </w:r>
      <w:r>
        <w:rPr/>
        <w:t>。</w:t>
      </w:r>
    </w:p>
    <w:p>
      <w:pPr>
        <w:pStyle w:val="BodyText"/>
        <w:spacing w:line="357" w:lineRule="auto" w:before="103"/>
        <w:ind w:right="3174"/>
        <w:jc w:val="left"/>
      </w:pPr>
      <w:r>
        <w:rPr/>
        <w:t>其他说明： 报告期内预付款项中无预付持公司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）以上表决权股份的股东单位的款项。</w:t>
      </w:r>
    </w:p>
    <w:p>
      <w:pPr>
        <w:spacing w:line="240" w:lineRule="auto" w:before="9"/>
        <w:rPr>
          <w:rFonts w:ascii="宋体" w:hAnsi="宋体" w:cs="宋体" w:eastAsia="宋体" w:hint="default"/>
          <w:sz w:val="18"/>
          <w:szCs w:val="18"/>
        </w:rPr>
      </w:pPr>
    </w:p>
    <w:p>
      <w:pPr>
        <w:pStyle w:val="Heading3"/>
        <w:spacing w:line="240" w:lineRule="auto"/>
        <w:ind w:right="135"/>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35"/>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41,050,8</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93.85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99.63%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2,856,62</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1.92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38,194,27</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1.93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4,955,7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00.59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93.97%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1,148,146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23.17%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3,807,554.4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152,318.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151,845.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99.69%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473.00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317,849</w:t>
            </w:r>
          </w:p>
          <w:p>
            <w:pPr>
              <w:pStyle w:val="TableParagraph"/>
              <w:spacing w:line="240" w:lineRule="auto" w:before="102"/>
              <w:ind w:left="398" w:right="0"/>
              <w:jc w:val="lef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6.03%</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317,849.00</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41,203,2</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11.85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3,008,46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6.92</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7.30%</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38,194,74</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4.93</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5,273,5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49.59</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1,148,146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.16</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21.77%</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4,125,403.4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footerReference w:type="default" r:id="rId20"/>
          <w:pgSz w:w="11910" w:h="16840"/>
          <w:pgMar w:footer="979" w:header="745" w:top="1060" w:bottom="1160" w:left="980" w:right="980"/>
        </w:sectPr>
      </w:pPr>
    </w:p>
    <w:p>
      <w:pPr>
        <w:pStyle w:val="BodyText"/>
        <w:spacing w:line="240" w:lineRule="auto" w:before="49"/>
        <w:ind w:right="-19"/>
        <w:jc w:val="left"/>
      </w:pPr>
      <w:r>
        <w:rPr/>
        <w:t>期末单项金额重大并单项计提坏账准备的其他应收款：</w:t>
      </w:r>
    </w:p>
    <w:p>
      <w:pPr>
        <w:pStyle w:val="BodyText"/>
        <w:spacing w:line="340" w:lineRule="auto" w:before="115"/>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39"/>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4" w:space="4355"/>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0"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38,731,480.86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1,936,574.06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38,731,480.86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1,936,574.06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1,229,674.20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245,934.84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1,089,738.79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674,113.02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61.86%</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114,396.72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57,198.36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716,854.81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358,427.40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258,487.26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258,487.26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41,050,893.85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2,856,621.92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6.96%</w:t>
            </w:r>
          </w:p>
        </w:tc>
      </w:tr>
    </w:tbl>
    <w:p>
      <w:pPr>
        <w:pStyle w:val="BodyText"/>
        <w:spacing w:line="357" w:lineRule="auto" w:before="49"/>
        <w:ind w:right="5274"/>
        <w:jc w:val="left"/>
      </w:pPr>
      <w:r>
        <w:rPr/>
        <w:t>确定该组合依据的说明： 组合中，采用余额百分比法计提坏账准备的其他应收款：</w:t>
      </w:r>
    </w:p>
    <w:p>
      <w:pPr>
        <w:pStyle w:val="BodyText"/>
        <w:spacing w:line="340" w:lineRule="auto" w:before="29"/>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39"/>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35"/>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35"/>
        <w:jc w:val="left"/>
      </w:pPr>
      <w:r>
        <w:rPr/>
        <w:t>本期计提坏账准备金额</w:t>
      </w:r>
      <w:r>
        <w:rPr>
          <w:spacing w:val="-47"/>
        </w:rPr>
        <w:t> </w:t>
      </w:r>
      <w:r>
        <w:rPr>
          <w:rFonts w:ascii="Times New Roman" w:hAnsi="Times New Roman" w:cs="Times New Roman" w:eastAsia="Times New Roman" w:hint="default"/>
        </w:rPr>
        <w:t>2,364,733.10</w:t>
      </w:r>
      <w:r>
        <w:rPr>
          <w:rFonts w:ascii="Times New Roman" w:hAnsi="Times New Roman" w:cs="Times New Roman" w:eastAsia="Times New Roman" w:hint="default"/>
          <w:spacing w:val="-1"/>
        </w:rPr>
        <w:t> </w:t>
      </w:r>
      <w:r>
        <w:rPr/>
        <w:t>元；本期收回或转回坏账准备金额</w:t>
      </w:r>
      <w:r>
        <w:rPr>
          <w:spacing w:val="-48"/>
        </w:rPr>
        <w:t> </w:t>
      </w:r>
      <w:r>
        <w:rPr>
          <w:rFonts w:ascii="Times New Roman" w:hAnsi="Times New Roman" w:cs="Times New Roman" w:eastAsia="Times New Roman" w:hint="default"/>
        </w:rPr>
        <w:t>504,412.34</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3"/>
        <w:spacing w:line="240" w:lineRule="auto"/>
        <w:ind w:right="135"/>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代扣代缴个人所得税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37,938,321.25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1,591,830.20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2,221,700.56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575,826.97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434,144.28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1,097,233.43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2,617,704.75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41,203,211.85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5,273,549.59</w:t>
            </w:r>
          </w:p>
        </w:tc>
      </w:tr>
    </w:tbl>
    <w:p>
      <w:pPr>
        <w:spacing w:line="240" w:lineRule="auto" w:before="3"/>
        <w:rPr>
          <w:rFonts w:ascii="宋体" w:hAnsi="宋体" w:cs="宋体" w:eastAsia="宋体" w:hint="default"/>
          <w:sz w:val="19"/>
          <w:szCs w:val="19"/>
        </w:rPr>
      </w:pPr>
    </w:p>
    <w:p>
      <w:pPr>
        <w:pStyle w:val="Heading3"/>
        <w:spacing w:line="240" w:lineRule="auto" w:before="36"/>
        <w:ind w:right="135"/>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代扣代缴个人所得 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代扣代缴个人所得 税</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37,938,321.25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92.08%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1,896,916.06</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北京东方广场有限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759,320.00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151,864.00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4" w:right="0"/>
              <w:jc w:val="left"/>
              <w:rPr>
                <w:rFonts w:ascii="Times New Roman" w:hAnsi="Times New Roman" w:cs="Times New Roman" w:eastAsia="Times New Roman" w:hint="default"/>
                <w:sz w:val="18"/>
                <w:szCs w:val="18"/>
              </w:rPr>
            </w:pPr>
            <w:r>
              <w:rPr>
                <w:rFonts w:ascii="Times New Roman"/>
                <w:spacing w:val="-5"/>
                <w:sz w:val="18"/>
              </w:rPr>
              <w:t>PT. </w:t>
            </w:r>
            <w:r>
              <w:rPr>
                <w:rFonts w:ascii="Times New Roman"/>
                <w:sz w:val="18"/>
              </w:rPr>
              <w:t>Ceria</w:t>
            </w:r>
            <w:r>
              <w:rPr>
                <w:rFonts w:ascii="Times New Roman"/>
                <w:spacing w:val="1"/>
                <w:sz w:val="18"/>
              </w:rPr>
              <w:t> </w:t>
            </w:r>
            <w:r>
              <w:rPr>
                <w:rFonts w:ascii="Times New Roman"/>
                <w:sz w:val="18"/>
              </w:rPr>
              <w:t>Nugraha</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714,852.11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357,426.06</w:t>
            </w:r>
          </w:p>
        </w:tc>
      </w:tr>
    </w:tbl>
    <w:p>
      <w:pPr>
        <w:spacing w:after="0" w:line="240" w:lineRule="auto"/>
        <w:jc w:val="right"/>
        <w:rPr>
          <w:rFonts w:ascii="Times New Roman" w:hAnsi="Times New Roman" w:cs="Times New Roman" w:eastAsia="Times New Roman" w:hint="default"/>
          <w:sz w:val="18"/>
          <w:szCs w:val="18"/>
        </w:rPr>
        <w:sectPr>
          <w:footerReference w:type="default" r:id="rId21"/>
          <w:pgSz w:w="11910" w:h="16840"/>
          <w:pgMar w:footer="979" w:header="745" w:top="1060" w:bottom="1160" w:left="980" w:right="980"/>
          <w:pgNumType w:start="101"/>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36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Indotama</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61"/>
              <w:jc w:val="left"/>
              <w:rPr>
                <w:rFonts w:ascii="Times New Roman" w:hAnsi="Times New Roman" w:cs="Times New Roman" w:eastAsia="Times New Roman" w:hint="default"/>
                <w:sz w:val="18"/>
                <w:szCs w:val="18"/>
              </w:rPr>
            </w:pPr>
            <w:r>
              <w:rPr>
                <w:rFonts w:ascii="Times New Roman"/>
                <w:sz w:val="18"/>
              </w:rPr>
              <w:t>Mining and</w:t>
            </w:r>
            <w:r>
              <w:rPr>
                <w:rFonts w:ascii="Times New Roman"/>
                <w:spacing w:val="-7"/>
                <w:sz w:val="18"/>
              </w:rPr>
              <w:t> </w:t>
            </w:r>
            <w:r>
              <w:rPr>
                <w:rFonts w:ascii="Times New Roman"/>
                <w:sz w:val="18"/>
              </w:rPr>
              <w:t>Energy</w:t>
            </w:r>
            <w:r>
              <w:rPr>
                <w:rFonts w:ascii="Times New Roman"/>
                <w:sz w:val="18"/>
              </w:rPr>
              <w:t> Department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326,320.00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65,264.00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周正莲</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122,610.77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6,130.54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39,861,424.13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96.74%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2,477,600.66</w:t>
            </w:r>
          </w:p>
        </w:tc>
      </w:tr>
    </w:tbl>
    <w:p>
      <w:pPr>
        <w:pStyle w:val="BodyText"/>
        <w:spacing w:line="240" w:lineRule="auto" w:before="49"/>
        <w:ind w:right="135"/>
        <w:jc w:val="left"/>
      </w:pPr>
      <w:r>
        <w:rPr/>
        <w:t>其他说明：</w:t>
      </w:r>
    </w:p>
    <w:p>
      <w:pPr>
        <w:pStyle w:val="BodyText"/>
        <w:spacing w:line="240" w:lineRule="auto" w:before="117"/>
        <w:ind w:right="135"/>
        <w:jc w:val="left"/>
      </w:pPr>
      <w:r>
        <w:rPr/>
        <w:t>①报告期内公司无实际核销的其他应收款。</w:t>
      </w:r>
    </w:p>
    <w:p>
      <w:pPr>
        <w:pStyle w:val="BodyText"/>
        <w:spacing w:line="240" w:lineRule="auto" w:before="76"/>
        <w:ind w:right="135"/>
        <w:jc w:val="left"/>
      </w:pPr>
      <w:r>
        <w:rPr/>
        <w:t>②本期其他应收款中无持有公司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）以上表决权股份的股东单位或关联方欠款。</w:t>
      </w:r>
    </w:p>
    <w:p>
      <w:pPr>
        <w:pStyle w:val="BodyText"/>
        <w:spacing w:line="240" w:lineRule="auto" w:before="63"/>
        <w:ind w:right="135"/>
        <w:jc w:val="left"/>
      </w:pPr>
      <w:r>
        <w:rPr/>
        <w:t>③报告期内公司无终止确认的其他应收款。</w:t>
      </w:r>
    </w:p>
    <w:p>
      <w:pPr>
        <w:pStyle w:val="BodyText"/>
        <w:spacing w:line="240" w:lineRule="auto" w:before="76"/>
        <w:ind w:right="135"/>
        <w:jc w:val="left"/>
      </w:pPr>
      <w:r>
        <w:rPr/>
        <w:t>④报告期内公司无以其他应收款为标的进行证券化的交易情况。</w:t>
      </w:r>
    </w:p>
    <w:p>
      <w:pPr>
        <w:pStyle w:val="BodyText"/>
        <w:spacing w:line="240" w:lineRule="auto" w:before="77"/>
        <w:ind w:right="135"/>
        <w:jc w:val="left"/>
      </w:pPr>
      <w:r>
        <w:rPr/>
        <w:t>⑤报告期内公司无转移其他应收款且继续涉入形成的资产、负债。</w:t>
      </w:r>
    </w:p>
    <w:p>
      <w:pPr>
        <w:spacing w:line="240" w:lineRule="auto" w:before="0"/>
        <w:rPr>
          <w:rFonts w:ascii="宋体" w:hAnsi="宋体" w:cs="宋体" w:eastAsia="宋体" w:hint="default"/>
          <w:sz w:val="18"/>
          <w:szCs w:val="18"/>
        </w:rPr>
      </w:pPr>
    </w:p>
    <w:p>
      <w:pPr>
        <w:pStyle w:val="Heading3"/>
        <w:spacing w:line="240" w:lineRule="auto" w:before="120"/>
        <w:ind w:right="135"/>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6534"/>
        <w:jc w:val="left"/>
      </w:pPr>
      <w:r>
        <w:rPr/>
        <w:t>公司是否需要遵守房地产行业的披露要求 否</w:t>
      </w:r>
    </w:p>
    <w:p>
      <w:pPr>
        <w:spacing w:line="240" w:lineRule="auto" w:before="4"/>
        <w:rPr>
          <w:rFonts w:ascii="宋体" w:hAnsi="宋体" w:cs="宋体" w:eastAsia="宋体" w:hint="default"/>
          <w:sz w:val="20"/>
          <w:szCs w:val="20"/>
        </w:rPr>
      </w:pPr>
    </w:p>
    <w:p>
      <w:pPr>
        <w:pStyle w:val="Heading3"/>
        <w:spacing w:line="240" w:lineRule="auto"/>
        <w:ind w:right="135"/>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07"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73,216,873.89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73,216,873.89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53,616,272.00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53,616,272.00</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6,180,503.40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6,180,503.40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6,615,774.82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6,615,774.82</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16,863,965.98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16,863,965.98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21,463,202.19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21,463,202.19</w:t>
            </w:r>
          </w:p>
        </w:tc>
      </w:tr>
      <w:tr>
        <w:trPr>
          <w:trHeight w:val="1025"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2"/>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1,618,375,525.24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1,618,375,525.24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185,907,444.31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185,907,444.31</w:t>
            </w:r>
          </w:p>
        </w:tc>
      </w:tr>
      <w:tr>
        <w:trPr>
          <w:trHeight w:val="404"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3,300.97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3,300.97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3,300.97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3,300.97</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1,714,640,169.48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1,714,640,169.48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267,605,994.29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267,605,994.29</w:t>
            </w:r>
          </w:p>
        </w:tc>
      </w:tr>
    </w:tbl>
    <w:p>
      <w:pPr>
        <w:pStyle w:val="BodyText"/>
        <w:spacing w:line="340" w:lineRule="auto" w:before="49"/>
        <w:ind w:right="1496"/>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39"/>
        <w:ind w:right="596"/>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1"/>
        <w:ind w:right="77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line="240" w:lineRule="auto" w:before="7"/>
        <w:rPr>
          <w:rFonts w:ascii="宋体" w:hAnsi="宋体" w:cs="宋体" w:eastAsia="宋体" w:hint="default"/>
          <w:sz w:val="21"/>
          <w:szCs w:val="21"/>
        </w:rPr>
      </w:pPr>
    </w:p>
    <w:p>
      <w:pPr>
        <w:pStyle w:val="Heading3"/>
        <w:spacing w:line="240" w:lineRule="auto"/>
        <w:ind w:right="135"/>
        <w:jc w:val="left"/>
        <w:rPr>
          <w:b w:val="0"/>
          <w:bCs w:val="0"/>
        </w:rPr>
      </w:pPr>
      <w:r>
        <w:rPr/>
        <w:t>（</w:t>
      </w:r>
      <w:r>
        <w:rPr>
          <w:rFonts w:ascii="Times New Roman" w:hAnsi="Times New Roman" w:cs="Times New Roman" w:eastAsia="Times New Roman" w:hint="default"/>
        </w:rPr>
        <w:t>2</w:t>
      </w:r>
      <w:r>
        <w:rPr/>
        <w:t>）期末建造合同形成的已完工未结算资产情况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1,369,723,315.97</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950,132,209.27</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701,480,000.00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1,618,375,525.24</w:t>
            </w:r>
          </w:p>
        </w:tc>
      </w:tr>
    </w:tbl>
    <w:p>
      <w:pPr>
        <w:pStyle w:val="BodyText"/>
        <w:spacing w:line="240" w:lineRule="auto" w:before="49"/>
        <w:ind w:right="135"/>
        <w:jc w:val="left"/>
      </w:pPr>
      <w:r>
        <w:rPr/>
        <w:t>其他说明：</w:t>
      </w:r>
    </w:p>
    <w:p>
      <w:pPr>
        <w:pStyle w:val="BodyText"/>
        <w:spacing w:line="316" w:lineRule="auto" w:before="115"/>
        <w:ind w:right="234"/>
        <w:jc w:val="left"/>
      </w:pPr>
      <w:r>
        <w:rPr/>
        <w:t>①可变现净值是指在日常活动中存货的估计售价减去至完工时估计将要发生的成本、估计的销售费用以及相关税费后的金 额。</w:t>
      </w:r>
    </w:p>
    <w:p>
      <w:pPr>
        <w:pStyle w:val="BodyText"/>
        <w:spacing w:line="240" w:lineRule="auto" w:before="19"/>
        <w:ind w:right="135"/>
        <w:jc w:val="left"/>
      </w:pPr>
      <w:r>
        <w:rPr/>
        <w:t>②期末报告期公司存货不存在减值迹象，故未计提存货跌价准备。</w:t>
      </w:r>
    </w:p>
    <w:p>
      <w:pPr>
        <w:pStyle w:val="BodyText"/>
        <w:spacing w:line="240" w:lineRule="auto" w:before="77"/>
        <w:ind w:right="135"/>
        <w:jc w:val="left"/>
      </w:pPr>
      <w:r>
        <w:rPr/>
        <w:t>③存货期末余额中无利息资本化金额。</w:t>
      </w:r>
    </w:p>
    <w:p>
      <w:pPr>
        <w:spacing w:line="240" w:lineRule="auto" w:before="0"/>
        <w:rPr>
          <w:rFonts w:ascii="宋体" w:hAnsi="宋体" w:cs="宋体" w:eastAsia="宋体" w:hint="default"/>
          <w:sz w:val="18"/>
          <w:szCs w:val="18"/>
        </w:rPr>
      </w:pPr>
    </w:p>
    <w:p>
      <w:pPr>
        <w:pStyle w:val="Heading3"/>
        <w:spacing w:line="240" w:lineRule="auto" w:before="120"/>
        <w:ind w:right="135"/>
        <w:jc w:val="left"/>
        <w:rPr>
          <w:b w:val="0"/>
          <w:bCs w:val="0"/>
        </w:rPr>
      </w:pPr>
      <w:r>
        <w:rPr>
          <w:rFonts w:ascii="Times New Roman" w:hAnsi="Times New Roman" w:cs="Times New Roman" w:eastAsia="Times New Roman" w:hint="default"/>
        </w:rPr>
        <w:t>7</w:t>
      </w:r>
      <w:r>
        <w:rPr/>
        <w:t>、一年内到期的非流动资产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一年内到期的长期待摊费用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540,009.00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20,090.00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540,009.00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20,090.00</w:t>
            </w:r>
          </w:p>
        </w:tc>
      </w:tr>
    </w:tbl>
    <w:p>
      <w:pPr>
        <w:spacing w:line="240" w:lineRule="auto" w:before="3"/>
        <w:rPr>
          <w:rFonts w:ascii="宋体" w:hAnsi="宋体" w:cs="宋体" w:eastAsia="宋体" w:hint="default"/>
          <w:sz w:val="19"/>
          <w:szCs w:val="19"/>
        </w:rPr>
      </w:pPr>
    </w:p>
    <w:p>
      <w:pPr>
        <w:pStyle w:val="Heading3"/>
        <w:spacing w:line="240" w:lineRule="auto" w:before="36"/>
        <w:ind w:right="135"/>
        <w:jc w:val="left"/>
        <w:rPr>
          <w:b w:val="0"/>
          <w:bCs w:val="0"/>
        </w:rPr>
      </w:pPr>
      <w:r>
        <w:rPr>
          <w:rFonts w:ascii="Times New Roman" w:hAnsi="Times New Roman" w:cs="Times New Roman" w:eastAsia="Times New Roman" w:hint="default"/>
        </w:rPr>
        <w:t>8</w:t>
      </w:r>
      <w:r>
        <w:rPr/>
        <w:t>、其他流动资产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预付房租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864,719.74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874,180.87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166,418,181.85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57,085,411.48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被代扣所得税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2,486,737.06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136,574.43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办公楼设施维修费等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193,076.93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2,082,975.56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预缴税款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671,097.16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34,326,516.29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170,633,812.74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94,505,658.63</w:t>
            </w:r>
          </w:p>
        </w:tc>
      </w:tr>
    </w:tbl>
    <w:p>
      <w:pPr>
        <w:spacing w:line="240" w:lineRule="auto" w:before="3"/>
        <w:rPr>
          <w:rFonts w:ascii="宋体" w:hAnsi="宋体" w:cs="宋体" w:eastAsia="宋体" w:hint="default"/>
          <w:sz w:val="19"/>
          <w:szCs w:val="19"/>
        </w:rPr>
      </w:pPr>
    </w:p>
    <w:p>
      <w:pPr>
        <w:pStyle w:val="Heading3"/>
        <w:spacing w:line="240" w:lineRule="auto" w:before="36"/>
        <w:ind w:right="135"/>
        <w:jc w:val="left"/>
        <w:rPr>
          <w:b w:val="0"/>
          <w:bCs w:val="0"/>
        </w:rPr>
      </w:pPr>
      <w:r>
        <w:rPr>
          <w:rFonts w:ascii="Times New Roman" w:hAnsi="Times New Roman" w:cs="Times New Roman" w:eastAsia="Times New Roman" w:hint="default"/>
        </w:rPr>
        <w:t>9</w:t>
      </w:r>
      <w:r>
        <w:rPr/>
        <w:t>、长期应收款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35"/>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92"/>
        <w:gridCol w:w="1166"/>
        <w:gridCol w:w="1167"/>
        <w:gridCol w:w="1166"/>
        <w:gridCol w:w="1169"/>
        <w:gridCol w:w="1166"/>
        <w:gridCol w:w="1167"/>
        <w:gridCol w:w="1164"/>
      </w:tblGrid>
      <w:tr>
        <w:trPr>
          <w:trHeight w:val="206" w:hRule="exact"/>
        </w:trPr>
        <w:tc>
          <w:tcPr>
            <w:tcW w:w="1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35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92" w:hRule="exact"/>
        </w:trPr>
        <w:tc>
          <w:tcPr>
            <w:tcW w:w="13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vMerge/>
            <w:tcBorders>
              <w:left w:val="single" w:sz="4" w:space="0" w:color="000000"/>
              <w:bottom w:val="single" w:sz="4" w:space="0" w:color="000000"/>
              <w:right w:val="single" w:sz="4" w:space="0" w:color="000000"/>
            </w:tcBorders>
            <w:shd w:val="clear" w:color="auto" w:fill="D2D2D2"/>
          </w:tcPr>
          <w:p>
            <w:pPr/>
          </w:p>
        </w:tc>
        <w:tc>
          <w:tcPr>
            <w:tcW w:w="3503" w:type="dxa"/>
            <w:gridSpan w:val="3"/>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right w:val="single" w:sz="4" w:space="0" w:color="000000"/>
            </w:tcBorders>
            <w:shd w:val="clear" w:color="auto" w:fill="D2D2D2"/>
          </w:tcPr>
          <w:p>
            <w:pPr/>
          </w:p>
        </w:tc>
      </w:tr>
      <w:tr>
        <w:trPr>
          <w:trHeight w:val="202" w:hRule="exact"/>
        </w:trPr>
        <w:tc>
          <w:tcPr>
            <w:tcW w:w="1392" w:type="dxa"/>
            <w:vMerge/>
            <w:tcBorders>
              <w:left w:val="single" w:sz="4" w:space="0" w:color="000000"/>
              <w:bottom w:val="nil" w:sz="6" w:space="0" w:color="auto"/>
              <w:right w:val="single" w:sz="4" w:space="0" w:color="000000"/>
            </w:tcBorders>
            <w:shd w:val="clear" w:color="auto" w:fill="D2D2D2"/>
          </w:tcPr>
          <w:p>
            <w:pP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right w:val="single" w:sz="4" w:space="0" w:color="000000"/>
            </w:tcBorders>
            <w:shd w:val="clear" w:color="auto" w:fill="D2D2D2"/>
          </w:tcPr>
          <w:p>
            <w:pPr/>
          </w:p>
        </w:tc>
      </w:tr>
      <w:tr>
        <w:trPr>
          <w:trHeight w:val="204" w:hRule="exact"/>
        </w:trPr>
        <w:tc>
          <w:tcPr>
            <w:tcW w:w="1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08"/>
              <w:jc w:val="left"/>
              <w:rPr>
                <w:rFonts w:ascii="宋体" w:hAnsi="宋体" w:cs="宋体" w:eastAsia="宋体" w:hint="default"/>
                <w:sz w:val="18"/>
                <w:szCs w:val="18"/>
              </w:rPr>
            </w:pPr>
            <w:r>
              <w:rPr>
                <w:rFonts w:ascii="宋体" w:hAnsi="宋体" w:cs="宋体" w:eastAsia="宋体" w:hint="default"/>
                <w:sz w:val="18"/>
                <w:szCs w:val="18"/>
              </w:rPr>
              <w:t>分期收款销售商 品</w:t>
            </w:r>
          </w:p>
        </w:tc>
        <w:tc>
          <w:tcPr>
            <w:tcW w:w="11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34,433,333.40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8,093,333.30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26,340,000.10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35,933,333.40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3,936,666.65</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31,996,666.75</w:t>
            </w:r>
          </w:p>
        </w:tc>
        <w:tc>
          <w:tcPr>
            <w:tcW w:w="11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03"/>
        <w:gridCol w:w="1166"/>
        <w:gridCol w:w="1167"/>
        <w:gridCol w:w="1166"/>
        <w:gridCol w:w="1169"/>
        <w:gridCol w:w="1166"/>
        <w:gridCol w:w="1167"/>
        <w:gridCol w:w="1153"/>
      </w:tblGrid>
      <w:tr>
        <w:trPr>
          <w:trHeight w:val="40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34,433,333.40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8,093,333.30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26,340,000.10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35,933,333.40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3,936,666.65</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31,996,666.75</w:t>
            </w:r>
          </w:p>
        </w:tc>
        <w:tc>
          <w:tcPr>
            <w:tcW w:w="1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35"/>
        <w:jc w:val="left"/>
      </w:pPr>
      <w:r>
        <w:rPr/>
        <w:t>其他说明</w:t>
      </w:r>
    </w:p>
    <w:p>
      <w:pPr>
        <w:pStyle w:val="BodyText"/>
        <w:spacing w:line="240" w:lineRule="auto" w:before="115"/>
        <w:ind w:right="135"/>
        <w:jc w:val="left"/>
      </w:pPr>
      <w:r>
        <w:rPr/>
        <w:t>①报告期内无因金融资产转移而终止确认的长期应收款。</w:t>
      </w:r>
    </w:p>
    <w:p>
      <w:pPr>
        <w:pStyle w:val="BodyText"/>
        <w:spacing w:line="240" w:lineRule="auto" w:before="76"/>
        <w:ind w:right="135"/>
        <w:jc w:val="left"/>
      </w:pPr>
      <w:r>
        <w:rPr/>
        <w:t>②报告期内无转移长期应收款且继续涉入形成的资产、负债。</w:t>
      </w:r>
    </w:p>
    <w:p>
      <w:pPr>
        <w:spacing w:line="240" w:lineRule="auto" w:before="0"/>
        <w:rPr>
          <w:rFonts w:ascii="宋体" w:hAnsi="宋体" w:cs="宋体" w:eastAsia="宋体" w:hint="default"/>
          <w:sz w:val="18"/>
          <w:szCs w:val="18"/>
        </w:rPr>
      </w:pPr>
    </w:p>
    <w:p>
      <w:pPr>
        <w:pStyle w:val="Heading3"/>
        <w:spacing w:line="240" w:lineRule="auto" w:before="120"/>
        <w:ind w:right="135"/>
        <w:jc w:val="left"/>
        <w:rPr>
          <w:b w:val="0"/>
          <w:bCs w:val="0"/>
        </w:rPr>
      </w:pPr>
      <w:r>
        <w:rPr>
          <w:rFonts w:ascii="Times New Roman" w:hAnsi="Times New Roman" w:cs="Times New Roman" w:eastAsia="Times New Roman" w:hint="default"/>
        </w:rPr>
        <w:t>10</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35"/>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4,301,260.93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4,301,260.93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1"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267,782.78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267,782.78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）汇率变动影</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响</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267,782.78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267,782.78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4,033,478.15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4,033,478.15</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215,063.05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215,063.05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209,205.30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209,205.30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209,205.30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209,205.30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20,920.53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20,920.53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）汇率变动影</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响</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20,920.53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20,920.53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403,347.82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403,347.82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3,630,130.33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3,630,130.33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4,086,197.88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4,086,197.88</w:t>
            </w:r>
          </w:p>
        </w:tc>
      </w:tr>
    </w:tbl>
    <w:p>
      <w:pPr>
        <w:spacing w:line="240" w:lineRule="auto" w:before="3"/>
        <w:rPr>
          <w:rFonts w:ascii="宋体" w:hAnsi="宋体" w:cs="宋体" w:eastAsia="宋体" w:hint="default"/>
          <w:sz w:val="19"/>
          <w:szCs w:val="19"/>
        </w:rPr>
      </w:pPr>
    </w:p>
    <w:p>
      <w:pPr>
        <w:pStyle w:val="Heading3"/>
        <w:spacing w:line="240" w:lineRule="auto" w:before="36"/>
        <w:ind w:right="135"/>
        <w:jc w:val="left"/>
        <w:rPr>
          <w:b w:val="0"/>
          <w:bCs w:val="0"/>
        </w:rPr>
      </w:pPr>
      <w:r>
        <w:rPr/>
        <w:t>（</w:t>
      </w:r>
      <w:r>
        <w:rPr>
          <w:rFonts w:ascii="Times New Roman" w:hAnsi="Times New Roman" w:cs="Times New Roman" w:eastAsia="Times New Roman" w:hint="default"/>
        </w:rPr>
        <w:t>2</w:t>
      </w:r>
      <w:r>
        <w:rPr/>
        <w:t>）未办妥产权证书的投资性房地产情况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3,630,130.33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已签订征地合同，土地证相关手续正在 办理中。</w:t>
            </w:r>
          </w:p>
        </w:tc>
      </w:tr>
    </w:tbl>
    <w:p>
      <w:pPr>
        <w:spacing w:line="240" w:lineRule="auto" w:before="3"/>
        <w:rPr>
          <w:rFonts w:ascii="宋体" w:hAnsi="宋体" w:cs="宋体" w:eastAsia="宋体" w:hint="default"/>
          <w:sz w:val="19"/>
          <w:szCs w:val="19"/>
        </w:rPr>
      </w:pPr>
    </w:p>
    <w:p>
      <w:pPr>
        <w:pStyle w:val="Heading3"/>
        <w:spacing w:line="240" w:lineRule="auto" w:before="36"/>
        <w:ind w:right="135"/>
        <w:jc w:val="left"/>
        <w:rPr>
          <w:b w:val="0"/>
          <w:bCs w:val="0"/>
        </w:rPr>
      </w:pPr>
      <w:r>
        <w:rPr>
          <w:rFonts w:ascii="Times New Roman" w:hAnsi="Times New Roman" w:cs="Times New Roman" w:eastAsia="Times New Roman" w:hint="default"/>
        </w:rPr>
        <w:t>11</w:t>
      </w:r>
      <w:r>
        <w:rPr/>
        <w:t>、固定资产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35"/>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节能设备</w:t>
            </w:r>
          </w:p>
        </w:tc>
        <w:tc>
          <w:tcPr>
            <w:tcW w:w="1366"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129,213,658.60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187,944,271.66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29,387,796.96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4,827,739.61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4" w:right="0"/>
              <w:jc w:val="left"/>
              <w:rPr>
                <w:rFonts w:ascii="Times New Roman" w:hAnsi="Times New Roman" w:cs="Times New Roman" w:eastAsia="Times New Roman" w:hint="default"/>
                <w:sz w:val="18"/>
                <w:szCs w:val="18"/>
              </w:rPr>
            </w:pPr>
            <w:r>
              <w:rPr>
                <w:rFonts w:ascii="Times New Roman"/>
                <w:sz w:val="18"/>
              </w:rPr>
              <w:t>98,011,500.00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449,384,966.83</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207,013.23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1,573,547.11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1,290,288.68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140,787.87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3,211,636.89</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1,573,547.11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1,272,605.13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140,787.87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2,986,940.11</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207,013.23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207,013.23</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49"/>
              <w:ind w:left="24" w:right="19" w:firstLine="542"/>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）汇率</w:t>
            </w:r>
            <w:r>
              <w:rPr>
                <w:rFonts w:ascii="宋体" w:hAnsi="宋体" w:cs="宋体" w:eastAsia="宋体" w:hint="default"/>
                <w:sz w:val="18"/>
                <w:szCs w:val="18"/>
              </w:rPr>
              <w:t> 变动影响</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17,683.55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17,683.55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442,509.80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6,156,165.75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735,305.41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68,767.37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98,011,500.00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105,414,248.33</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98,011,500.00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98,011,500.00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97" w:lineRule="auto" w:before="51"/>
              <w:ind w:left="24" w:right="19" w:firstLine="542"/>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）汇率</w:t>
            </w:r>
            <w:r>
              <w:rPr>
                <w:rFonts w:ascii="宋体" w:hAnsi="宋体" w:cs="宋体" w:eastAsia="宋体" w:hint="default"/>
                <w:sz w:val="18"/>
                <w:szCs w:val="18"/>
              </w:rPr>
              <w:t> 变动影响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442,509.80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6,156,165.75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735,305.41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68,767.37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7,402,748.33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128,978,162.03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183,361,653.02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29,942,780.23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4,899,760.11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347,182,355.39</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32,321,351.52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112,783,242.92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9,165,974.25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2,972,804.79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98,011,500.00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255,254,873.48</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6,057,477.07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19,941,431.59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3,006,924.78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609,621.00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29,615,454.44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6,057,477.07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19,941,431.59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3,003,398.94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609,621.00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29,611,928.60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97" w:lineRule="auto" w:before="51"/>
              <w:ind w:left="24" w:right="19" w:firstLine="542"/>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）汇率</w:t>
            </w:r>
            <w:r>
              <w:rPr>
                <w:rFonts w:ascii="宋体" w:hAnsi="宋体" w:cs="宋体" w:eastAsia="宋体" w:hint="default"/>
                <w:sz w:val="18"/>
                <w:szCs w:val="18"/>
              </w:rPr>
              <w:t> 变动影响</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3,525.84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3,525.84</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57,269.20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3,616,759.94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195,247.00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43,080.04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98,011,500.00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101,923,856.18</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98,011,500.00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98,011,500.00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49"/>
              <w:ind w:left="24" w:right="19" w:firstLine="542"/>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）汇率</w:t>
            </w:r>
            <w:r>
              <w:rPr>
                <w:rFonts w:ascii="宋体" w:hAnsi="宋体" w:cs="宋体" w:eastAsia="宋体" w:hint="default"/>
                <w:sz w:val="18"/>
                <w:szCs w:val="18"/>
              </w:rPr>
              <w:t> 变动影响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57,269.20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3,616,759.94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195,247.00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43,080.04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3,912,356.18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38,321,559.39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129,107,914.57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11,977,652.03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3,539,345.75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182,946,471.74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11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90,656,602.64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54,253,738.45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17,965,128.20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1,360,414.36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164,235,883.65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36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96,892,307.08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75,161,028.74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20,221,822.71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1,854,934.82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194,130,093.35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35"/>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89,939,536.10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68,189,784.69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21,749,751.41</w:t>
            </w: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35"/>
        <w:jc w:val="left"/>
      </w:pPr>
      <w:r>
        <w:rPr/>
        <w:t>其他说明</w:t>
      </w:r>
    </w:p>
    <w:p>
      <w:pPr>
        <w:pStyle w:val="BodyText"/>
        <w:spacing w:line="240" w:lineRule="auto" w:before="115"/>
        <w:ind w:right="135"/>
        <w:jc w:val="left"/>
      </w:pPr>
      <w:r>
        <w:rPr/>
        <w:t>①期末公司对固定资产期末价值逐项进行检查不存在可能发生减值的迹象，故未计提减值准备。</w:t>
      </w:r>
    </w:p>
    <w:p>
      <w:pPr>
        <w:pStyle w:val="BodyText"/>
        <w:spacing w:line="316" w:lineRule="auto" w:before="76"/>
        <w:ind w:right="135"/>
        <w:jc w:val="left"/>
      </w:pPr>
      <w:r>
        <w:rPr>
          <w:spacing w:val="-2"/>
        </w:rPr>
        <w:t>②公司期末无通过融资租赁租入的固定资产、无通过经营租赁租出的固定资产、无持有待售的固定资产、无未办妥产权证书</w:t>
      </w:r>
      <w:r>
        <w:rPr>
          <w:spacing w:val="-63"/>
        </w:rPr>
        <w:t> </w:t>
      </w:r>
      <w:r>
        <w:rPr>
          <w:spacing w:val="-63"/>
        </w:rPr>
      </w:r>
      <w:r>
        <w:rPr/>
        <w:t>的固定资产。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135"/>
        <w:jc w:val="left"/>
        <w:rPr>
          <w:b w:val="0"/>
          <w:bCs w:val="0"/>
        </w:rPr>
      </w:pPr>
      <w:r>
        <w:rPr>
          <w:rFonts w:ascii="Times New Roman" w:hAnsi="Times New Roman" w:cs="Times New Roman" w:eastAsia="Times New Roman" w:hint="default"/>
        </w:rPr>
        <w:t>12</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35"/>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码头工程项目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6,508,351.35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6,508,351.35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3,950,497.13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3,950,497.13</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青岛印尼综合产 业园项目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267,613,006.35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267,613,006.35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238,078,972.81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238,078,972.81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274,121,357.70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274,121,357.70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242,029,469.94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242,029,469.94</w:t>
            </w:r>
          </w:p>
        </w:tc>
      </w:tr>
    </w:tbl>
    <w:p>
      <w:pPr>
        <w:spacing w:line="240" w:lineRule="auto" w:before="3"/>
        <w:rPr>
          <w:rFonts w:ascii="宋体" w:hAnsi="宋体" w:cs="宋体" w:eastAsia="宋体" w:hint="default"/>
          <w:sz w:val="19"/>
          <w:szCs w:val="19"/>
        </w:rPr>
      </w:pPr>
    </w:p>
    <w:p>
      <w:pPr>
        <w:pStyle w:val="Heading3"/>
        <w:spacing w:line="240" w:lineRule="auto" w:before="36"/>
        <w:ind w:right="135"/>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33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青岛印 尼综合 产业园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690,000,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238,078,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972.81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48,529,5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64.82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207,013.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18,788,5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18.05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267,613,</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006.35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62.98%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62.98%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码头工 程项目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788,452,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3,950,49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2,908,50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5.77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350,651.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6,508,35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4" w:right="0"/>
              <w:jc w:val="center"/>
              <w:rPr>
                <w:rFonts w:ascii="Times New Roman" w:hAnsi="Times New Roman" w:cs="Times New Roman" w:eastAsia="Times New Roman" w:hint="default"/>
                <w:sz w:val="18"/>
                <w:szCs w:val="18"/>
              </w:rPr>
            </w:pPr>
            <w:r>
              <w:rPr>
                <w:rFonts w:ascii="Times New Roman"/>
                <w:sz w:val="18"/>
              </w:rPr>
              <w:t>0.83%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0.83%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自有资 金</w:t>
            </w:r>
          </w:p>
        </w:tc>
      </w:tr>
    </w:tbl>
    <w:p>
      <w:pPr>
        <w:spacing w:after="0" w:line="319"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4"/>
        <w:gridCol w:w="737"/>
        <w:gridCol w:w="737"/>
        <w:gridCol w:w="734"/>
        <w:gridCol w:w="738"/>
        <w:gridCol w:w="736"/>
        <w:gridCol w:w="734"/>
        <w:gridCol w:w="737"/>
        <w:gridCol w:w="737"/>
        <w:gridCol w:w="736"/>
        <w:gridCol w:w="736"/>
      </w:tblGrid>
      <w:tr>
        <w:trPr>
          <w:trHeight w:val="716"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1,478,45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2,100.00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242,029,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469.94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51,438,0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70.59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207,013.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19,139,1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69.60</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274,121,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357.70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35"/>
        <w:jc w:val="left"/>
      </w:pPr>
      <w:r>
        <w:rPr/>
        <w:t>其他说明</w:t>
      </w:r>
    </w:p>
    <w:p>
      <w:pPr>
        <w:pStyle w:val="BodyText"/>
        <w:spacing w:line="240" w:lineRule="auto" w:before="115"/>
        <w:ind w:right="135"/>
        <w:jc w:val="left"/>
      </w:pPr>
      <w:r>
        <w:rPr/>
        <w:t>①期末在建工程中无利息资本化金额。</w:t>
      </w:r>
    </w:p>
    <w:p>
      <w:pPr>
        <w:pStyle w:val="BodyText"/>
        <w:spacing w:line="240" w:lineRule="auto" w:before="76"/>
        <w:ind w:right="135"/>
        <w:jc w:val="left"/>
      </w:pPr>
      <w:r>
        <w:rPr/>
        <w:t>②报告期在建工程未发生减值情况，故未计提减值准备。</w:t>
      </w:r>
    </w:p>
    <w:p>
      <w:pPr>
        <w:pStyle w:val="BodyText"/>
        <w:spacing w:line="240" w:lineRule="auto" w:before="76"/>
        <w:ind w:right="135"/>
        <w:jc w:val="left"/>
      </w:pPr>
      <w:r>
        <w:rPr/>
        <w:t>③其他减少金额主要为因持有目的不同而进行的重分类以及汇率变动影响的金额。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right="135"/>
        <w:jc w:val="left"/>
        <w:rPr>
          <w:b w:val="0"/>
          <w:bCs w:val="0"/>
        </w:rPr>
      </w:pPr>
      <w:r>
        <w:rPr>
          <w:rFonts w:ascii="Times New Roman" w:hAnsi="Times New Roman" w:cs="Times New Roman" w:eastAsia="Times New Roman" w:hint="default"/>
        </w:rPr>
        <w:t>13</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35"/>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35"/>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pStyle w:val="BodyText"/>
        <w:spacing w:line="240" w:lineRule="auto" w:before="103"/>
        <w:ind w:right="13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1"/>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矿的特许经营权</w:t>
            </w:r>
          </w:p>
        </w:tc>
        <w:tc>
          <w:tcPr>
            <w:tcW w:w="1366"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6,946,093.00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2,127,406.46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416,114,400.00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425,187,899.46</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4,185,680.00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64,150.95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4,249,830.95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）购置</w:t>
            </w:r>
          </w:p>
        </w:tc>
        <w:tc>
          <w:tcPr>
            <w:tcW w:w="1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4,185,680.00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64,150.95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4,249,830.95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5"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）内部</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6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firstLine="52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w:t>
            </w:r>
            <w:r>
              <w:rPr>
                <w:rFonts w:ascii="宋体" w:hAnsi="宋体" w:cs="宋体" w:eastAsia="宋体" w:hint="default"/>
                <w:sz w:val="18"/>
                <w:szCs w:val="18"/>
              </w:rPr>
              <w:t> 合并增加</w:t>
            </w:r>
          </w:p>
        </w:tc>
        <w:tc>
          <w:tcPr>
            <w:tcW w:w="136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11,131,773.00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2,191,557.41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416,114,400.00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429,437,730.41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1,389,218.42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726,666.35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7,264,110.15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9,379,994.92</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145,897.97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335,064.83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12,667.51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493,630.31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145,897.97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335,064.83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12,667.51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493,630.31</w:t>
            </w:r>
          </w:p>
        </w:tc>
      </w:tr>
      <w:tr>
        <w:trPr>
          <w:trHeight w:val="404" w:hRule="exact"/>
        </w:trPr>
        <w:tc>
          <w:tcPr>
            <w:tcW w:w="1368" w:type="dxa"/>
            <w:tcBorders>
              <w:top w:val="single" w:sz="4" w:space="0" w:color="000000"/>
              <w:left w:val="single" w:sz="4" w:space="0" w:color="000000"/>
              <w:bottom w:val="single" w:sz="8" w:space="0" w:color="D2D2D2"/>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115"/>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1,535,116.39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1,061,731.18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7,276,777.66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9,873,625.23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9,596,656.61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1,129,826.23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408,837,622.34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419,564,105.18</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5,556,874.58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1,400,740.11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408,850,289.85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415,807,904.54</w:t>
            </w:r>
          </w:p>
        </w:tc>
      </w:tr>
    </w:tbl>
    <w:p>
      <w:pPr>
        <w:pStyle w:val="BodyText"/>
        <w:spacing w:line="340" w:lineRule="auto" w:before="49"/>
        <w:ind w:right="4044"/>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 其他说明：</w:t>
      </w:r>
    </w:p>
    <w:p>
      <w:pPr>
        <w:pStyle w:val="BodyText"/>
        <w:spacing w:line="240" w:lineRule="auto" w:before="39"/>
        <w:ind w:right="135"/>
        <w:jc w:val="left"/>
      </w:pPr>
      <w:r>
        <w:rPr/>
        <w:t>①报告期无形资产未发生减值情况，故未计提减值准备。</w:t>
      </w:r>
    </w:p>
    <w:p>
      <w:pPr>
        <w:pStyle w:val="BodyText"/>
        <w:spacing w:line="240" w:lineRule="auto" w:before="76"/>
        <w:ind w:right="135"/>
        <w:jc w:val="left"/>
      </w:pPr>
      <w:r>
        <w:rPr/>
        <w:t>②期末无未办妥产权证书的土地使用权。</w:t>
      </w:r>
    </w:p>
    <w:p>
      <w:pPr>
        <w:spacing w:line="240" w:lineRule="auto" w:before="0"/>
        <w:rPr>
          <w:rFonts w:ascii="宋体" w:hAnsi="宋体" w:cs="宋体" w:eastAsia="宋体" w:hint="default"/>
          <w:sz w:val="18"/>
          <w:szCs w:val="18"/>
        </w:rPr>
      </w:pPr>
    </w:p>
    <w:p>
      <w:pPr>
        <w:pStyle w:val="Heading3"/>
        <w:spacing w:line="240" w:lineRule="auto" w:before="120"/>
        <w:ind w:right="135"/>
        <w:jc w:val="left"/>
        <w:rPr>
          <w:b w:val="0"/>
          <w:bCs w:val="0"/>
        </w:rPr>
      </w:pPr>
      <w:r>
        <w:rPr>
          <w:rFonts w:ascii="Times New Roman" w:hAnsi="Times New Roman" w:cs="Times New Roman" w:eastAsia="Times New Roman" w:hint="default"/>
        </w:rPr>
        <w:t>14</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35"/>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24,580,800.00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24,580,800.00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24,580,800.00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24,580,800.00</w:t>
            </w:r>
          </w:p>
        </w:tc>
      </w:tr>
    </w:tbl>
    <w:p>
      <w:pPr>
        <w:pStyle w:val="BodyText"/>
        <w:spacing w:line="357" w:lineRule="auto" w:before="49"/>
        <w:ind w:right="4374"/>
        <w:jc w:val="left"/>
      </w:pPr>
      <w:r>
        <w:rPr/>
        <w:t>其他说明 年末对商誉进行减值测试不存在减值情况，故未计提商誉减值准备。</w:t>
      </w:r>
    </w:p>
    <w:p>
      <w:pPr>
        <w:spacing w:after="0" w:line="357"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35"/>
        <w:jc w:val="left"/>
        <w:rPr>
          <w:b w:val="0"/>
          <w:bCs w:val="0"/>
        </w:rPr>
      </w:pPr>
      <w:r>
        <w:rPr>
          <w:rFonts w:ascii="Times New Roman" w:hAnsi="Times New Roman" w:cs="Times New Roman" w:eastAsia="Times New Roman" w:hint="default"/>
        </w:rPr>
        <w:t>15</w:t>
      </w:r>
      <w:r>
        <w:rPr/>
        <w:t>、长期待摊费用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1,298,002.28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764,659.92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533,342.36</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93,333.39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53,333.32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6,666.64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53,333.43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景观及绿化费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199,801.51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370,614.51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97,179.72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22,282.67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450,953.63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地面硬化费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906,888.85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441,093.80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40,580.63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425,214.42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临建厂房</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4,569,716.64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2,223,620.12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204,481.49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2,141,615.03</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临建办公宿舍</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2,126,384.52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1,034,233.72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95,149.50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997,001.30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临建保安亭</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99,419.94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48,356.00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4,448.75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46,615.19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临时道路</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412,314.51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25,669.38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386,645.13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9,705,861.64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390,614.51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4,662,476.60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932,621.42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4,501,378.13</w:t>
            </w:r>
          </w:p>
        </w:tc>
      </w:tr>
    </w:tbl>
    <w:p>
      <w:pPr>
        <w:spacing w:line="240" w:lineRule="auto" w:before="3"/>
        <w:rPr>
          <w:rFonts w:ascii="宋体" w:hAnsi="宋体" w:cs="宋体" w:eastAsia="宋体" w:hint="default"/>
          <w:sz w:val="19"/>
          <w:szCs w:val="19"/>
        </w:rPr>
      </w:pPr>
    </w:p>
    <w:p>
      <w:pPr>
        <w:pStyle w:val="Heading3"/>
        <w:spacing w:line="240" w:lineRule="auto" w:before="36"/>
        <w:ind w:right="135"/>
        <w:jc w:val="left"/>
        <w:rPr>
          <w:b w:val="0"/>
          <w:bCs w:val="0"/>
        </w:rPr>
      </w:pP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35"/>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121,858,247.63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20,049,771.49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68,569,398.78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11,134,362.56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868,888.88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130,333.33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868,888.88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130,333.33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8,785,643.57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2,196,410.89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37,924,477.96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5,919,673.47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23,590,003.69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3,538,500.55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19,503,144.45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2,925,471.67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贴息款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2,658,912.52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398,836.88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4,535,791.84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680,368.78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157,761,696.29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26,313,853.14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131,401,701.91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20,790,209.81</w:t>
            </w:r>
          </w:p>
        </w:tc>
      </w:tr>
    </w:tbl>
    <w:p>
      <w:pPr>
        <w:spacing w:line="240" w:lineRule="auto" w:before="3"/>
        <w:rPr>
          <w:rFonts w:ascii="宋体" w:hAnsi="宋体" w:cs="宋体" w:eastAsia="宋体" w:hint="default"/>
          <w:sz w:val="19"/>
          <w:szCs w:val="19"/>
        </w:rPr>
      </w:pPr>
    </w:p>
    <w:p>
      <w:pPr>
        <w:pStyle w:val="Heading3"/>
        <w:spacing w:line="240" w:lineRule="auto" w:before="36"/>
        <w:ind w:right="135"/>
        <w:jc w:val="left"/>
        <w:rPr>
          <w:b w:val="0"/>
          <w:bCs w:val="0"/>
        </w:rPr>
      </w:pPr>
      <w:r>
        <w:rPr/>
        <w:t>（</w:t>
      </w:r>
      <w:r>
        <w:rPr>
          <w:rFonts w:ascii="Times New Roman" w:hAnsi="Times New Roman" w:cs="Times New Roman" w:eastAsia="Times New Roman" w:hint="default"/>
        </w:rPr>
        <w:t>2</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13"/>
        <w:gridCol w:w="1905"/>
        <w:gridCol w:w="1914"/>
        <w:gridCol w:w="1914"/>
        <w:gridCol w:w="1903"/>
      </w:tblGrid>
      <w:tr>
        <w:trPr>
          <w:trHeight w:val="163"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400"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320"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412"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320"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3"/>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26,313,853.14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20,790,209.81</w:t>
            </w:r>
          </w:p>
        </w:tc>
      </w:tr>
    </w:tbl>
    <w:p>
      <w:pPr>
        <w:spacing w:line="240" w:lineRule="auto" w:before="3"/>
        <w:rPr>
          <w:rFonts w:ascii="宋体" w:hAnsi="宋体" w:cs="宋体" w:eastAsia="宋体" w:hint="default"/>
          <w:sz w:val="19"/>
          <w:szCs w:val="19"/>
        </w:rPr>
      </w:pPr>
    </w:p>
    <w:p>
      <w:pPr>
        <w:pStyle w:val="Heading3"/>
        <w:spacing w:line="240" w:lineRule="auto" w:before="36"/>
        <w:ind w:right="135"/>
        <w:jc w:val="left"/>
        <w:rPr>
          <w:b w:val="0"/>
          <w:bCs w:val="0"/>
        </w:rPr>
      </w:pPr>
      <w:r>
        <w:rPr>
          <w:rFonts w:ascii="Times New Roman" w:hAnsi="Times New Roman" w:cs="Times New Roman" w:eastAsia="Times New Roman" w:hint="default"/>
        </w:rPr>
        <w:t>17</w:t>
      </w:r>
      <w:r>
        <w:rPr/>
        <w:t>、其他非流动资产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footerReference w:type="default" r:id="rId22"/>
          <w:pgSz w:w="11910" w:h="16840"/>
          <w:pgMar w:footer="979" w:header="745" w:top="1060" w:bottom="1160" w:left="980" w:right="980"/>
          <w:pgNumType w:start="11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预付公司收购款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76,344,485.13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75,037,446.79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46,754,643.42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70,085,561.03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预付长期资产购买款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2,365,486.26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1,805,179.01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预付网络域名注册款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1,061,000.00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126,525,614.81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147,989,186.83</w:t>
            </w:r>
          </w:p>
        </w:tc>
      </w:tr>
    </w:tbl>
    <w:p>
      <w:pPr>
        <w:spacing w:line="240" w:lineRule="auto" w:before="3"/>
        <w:rPr>
          <w:rFonts w:ascii="宋体" w:hAnsi="宋体" w:cs="宋体" w:eastAsia="宋体" w:hint="default"/>
          <w:sz w:val="19"/>
          <w:szCs w:val="19"/>
        </w:rPr>
      </w:pPr>
    </w:p>
    <w:p>
      <w:pPr>
        <w:pStyle w:val="Heading3"/>
        <w:spacing w:line="240" w:lineRule="auto" w:before="36"/>
        <w:ind w:right="135"/>
        <w:jc w:val="left"/>
        <w:rPr>
          <w:b w:val="0"/>
          <w:bCs w:val="0"/>
        </w:rPr>
      </w:pPr>
      <w:r>
        <w:rPr>
          <w:rFonts w:ascii="Times New Roman" w:hAnsi="Times New Roman" w:cs="Times New Roman" w:eastAsia="Times New Roman" w:hint="default"/>
        </w:rPr>
        <w:t>18</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35"/>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343,000,000.00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103,000,000.00</w:t>
            </w:r>
          </w:p>
        </w:tc>
      </w:tr>
    </w:tbl>
    <w:p>
      <w:pPr>
        <w:pStyle w:val="BodyText"/>
        <w:spacing w:line="357" w:lineRule="auto" w:before="49"/>
        <w:ind w:right="7254"/>
        <w:jc w:val="left"/>
      </w:pPr>
      <w:r>
        <w:rPr/>
        <w:t>其他说明： 期末无到期未偿还的短期借款。</w:t>
      </w:r>
    </w:p>
    <w:p>
      <w:pPr>
        <w:spacing w:line="240" w:lineRule="auto" w:before="6"/>
        <w:rPr>
          <w:rFonts w:ascii="宋体" w:hAnsi="宋体" w:cs="宋体" w:eastAsia="宋体" w:hint="default"/>
          <w:sz w:val="20"/>
          <w:szCs w:val="20"/>
        </w:rPr>
      </w:pPr>
    </w:p>
    <w:p>
      <w:pPr>
        <w:pStyle w:val="Heading3"/>
        <w:spacing w:line="240" w:lineRule="auto"/>
        <w:ind w:right="135"/>
        <w:jc w:val="left"/>
        <w:rPr>
          <w:b w:val="0"/>
          <w:bCs w:val="0"/>
        </w:rPr>
      </w:pPr>
      <w:r>
        <w:rPr>
          <w:rFonts w:ascii="Times New Roman" w:hAnsi="Times New Roman" w:cs="Times New Roman" w:eastAsia="Times New Roman" w:hint="default"/>
        </w:rPr>
        <w:t>19</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312,163,049.95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136,688,157.70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312,163,049.95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136,688,157.70</w:t>
            </w:r>
          </w:p>
        </w:tc>
      </w:tr>
    </w:tbl>
    <w:p>
      <w:pPr>
        <w:pStyle w:val="BodyText"/>
        <w:spacing w:line="240" w:lineRule="auto" w:before="49"/>
        <w:ind w:right="135"/>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3"/>
        <w:spacing w:line="240" w:lineRule="auto"/>
        <w:ind w:right="135"/>
        <w:jc w:val="left"/>
        <w:rPr>
          <w:b w:val="0"/>
          <w:bCs w:val="0"/>
        </w:rPr>
      </w:pPr>
      <w:r>
        <w:rPr>
          <w:rFonts w:ascii="Times New Roman" w:hAnsi="Times New Roman" w:cs="Times New Roman" w:eastAsia="Times New Roman" w:hint="default"/>
        </w:rPr>
        <w:t>20</w:t>
      </w:r>
      <w:r>
        <w:rPr/>
        <w:t>、应付账款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35"/>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591,446,221.05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522,668,240.16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379,966,680.67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162,447,249.87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109,131,139.01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2,757,426.07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4,105,188.73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5,571,856.77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1,084,649,229.46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693,444,772.87</w:t>
            </w:r>
          </w:p>
        </w:tc>
      </w:tr>
    </w:tbl>
    <w:p>
      <w:pPr>
        <w:spacing w:line="240" w:lineRule="auto" w:before="3"/>
        <w:rPr>
          <w:rFonts w:ascii="宋体" w:hAnsi="宋体" w:cs="宋体" w:eastAsia="宋体" w:hint="default"/>
          <w:sz w:val="19"/>
          <w:szCs w:val="19"/>
        </w:rPr>
      </w:pPr>
    </w:p>
    <w:p>
      <w:pPr>
        <w:pStyle w:val="Heading3"/>
        <w:spacing w:line="240" w:lineRule="auto" w:before="36"/>
        <w:ind w:right="135"/>
        <w:jc w:val="left"/>
        <w:rPr>
          <w:b w:val="0"/>
          <w:bCs w:val="0"/>
        </w:rPr>
      </w:pPr>
      <w:r>
        <w:rPr/>
        <w:t>（</w:t>
      </w:r>
      <w:r>
        <w:rPr>
          <w:rFonts w:ascii="Times New Roman" w:hAnsi="Times New Roman" w:cs="Times New Roman" w:eastAsia="Times New Roman" w:hint="default"/>
        </w:rPr>
        <w:t>2</w:t>
      </w:r>
      <w:r>
        <w:rPr/>
        <w:t>）账龄超过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北方重工集团有限公司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30,320,400.00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结算期内款项</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30,320,400.00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2994"/>
        <w:jc w:val="left"/>
      </w:pPr>
      <w:r>
        <w:rPr/>
        <w:t>其他说明： 应付账款中无应付持有公司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）以上表决权股份的股东单位或关联方的款项。</w:t>
      </w:r>
    </w:p>
    <w:p>
      <w:pPr>
        <w:spacing w:line="240" w:lineRule="auto" w:before="9"/>
        <w:rPr>
          <w:rFonts w:ascii="宋体" w:hAnsi="宋体" w:cs="宋体" w:eastAsia="宋体" w:hint="default"/>
          <w:sz w:val="18"/>
          <w:szCs w:val="18"/>
        </w:rPr>
      </w:pPr>
    </w:p>
    <w:p>
      <w:pPr>
        <w:pStyle w:val="Heading3"/>
        <w:spacing w:line="240" w:lineRule="auto"/>
        <w:ind w:right="135"/>
        <w:jc w:val="left"/>
        <w:rPr>
          <w:b w:val="0"/>
          <w:bCs w:val="0"/>
        </w:rPr>
      </w:pPr>
      <w:r>
        <w:rPr>
          <w:rFonts w:ascii="Times New Roman" w:hAnsi="Times New Roman" w:cs="Times New Roman" w:eastAsia="Times New Roman" w:hint="default"/>
        </w:rPr>
        <w:t>21</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35"/>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28,239.32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28,239.32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204,843.24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204,843.24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215,632.48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215,632.48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448,715.04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548,715.04</w:t>
            </w:r>
          </w:p>
        </w:tc>
      </w:tr>
    </w:tbl>
    <w:p>
      <w:pPr>
        <w:pStyle w:val="BodyText"/>
        <w:spacing w:line="240" w:lineRule="auto" w:before="49"/>
        <w:ind w:right="135"/>
        <w:jc w:val="left"/>
      </w:pPr>
      <w:r>
        <w:rPr/>
        <w:t>其他说明：</w:t>
      </w:r>
    </w:p>
    <w:p>
      <w:pPr>
        <w:pStyle w:val="BodyText"/>
        <w:spacing w:line="240" w:lineRule="auto" w:before="117"/>
        <w:ind w:right="135"/>
        <w:jc w:val="left"/>
      </w:pPr>
      <w:r>
        <w:rPr/>
        <w:t>①期末无账龄超过一年的重要预收款项。</w:t>
      </w:r>
    </w:p>
    <w:p>
      <w:pPr>
        <w:pStyle w:val="BodyText"/>
        <w:spacing w:line="240" w:lineRule="auto" w:before="76"/>
        <w:ind w:right="135"/>
        <w:jc w:val="left"/>
      </w:pPr>
      <w:r>
        <w:rPr/>
        <w:t>②预收款项中无预收持有本公司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）以上表决权股份的股东单位或关联方款项。</w:t>
      </w:r>
    </w:p>
    <w:p>
      <w:pPr>
        <w:spacing w:line="240" w:lineRule="auto" w:before="2"/>
        <w:rPr>
          <w:rFonts w:ascii="宋体" w:hAnsi="宋体" w:cs="宋体" w:eastAsia="宋体" w:hint="default"/>
          <w:sz w:val="26"/>
          <w:szCs w:val="26"/>
        </w:rPr>
      </w:pPr>
    </w:p>
    <w:p>
      <w:pPr>
        <w:pStyle w:val="Heading3"/>
        <w:spacing w:line="240" w:lineRule="auto"/>
        <w:ind w:right="135"/>
        <w:jc w:val="left"/>
        <w:rPr>
          <w:b w:val="0"/>
          <w:bCs w:val="0"/>
        </w:rPr>
      </w:pPr>
      <w:r>
        <w:rPr>
          <w:rFonts w:ascii="Times New Roman" w:hAnsi="Times New Roman" w:cs="Times New Roman" w:eastAsia="Times New Roman" w:hint="default"/>
        </w:rPr>
        <w:t>22</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5"/>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3,225,550.59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40,477,145.77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39,688,433.39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4,014,262.97</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7,128.00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927,775.48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921,621.24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13,282.24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1,090,779.25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1,090,779.25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3,232,678.59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42,495,700.50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41,700,833.88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4,027,545.21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35"/>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1,165,437.03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35,053,075.61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34,447,079.96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1,771,432.68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1,920,022.69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1,920,022.69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34,436.65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2,930,656.65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2,900,324.64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64,768.66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3,625.20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450,774.14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447,536.94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6,862.40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35,228.82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35,099.33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274.50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47,896.38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47,637.41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548.99</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26" w:right="0"/>
              <w:jc w:val="left"/>
              <w:rPr>
                <w:rFonts w:ascii="宋体" w:hAnsi="宋体" w:cs="宋体" w:eastAsia="宋体" w:hint="default"/>
                <w:sz w:val="18"/>
                <w:szCs w:val="18"/>
              </w:rPr>
            </w:pPr>
            <w:r>
              <w:rPr>
                <w:rFonts w:ascii="宋体" w:hAnsi="宋体" w:cs="宋体" w:eastAsia="宋体" w:hint="default"/>
                <w:sz w:val="18"/>
                <w:szCs w:val="18"/>
              </w:rPr>
              <w:t>国外其他保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30,376.42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2,396,757.31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2,370,050.96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57,082.77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1,920.00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207,068.00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208,988.00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2,023,756.91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366,322.82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212,018.10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2,178,061.63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3,225,550.59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40,477,145.77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39,688,433.39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4,014,262.97</w:t>
            </w:r>
          </w:p>
        </w:tc>
      </w:tr>
    </w:tbl>
    <w:p>
      <w:pPr>
        <w:spacing w:line="240" w:lineRule="auto" w:before="3"/>
        <w:rPr>
          <w:rFonts w:ascii="宋体" w:hAnsi="宋体" w:cs="宋体" w:eastAsia="宋体" w:hint="default"/>
          <w:sz w:val="19"/>
          <w:szCs w:val="19"/>
        </w:rPr>
      </w:pPr>
    </w:p>
    <w:p>
      <w:pPr>
        <w:pStyle w:val="Heading3"/>
        <w:spacing w:line="240" w:lineRule="auto" w:before="36"/>
        <w:ind w:right="135"/>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6,840.00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892,665.92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886,760.34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12,745.58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35,109.56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34,860.90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536.66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7,128.00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927,775.48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921,621.24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13,282.24</w:t>
            </w:r>
          </w:p>
        </w:tc>
      </w:tr>
    </w:tbl>
    <w:p>
      <w:pPr>
        <w:pStyle w:val="BodyText"/>
        <w:spacing w:line="360" w:lineRule="auto" w:before="49"/>
        <w:ind w:right="7074"/>
        <w:jc w:val="left"/>
      </w:pPr>
      <w:r>
        <w:rPr/>
        <w:t>其他说明： 应付职工薪酬中无拖欠职工工资。</w:t>
      </w:r>
    </w:p>
    <w:p>
      <w:pPr>
        <w:spacing w:line="240" w:lineRule="auto" w:before="5"/>
        <w:rPr>
          <w:rFonts w:ascii="宋体" w:hAnsi="宋体" w:cs="宋体" w:eastAsia="宋体" w:hint="default"/>
          <w:sz w:val="20"/>
          <w:szCs w:val="20"/>
        </w:rPr>
      </w:pPr>
    </w:p>
    <w:p>
      <w:pPr>
        <w:pStyle w:val="Heading3"/>
        <w:spacing w:line="240" w:lineRule="auto"/>
        <w:ind w:right="135"/>
        <w:jc w:val="left"/>
        <w:rPr>
          <w:b w:val="0"/>
          <w:bCs w:val="0"/>
        </w:rPr>
      </w:pPr>
      <w:r>
        <w:rPr>
          <w:rFonts w:ascii="Times New Roman" w:hAnsi="Times New Roman" w:cs="Times New Roman" w:eastAsia="Times New Roman" w:hint="default"/>
        </w:rPr>
        <w:t>23</w:t>
      </w:r>
      <w:r>
        <w:rPr/>
        <w:t>、应交税费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506,781.40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2,521,248.77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73,377,058.62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6,107,339.88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109,133.84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81,009.02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356,174.32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351,443.98</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154,665.16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159,347.07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122,624.93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43,987.80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代扣代缴所得税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154,312.50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583,705.11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74,780,750.77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9,848,081.63</w:t>
            </w:r>
          </w:p>
        </w:tc>
      </w:tr>
    </w:tbl>
    <w:p>
      <w:pPr>
        <w:spacing w:line="240" w:lineRule="auto" w:before="3"/>
        <w:rPr>
          <w:rFonts w:ascii="宋体" w:hAnsi="宋体" w:cs="宋体" w:eastAsia="宋体" w:hint="default"/>
          <w:sz w:val="19"/>
          <w:szCs w:val="19"/>
        </w:rPr>
      </w:pPr>
    </w:p>
    <w:p>
      <w:pPr>
        <w:pStyle w:val="Heading3"/>
        <w:spacing w:line="240" w:lineRule="auto" w:before="36"/>
        <w:ind w:right="135"/>
        <w:jc w:val="left"/>
        <w:rPr>
          <w:b w:val="0"/>
          <w:bCs w:val="0"/>
        </w:rPr>
      </w:pPr>
      <w:r>
        <w:rPr>
          <w:rFonts w:ascii="Times New Roman" w:hAnsi="Times New Roman" w:cs="Times New Roman" w:eastAsia="Times New Roman" w:hint="default"/>
        </w:rPr>
        <w:t>24</w:t>
      </w:r>
      <w:r>
        <w:rPr/>
        <w:t>、应付利息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203,745.97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181,852.43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276,300.28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161,656.46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480,046.25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343,508.89</w:t>
            </w:r>
          </w:p>
        </w:tc>
      </w:tr>
    </w:tbl>
    <w:p>
      <w:pPr>
        <w:spacing w:line="240" w:lineRule="auto" w:before="3"/>
        <w:rPr>
          <w:rFonts w:ascii="宋体" w:hAnsi="宋体" w:cs="宋体" w:eastAsia="宋体" w:hint="default"/>
          <w:sz w:val="19"/>
          <w:szCs w:val="19"/>
        </w:rPr>
      </w:pPr>
    </w:p>
    <w:p>
      <w:pPr>
        <w:pStyle w:val="Heading3"/>
        <w:spacing w:line="240" w:lineRule="auto" w:before="36"/>
        <w:ind w:right="135"/>
        <w:jc w:val="left"/>
        <w:rPr>
          <w:b w:val="0"/>
          <w:bCs w:val="0"/>
        </w:rPr>
      </w:pPr>
      <w:r>
        <w:rPr>
          <w:rFonts w:ascii="Times New Roman" w:hAnsi="Times New Roman" w:cs="Times New Roman" w:eastAsia="Times New Roman" w:hint="default"/>
        </w:rPr>
        <w:t>25</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35"/>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2,071,831.20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1,931,609.71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35,117,457.07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723,499.83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111,977.96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4,155,109.54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37,301,266.23</w:t>
            </w:r>
          </w:p>
        </w:tc>
      </w:tr>
    </w:tbl>
    <w:p>
      <w:pPr>
        <w:pStyle w:val="BodyText"/>
        <w:spacing w:line="240" w:lineRule="auto" w:before="49"/>
        <w:ind w:right="135"/>
        <w:jc w:val="left"/>
      </w:pPr>
      <w:r>
        <w:rPr/>
        <w:t>其他说明</w:t>
      </w:r>
    </w:p>
    <w:p>
      <w:pPr>
        <w:pStyle w:val="BodyText"/>
        <w:spacing w:line="240" w:lineRule="auto" w:before="117"/>
        <w:ind w:right="135"/>
        <w:jc w:val="left"/>
      </w:pPr>
      <w:r>
        <w:rPr/>
        <w:t>①其他应付款中无应付持有公司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）以上表决权股份的股东单位款项。</w:t>
      </w:r>
    </w:p>
    <w:p>
      <w:pPr>
        <w:pStyle w:val="BodyText"/>
        <w:spacing w:line="240" w:lineRule="auto" w:before="63"/>
        <w:ind w:right="135"/>
        <w:jc w:val="left"/>
      </w:pPr>
      <w:r>
        <w:rPr/>
        <w:t>②期末无账龄超过一年的重要其他应付款。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Heading3"/>
        <w:spacing w:line="240" w:lineRule="auto"/>
        <w:ind w:right="135"/>
        <w:jc w:val="left"/>
        <w:rPr>
          <w:b w:val="0"/>
          <w:bCs w:val="0"/>
        </w:rPr>
      </w:pPr>
      <w:r>
        <w:rPr>
          <w:rFonts w:ascii="Times New Roman" w:hAnsi="Times New Roman" w:cs="Times New Roman" w:eastAsia="Times New Roman" w:hint="default"/>
        </w:rPr>
        <w:t>26</w:t>
      </w:r>
      <w:r>
        <w:rPr/>
        <w:t>、一年内到期的非流动负债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2"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一年内摊销的递延收益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2,976,111.76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2,976,111.76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一年内到期的限制性股票回购义务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26,988,000.00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28,644,000.00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29,964,111.76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56,620,111.76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35"/>
        <w:jc w:val="left"/>
        <w:rPr>
          <w:b w:val="0"/>
          <w:bCs w:val="0"/>
        </w:rPr>
      </w:pPr>
      <w:r>
        <w:rPr>
          <w:rFonts w:ascii="Times New Roman" w:hAnsi="Times New Roman" w:cs="Times New Roman" w:eastAsia="Times New Roman" w:hint="default"/>
        </w:rPr>
        <w:t>27</w:t>
      </w:r>
      <w:r>
        <w:rPr/>
        <w:t>、其他流动负债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144,972.00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3,501,140.25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144,972.00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3,501,140.25</w:t>
            </w:r>
          </w:p>
        </w:tc>
      </w:tr>
    </w:tbl>
    <w:p>
      <w:pPr>
        <w:spacing w:line="240" w:lineRule="auto" w:before="3"/>
        <w:rPr>
          <w:rFonts w:ascii="宋体" w:hAnsi="宋体" w:cs="宋体" w:eastAsia="宋体" w:hint="default"/>
          <w:sz w:val="19"/>
          <w:szCs w:val="19"/>
        </w:rPr>
      </w:pPr>
    </w:p>
    <w:p>
      <w:pPr>
        <w:pStyle w:val="Heading3"/>
        <w:spacing w:line="240" w:lineRule="auto" w:before="36"/>
        <w:ind w:right="135"/>
        <w:jc w:val="left"/>
        <w:rPr>
          <w:b w:val="0"/>
          <w:bCs w:val="0"/>
        </w:rPr>
      </w:pPr>
      <w:r>
        <w:rPr>
          <w:rFonts w:ascii="Times New Roman" w:hAnsi="Times New Roman" w:cs="Times New Roman" w:eastAsia="Times New Roman" w:hint="default"/>
        </w:rPr>
        <w:t>28</w:t>
      </w:r>
      <w:r>
        <w:rPr/>
        <w:t>、长期借款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35"/>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抵押、保证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115,000,000.00</w:t>
            </w:r>
          </w:p>
        </w:tc>
      </w:tr>
    </w:tbl>
    <w:p>
      <w:pPr>
        <w:spacing w:line="240" w:lineRule="auto" w:before="3"/>
        <w:rPr>
          <w:rFonts w:ascii="宋体" w:hAnsi="宋体" w:cs="宋体" w:eastAsia="宋体" w:hint="default"/>
          <w:sz w:val="19"/>
          <w:szCs w:val="19"/>
        </w:rPr>
      </w:pPr>
    </w:p>
    <w:p>
      <w:pPr>
        <w:pStyle w:val="Heading3"/>
        <w:spacing w:line="240" w:lineRule="auto" w:before="36"/>
        <w:ind w:right="135"/>
        <w:jc w:val="left"/>
        <w:rPr>
          <w:b w:val="0"/>
          <w:bCs w:val="0"/>
        </w:rPr>
      </w:pPr>
      <w:r>
        <w:rPr>
          <w:rFonts w:ascii="Times New Roman" w:hAnsi="Times New Roman" w:cs="Times New Roman" w:eastAsia="Times New Roman" w:hint="default"/>
        </w:rPr>
        <w:t>29</w:t>
      </w:r>
      <w:r>
        <w:rPr/>
        <w:t>、递延收益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4,216,158.49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2,976,111.76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1,240,046.73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4,216,158.49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2,976,111.76</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1,240,046.73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35"/>
        <w:jc w:val="left"/>
      </w:pPr>
      <w:r>
        <w:rPr/>
        <w:t>涉及政府补助的项目：</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4"/>
        <w:gridCol w:w="1063"/>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56" w:right="7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76" w:right="72"/>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79" w:right="72"/>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拆迁补助及 贴息款</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4,216,158.49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2,976,111.76</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1,240,046.73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4,216,158.49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2,976,111.76</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1,240,046.73</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35"/>
        <w:jc w:val="left"/>
        <w:rPr>
          <w:b w:val="0"/>
          <w:bCs w:val="0"/>
        </w:rPr>
      </w:pPr>
      <w:r>
        <w:rPr>
          <w:rFonts w:ascii="Times New Roman" w:hAnsi="Times New Roman" w:cs="Times New Roman" w:eastAsia="Times New Roman" w:hint="default"/>
        </w:rPr>
        <w:t>30</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04"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766,525,000.00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-1,000,000.00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765,525,000.00</w:t>
            </w:r>
          </w:p>
        </w:tc>
      </w:tr>
    </w:tbl>
    <w:p>
      <w:pPr>
        <w:pStyle w:val="BodyText"/>
        <w:spacing w:line="240" w:lineRule="auto" w:before="49"/>
        <w:ind w:right="135"/>
        <w:jc w:val="left"/>
      </w:pPr>
      <w:r>
        <w:rPr/>
        <w:t>其他说明：</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135"/>
        <w:jc w:val="left"/>
      </w:pPr>
      <w:r>
        <w:rPr/>
        <w:t>股本变动系回购注销尚未解锁的限制性股票共计</w:t>
      </w:r>
      <w:r>
        <w:rPr>
          <w:spacing w:val="-45"/>
        </w:rPr>
        <w:t> </w:t>
      </w:r>
      <w:r>
        <w:rPr>
          <w:rFonts w:ascii="Times New Roman" w:hAnsi="Times New Roman" w:cs="Times New Roman" w:eastAsia="Times New Roman" w:hint="default"/>
        </w:rPr>
        <w:t>100 </w:t>
      </w:r>
      <w:r>
        <w:rPr/>
        <w:t>万股。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7"/>
          <w:szCs w:val="17"/>
        </w:rPr>
      </w:pPr>
    </w:p>
    <w:p>
      <w:pPr>
        <w:pStyle w:val="Heading3"/>
        <w:spacing w:line="240" w:lineRule="auto"/>
        <w:ind w:right="135"/>
        <w:jc w:val="left"/>
        <w:rPr>
          <w:b w:val="0"/>
          <w:bCs w:val="0"/>
        </w:rPr>
      </w:pPr>
      <w:r>
        <w:rPr>
          <w:rFonts w:ascii="Times New Roman" w:hAnsi="Times New Roman" w:cs="Times New Roman" w:eastAsia="Times New Roman" w:hint="default"/>
        </w:rPr>
        <w:t>31</w:t>
      </w:r>
      <w:r>
        <w:rPr/>
        <w:t>、资本公积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171,956,981.12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171,956,981.12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34,238,003.43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4,086,859.24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38,324,862.67</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206,194,984.55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4,086,859.24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210,281,843.79</w:t>
            </w:r>
          </w:p>
        </w:tc>
      </w:tr>
    </w:tbl>
    <w:p>
      <w:pPr>
        <w:pStyle w:val="BodyText"/>
        <w:spacing w:line="357" w:lineRule="auto" w:before="49"/>
        <w:ind w:right="4734"/>
        <w:jc w:val="left"/>
      </w:pPr>
      <w:r>
        <w:rPr/>
        <w:t>其他说明，包括本期增减变动情况、变动原因说明： 资本公积变动系授予限制性股票在锁定期计提的股权激励成本。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9"/>
        <w:ind w:right="135"/>
        <w:jc w:val="left"/>
        <w:rPr>
          <w:b w:val="0"/>
          <w:bCs w:val="0"/>
        </w:rPr>
      </w:pPr>
      <w:r>
        <w:rPr>
          <w:rFonts w:ascii="Times New Roman" w:hAnsi="Times New Roman" w:cs="Times New Roman" w:eastAsia="Times New Roman" w:hint="default"/>
        </w:rPr>
        <w:t>32</w:t>
      </w:r>
      <w:r>
        <w:rPr/>
        <w:t>、库存股</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17,050,000.00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16,050,000.00</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17,050,000.00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16,050,000.00</w:t>
            </w:r>
          </w:p>
        </w:tc>
      </w:tr>
    </w:tbl>
    <w:p>
      <w:pPr>
        <w:pStyle w:val="BodyText"/>
        <w:spacing w:line="357" w:lineRule="auto" w:before="49"/>
        <w:ind w:right="4374"/>
        <w:jc w:val="left"/>
      </w:pPr>
      <w:r>
        <w:rPr/>
        <w:t>其他说明，包括本期增减变动情况、变动原因说明： 本期减少系回购注销尚未解锁的限制性股票对应的库存股</w:t>
      </w:r>
      <w:r>
        <w:rPr>
          <w:spacing w:val="-45"/>
        </w:rPr>
        <w:t> </w:t>
      </w:r>
      <w:r>
        <w:rPr>
          <w:rFonts w:ascii="Times New Roman" w:hAnsi="Times New Roman" w:cs="Times New Roman" w:eastAsia="Times New Roman" w:hint="default"/>
        </w:rPr>
        <w:t>100 </w:t>
      </w:r>
      <w:r>
        <w:rPr/>
        <w:t>万股。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6"/>
        <w:ind w:right="135"/>
        <w:jc w:val="left"/>
        <w:rPr>
          <w:b w:val="0"/>
          <w:bCs w:val="0"/>
        </w:rPr>
      </w:pPr>
      <w:r>
        <w:rPr>
          <w:rFonts w:ascii="Times New Roman" w:hAnsi="Times New Roman" w:cs="Times New Roman" w:eastAsia="Times New Roman" w:hint="default"/>
        </w:rPr>
        <w:t>33</w:t>
      </w:r>
      <w:r>
        <w:rPr/>
        <w:t>、其他综合收益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99"/>
        <w:gridCol w:w="1068"/>
        <w:gridCol w:w="936"/>
        <w:gridCol w:w="1152"/>
        <w:gridCol w:w="934"/>
        <w:gridCol w:w="937"/>
        <w:gridCol w:w="936"/>
        <w:gridCol w:w="797"/>
      </w:tblGrid>
      <w:tr>
        <w:trPr>
          <w:trHeight w:val="398"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shd w:val="clear" w:color="auto" w:fill="D2D2D2"/>
          </w:tcPr>
          <w:p>
            <w:pP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20"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68" w:type="dxa"/>
            <w:vMerge/>
            <w:tcBorders>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7"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105" w:right="9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2"/>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7"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2"/>
              <w:ind w:left="105" w:right="9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68" w:type="dxa"/>
            <w:vMerge w:val="restart"/>
            <w:tcBorders>
              <w:top w:val="nil" w:sz="6" w:space="0" w:color="auto"/>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7"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7"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5"/>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-32,254,584.4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-29,708,903</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.14</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-29,897,787</w:t>
            </w:r>
            <w:r>
              <w:rPr>
                <w:rFonts w:ascii="Times New Roman"/>
                <w:sz w:val="18"/>
              </w:rPr>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.26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188,884.12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-62,152,3</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71.75</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-32,254,584.4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-29,708,903</w:t>
            </w:r>
            <w:r>
              <w:rPr>
                <w:rFonts w:ascii="Times New Roman"/>
                <w:sz w:val="18"/>
              </w:rPr>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.14</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7"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-29,897,787</w:t>
            </w:r>
            <w:r>
              <w:rPr>
                <w:rFonts w:ascii="Times New Roman"/>
                <w:sz w:val="18"/>
              </w:rPr>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.26</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188,884.12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-62,152,3</w:t>
            </w:r>
          </w:p>
          <w:p>
            <w:pPr>
              <w:pStyle w:val="TableParagraph"/>
              <w:spacing w:line="240" w:lineRule="auto" w:before="102"/>
              <w:ind w:left="357" w:right="0"/>
              <w:jc w:val="left"/>
              <w:rPr>
                <w:rFonts w:ascii="Times New Roman" w:hAnsi="Times New Roman" w:cs="Times New Roman" w:eastAsia="Times New Roman" w:hint="default"/>
                <w:sz w:val="18"/>
                <w:szCs w:val="18"/>
              </w:rPr>
            </w:pPr>
            <w:r>
              <w:rPr>
                <w:rFonts w:ascii="Times New Roman"/>
                <w:sz w:val="18"/>
              </w:rPr>
              <w:t>71.75</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8" w:type="dxa"/>
            <w:vMerge/>
            <w:tcBorders>
              <w:left w:val="single" w:sz="9" w:space="0" w:color="D2D2D2"/>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7"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9" w:space="0" w:color="D2D2D2"/>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-32,254,584.4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-29,708,903</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.14</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7"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-29,897,787</w:t>
            </w:r>
            <w:r>
              <w:rPr>
                <w:rFonts w:ascii="Times New Roman"/>
                <w:sz w:val="18"/>
              </w:rPr>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.26</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188,884.12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-62,152,3</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71.75</w:t>
            </w:r>
          </w:p>
        </w:tc>
      </w:tr>
      <w:tr>
        <w:trPr>
          <w:trHeight w:val="394"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vMerge/>
            <w:tcBorders>
              <w:left w:val="single" w:sz="9" w:space="0" w:color="D2D2D2"/>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7"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9" w:space="0" w:color="D2D2D2"/>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35"/>
        <w:jc w:val="left"/>
        <w:rPr>
          <w:b w:val="0"/>
          <w:bCs w:val="0"/>
        </w:rPr>
      </w:pPr>
      <w:r>
        <w:rPr>
          <w:rFonts w:ascii="Times New Roman" w:hAnsi="Times New Roman" w:cs="Times New Roman" w:eastAsia="Times New Roman" w:hint="default"/>
        </w:rPr>
        <w:t>34</w:t>
      </w:r>
      <w:r>
        <w:rPr/>
        <w:t>、专项储备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安全生产费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5,567,627.57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2,712,880.68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36,919.29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8,243,588.96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5,567,627.57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2,712,880.68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36,919.29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8,243,588.96</w:t>
            </w:r>
          </w:p>
        </w:tc>
      </w:tr>
    </w:tbl>
    <w:p>
      <w:pPr>
        <w:spacing w:line="240" w:lineRule="auto" w:before="3"/>
        <w:rPr>
          <w:rFonts w:ascii="宋体" w:hAnsi="宋体" w:cs="宋体" w:eastAsia="宋体" w:hint="default"/>
          <w:sz w:val="19"/>
          <w:szCs w:val="19"/>
        </w:rPr>
      </w:pPr>
    </w:p>
    <w:p>
      <w:pPr>
        <w:pStyle w:val="Heading3"/>
        <w:spacing w:line="240" w:lineRule="auto" w:before="36"/>
        <w:ind w:right="135"/>
        <w:jc w:val="left"/>
        <w:rPr>
          <w:b w:val="0"/>
          <w:bCs w:val="0"/>
        </w:rPr>
      </w:pPr>
      <w:r>
        <w:rPr>
          <w:rFonts w:ascii="Times New Roman" w:hAnsi="Times New Roman" w:cs="Times New Roman" w:eastAsia="Times New Roman" w:hint="default"/>
        </w:rPr>
        <w:t>35</w:t>
      </w:r>
      <w:r>
        <w:rPr/>
        <w:t>、盈余公积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78,144,178.23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9,974,786.04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88,118,964.27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78,144,178.23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9,974,786.04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88,118,964.27</w:t>
            </w:r>
          </w:p>
        </w:tc>
      </w:tr>
    </w:tbl>
    <w:p>
      <w:pPr>
        <w:spacing w:line="240" w:lineRule="auto" w:before="3"/>
        <w:rPr>
          <w:rFonts w:ascii="宋体" w:hAnsi="宋体" w:cs="宋体" w:eastAsia="宋体" w:hint="default"/>
          <w:sz w:val="19"/>
          <w:szCs w:val="19"/>
        </w:rPr>
      </w:pPr>
    </w:p>
    <w:p>
      <w:pPr>
        <w:pStyle w:val="Heading3"/>
        <w:spacing w:line="240" w:lineRule="auto" w:before="36"/>
        <w:ind w:right="135"/>
        <w:jc w:val="left"/>
        <w:rPr>
          <w:b w:val="0"/>
          <w:bCs w:val="0"/>
        </w:rPr>
      </w:pPr>
      <w:r>
        <w:rPr>
          <w:rFonts w:ascii="Times New Roman" w:hAnsi="Times New Roman" w:cs="Times New Roman" w:eastAsia="Times New Roman" w:hint="default"/>
        </w:rPr>
        <w:t>36</w:t>
      </w:r>
      <w:r>
        <w:rPr/>
        <w:t>、未分配利润</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587,615,228.18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356,277,775.87</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587,615,228.18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356,277,775.87</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334,144,677.37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252,786,403.20</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9,974,786.04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21,448,950.89</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911,785,119.51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587,615,228.18</w:t>
            </w:r>
          </w:p>
        </w:tc>
      </w:tr>
    </w:tbl>
    <w:p>
      <w:pPr>
        <w:pStyle w:val="BodyText"/>
        <w:spacing w:line="240" w:lineRule="auto" w:before="49"/>
        <w:ind w:right="135"/>
        <w:jc w:val="left"/>
      </w:pPr>
      <w:r>
        <w:rPr/>
        <w:t>调整期初未分配利润明细：</w:t>
      </w:r>
    </w:p>
    <w:p>
      <w:pPr>
        <w:pStyle w:val="BodyText"/>
        <w:spacing w:line="240" w:lineRule="auto" w:before="115"/>
        <w:ind w:right="135"/>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35"/>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35"/>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135"/>
        <w:jc w:val="left"/>
      </w:pPr>
      <w:r>
        <w:rPr>
          <w:rFonts w:ascii="Times New Roman" w:hAnsi="Times New Roman" w:cs="Times New Roman" w:eastAsia="Times New Roman" w:hint="default"/>
        </w:rPr>
        <w:t>4)</w:t>
      </w:r>
      <w:r>
        <w:rPr/>
        <w:t>、由于同一控制导致的合并范围变更，影响期初未分配利润</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35"/>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3"/>
        <w:spacing w:line="240" w:lineRule="auto"/>
        <w:ind w:right="135"/>
        <w:jc w:val="left"/>
        <w:rPr>
          <w:b w:val="0"/>
          <w:bCs w:val="0"/>
        </w:rPr>
      </w:pPr>
      <w:r>
        <w:rPr>
          <w:rFonts w:ascii="Times New Roman" w:hAnsi="Times New Roman" w:cs="Times New Roman" w:eastAsia="Times New Roman" w:hint="default"/>
        </w:rPr>
        <w:t>37</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1,515,627,420.05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918,536,428.19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1,176,797,997.04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700,733,445.15</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6,671,135.57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2,066,669.68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22,570,782.81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9,611,645.95</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1,522,298,555.62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920,603,097.87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1,199,368,779.85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710,345,091.10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35"/>
        <w:jc w:val="left"/>
        <w:rPr>
          <w:b w:val="0"/>
          <w:bCs w:val="0"/>
        </w:rPr>
      </w:pPr>
      <w:r>
        <w:rPr>
          <w:rFonts w:ascii="Times New Roman" w:hAnsi="Times New Roman" w:cs="Times New Roman" w:eastAsia="Times New Roman" w:hint="default"/>
        </w:rPr>
        <w:t>38</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2,580,967.23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w w:val="95"/>
                <w:sz w:val="18"/>
              </w:rPr>
              <w:t>111.77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1,106,128.82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949,591.35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1,007,938.50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618,660.65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665,479.80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35,307.76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36,407.76</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1,345,886.05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542,646.98</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74.52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737,419.22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20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368,709.60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2,949,892.90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7,045,697.91</w:t>
            </w:r>
          </w:p>
        </w:tc>
      </w:tr>
    </w:tbl>
    <w:p>
      <w:pPr>
        <w:spacing w:line="240" w:lineRule="auto" w:before="3"/>
        <w:rPr>
          <w:rFonts w:ascii="宋体" w:hAnsi="宋体" w:cs="宋体" w:eastAsia="宋体" w:hint="default"/>
          <w:sz w:val="19"/>
          <w:szCs w:val="19"/>
        </w:rPr>
      </w:pPr>
    </w:p>
    <w:p>
      <w:pPr>
        <w:pStyle w:val="Heading3"/>
        <w:spacing w:line="240" w:lineRule="auto" w:before="36"/>
        <w:ind w:right="135"/>
        <w:jc w:val="left"/>
        <w:rPr>
          <w:b w:val="0"/>
          <w:bCs w:val="0"/>
        </w:rPr>
      </w:pPr>
      <w:r>
        <w:rPr>
          <w:rFonts w:ascii="Times New Roman" w:hAnsi="Times New Roman" w:cs="Times New Roman" w:eastAsia="Times New Roman" w:hint="default"/>
        </w:rPr>
        <w:t>39</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661,662.22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1,232,797.31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94,150.51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202,718.37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1,470,726.39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1,847,664.89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994,211.55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948,474.21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运输及装卸费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1,752.80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1,407,880.37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9,210.12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18,499.93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12,633.47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168,131.64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37,645.00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273,622.62</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售后安装调试费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24,572.08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136,397.00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售后维修费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379,666.97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817,586.52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369,252.68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510,442.24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2,294,224.72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2,476,479.90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681,372.63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8,213,489.25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7,031,081.14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18,254,184.25</w:t>
            </w:r>
          </w:p>
        </w:tc>
      </w:tr>
    </w:tbl>
    <w:p>
      <w:pPr>
        <w:spacing w:line="240" w:lineRule="auto" w:before="3"/>
        <w:rPr>
          <w:rFonts w:ascii="宋体" w:hAnsi="宋体" w:cs="宋体" w:eastAsia="宋体" w:hint="default"/>
          <w:sz w:val="19"/>
          <w:szCs w:val="19"/>
        </w:rPr>
      </w:pPr>
    </w:p>
    <w:p>
      <w:pPr>
        <w:pStyle w:val="Heading3"/>
        <w:spacing w:line="240" w:lineRule="auto" w:before="36"/>
        <w:ind w:right="135"/>
        <w:jc w:val="left"/>
        <w:rPr>
          <w:b w:val="0"/>
          <w:bCs w:val="0"/>
        </w:rPr>
      </w:pPr>
      <w:r>
        <w:rPr>
          <w:rFonts w:ascii="Times New Roman" w:hAnsi="Times New Roman" w:cs="Times New Roman" w:eastAsia="Times New Roman" w:hint="default"/>
        </w:rPr>
        <w:t>40</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19,323,161.17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18,438,606.83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4,657,423.51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6,346,323.24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4,880,809.60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6,695,646.90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12,438,511.11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11,263,429.61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9,771,132.78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6,238,496.57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设备车辆维修费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260,175.14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383,751.16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556,250.50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707,642.36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汽车油费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488,263.69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430,303.16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审计费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163,444.26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2,424,964.62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38,159,737.40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33,456,749.60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480,962.80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338,782.04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41,493.01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201,387.00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415,497.24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415,497.24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4,086,859.24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12,373,800.45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1,361,606.70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1,353,339.58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5,018,797.17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7,383,873.00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102,104,125.32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108,452,593.36</w:t>
            </w:r>
          </w:p>
        </w:tc>
      </w:tr>
    </w:tbl>
    <w:p>
      <w:pPr>
        <w:spacing w:line="240" w:lineRule="auto" w:before="3"/>
        <w:rPr>
          <w:rFonts w:ascii="宋体" w:hAnsi="宋体" w:cs="宋体" w:eastAsia="宋体" w:hint="default"/>
          <w:sz w:val="19"/>
          <w:szCs w:val="19"/>
        </w:rPr>
      </w:pPr>
    </w:p>
    <w:p>
      <w:pPr>
        <w:pStyle w:val="Heading3"/>
        <w:spacing w:line="240" w:lineRule="auto" w:before="36"/>
        <w:ind w:right="135"/>
        <w:jc w:val="left"/>
        <w:rPr>
          <w:b w:val="0"/>
          <w:bCs w:val="0"/>
        </w:rPr>
      </w:pPr>
      <w:r>
        <w:rPr>
          <w:rFonts w:ascii="Times New Roman" w:hAnsi="Times New Roman" w:cs="Times New Roman" w:eastAsia="Times New Roman" w:hint="default"/>
        </w:rPr>
        <w:t>41</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20,541,509.90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8,414,863.79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1,160,203.34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1,244,751.45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汇兑损益（收益按</w:t>
            </w:r>
            <w:r>
              <w:rPr>
                <w:rFonts w:ascii="Times New Roman" w:hAnsi="Times New Roman" w:cs="Times New Roman" w:eastAsia="Times New Roman" w:hint="default"/>
                <w:sz w:val="18"/>
                <w:szCs w:val="18"/>
              </w:rPr>
              <w:t>“</w:t>
            </w:r>
            <w:r>
              <w:rPr>
                <w:rFonts w:ascii="宋体" w:hAnsi="宋体" w:cs="宋体" w:eastAsia="宋体" w:hint="default"/>
                <w:sz w:val="18"/>
                <w:szCs w:val="18"/>
              </w:rPr>
              <w:t>负数</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11,984,742.17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-5,553,527.61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1,234,702.57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274,997.60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32,600,751.30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1,891,582.33</w:t>
            </w:r>
          </w:p>
        </w:tc>
      </w:tr>
    </w:tbl>
    <w:p>
      <w:pPr>
        <w:spacing w:line="240" w:lineRule="auto" w:before="3"/>
        <w:rPr>
          <w:rFonts w:ascii="宋体" w:hAnsi="宋体" w:cs="宋体" w:eastAsia="宋体" w:hint="default"/>
          <w:sz w:val="19"/>
          <w:szCs w:val="19"/>
        </w:rPr>
      </w:pPr>
    </w:p>
    <w:p>
      <w:pPr>
        <w:pStyle w:val="Heading3"/>
        <w:spacing w:line="240" w:lineRule="auto" w:before="36"/>
        <w:ind w:right="135"/>
        <w:jc w:val="left"/>
        <w:rPr>
          <w:b w:val="0"/>
          <w:bCs w:val="0"/>
        </w:rPr>
      </w:pPr>
      <w:r>
        <w:rPr>
          <w:rFonts w:ascii="Times New Roman" w:hAnsi="Times New Roman" w:cs="Times New Roman" w:eastAsia="Times New Roman" w:hint="default"/>
        </w:rPr>
        <w:t>42</w:t>
      </w:r>
      <w:r>
        <w:rPr/>
        <w:t>、资产减值损失</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54,618,185.31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40,006,742.59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54,618,185.31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40,006,742.59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35"/>
        <w:jc w:val="left"/>
        <w:rPr>
          <w:b w:val="0"/>
          <w:bCs w:val="0"/>
        </w:rPr>
      </w:pPr>
      <w:r>
        <w:rPr>
          <w:rFonts w:ascii="Times New Roman" w:hAnsi="Times New Roman" w:cs="Times New Roman" w:eastAsia="Times New Roman" w:hint="default"/>
        </w:rPr>
        <w:t>43</w:t>
      </w:r>
      <w:r>
        <w:rPr/>
        <w:t>、资产处置收益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非流动资产处置利得或损失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-9,130.40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58" w:right="0"/>
              <w:jc w:val="left"/>
              <w:rPr>
                <w:rFonts w:ascii="宋体" w:hAnsi="宋体" w:cs="宋体" w:eastAsia="宋体" w:hint="default"/>
                <w:sz w:val="18"/>
                <w:szCs w:val="18"/>
              </w:rPr>
            </w:pPr>
            <w:r>
              <w:rPr>
                <w:rFonts w:ascii="宋体" w:hAnsi="宋体" w:cs="宋体" w:eastAsia="宋体" w:hint="default"/>
                <w:sz w:val="18"/>
                <w:szCs w:val="18"/>
              </w:rPr>
              <w:t>其中：固定资产处置利得或损失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-9,130.40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-9,130.40</w:t>
            </w:r>
          </w:p>
        </w:tc>
      </w:tr>
    </w:tbl>
    <w:p>
      <w:pPr>
        <w:spacing w:line="240" w:lineRule="auto" w:before="3"/>
        <w:rPr>
          <w:rFonts w:ascii="宋体" w:hAnsi="宋体" w:cs="宋体" w:eastAsia="宋体" w:hint="default"/>
          <w:sz w:val="19"/>
          <w:szCs w:val="19"/>
        </w:rPr>
      </w:pPr>
    </w:p>
    <w:p>
      <w:pPr>
        <w:pStyle w:val="Heading3"/>
        <w:spacing w:line="240" w:lineRule="auto" w:before="36"/>
        <w:ind w:right="135"/>
        <w:jc w:val="left"/>
        <w:rPr>
          <w:b w:val="0"/>
          <w:bCs w:val="0"/>
        </w:rPr>
      </w:pPr>
      <w:r>
        <w:rPr>
          <w:rFonts w:ascii="Times New Roman" w:hAnsi="Times New Roman" w:cs="Times New Roman" w:eastAsia="Times New Roman" w:hint="default"/>
        </w:rPr>
        <w:t>44</w:t>
      </w:r>
      <w:r>
        <w:rPr/>
        <w:t>、其他收益</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高新技术企业补助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高新技术企业补助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技术创新项目奖励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科技成果转化技术转移专项奖励资金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青岛市科技计划项目研发费奖励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年度专利资助资金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年度专利资助资金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年度城阳区专利专项资金奖励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年度专利资助资金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1,268,200.00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35"/>
        <w:jc w:val="left"/>
        <w:rPr>
          <w:b w:val="0"/>
          <w:bCs w:val="0"/>
        </w:rPr>
      </w:pPr>
      <w:r>
        <w:rPr>
          <w:rFonts w:ascii="Times New Roman" w:hAnsi="Times New Roman" w:cs="Times New Roman" w:eastAsia="Times New Roman" w:hint="default"/>
        </w:rPr>
        <w:t>45</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2"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102"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4,511,711.76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3,238,111.76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4,511,711.76</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4,611,711.76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3,238,111.84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4,611,711.76</w:t>
            </w:r>
          </w:p>
        </w:tc>
      </w:tr>
    </w:tbl>
    <w:p>
      <w:pPr>
        <w:pStyle w:val="BodyText"/>
        <w:spacing w:line="240" w:lineRule="auto" w:before="49"/>
        <w:ind w:right="135"/>
        <w:jc w:val="left"/>
      </w:pPr>
      <w:r>
        <w:rPr/>
        <w:t>计入当期损益的政府补助：</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递延收益摊 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2,976,111.76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2,976,111.76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footerReference w:type="default" r:id="rId23"/>
          <w:pgSz w:w="11910" w:h="16840"/>
          <w:pgMar w:footer="979" w:header="745" w:top="1060" w:bottom="1160" w:left="980" w:right="980"/>
          <w:pgNumType w:start="1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工业企业奖 励资金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青岛市城阳 区工信局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0"/>
              <w:jc w:val="both"/>
              <w:rPr>
                <w:rFonts w:ascii="宋体" w:hAnsi="宋体" w:cs="宋体" w:eastAsia="宋体" w:hint="default"/>
                <w:sz w:val="18"/>
                <w:szCs w:val="18"/>
              </w:rPr>
            </w:pPr>
            <w:r>
              <w:rPr>
                <w:rFonts w:ascii="宋体" w:hAnsi="宋体" w:cs="宋体" w:eastAsia="宋体" w:hint="default"/>
                <w:sz w:val="18"/>
                <w:szCs w:val="18"/>
              </w:rPr>
              <w:t>政府质量发 展专项资金 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青岛市城阳 区市场监督 管理局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对外投资合 作专项资金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青岛市商务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1,243,600.00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年新增 规上企业奖 励资金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27"/>
              <w:jc w:val="both"/>
              <w:rPr>
                <w:rFonts w:ascii="宋体" w:hAnsi="宋体" w:cs="宋体" w:eastAsia="宋体" w:hint="default"/>
                <w:sz w:val="18"/>
                <w:szCs w:val="18"/>
              </w:rPr>
            </w:pPr>
            <w:r>
              <w:rPr>
                <w:rFonts w:ascii="宋体" w:hAnsi="宋体" w:cs="宋体" w:eastAsia="宋体" w:hint="default"/>
                <w:sz w:val="18"/>
                <w:szCs w:val="18"/>
              </w:rPr>
              <w:t>青岛市城阳 区服务业发 展局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年青岛 市城阳区</w:t>
            </w:r>
            <w:r>
              <w:rPr>
                <w:rFonts w:ascii="Times New Roman" w:hAnsi="Times New Roman" w:cs="Times New Roman" w:eastAsia="Times New Roman" w:hint="default"/>
                <w:sz w:val="18"/>
                <w:szCs w:val="18"/>
              </w:rPr>
              <w:t>“</w:t>
            </w:r>
            <w:r>
              <w:rPr>
                <w:rFonts w:ascii="宋体" w:hAnsi="宋体" w:cs="宋体" w:eastAsia="宋体" w:hint="default"/>
                <w:sz w:val="18"/>
                <w:szCs w:val="18"/>
              </w:rPr>
              <w:t>区 长杯</w:t>
            </w:r>
            <w:r>
              <w:rPr>
                <w:rFonts w:ascii="Times New Roman" w:hAnsi="Times New Roman" w:cs="Times New Roman" w:eastAsia="Times New Roman" w:hint="default"/>
                <w:sz w:val="18"/>
                <w:szCs w:val="18"/>
              </w:rPr>
              <w:t>”</w:t>
            </w:r>
            <w:r>
              <w:rPr>
                <w:rFonts w:ascii="宋体" w:hAnsi="宋体" w:cs="宋体" w:eastAsia="宋体" w:hint="default"/>
                <w:sz w:val="18"/>
                <w:szCs w:val="18"/>
              </w:rPr>
              <w:t>创新创 业大赛优秀 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27"/>
              <w:jc w:val="both"/>
              <w:rPr>
                <w:rFonts w:ascii="宋体" w:hAnsi="宋体" w:cs="宋体" w:eastAsia="宋体" w:hint="default"/>
                <w:sz w:val="18"/>
                <w:szCs w:val="18"/>
              </w:rPr>
            </w:pPr>
            <w:r>
              <w:rPr>
                <w:rFonts w:ascii="宋体" w:hAnsi="宋体" w:cs="宋体" w:eastAsia="宋体" w:hint="default"/>
                <w:sz w:val="18"/>
                <w:szCs w:val="18"/>
              </w:rPr>
              <w:t>青岛市城阳 区科学技术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0"/>
              <w:jc w:val="both"/>
              <w:rPr>
                <w:rFonts w:ascii="宋体" w:hAnsi="宋体" w:cs="宋体" w:eastAsia="宋体" w:hint="default"/>
                <w:sz w:val="18"/>
                <w:szCs w:val="18"/>
              </w:rPr>
            </w:pPr>
            <w:r>
              <w:rPr>
                <w:rFonts w:ascii="宋体" w:hAnsi="宋体" w:cs="宋体" w:eastAsia="宋体" w:hint="default"/>
                <w:sz w:val="18"/>
                <w:szCs w:val="18"/>
              </w:rPr>
              <w:t>山东省著名 商标奖励资 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青岛市城阳 区工信局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青岛名牌企 业奖励资金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青岛市城阳 区工信局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130"/>
              <w:jc w:val="left"/>
              <w:rPr>
                <w:rFonts w:ascii="宋体" w:hAnsi="宋体" w:cs="宋体" w:eastAsia="宋体" w:hint="default"/>
                <w:sz w:val="18"/>
                <w:szCs w:val="18"/>
              </w:rPr>
            </w:pPr>
            <w:r>
              <w:rPr>
                <w:rFonts w:ascii="宋体" w:hAnsi="宋体" w:cs="宋体" w:eastAsia="宋体" w:hint="default"/>
                <w:sz w:val="18"/>
                <w:szCs w:val="18"/>
              </w:rPr>
              <w:t>技术创新项 目奖励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127"/>
              <w:jc w:val="left"/>
              <w:rPr>
                <w:rFonts w:ascii="宋体" w:hAnsi="宋体" w:cs="宋体" w:eastAsia="宋体" w:hint="default"/>
                <w:sz w:val="18"/>
                <w:szCs w:val="18"/>
              </w:rPr>
            </w:pPr>
            <w:r>
              <w:rPr>
                <w:rFonts w:ascii="宋体" w:hAnsi="宋体" w:cs="宋体" w:eastAsia="宋体" w:hint="default"/>
                <w:sz w:val="18"/>
                <w:szCs w:val="18"/>
              </w:rPr>
              <w:t>青岛市城阳 区工信局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4,511,711.76</w:t>
            </w:r>
          </w:p>
        </w:tc>
        <w:tc>
          <w:tcPr>
            <w:tcW w:w="10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2"/>
                <w:sz w:val="18"/>
              </w:rPr>
              <w:t>3,238,111.76</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pStyle w:val="Heading3"/>
        <w:spacing w:line="240" w:lineRule="auto" w:before="36"/>
        <w:ind w:right="135"/>
        <w:jc w:val="left"/>
        <w:rPr>
          <w:b w:val="0"/>
          <w:bCs w:val="0"/>
        </w:rPr>
      </w:pPr>
      <w:r>
        <w:rPr/>
        <w:pict>
          <v:group style="position:absolute;margin-left:269.690002pt;margin-top:-99.606331pt;width:52.75pt;height:23.4pt;mso-position-horizontal-relative:page;mso-position-vertical-relative:paragraph;z-index:-818896" coordorigin="5394,-1992" coordsize="1055,468">
            <v:shape style="position:absolute;left:5394;top:-1992;width:1055;height:468" coordorigin="5394,-1992" coordsize="1055,468" path="m5394,-1524l6448,-1524,6448,-1992,5394,-1992,5394,-1524xe" filled="true" fillcolor="#ffffff" stroked="false">
              <v:path arrowok="t"/>
              <v:fill type="solid"/>
            </v:shape>
            <w10:wrap type="none"/>
          </v:group>
        </w:pict>
      </w:r>
      <w:r>
        <w:rPr>
          <w:rFonts w:ascii="Times New Roman" w:hAnsi="Times New Roman" w:cs="Times New Roman" w:eastAsia="Times New Roman" w:hint="default"/>
        </w:rPr>
        <w:t>46</w:t>
      </w:r>
      <w:r>
        <w:rPr/>
        <w:t>、营业外支出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1,982,000.00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2,512,640.00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1,982,000.00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197.33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339,638.73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4,198,067.04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339,638.73</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2,321,638.73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6,710,904.37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2,321,638.73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35"/>
        <w:jc w:val="left"/>
        <w:rPr>
          <w:b w:val="0"/>
          <w:bCs w:val="0"/>
        </w:rPr>
      </w:pPr>
      <w:r>
        <w:rPr>
          <w:rFonts w:ascii="Times New Roman" w:hAnsi="Times New Roman" w:cs="Times New Roman" w:eastAsia="Times New Roman" w:hint="default"/>
        </w:rPr>
        <w:t>47</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35"/>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77,374,830.88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11,396,914.25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-4,879,319.44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34,786,116.60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72,495,511.44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46,183,030.85</w:t>
            </w:r>
          </w:p>
        </w:tc>
      </w:tr>
    </w:tbl>
    <w:p>
      <w:pPr>
        <w:spacing w:line="240" w:lineRule="auto" w:before="3"/>
        <w:rPr>
          <w:rFonts w:ascii="宋体" w:hAnsi="宋体" w:cs="宋体" w:eastAsia="宋体" w:hint="default"/>
          <w:sz w:val="19"/>
          <w:szCs w:val="19"/>
        </w:rPr>
      </w:pPr>
    </w:p>
    <w:p>
      <w:pPr>
        <w:pStyle w:val="Heading3"/>
        <w:spacing w:line="240" w:lineRule="auto" w:before="36"/>
        <w:ind w:right="135"/>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405,949,694.81</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60,892,454.22</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7,696,419.63</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2,912,533.09</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-2,328,486.86</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1,835,705.09</w:t>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3,896,120.63</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子公司税率变动的影响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-135,628.31</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研究开发费加计扣除的纳税影响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-2,290,725.44</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17,119.39</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72,495,511.44</w:t>
            </w:r>
          </w:p>
        </w:tc>
      </w:tr>
    </w:tbl>
    <w:p>
      <w:pPr>
        <w:spacing w:line="240" w:lineRule="auto" w:before="3"/>
        <w:rPr>
          <w:rFonts w:ascii="宋体" w:hAnsi="宋体" w:cs="宋体" w:eastAsia="宋体" w:hint="default"/>
          <w:sz w:val="19"/>
          <w:szCs w:val="19"/>
        </w:rPr>
      </w:pPr>
    </w:p>
    <w:p>
      <w:pPr>
        <w:spacing w:line="544" w:lineRule="auto" w:before="36"/>
        <w:ind w:left="152" w:right="787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33</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8"/>
        <w:ind w:right="135"/>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2,752,200.00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1,160,203.34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1,226,147.84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4,913,675.37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5,597,949.07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8,826,078.71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7,086,096.91</w:t>
            </w:r>
          </w:p>
        </w:tc>
      </w:tr>
    </w:tbl>
    <w:p>
      <w:pPr>
        <w:spacing w:line="240" w:lineRule="auto" w:before="3"/>
        <w:rPr>
          <w:rFonts w:ascii="宋体" w:hAnsi="宋体" w:cs="宋体" w:eastAsia="宋体" w:hint="default"/>
          <w:sz w:val="19"/>
          <w:szCs w:val="19"/>
        </w:rPr>
      </w:pPr>
    </w:p>
    <w:p>
      <w:pPr>
        <w:pStyle w:val="Heading3"/>
        <w:spacing w:line="240" w:lineRule="auto" w:before="36"/>
        <w:ind w:right="135"/>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销售费用中的其他现金支出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6,824,474.41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16,884,674.88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管理费用中的其他现金支出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60,731,188.19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31,655,683.55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23,135,529.43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6,730,607.92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90,691,192.03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55,270,966.35</w:t>
            </w:r>
          </w:p>
        </w:tc>
      </w:tr>
    </w:tbl>
    <w:p>
      <w:pPr>
        <w:spacing w:line="240" w:lineRule="auto" w:before="3"/>
        <w:rPr>
          <w:rFonts w:ascii="宋体" w:hAnsi="宋体" w:cs="宋体" w:eastAsia="宋体" w:hint="default"/>
          <w:sz w:val="19"/>
          <w:szCs w:val="19"/>
        </w:rPr>
      </w:pPr>
    </w:p>
    <w:p>
      <w:pPr>
        <w:pStyle w:val="Heading3"/>
        <w:spacing w:line="240" w:lineRule="auto" w:before="36"/>
        <w:ind w:right="135"/>
        <w:jc w:val="left"/>
        <w:rPr>
          <w:b w:val="0"/>
          <w:bCs w:val="0"/>
        </w:rPr>
      </w:pPr>
      <w:r>
        <w:rPr/>
        <w:t>（</w:t>
      </w:r>
      <w:r>
        <w:rPr>
          <w:rFonts w:ascii="Times New Roman" w:hAnsi="Times New Roman" w:cs="Times New Roman" w:eastAsia="Times New Roman" w:hint="default"/>
        </w:rPr>
        <w:t>3</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14,225.40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14,225.40</w:t>
            </w:r>
          </w:p>
        </w:tc>
      </w:tr>
    </w:tbl>
    <w:p>
      <w:pPr>
        <w:spacing w:line="240" w:lineRule="auto" w:before="3"/>
        <w:rPr>
          <w:rFonts w:ascii="宋体" w:hAnsi="宋体" w:cs="宋体" w:eastAsia="宋体" w:hint="default"/>
          <w:sz w:val="19"/>
          <w:szCs w:val="19"/>
        </w:rPr>
      </w:pPr>
    </w:p>
    <w:p>
      <w:pPr>
        <w:pStyle w:val="Heading3"/>
        <w:spacing w:line="240" w:lineRule="auto" w:before="36"/>
        <w:ind w:right="135"/>
        <w:jc w:val="left"/>
        <w:rPr>
          <w:b w:val="0"/>
          <w:bCs w:val="0"/>
        </w:rPr>
      </w:pPr>
      <w:r>
        <w:rPr/>
        <w:t>（</w:t>
      </w:r>
      <w:r>
        <w:rPr>
          <w:rFonts w:ascii="Times New Roman" w:hAnsi="Times New Roman" w:cs="Times New Roman" w:eastAsia="Times New Roman" w:hint="default"/>
        </w:rPr>
        <w:t>4</w:t>
      </w:r>
      <w:r>
        <w:rPr/>
        <w:t>）收到的其他与筹资活动有关的现金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银行承兑汇票保证金退回</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70,195,328.85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97,634,510.00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票据贴现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95,623,341.00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向关联方借款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165,818,669.85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105,134,510.00</w:t>
            </w:r>
          </w:p>
        </w:tc>
      </w:tr>
    </w:tbl>
    <w:p>
      <w:pPr>
        <w:spacing w:line="240" w:lineRule="auto" w:before="3"/>
        <w:rPr>
          <w:rFonts w:ascii="宋体" w:hAnsi="宋体" w:cs="宋体" w:eastAsia="宋体" w:hint="default"/>
          <w:sz w:val="19"/>
          <w:szCs w:val="19"/>
        </w:rPr>
      </w:pPr>
    </w:p>
    <w:p>
      <w:pPr>
        <w:pStyle w:val="Heading3"/>
        <w:spacing w:line="240" w:lineRule="auto" w:before="36"/>
        <w:ind w:right="135"/>
        <w:jc w:val="left"/>
        <w:rPr>
          <w:b w:val="0"/>
          <w:bCs w:val="0"/>
        </w:rPr>
      </w:pPr>
      <w:r>
        <w:rPr/>
        <w:t>（</w:t>
      </w:r>
      <w:r>
        <w:rPr>
          <w:rFonts w:ascii="Times New Roman" w:hAnsi="Times New Roman" w:cs="Times New Roman" w:eastAsia="Times New Roman" w:hint="default"/>
        </w:rPr>
        <w:t>5</w:t>
      </w:r>
      <w:r>
        <w:rPr/>
        <w:t>）支付的其他与筹资活动有关的现金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期末银行承兑保证金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145,868,114.99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70,195,328.85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向关联方还款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债券赎回手续费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174,868,114.99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78,706,228.85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r>
        <w:rPr/>
        <w:pict>
          <v:group style="position:absolute;margin-left:223.369995pt;margin-top:362.98999pt;width:151.25pt;height:40.8pt;mso-position-horizontal-relative:page;mso-position-vertical-relative:page;z-index:-818872" coordorigin="4467,7260" coordsize="3025,816">
            <v:group style="position:absolute;left:4478;top:7271;width:2;height:394" coordorigin="4478,7271" coordsize="2,394">
              <v:shape style="position:absolute;left:4478;top:7271;width:2;height:394" coordorigin="4478,7271" coordsize="0,394" path="m4478,7271l4478,7664e" filled="false" stroked="true" strokeweight="1.08pt" strokecolor="#ffffff">
                <v:path arrowok="t"/>
              </v:shape>
            </v:group>
            <v:group style="position:absolute;left:4489;top:7271;width:3003;height:394" coordorigin="4489,7271" coordsize="3003,394">
              <v:shape style="position:absolute;left:4489;top:7271;width:3003;height:394" coordorigin="4489,7271" coordsize="3003,394" path="m4489,7664l7492,7664,7492,7271,4489,7271,4489,7664xe" filled="true" fillcolor="#ffffff" stroked="false">
                <v:path arrowok="t"/>
                <v:fill type="solid"/>
              </v:shape>
            </v:group>
            <v:group style="position:absolute;left:4478;top:7674;width:2;height:392" coordorigin="4478,7674" coordsize="2,392">
              <v:shape style="position:absolute;left:4478;top:7674;width:2;height:392" coordorigin="4478,7674" coordsize="0,392" path="m4478,7674l4478,8065e" filled="false" stroked="true" strokeweight="1.08pt" strokecolor="#ffffff">
                <v:path arrowok="t"/>
              </v:shape>
            </v:group>
            <v:group style="position:absolute;left:4489;top:7674;width:3003;height:392" coordorigin="4489,7674" coordsize="3003,392">
              <v:shape style="position:absolute;left:4489;top:7674;width:3003;height:392" coordorigin="4489,7674" coordsize="3003,392" path="m4489,8065l7492,8065,7492,7674,4489,7674,4489,8065xe" filled="true" fillcolor="#ffffff" stroked="false">
                <v:path arrowok="t"/>
                <v:fill type="solid"/>
              </v:shape>
            </v:group>
            <w10:wrap type="none"/>
          </v:group>
        </w:pict>
      </w:r>
    </w:p>
    <w:p>
      <w:pPr>
        <w:pStyle w:val="Heading3"/>
        <w:spacing w:line="240" w:lineRule="auto" w:before="36"/>
        <w:ind w:right="135"/>
        <w:jc w:val="left"/>
        <w:rPr>
          <w:b w:val="0"/>
          <w:bCs w:val="0"/>
        </w:rPr>
      </w:pPr>
      <w:r>
        <w:rPr>
          <w:rFonts w:ascii="Times New Roman" w:hAnsi="Times New Roman" w:cs="Times New Roman" w:eastAsia="Times New Roman" w:hint="default"/>
        </w:rPr>
        <w:t>50</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35"/>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1054"/>
        <w:gridCol w:w="2015"/>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333,454,183.37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263,707,934.53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54,618,185.31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40,006,742.59</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27,276,071.34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44,936,813.87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702,835.61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801,759.55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2,246,274.32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965,939.44</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9,327.73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18,247,614.92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8,423,579.57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4"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80" w:right="0"/>
              <w:jc w:val="left"/>
              <w:rPr>
                <w:rFonts w:ascii="Times New Roman" w:hAnsi="Times New Roman" w:cs="Times New Roman" w:eastAsia="Times New Roman" w:hint="default"/>
                <w:sz w:val="18"/>
                <w:szCs w:val="18"/>
              </w:rPr>
            </w:pPr>
            <w:r>
              <w:rPr>
                <w:rFonts w:ascii="Times New Roman"/>
                <w:sz w:val="18"/>
              </w:rPr>
              <w:t>-5,976,483.54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-14,612,555.26</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-450,201.18</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707" w:right="0"/>
              <w:jc w:val="left"/>
              <w:rPr>
                <w:rFonts w:ascii="Times New Roman" w:hAnsi="Times New Roman" w:cs="Times New Roman" w:eastAsia="Times New Roman" w:hint="default"/>
                <w:sz w:val="18"/>
                <w:szCs w:val="18"/>
              </w:rPr>
            </w:pPr>
            <w:r>
              <w:rPr>
                <w:rFonts w:ascii="Times New Roman"/>
                <w:sz w:val="18"/>
              </w:rPr>
              <w:t>-1,449,235,931.28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-206,870,681.56</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2" w:right="0"/>
              <w:jc w:val="left"/>
              <w:rPr>
                <w:rFonts w:ascii="Times New Roman" w:hAnsi="Times New Roman" w:cs="Times New Roman" w:eastAsia="Times New Roman" w:hint="default"/>
                <w:sz w:val="18"/>
                <w:szCs w:val="18"/>
              </w:rPr>
            </w:pPr>
            <w:r>
              <w:rPr>
                <w:rFonts w:ascii="Times New Roman"/>
                <w:sz w:val="18"/>
              </w:rPr>
              <w:t>538,182,933.77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-703,960,884.30</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2" w:right="0"/>
              <w:jc w:val="left"/>
              <w:rPr>
                <w:rFonts w:ascii="Times New Roman" w:hAnsi="Times New Roman" w:cs="Times New Roman" w:eastAsia="Times New Roman" w:hint="default"/>
                <w:sz w:val="18"/>
                <w:szCs w:val="18"/>
              </w:rPr>
            </w:pPr>
            <w:r>
              <w:rPr>
                <w:rFonts w:ascii="Times New Roman"/>
                <w:sz w:val="18"/>
              </w:rPr>
              <w:t>348,681,274.83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379,677,445.13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4,086,859.23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5,410,734.16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842" w:right="0"/>
              <w:jc w:val="left"/>
              <w:rPr>
                <w:rFonts w:ascii="Times New Roman" w:hAnsi="Times New Roman" w:cs="Times New Roman" w:eastAsia="Times New Roman" w:hint="default"/>
                <w:sz w:val="18"/>
                <w:szCs w:val="18"/>
              </w:rPr>
            </w:pPr>
            <w:r>
              <w:rPr>
                <w:rFonts w:ascii="Times New Roman"/>
                <w:sz w:val="18"/>
              </w:rPr>
              <w:t>-127,716,182.12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-181,954,045.73</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136,965,581.20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98,638,228.62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98,638,228.62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315,702,505.18</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38,327,352.58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-217,064,276.56</w:t>
            </w:r>
          </w:p>
        </w:tc>
      </w:tr>
    </w:tbl>
    <w:p>
      <w:pPr>
        <w:spacing w:line="240" w:lineRule="auto" w:before="3"/>
        <w:rPr>
          <w:rFonts w:ascii="宋体" w:hAnsi="宋体" w:cs="宋体" w:eastAsia="宋体" w:hint="default"/>
          <w:sz w:val="19"/>
          <w:szCs w:val="19"/>
        </w:rPr>
      </w:pPr>
    </w:p>
    <w:p>
      <w:pPr>
        <w:pStyle w:val="Heading3"/>
        <w:spacing w:line="240" w:lineRule="auto" w:before="36"/>
        <w:ind w:right="135"/>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136,965,581.20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98,638,228.62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6"/>
        <w:gridCol w:w="3058"/>
        <w:gridCol w:w="3185"/>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275,061.18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431,215.39</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136,690,520.02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98,207,013.23</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136,965,581.20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98,638,228.62</w:t>
            </w:r>
          </w:p>
        </w:tc>
      </w:tr>
    </w:tbl>
    <w:p>
      <w:pPr>
        <w:spacing w:line="240" w:lineRule="auto" w:before="3"/>
        <w:rPr>
          <w:rFonts w:ascii="宋体" w:hAnsi="宋体" w:cs="宋体" w:eastAsia="宋体" w:hint="default"/>
          <w:sz w:val="19"/>
          <w:szCs w:val="19"/>
        </w:rPr>
      </w:pPr>
    </w:p>
    <w:p>
      <w:pPr>
        <w:pStyle w:val="Heading3"/>
        <w:spacing w:line="240" w:lineRule="auto" w:before="36"/>
        <w:ind w:right="135"/>
        <w:jc w:val="left"/>
        <w:rPr>
          <w:b w:val="0"/>
          <w:bCs w:val="0"/>
        </w:rPr>
      </w:pPr>
      <w:r>
        <w:rPr>
          <w:rFonts w:ascii="Times New Roman" w:hAnsi="Times New Roman" w:cs="Times New Roman" w:eastAsia="Times New Roman" w:hint="default"/>
        </w:rPr>
        <w:t>51</w:t>
      </w:r>
      <w:r>
        <w:rPr/>
        <w:t>、所有权或使用权受到限制的资产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72,656,864.89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银行借款抵押物</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5,417,952.74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银行借款抵押物</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78,074,817.63</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35"/>
        <w:jc w:val="left"/>
        <w:rPr>
          <w:b w:val="0"/>
          <w:bCs w:val="0"/>
        </w:rPr>
      </w:pPr>
      <w:r>
        <w:rPr>
          <w:rFonts w:ascii="Times New Roman" w:hAnsi="Times New Roman" w:cs="Times New Roman" w:eastAsia="Times New Roman" w:hint="default"/>
        </w:rPr>
        <w:t>52</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35"/>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8"/>
              <w:jc w:val="right"/>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10,588,056.92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69,184,210.67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10,813.65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95"/>
              <w:jc w:val="right"/>
              <w:rPr>
                <w:rFonts w:ascii="Times New Roman" w:hAnsi="Times New Roman" w:cs="Times New Roman" w:eastAsia="Times New Roman" w:hint="default"/>
                <w:sz w:val="18"/>
                <w:szCs w:val="18"/>
              </w:rPr>
            </w:pPr>
            <w:r>
              <w:rPr>
                <w:rFonts w:ascii="Times New Roman"/>
                <w:spacing w:val="-1"/>
                <w:sz w:val="18"/>
              </w:rPr>
              <w:t>0.83591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9,039.24</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16,601.18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4.8831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81,065.22</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印尼盾</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33,507,906,899.92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51"/>
              <w:jc w:val="right"/>
              <w:rPr>
                <w:rFonts w:ascii="Times New Roman" w:hAnsi="Times New Roman" w:cs="Times New Roman" w:eastAsia="Times New Roman" w:hint="default"/>
                <w:sz w:val="18"/>
                <w:szCs w:val="18"/>
              </w:rPr>
            </w:pPr>
            <w:r>
              <w:rPr>
                <w:rFonts w:ascii="Times New Roman"/>
                <w:spacing w:val="-1"/>
                <w:sz w:val="18"/>
              </w:rPr>
              <w:t>0.000482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16,150,811.13</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兰特</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86,139.07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0.5277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45,455.59</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8" w:right="0"/>
              <w:jc w:val="left"/>
              <w:rPr>
                <w:rFonts w:ascii="宋体" w:hAnsi="宋体" w:cs="宋体" w:eastAsia="宋体" w:hint="default"/>
                <w:sz w:val="18"/>
                <w:szCs w:val="18"/>
              </w:rPr>
            </w:pPr>
            <w:r>
              <w:rPr>
                <w:rFonts w:ascii="宋体" w:hAnsi="宋体" w:cs="宋体" w:eastAsia="宋体" w:hint="default"/>
                <w:sz w:val="18"/>
                <w:szCs w:val="18"/>
              </w:rPr>
              <w:t>菲律宾比索</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496,915.05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51"/>
              <w:jc w:val="right"/>
              <w:rPr>
                <w:rFonts w:ascii="Times New Roman" w:hAnsi="Times New Roman" w:cs="Times New Roman" w:eastAsia="Times New Roman" w:hint="default"/>
                <w:sz w:val="18"/>
                <w:szCs w:val="18"/>
              </w:rPr>
            </w:pPr>
            <w:r>
              <w:rPr>
                <w:rFonts w:ascii="Times New Roman"/>
                <w:spacing w:val="-1"/>
                <w:sz w:val="18"/>
              </w:rPr>
              <w:t>0.130886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65,039.22</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67,590.01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441,646.64</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印尼盾</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344,655,499,468.34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51"/>
              <w:jc w:val="right"/>
              <w:rPr>
                <w:rFonts w:ascii="Times New Roman" w:hAnsi="Times New Roman" w:cs="Times New Roman" w:eastAsia="Times New Roman" w:hint="default"/>
                <w:sz w:val="18"/>
                <w:szCs w:val="18"/>
              </w:rPr>
            </w:pPr>
            <w:r>
              <w:rPr>
                <w:rFonts w:ascii="Times New Roman"/>
                <w:spacing w:val="-1"/>
                <w:sz w:val="18"/>
              </w:rPr>
              <w:t>0.000482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166,123,950.74</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其中：印尼盾</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51"/>
              <w:jc w:val="right"/>
              <w:rPr>
                <w:rFonts w:ascii="Times New Roman" w:hAnsi="Times New Roman" w:cs="Times New Roman" w:eastAsia="Times New Roman" w:hint="default"/>
                <w:sz w:val="18"/>
                <w:szCs w:val="18"/>
              </w:rPr>
            </w:pPr>
            <w:r>
              <w:rPr>
                <w:rFonts w:ascii="Times New Roman"/>
                <w:spacing w:val="-1"/>
                <w:sz w:val="18"/>
              </w:rPr>
              <w:t>0.000482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7,230,000.00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其中：印尼盾</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23,789,319,135.03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51"/>
              <w:jc w:val="right"/>
              <w:rPr>
                <w:rFonts w:ascii="Times New Roman" w:hAnsi="Times New Roman" w:cs="Times New Roman" w:eastAsia="Times New Roman" w:hint="default"/>
                <w:sz w:val="18"/>
                <w:szCs w:val="18"/>
              </w:rPr>
            </w:pPr>
            <w:r>
              <w:rPr>
                <w:rFonts w:ascii="Times New Roman"/>
                <w:spacing w:val="-1"/>
                <w:sz w:val="18"/>
              </w:rPr>
              <w:t>0.000482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11,466,451.82</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144,405.82</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印尼盾</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2,840,731,649.42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51"/>
              <w:jc w:val="right"/>
              <w:rPr>
                <w:rFonts w:ascii="Times New Roman" w:hAnsi="Times New Roman" w:cs="Times New Roman" w:eastAsia="Times New Roman" w:hint="default"/>
                <w:sz w:val="18"/>
                <w:szCs w:val="18"/>
              </w:rPr>
            </w:pPr>
            <w:r>
              <w:rPr>
                <w:rFonts w:ascii="Times New Roman"/>
                <w:spacing w:val="-1"/>
                <w:sz w:val="18"/>
              </w:rPr>
              <w:t>0.000482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1,369,232.66</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兰特</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13,218.30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0.5277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6,975.30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224,380.79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43" w:right="0"/>
              <w:jc w:val="left"/>
              <w:rPr>
                <w:rFonts w:ascii="Times New Roman" w:hAnsi="Times New Roman" w:cs="Times New Roman" w:eastAsia="Times New Roman" w:hint="default"/>
                <w:sz w:val="18"/>
                <w:szCs w:val="18"/>
              </w:rPr>
            </w:pPr>
            <w:r>
              <w:rPr>
                <w:rFonts w:ascii="Times New Roman"/>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1,466,148.96</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90,639.19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3" w:right="0"/>
              <w:jc w:val="left"/>
              <w:rPr>
                <w:rFonts w:ascii="Times New Roman" w:hAnsi="Times New Roman" w:cs="Times New Roman" w:eastAsia="Times New Roman" w:hint="default"/>
                <w:sz w:val="18"/>
                <w:szCs w:val="18"/>
              </w:rPr>
            </w:pPr>
            <w:r>
              <w:rPr>
                <w:rFonts w:ascii="Times New Roman"/>
                <w:sz w:val="18"/>
              </w:rPr>
              <w:t>4.8831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442,600.23</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44,130.00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97" w:right="0"/>
              <w:jc w:val="left"/>
              <w:rPr>
                <w:rFonts w:ascii="Times New Roman" w:hAnsi="Times New Roman" w:cs="Times New Roman" w:eastAsia="Times New Roman" w:hint="default"/>
                <w:sz w:val="18"/>
                <w:szCs w:val="18"/>
              </w:rPr>
            </w:pPr>
            <w:r>
              <w:rPr>
                <w:rFonts w:ascii="Times New Roman"/>
                <w:sz w:val="18"/>
              </w:rPr>
              <w:t>0.83591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36,888.71</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兰特</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3" w:right="0"/>
              <w:jc w:val="left"/>
              <w:rPr>
                <w:rFonts w:ascii="Times New Roman" w:hAnsi="Times New Roman" w:cs="Times New Roman" w:eastAsia="Times New Roman" w:hint="default"/>
                <w:sz w:val="18"/>
                <w:szCs w:val="18"/>
              </w:rPr>
            </w:pPr>
            <w:r>
              <w:rPr>
                <w:rFonts w:ascii="Times New Roman"/>
                <w:sz w:val="18"/>
              </w:rPr>
              <w:t>0.5277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370.55</w:t>
            </w:r>
          </w:p>
        </w:tc>
      </w:tr>
    </w:tbl>
    <w:p>
      <w:pPr>
        <w:spacing w:line="240" w:lineRule="auto" w:before="3"/>
        <w:rPr>
          <w:rFonts w:ascii="宋体" w:hAnsi="宋体" w:cs="宋体" w:eastAsia="宋体" w:hint="default"/>
          <w:sz w:val="19"/>
          <w:szCs w:val="19"/>
        </w:rPr>
      </w:pPr>
    </w:p>
    <w:p>
      <w:pPr>
        <w:pStyle w:val="Heading3"/>
        <w:spacing w:line="256" w:lineRule="auto" w:before="36"/>
        <w:ind w:right="452"/>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4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2907"/>
        <w:gridCol w:w="5216"/>
        <w:gridCol w:w="2211"/>
      </w:tblGrid>
      <w:tr>
        <w:trPr>
          <w:trHeight w:val="348" w:hRule="exact"/>
        </w:trPr>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企业名称</w:t>
            </w:r>
          </w:p>
        </w:tc>
        <w:tc>
          <w:tcPr>
            <w:tcW w:w="5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经营地址</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记账本位币</w:t>
            </w:r>
          </w:p>
        </w:tc>
      </w:tr>
      <w:tr>
        <w:trPr>
          <w:trHeight w:val="660" w:hRule="exact"/>
        </w:trPr>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PT. CIS</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Resources</w:t>
            </w:r>
            <w:r>
              <w:rPr>
                <w:rFonts w:ascii="宋体" w:hAnsi="宋体" w:cs="宋体" w:eastAsia="宋体" w:hint="default"/>
                <w:sz w:val="18"/>
                <w:szCs w:val="18"/>
              </w:rPr>
              <w:t>（恒顺印尼中加煤 矿有限公司）</w:t>
            </w:r>
          </w:p>
        </w:tc>
        <w:tc>
          <w:tcPr>
            <w:tcW w:w="5216"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0"/>
              <w:ind w:left="4" w:right="2"/>
              <w:jc w:val="left"/>
              <w:rPr>
                <w:rFonts w:ascii="Times New Roman" w:hAnsi="Times New Roman" w:cs="Times New Roman" w:eastAsia="Times New Roman" w:hint="default"/>
                <w:sz w:val="18"/>
                <w:szCs w:val="18"/>
              </w:rPr>
            </w:pPr>
            <w:r>
              <w:rPr>
                <w:rFonts w:ascii="Times New Roman"/>
                <w:sz w:val="18"/>
              </w:rPr>
              <w:t>Jl. A. Yani KM 5.7, Komplek Banjar Indah Permai No.54 RT.064,</w:t>
            </w:r>
            <w:r>
              <w:rPr>
                <w:rFonts w:ascii="Times New Roman"/>
                <w:spacing w:val="21"/>
                <w:sz w:val="18"/>
              </w:rPr>
              <w:t> </w:t>
            </w:r>
            <w:r>
              <w:rPr>
                <w:rFonts w:ascii="Times New Roman"/>
                <w:sz w:val="18"/>
              </w:rPr>
              <w:t>Kel.</w:t>
            </w:r>
            <w:r>
              <w:rPr>
                <w:rFonts w:ascii="Times New Roman"/>
                <w:sz w:val="18"/>
              </w:rPr>
              <w:t> Pemurus Dalam, Banjarmasin</w:t>
            </w:r>
            <w:r>
              <w:rPr>
                <w:rFonts w:ascii="Times New Roman"/>
                <w:spacing w:val="-5"/>
                <w:sz w:val="18"/>
              </w:rPr>
              <w:t> </w:t>
            </w:r>
            <w:r>
              <w:rPr>
                <w:rFonts w:ascii="Times New Roman"/>
                <w:sz w:val="18"/>
              </w:rPr>
              <w:t>70248</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印尼盾</w:t>
            </w:r>
          </w:p>
        </w:tc>
      </w:tr>
      <w:tr>
        <w:trPr>
          <w:trHeight w:val="658" w:hRule="exact"/>
        </w:trPr>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W</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&amp;</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H</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Brothers</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pacing w:val="-4"/>
                <w:sz w:val="18"/>
                <w:szCs w:val="18"/>
              </w:rPr>
              <w:t>Mining</w:t>
            </w:r>
            <w:r>
              <w:rPr>
                <w:rFonts w:ascii="宋体" w:hAnsi="宋体" w:cs="宋体" w:eastAsia="宋体" w:hint="default"/>
                <w:spacing w:val="-4"/>
                <w:sz w:val="18"/>
                <w:szCs w:val="18"/>
              </w:rPr>
              <w:t>（恒顺印尼</w:t>
            </w:r>
            <w:r>
              <w:rPr>
                <w:rFonts w:ascii="宋体" w:hAnsi="宋体" w:cs="宋体" w:eastAsia="宋体" w:hint="default"/>
                <w:sz w:val="18"/>
                <w:szCs w:val="18"/>
              </w:rPr>
              <w:t> 兄弟矿业有限公司）</w:t>
            </w:r>
          </w:p>
        </w:tc>
        <w:tc>
          <w:tcPr>
            <w:tcW w:w="5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Menara Prima 2 Lt.20, Mega Kuningan, Jakarta</w:t>
            </w:r>
            <w:r>
              <w:rPr>
                <w:rFonts w:ascii="Times New Roman"/>
                <w:spacing w:val="-21"/>
                <w:sz w:val="18"/>
              </w:rPr>
              <w:t> </w:t>
            </w:r>
            <w:r>
              <w:rPr>
                <w:rFonts w:ascii="Times New Roman"/>
                <w:sz w:val="18"/>
              </w:rPr>
              <w:t>Selatan.12950</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印尼盾</w:t>
            </w:r>
          </w:p>
        </w:tc>
      </w:tr>
      <w:tr>
        <w:trPr>
          <w:trHeight w:val="660" w:hRule="exact"/>
        </w:trPr>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PT. Kutal Nyala</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Resources</w:t>
            </w:r>
            <w:r>
              <w:rPr>
                <w:rFonts w:ascii="宋体" w:hAnsi="宋体" w:cs="宋体" w:eastAsia="宋体" w:hint="default"/>
                <w:sz w:val="18"/>
                <w:szCs w:val="18"/>
              </w:rPr>
              <w:t>（恒顺印尼 东加码头有限公司）</w:t>
            </w:r>
          </w:p>
        </w:tc>
        <w:tc>
          <w:tcPr>
            <w:tcW w:w="5216"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2"/>
              <w:ind w:left="4" w:right="1"/>
              <w:jc w:val="left"/>
              <w:rPr>
                <w:rFonts w:ascii="Times New Roman" w:hAnsi="Times New Roman" w:cs="Times New Roman" w:eastAsia="Times New Roman" w:hint="default"/>
                <w:sz w:val="18"/>
                <w:szCs w:val="18"/>
              </w:rPr>
            </w:pPr>
            <w:r>
              <w:rPr>
                <w:rFonts w:ascii="Times New Roman"/>
                <w:sz w:val="18"/>
              </w:rPr>
              <w:t>Jl. HAM Rifadin, Grand Taman Sari Blok C2 No.1&amp;2, Harapan</w:t>
            </w:r>
            <w:r>
              <w:rPr>
                <w:rFonts w:ascii="Times New Roman"/>
                <w:spacing w:val="39"/>
                <w:sz w:val="18"/>
              </w:rPr>
              <w:t> </w:t>
            </w:r>
            <w:r>
              <w:rPr>
                <w:rFonts w:ascii="Times New Roman"/>
                <w:sz w:val="18"/>
              </w:rPr>
              <w:t>Baru,</w:t>
            </w:r>
            <w:r>
              <w:rPr>
                <w:rFonts w:ascii="Times New Roman"/>
                <w:w w:val="99"/>
                <w:sz w:val="18"/>
              </w:rPr>
              <w:t> </w:t>
            </w:r>
            <w:r>
              <w:rPr>
                <w:rFonts w:ascii="Times New Roman"/>
                <w:sz w:val="18"/>
              </w:rPr>
              <w:t>Samarinda Seberang, Kalimantan</w:t>
            </w:r>
            <w:r>
              <w:rPr>
                <w:rFonts w:ascii="Times New Roman"/>
                <w:spacing w:val="-14"/>
                <w:sz w:val="18"/>
              </w:rPr>
              <w:t> </w:t>
            </w:r>
            <w:r>
              <w:rPr>
                <w:rFonts w:ascii="Times New Roman"/>
                <w:sz w:val="18"/>
              </w:rPr>
              <w:t>Timur</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印尼盾</w:t>
            </w:r>
          </w:p>
        </w:tc>
      </w:tr>
      <w:tr>
        <w:trPr>
          <w:trHeight w:val="658" w:hRule="exact"/>
        </w:trPr>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Transon</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Bumindo</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Resources</w:t>
            </w:r>
            <w:r>
              <w:rPr>
                <w:rFonts w:ascii="宋体" w:hAnsi="宋体" w:cs="宋体" w:eastAsia="宋体" w:hint="default"/>
                <w:sz w:val="18"/>
                <w:szCs w:val="18"/>
              </w:rPr>
              <w:t>（恒顺 印尼资源有限公司）</w:t>
            </w:r>
          </w:p>
        </w:tc>
        <w:tc>
          <w:tcPr>
            <w:tcW w:w="5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Menara Prima 2 Lt.20, Mega Kuningan, Jakarta</w:t>
            </w:r>
            <w:r>
              <w:rPr>
                <w:rFonts w:ascii="Times New Roman"/>
                <w:spacing w:val="-21"/>
                <w:sz w:val="18"/>
              </w:rPr>
              <w:t> </w:t>
            </w:r>
            <w:r>
              <w:rPr>
                <w:rFonts w:ascii="Times New Roman"/>
                <w:sz w:val="18"/>
              </w:rPr>
              <w:t>Selatan.12950</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印尼盾</w:t>
            </w:r>
          </w:p>
        </w:tc>
      </w:tr>
      <w:tr>
        <w:trPr>
          <w:trHeight w:val="660" w:hRule="exact"/>
        </w:trPr>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Shiny Kindness International</w:t>
            </w:r>
            <w:r>
              <w:rPr>
                <w:rFonts w:ascii="Times New Roman"/>
                <w:spacing w:val="-8"/>
                <w:sz w:val="18"/>
              </w:rPr>
              <w:t> </w:t>
            </w:r>
            <w:r>
              <w:rPr>
                <w:rFonts w:ascii="Times New Roman"/>
                <w:sz w:val="18"/>
              </w:rPr>
              <w:t>Limited</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（恒顺香港泽善国际有限公司）</w:t>
            </w:r>
          </w:p>
        </w:tc>
        <w:tc>
          <w:tcPr>
            <w:tcW w:w="5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Room B,10/F.,Tower A,Billion Centre,1 Wang</w:t>
            </w:r>
            <w:r>
              <w:rPr>
                <w:rFonts w:ascii="Times New Roman"/>
                <w:spacing w:val="-12"/>
                <w:sz w:val="18"/>
              </w:rPr>
              <w:t> </w:t>
            </w:r>
            <w:r>
              <w:rPr>
                <w:rFonts w:ascii="Times New Roman"/>
                <w:sz w:val="18"/>
              </w:rPr>
              <w:t>Kwong</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港币</w:t>
            </w:r>
          </w:p>
        </w:tc>
      </w:tr>
      <w:tr>
        <w:trPr>
          <w:trHeight w:val="970" w:hRule="exact"/>
        </w:trPr>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6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H&amp;Shun International</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Holdings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2"/>
                <w:sz w:val="18"/>
                <w:szCs w:val="18"/>
              </w:rPr>
              <w:t>Pte.Ltd.</w:t>
            </w:r>
            <w:r>
              <w:rPr>
                <w:rFonts w:ascii="宋体" w:hAnsi="宋体" w:cs="宋体" w:eastAsia="宋体" w:hint="default"/>
                <w:spacing w:val="-2"/>
                <w:sz w:val="18"/>
                <w:szCs w:val="18"/>
              </w:rPr>
              <w:t>（恒顺新加坡国际控股有限公</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司）</w:t>
            </w:r>
          </w:p>
        </w:tc>
        <w:tc>
          <w:tcPr>
            <w:tcW w:w="5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24 Ean Kiam Place Singapore</w:t>
            </w:r>
            <w:r>
              <w:rPr>
                <w:rFonts w:ascii="Times New Roman"/>
                <w:spacing w:val="-10"/>
                <w:sz w:val="18"/>
              </w:rPr>
              <w:t> </w:t>
            </w:r>
            <w:r>
              <w:rPr>
                <w:rFonts w:ascii="Times New Roman"/>
                <w:sz w:val="18"/>
              </w:rPr>
              <w:t>(429115)</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新加坡元</w:t>
            </w:r>
          </w:p>
        </w:tc>
      </w:tr>
      <w:tr>
        <w:trPr>
          <w:trHeight w:val="660" w:hRule="exact"/>
        </w:trPr>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7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PT.Bumi </w:t>
            </w:r>
            <w:r>
              <w:rPr>
                <w:rFonts w:ascii="宋体" w:hAnsi="宋体" w:cs="宋体" w:eastAsia="宋体" w:hint="default"/>
                <w:sz w:val="18"/>
                <w:szCs w:val="18"/>
              </w:rPr>
              <w:t>Ｍ</w:t>
            </w:r>
            <w:r>
              <w:rPr>
                <w:rFonts w:ascii="Times New Roman" w:hAnsi="Times New Roman" w:cs="Times New Roman" w:eastAsia="Times New Roman" w:hint="default"/>
                <w:sz w:val="18"/>
                <w:szCs w:val="18"/>
              </w:rPr>
              <w:t>orowali</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Ｕ</w:t>
            </w:r>
            <w:r>
              <w:rPr>
                <w:rFonts w:ascii="Times New Roman" w:hAnsi="Times New Roman" w:cs="Times New Roman" w:eastAsia="Times New Roman" w:hint="default"/>
                <w:sz w:val="18"/>
                <w:szCs w:val="18"/>
              </w:rPr>
              <w:t>tama(</w:t>
            </w:r>
            <w:r>
              <w:rPr>
                <w:rFonts w:ascii="宋体" w:hAnsi="宋体" w:cs="宋体" w:eastAsia="宋体" w:hint="default"/>
                <w:sz w:val="18"/>
                <w:szCs w:val="18"/>
              </w:rPr>
              <w:t>恒顺印尼 中苏镍矿有限公司</w:t>
            </w:r>
            <w:r>
              <w:rPr>
                <w:rFonts w:ascii="Times New Roman" w:hAnsi="Times New Roman" w:cs="Times New Roman" w:eastAsia="Times New Roman" w:hint="default"/>
                <w:sz w:val="18"/>
                <w:szCs w:val="18"/>
              </w:rPr>
              <w:t>)</w:t>
            </w:r>
          </w:p>
        </w:tc>
        <w:tc>
          <w:tcPr>
            <w:tcW w:w="5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Menara Prima 2 Lt.20, Mega Kuningan, Jakarta</w:t>
            </w:r>
            <w:r>
              <w:rPr>
                <w:rFonts w:ascii="Times New Roman"/>
                <w:spacing w:val="-21"/>
                <w:sz w:val="18"/>
              </w:rPr>
              <w:t> </w:t>
            </w:r>
            <w:r>
              <w:rPr>
                <w:rFonts w:ascii="Times New Roman"/>
                <w:sz w:val="18"/>
              </w:rPr>
              <w:t>Selatan.12950</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印尼盾</w:t>
            </w:r>
          </w:p>
        </w:tc>
      </w:tr>
      <w:tr>
        <w:trPr>
          <w:trHeight w:val="972" w:hRule="exact"/>
        </w:trPr>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60"/>
              <w:ind w:left="4" w:right="126"/>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Heng Shun Tian Cheng EPC Pte.</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Ltd.</w:t>
            </w:r>
            <w:r>
              <w:rPr>
                <w:rFonts w:ascii="Times New Roman" w:hAnsi="Times New Roman" w:cs="Times New Roman" w:eastAsia="Times New Roman" w:hint="default"/>
                <w:sz w:val="18"/>
                <w:szCs w:val="18"/>
              </w:rPr>
              <w:t> (</w:t>
            </w:r>
            <w:r>
              <w:rPr>
                <w:rFonts w:ascii="宋体" w:hAnsi="宋体" w:cs="宋体" w:eastAsia="宋体" w:hint="default"/>
                <w:sz w:val="18"/>
                <w:szCs w:val="18"/>
              </w:rPr>
              <w:t>恒顺新加坡天成工程总承包有限公 司</w:t>
            </w:r>
            <w:r>
              <w:rPr>
                <w:rFonts w:ascii="Times New Roman" w:hAnsi="Times New Roman" w:cs="Times New Roman" w:eastAsia="Times New Roman" w:hint="default"/>
                <w:sz w:val="18"/>
                <w:szCs w:val="18"/>
              </w:rPr>
              <w:t>)</w:t>
            </w:r>
          </w:p>
        </w:tc>
        <w:tc>
          <w:tcPr>
            <w:tcW w:w="5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24 Ean Kiam Place Singapore</w:t>
            </w:r>
            <w:r>
              <w:rPr>
                <w:rFonts w:ascii="Times New Roman"/>
                <w:spacing w:val="-10"/>
                <w:sz w:val="18"/>
              </w:rPr>
              <w:t> </w:t>
            </w:r>
            <w:r>
              <w:rPr>
                <w:rFonts w:ascii="Times New Roman"/>
                <w:sz w:val="18"/>
              </w:rPr>
              <w:t>(429115)</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新加坡元</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before="26"/>
        <w:ind w:right="452"/>
        <w:jc w:val="left"/>
        <w:rPr>
          <w:b w:val="0"/>
          <w:bCs w:val="0"/>
        </w:rPr>
      </w:pP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452"/>
        <w:jc w:val="left"/>
        <w:rPr>
          <w:b w:val="0"/>
          <w:bCs w:val="0"/>
        </w:rPr>
      </w:pPr>
      <w:r>
        <w:rPr>
          <w:rFonts w:ascii="Times New Roman" w:hAnsi="Times New Roman" w:cs="Times New Roman" w:eastAsia="Times New Roman" w:hint="default"/>
        </w:rPr>
        <w:t>1</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52"/>
        <w:jc w:val="left"/>
      </w:pPr>
      <w:r>
        <w:rPr/>
        <w:t>说明其他原因导致的合并范围变动（如，新设子公司、清算子公司等）及其相关情况：</w:t>
      </w:r>
    </w:p>
    <w:p>
      <w:pPr>
        <w:pStyle w:val="BodyText"/>
        <w:spacing w:line="300" w:lineRule="auto" w:before="117"/>
        <w:ind w:right="452"/>
        <w:jc w:val="left"/>
      </w:pPr>
      <w:r>
        <w:rPr/>
        <w:t>报告期内公司投资设立</w:t>
      </w:r>
      <w:r>
        <w:rPr>
          <w:rFonts w:ascii="Times New Roman" w:hAnsi="Times New Roman" w:cs="Times New Roman" w:eastAsia="Times New Roman" w:hint="default"/>
        </w:rPr>
        <w:t>Philippines</w:t>
      </w:r>
      <w:r>
        <w:rPr>
          <w:rFonts w:ascii="Times New Roman" w:hAnsi="Times New Roman" w:cs="Times New Roman" w:eastAsia="Times New Roman" w:hint="default"/>
          <w:spacing w:val="-11"/>
        </w:rPr>
        <w:t> </w:t>
      </w:r>
      <w:r>
        <w:rPr>
          <w:rFonts w:ascii="Times New Roman" w:hAnsi="Times New Roman" w:cs="Times New Roman" w:eastAsia="Times New Roman" w:hint="default"/>
        </w:rPr>
        <w:t>Qian</w:t>
      </w:r>
      <w:r>
        <w:rPr>
          <w:rFonts w:ascii="Times New Roman" w:hAnsi="Times New Roman" w:cs="Times New Roman" w:eastAsia="Times New Roman" w:hint="default"/>
          <w:spacing w:val="-9"/>
        </w:rPr>
        <w:t> </w:t>
      </w:r>
      <w:r>
        <w:rPr>
          <w:rFonts w:ascii="Times New Roman" w:hAnsi="Times New Roman" w:cs="Times New Roman" w:eastAsia="Times New Roman" w:hint="default"/>
        </w:rPr>
        <w:t>Jia</w:t>
      </w:r>
      <w:r>
        <w:rPr>
          <w:rFonts w:ascii="Times New Roman" w:hAnsi="Times New Roman" w:cs="Times New Roman" w:eastAsia="Times New Roman" w:hint="default"/>
          <w:spacing w:val="-11"/>
        </w:rPr>
        <w:t> </w:t>
      </w:r>
      <w:r>
        <w:rPr>
          <w:rFonts w:ascii="Times New Roman" w:hAnsi="Times New Roman" w:cs="Times New Roman" w:eastAsia="Times New Roman" w:hint="default"/>
        </w:rPr>
        <w:t>Services</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3"/>
        </w:rPr>
        <w:t>Incorporated</w:t>
      </w:r>
      <w:r>
        <w:rPr>
          <w:spacing w:val="-3"/>
        </w:rPr>
        <w:t>（菲律宾乾嘉服务公司）、</w:t>
      </w:r>
      <w:r>
        <w:rPr>
          <w:rFonts w:ascii="Times New Roman" w:hAnsi="Times New Roman" w:cs="Times New Roman" w:eastAsia="Times New Roman" w:hint="default"/>
          <w:spacing w:val="-3"/>
        </w:rPr>
        <w:t>H&amp;Shun</w:t>
      </w:r>
      <w:r>
        <w:rPr>
          <w:rFonts w:ascii="Times New Roman" w:hAnsi="Times New Roman" w:cs="Times New Roman" w:eastAsia="Times New Roman" w:hint="default"/>
          <w:spacing w:val="-9"/>
        </w:rPr>
        <w:t> </w:t>
      </w:r>
      <w:r>
        <w:rPr>
          <w:rFonts w:ascii="Times New Roman" w:hAnsi="Times New Roman" w:cs="Times New Roman" w:eastAsia="Times New Roman" w:hint="default"/>
        </w:rPr>
        <w:t>International</w:t>
      </w:r>
      <w:r>
        <w:rPr>
          <w:rFonts w:ascii="Times New Roman" w:hAnsi="Times New Roman" w:cs="Times New Roman" w:eastAsia="Times New Roman" w:hint="default"/>
          <w:spacing w:val="-10"/>
        </w:rPr>
        <w:t> </w:t>
      </w:r>
      <w:r>
        <w:rPr>
          <w:rFonts w:ascii="Times New Roman" w:hAnsi="Times New Roman" w:cs="Times New Roman" w:eastAsia="Times New Roman" w:hint="default"/>
        </w:rPr>
        <w:t>Holdings</w:t>
      </w:r>
      <w:r>
        <w:rPr>
          <w:rFonts w:ascii="Times New Roman" w:hAnsi="Times New Roman" w:cs="Times New Roman" w:eastAsia="Times New Roman" w:hint="default"/>
          <w:spacing w:val="-11"/>
        </w:rPr>
        <w:t> </w:t>
      </w:r>
      <w:r>
        <w:rPr>
          <w:rFonts w:ascii="Times New Roman" w:hAnsi="Times New Roman" w:cs="Times New Roman" w:eastAsia="Times New Roman" w:hint="default"/>
        </w:rPr>
        <w:t>Hong</w:t>
      </w:r>
      <w:r>
        <w:rPr>
          <w:rFonts w:ascii="Times New Roman" w:hAnsi="Times New Roman" w:cs="Times New Roman" w:eastAsia="Times New Roman" w:hint="default"/>
        </w:rPr>
        <w:t> Kong</w:t>
      </w:r>
      <w:r>
        <w:rPr>
          <w:rFonts w:ascii="Times New Roman" w:hAnsi="Times New Roman" w:cs="Times New Roman" w:eastAsia="Times New Roman" w:hint="default"/>
          <w:spacing w:val="-14"/>
        </w:rPr>
        <w:t> </w:t>
      </w:r>
      <w:r>
        <w:rPr>
          <w:rFonts w:ascii="Times New Roman" w:hAnsi="Times New Roman" w:cs="Times New Roman" w:eastAsia="Times New Roman" w:hint="default"/>
        </w:rPr>
        <w:t>Limited</w:t>
      </w:r>
      <w:r>
        <w:rPr>
          <w:rFonts w:ascii="Times New Roman" w:hAnsi="Times New Roman" w:cs="Times New Roman" w:eastAsia="Times New Roman" w:hint="default"/>
          <w:spacing w:val="20"/>
        </w:rPr>
        <w:t> </w:t>
      </w:r>
      <w:r>
        <w:rPr/>
        <w:t>（恒顺（香港）国际控股有限公司）、</w:t>
      </w:r>
      <w:r>
        <w:rPr>
          <w:rFonts w:ascii="Times New Roman" w:hAnsi="Times New Roman" w:cs="Times New Roman" w:eastAsia="Times New Roman" w:hint="default"/>
        </w:rPr>
        <w:t>China</w:t>
      </w:r>
      <w:r>
        <w:rPr>
          <w:rFonts w:ascii="Times New Roman" w:hAnsi="Times New Roman" w:cs="Times New Roman" w:eastAsia="Times New Roman" w:hint="default"/>
          <w:spacing w:val="-13"/>
        </w:rPr>
        <w:t> </w:t>
      </w:r>
      <w:r>
        <w:rPr>
          <w:rFonts w:ascii="Times New Roman" w:hAnsi="Times New Roman" w:cs="Times New Roman" w:eastAsia="Times New Roman" w:hint="default"/>
        </w:rPr>
        <w:t>Africa</w:t>
      </w:r>
      <w:r>
        <w:rPr>
          <w:rFonts w:ascii="Times New Roman" w:hAnsi="Times New Roman" w:cs="Times New Roman" w:eastAsia="Times New Roman" w:hint="default"/>
          <w:spacing w:val="-13"/>
        </w:rPr>
        <w:t> </w:t>
      </w:r>
      <w:r>
        <w:rPr>
          <w:rFonts w:ascii="Times New Roman" w:hAnsi="Times New Roman" w:cs="Times New Roman" w:eastAsia="Times New Roman" w:hint="default"/>
        </w:rPr>
        <w:t>Cigarette</w:t>
      </w:r>
      <w:r>
        <w:rPr>
          <w:rFonts w:ascii="Times New Roman" w:hAnsi="Times New Roman" w:cs="Times New Roman" w:eastAsia="Times New Roman" w:hint="default"/>
          <w:spacing w:val="-13"/>
        </w:rPr>
        <w:t> </w:t>
      </w:r>
      <w:r>
        <w:rPr>
          <w:rFonts w:ascii="Times New Roman" w:hAnsi="Times New Roman" w:cs="Times New Roman" w:eastAsia="Times New Roman" w:hint="default"/>
        </w:rPr>
        <w:t>Company</w:t>
      </w:r>
      <w:r>
        <w:rPr>
          <w:rFonts w:ascii="Times New Roman" w:hAnsi="Times New Roman" w:cs="Times New Roman" w:eastAsia="Times New Roman" w:hint="default"/>
          <w:spacing w:val="-16"/>
        </w:rPr>
        <w:t> </w:t>
      </w:r>
      <w:r>
        <w:rPr>
          <w:rFonts w:ascii="Times New Roman" w:hAnsi="Times New Roman" w:cs="Times New Roman" w:eastAsia="Times New Roman" w:hint="default"/>
        </w:rPr>
        <w:t>(Private)</w:t>
      </w:r>
      <w:r>
        <w:rPr>
          <w:rFonts w:ascii="Times New Roman" w:hAnsi="Times New Roman" w:cs="Times New Roman" w:eastAsia="Times New Roman" w:hint="default"/>
          <w:spacing w:val="-11"/>
        </w:rPr>
        <w:t> </w:t>
      </w:r>
      <w:r>
        <w:rPr>
          <w:rFonts w:ascii="Times New Roman" w:hAnsi="Times New Roman" w:cs="Times New Roman" w:eastAsia="Times New Roman" w:hint="default"/>
        </w:rPr>
        <w:t>Limited</w:t>
      </w:r>
      <w:r>
        <w:rPr/>
        <w:t>（中非香烟有限公司）、</w:t>
      </w:r>
      <w:r>
        <w:rPr>
          <w:w w:val="99"/>
        </w:rPr>
        <w:t> </w:t>
      </w:r>
      <w:r>
        <w:rPr/>
        <w:t>青岛恒顺众昇电力工程技术研究院四个全资子公司，自设立之日起集团将其纳入合并范围。</w:t>
      </w:r>
    </w:p>
    <w:p>
      <w:pPr>
        <w:spacing w:after="0" w:line="300" w:lineRule="auto"/>
        <w:jc w:val="left"/>
        <w:sectPr>
          <w:pgSz w:w="11910" w:h="16840"/>
          <w:pgMar w:header="745" w:footer="979" w:top="1060" w:bottom="1160" w:left="980" w:right="320"/>
        </w:sectPr>
      </w:pPr>
    </w:p>
    <w:p>
      <w:pPr>
        <w:spacing w:line="240" w:lineRule="auto" w:before="8"/>
        <w:rPr>
          <w:rFonts w:ascii="宋体" w:hAnsi="宋体" w:cs="宋体" w:eastAsia="宋体" w:hint="default"/>
          <w:sz w:val="23"/>
          <w:szCs w:val="23"/>
        </w:rPr>
      </w:pPr>
    </w:p>
    <w:p>
      <w:pPr>
        <w:pStyle w:val="Heading2"/>
        <w:spacing w:line="240" w:lineRule="auto" w:before="26"/>
        <w:ind w:right="135"/>
        <w:jc w:val="left"/>
        <w:rPr>
          <w:b w:val="0"/>
          <w:bCs w:val="0"/>
        </w:rPr>
      </w:pP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35"/>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35"/>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青岛恒顺节能科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青岛市城阳区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青岛市城阳区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节能管理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西安恒顺电气科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西安市高新区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西安市高新区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技术服务与电力 设备、材料的销 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青岛恒川网络科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青岛市城阳区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青岛市城阳区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196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02"/>
              <w:jc w:val="left"/>
              <w:rPr>
                <w:rFonts w:ascii="Times New Roman" w:hAnsi="Times New Roman" w:cs="Times New Roman" w:eastAsia="Times New Roman" w:hint="default"/>
                <w:sz w:val="18"/>
                <w:szCs w:val="18"/>
              </w:rPr>
            </w:pPr>
            <w:r>
              <w:rPr>
                <w:rFonts w:ascii="Times New Roman"/>
                <w:sz w:val="18"/>
              </w:rPr>
              <w:t>H&amp;Shun International HoldingsPte.Ltd.</w:t>
            </w:r>
          </w:p>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（恒顺新加坡国</w:t>
            </w:r>
          </w:p>
          <w:p>
            <w:pPr>
              <w:pStyle w:val="TableParagraph"/>
              <w:spacing w:line="319" w:lineRule="auto" w:before="76"/>
              <w:ind w:left="24" w:right="255"/>
              <w:jc w:val="left"/>
              <w:rPr>
                <w:rFonts w:ascii="宋体" w:hAnsi="宋体" w:cs="宋体" w:eastAsia="宋体" w:hint="default"/>
                <w:sz w:val="18"/>
                <w:szCs w:val="18"/>
              </w:rPr>
            </w:pPr>
            <w:r>
              <w:rPr>
                <w:rFonts w:ascii="宋体" w:hAnsi="宋体" w:cs="宋体" w:eastAsia="宋体" w:hint="default"/>
                <w:sz w:val="18"/>
                <w:szCs w:val="18"/>
              </w:rPr>
              <w:t>际控股有限公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362" w:lineRule="auto"/>
              <w:ind w:left="23" w:right="168"/>
              <w:jc w:val="left"/>
              <w:rPr>
                <w:rFonts w:ascii="Times New Roman" w:hAnsi="Times New Roman" w:cs="Times New Roman" w:eastAsia="Times New Roman" w:hint="default"/>
                <w:sz w:val="18"/>
                <w:szCs w:val="18"/>
              </w:rPr>
            </w:pPr>
            <w:r>
              <w:rPr>
                <w:rFonts w:ascii="Times New Roman"/>
                <w:sz w:val="18"/>
              </w:rPr>
              <w:t>24Ean</w:t>
            </w:r>
            <w:r>
              <w:rPr>
                <w:rFonts w:ascii="Times New Roman"/>
                <w:spacing w:val="-2"/>
                <w:sz w:val="18"/>
              </w:rPr>
              <w:t> </w:t>
            </w:r>
            <w:r>
              <w:rPr>
                <w:rFonts w:ascii="Times New Roman"/>
                <w:sz w:val="18"/>
              </w:rPr>
              <w:t>Kiam</w:t>
            </w:r>
            <w:r>
              <w:rPr>
                <w:rFonts w:ascii="Times New Roman"/>
                <w:sz w:val="18"/>
              </w:rPr>
              <w:t> Place</w:t>
            </w:r>
            <w:r>
              <w:rPr>
                <w:rFonts w:ascii="Times New Roman"/>
                <w:spacing w:val="-3"/>
                <w:sz w:val="18"/>
              </w:rPr>
              <w:t> </w:t>
            </w:r>
            <w:r>
              <w:rPr>
                <w:rFonts w:ascii="Times New Roman"/>
                <w:sz w:val="18"/>
              </w:rPr>
              <w:t>Singapore</w:t>
            </w:r>
            <w:r>
              <w:rPr>
                <w:rFonts w:ascii="Times New Roman"/>
                <w:sz w:val="18"/>
              </w:rPr>
              <w:t> (429115)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362" w:lineRule="auto"/>
              <w:ind w:left="23" w:right="165"/>
              <w:jc w:val="left"/>
              <w:rPr>
                <w:rFonts w:ascii="Times New Roman" w:hAnsi="Times New Roman" w:cs="Times New Roman" w:eastAsia="Times New Roman" w:hint="default"/>
                <w:sz w:val="18"/>
                <w:szCs w:val="18"/>
              </w:rPr>
            </w:pPr>
            <w:r>
              <w:rPr>
                <w:rFonts w:ascii="Times New Roman"/>
                <w:sz w:val="18"/>
              </w:rPr>
              <w:t>24Ean</w:t>
            </w:r>
            <w:r>
              <w:rPr>
                <w:rFonts w:ascii="Times New Roman"/>
                <w:spacing w:val="-2"/>
                <w:sz w:val="18"/>
              </w:rPr>
              <w:t> </w:t>
            </w:r>
            <w:r>
              <w:rPr>
                <w:rFonts w:ascii="Times New Roman"/>
                <w:sz w:val="18"/>
              </w:rPr>
              <w:t>Kiam</w:t>
            </w:r>
            <w:r>
              <w:rPr>
                <w:rFonts w:ascii="Times New Roman"/>
                <w:sz w:val="18"/>
              </w:rPr>
              <w:t> Place</w:t>
            </w:r>
            <w:r>
              <w:rPr>
                <w:rFonts w:ascii="Times New Roman"/>
                <w:spacing w:val="-3"/>
                <w:sz w:val="18"/>
              </w:rPr>
              <w:t> </w:t>
            </w:r>
            <w:r>
              <w:rPr>
                <w:rFonts w:ascii="Times New Roman"/>
                <w:sz w:val="18"/>
              </w:rPr>
              <w:t>Singapore</w:t>
            </w:r>
            <w:r>
              <w:rPr>
                <w:rFonts w:ascii="Times New Roman"/>
                <w:sz w:val="18"/>
              </w:rPr>
              <w:t> (429115)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6" w:right="0"/>
              <w:jc w:val="left"/>
              <w:rPr>
                <w:rFonts w:ascii="宋体" w:hAnsi="宋体" w:cs="宋体" w:eastAsia="宋体" w:hint="default"/>
                <w:sz w:val="18"/>
                <w:szCs w:val="18"/>
              </w:rPr>
            </w:pPr>
            <w:r>
              <w:rPr>
                <w:rFonts w:ascii="宋体" w:hAnsi="宋体" w:cs="宋体" w:eastAsia="宋体" w:hint="default"/>
                <w:sz w:val="18"/>
                <w:szCs w:val="18"/>
              </w:rPr>
              <w:t>投资公司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91"/>
              <w:ind w:left="24" w:right="55"/>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PT.</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Transon</w:t>
            </w:r>
            <w:r>
              <w:rPr>
                <w:rFonts w:ascii="Times New Roman" w:hAnsi="Times New Roman" w:cs="Times New Roman" w:eastAsia="Times New Roman" w:hint="default"/>
                <w:sz w:val="18"/>
                <w:szCs w:val="18"/>
              </w:rPr>
              <w:t> Bumindo Resources</w:t>
            </w:r>
            <w:r>
              <w:rPr>
                <w:rFonts w:ascii="宋体" w:hAnsi="宋体" w:cs="宋体" w:eastAsia="宋体" w:hint="default"/>
                <w:sz w:val="18"/>
                <w:szCs w:val="18"/>
              </w:rPr>
              <w:t>（恒顺</w:t>
            </w:r>
          </w:p>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印尼资源有限公</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360" w:lineRule="auto"/>
              <w:ind w:left="23" w:right="25"/>
              <w:jc w:val="left"/>
              <w:rPr>
                <w:rFonts w:ascii="Times New Roman" w:hAnsi="Times New Roman" w:cs="Times New Roman" w:eastAsia="Times New Roman" w:hint="default"/>
                <w:sz w:val="18"/>
                <w:szCs w:val="18"/>
              </w:rPr>
            </w:pPr>
            <w:r>
              <w:rPr>
                <w:rFonts w:ascii="Times New Roman"/>
                <w:sz w:val="18"/>
              </w:rPr>
              <w:t>Menara Prima</w:t>
            </w:r>
            <w:r>
              <w:rPr>
                <w:rFonts w:ascii="Times New Roman"/>
                <w:spacing w:val="-4"/>
                <w:sz w:val="18"/>
              </w:rPr>
              <w:t> </w:t>
            </w:r>
            <w:r>
              <w:rPr>
                <w:rFonts w:ascii="Times New Roman"/>
                <w:sz w:val="18"/>
              </w:rPr>
              <w:t>2</w:t>
            </w:r>
            <w:r>
              <w:rPr>
                <w:rFonts w:ascii="Times New Roman"/>
                <w:w w:val="99"/>
                <w:sz w:val="18"/>
              </w:rPr>
              <w:t> </w:t>
            </w:r>
            <w:r>
              <w:rPr>
                <w:rFonts w:ascii="Times New Roman"/>
                <w:sz w:val="18"/>
              </w:rPr>
              <w:t>Lt.20,</w:t>
            </w:r>
            <w:r>
              <w:rPr>
                <w:rFonts w:ascii="Times New Roman"/>
                <w:spacing w:val="-1"/>
                <w:sz w:val="18"/>
              </w:rPr>
              <w:t> </w:t>
            </w:r>
            <w:r>
              <w:rPr>
                <w:rFonts w:ascii="Times New Roman"/>
                <w:sz w:val="18"/>
              </w:rPr>
              <w:t>Mega</w:t>
            </w:r>
            <w:r>
              <w:rPr>
                <w:rFonts w:ascii="Times New Roman"/>
                <w:sz w:val="18"/>
              </w:rPr>
              <w:t> Kuningan,</w:t>
            </w:r>
            <w:r>
              <w:rPr>
                <w:rFonts w:ascii="Times New Roman"/>
                <w:spacing w:val="-6"/>
                <w:sz w:val="18"/>
              </w:rPr>
              <w:t> </w:t>
            </w:r>
            <w:r>
              <w:rPr>
                <w:rFonts w:ascii="Times New Roman"/>
                <w:sz w:val="18"/>
              </w:rPr>
              <w:t>Jakarta</w:t>
            </w:r>
            <w:r>
              <w:rPr>
                <w:rFonts w:ascii="Times New Roman"/>
                <w:sz w:val="18"/>
              </w:rPr>
              <w:t> Selatan.12950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360" w:lineRule="auto"/>
              <w:ind w:left="23" w:right="22"/>
              <w:jc w:val="left"/>
              <w:rPr>
                <w:rFonts w:ascii="Times New Roman" w:hAnsi="Times New Roman" w:cs="Times New Roman" w:eastAsia="Times New Roman" w:hint="default"/>
                <w:sz w:val="18"/>
                <w:szCs w:val="18"/>
              </w:rPr>
            </w:pPr>
            <w:r>
              <w:rPr>
                <w:rFonts w:ascii="Times New Roman"/>
                <w:sz w:val="18"/>
              </w:rPr>
              <w:t>Menara Prima</w:t>
            </w:r>
            <w:r>
              <w:rPr>
                <w:rFonts w:ascii="Times New Roman"/>
                <w:spacing w:val="-4"/>
                <w:sz w:val="18"/>
              </w:rPr>
              <w:t> </w:t>
            </w:r>
            <w:r>
              <w:rPr>
                <w:rFonts w:ascii="Times New Roman"/>
                <w:sz w:val="18"/>
              </w:rPr>
              <w:t>2</w:t>
            </w:r>
            <w:r>
              <w:rPr>
                <w:rFonts w:ascii="Times New Roman"/>
                <w:w w:val="99"/>
                <w:sz w:val="18"/>
              </w:rPr>
              <w:t> </w:t>
            </w:r>
            <w:r>
              <w:rPr>
                <w:rFonts w:ascii="Times New Roman"/>
                <w:sz w:val="18"/>
              </w:rPr>
              <w:t>Lt.20,</w:t>
            </w:r>
            <w:r>
              <w:rPr>
                <w:rFonts w:ascii="Times New Roman"/>
                <w:spacing w:val="-1"/>
                <w:sz w:val="18"/>
              </w:rPr>
              <w:t> </w:t>
            </w:r>
            <w:r>
              <w:rPr>
                <w:rFonts w:ascii="Times New Roman"/>
                <w:sz w:val="18"/>
              </w:rPr>
              <w:t>Mega</w:t>
            </w:r>
            <w:r>
              <w:rPr>
                <w:rFonts w:ascii="Times New Roman"/>
                <w:sz w:val="18"/>
              </w:rPr>
              <w:t> Kuningan,</w:t>
            </w:r>
            <w:r>
              <w:rPr>
                <w:rFonts w:ascii="Times New Roman"/>
                <w:spacing w:val="-6"/>
                <w:sz w:val="18"/>
              </w:rPr>
              <w:t> </w:t>
            </w:r>
            <w:r>
              <w:rPr>
                <w:rFonts w:ascii="Times New Roman"/>
                <w:sz w:val="18"/>
              </w:rPr>
              <w:t>Jakarta</w:t>
            </w:r>
            <w:r>
              <w:rPr>
                <w:rFonts w:ascii="Times New Roman"/>
                <w:sz w:val="18"/>
              </w:rPr>
              <w:t> Selatan.12950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生产建设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165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29"/>
              <w:jc w:val="left"/>
              <w:rPr>
                <w:rFonts w:ascii="Times New Roman" w:hAnsi="Times New Roman" w:cs="Times New Roman" w:eastAsia="Times New Roman" w:hint="default"/>
                <w:sz w:val="18"/>
                <w:szCs w:val="18"/>
              </w:rPr>
            </w:pPr>
            <w:r>
              <w:rPr>
                <w:rFonts w:ascii="Times New Roman"/>
                <w:sz w:val="18"/>
              </w:rPr>
              <w:t>H&amp;Shun</w:t>
            </w:r>
            <w:r>
              <w:rPr>
                <w:rFonts w:ascii="Times New Roman"/>
                <w:spacing w:val="-2"/>
                <w:sz w:val="18"/>
              </w:rPr>
              <w:t> </w:t>
            </w:r>
            <w:r>
              <w:rPr>
                <w:rFonts w:ascii="Times New Roman"/>
                <w:sz w:val="18"/>
              </w:rPr>
              <w:t>Coal</w:t>
            </w:r>
            <w:r>
              <w:rPr>
                <w:rFonts w:ascii="Times New Roman"/>
                <w:sz w:val="18"/>
              </w:rPr>
              <w:t> Holding</w:t>
            </w:r>
            <w:r>
              <w:rPr>
                <w:rFonts w:ascii="Times New Roman"/>
                <w:spacing w:val="-4"/>
                <w:sz w:val="18"/>
              </w:rPr>
              <w:t> </w:t>
            </w:r>
            <w:r>
              <w:rPr>
                <w:rFonts w:ascii="Times New Roman"/>
                <w:sz w:val="18"/>
              </w:rPr>
              <w:t>Pte.Ltd.</w:t>
            </w:r>
          </w:p>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（恒顺新加坡煤</w:t>
            </w:r>
          </w:p>
          <w:p>
            <w:pPr>
              <w:pStyle w:val="TableParagraph"/>
              <w:spacing w:line="319" w:lineRule="auto" w:before="76"/>
              <w:ind w:left="24" w:right="255"/>
              <w:jc w:val="left"/>
              <w:rPr>
                <w:rFonts w:ascii="宋体" w:hAnsi="宋体" w:cs="宋体" w:eastAsia="宋体" w:hint="default"/>
                <w:sz w:val="18"/>
                <w:szCs w:val="18"/>
              </w:rPr>
            </w:pPr>
            <w:r>
              <w:rPr>
                <w:rFonts w:ascii="宋体" w:hAnsi="宋体" w:cs="宋体" w:eastAsia="宋体" w:hint="default"/>
                <w:sz w:val="18"/>
                <w:szCs w:val="18"/>
              </w:rPr>
              <w:t>炭控股有限公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362" w:lineRule="auto"/>
              <w:ind w:left="23" w:right="168"/>
              <w:jc w:val="left"/>
              <w:rPr>
                <w:rFonts w:ascii="Times New Roman" w:hAnsi="Times New Roman" w:cs="Times New Roman" w:eastAsia="Times New Roman" w:hint="default"/>
                <w:sz w:val="18"/>
                <w:szCs w:val="18"/>
              </w:rPr>
            </w:pPr>
            <w:r>
              <w:rPr>
                <w:rFonts w:ascii="Times New Roman"/>
                <w:sz w:val="18"/>
              </w:rPr>
              <w:t>24 Ean</w:t>
            </w:r>
            <w:r>
              <w:rPr>
                <w:rFonts w:ascii="Times New Roman"/>
                <w:spacing w:val="1"/>
                <w:sz w:val="18"/>
              </w:rPr>
              <w:t> </w:t>
            </w:r>
            <w:r>
              <w:rPr>
                <w:rFonts w:ascii="Times New Roman"/>
                <w:sz w:val="18"/>
              </w:rPr>
              <w:t>Kiam</w:t>
            </w:r>
            <w:r>
              <w:rPr>
                <w:rFonts w:ascii="Times New Roman"/>
                <w:sz w:val="18"/>
              </w:rPr>
              <w:t> Place</w:t>
            </w:r>
            <w:r>
              <w:rPr>
                <w:rFonts w:ascii="Times New Roman"/>
                <w:spacing w:val="-3"/>
                <w:sz w:val="18"/>
              </w:rPr>
              <w:t> </w:t>
            </w:r>
            <w:r>
              <w:rPr>
                <w:rFonts w:ascii="Times New Roman"/>
                <w:sz w:val="18"/>
              </w:rPr>
              <w:t>Singapore</w:t>
            </w:r>
            <w:r>
              <w:rPr>
                <w:rFonts w:ascii="Times New Roman"/>
                <w:sz w:val="18"/>
              </w:rPr>
              <w:t> (429115)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362" w:lineRule="auto"/>
              <w:ind w:left="23" w:right="163"/>
              <w:jc w:val="left"/>
              <w:rPr>
                <w:rFonts w:ascii="Times New Roman" w:hAnsi="Times New Roman" w:cs="Times New Roman" w:eastAsia="Times New Roman" w:hint="default"/>
                <w:sz w:val="18"/>
                <w:szCs w:val="18"/>
              </w:rPr>
            </w:pPr>
            <w:r>
              <w:rPr>
                <w:rFonts w:ascii="Times New Roman"/>
                <w:sz w:val="18"/>
              </w:rPr>
              <w:t>24 Ean</w:t>
            </w:r>
            <w:r>
              <w:rPr>
                <w:rFonts w:ascii="Times New Roman"/>
                <w:spacing w:val="1"/>
                <w:sz w:val="18"/>
              </w:rPr>
              <w:t> </w:t>
            </w:r>
            <w:r>
              <w:rPr>
                <w:rFonts w:ascii="Times New Roman"/>
                <w:sz w:val="18"/>
              </w:rPr>
              <w:t>Kiam</w:t>
            </w:r>
            <w:r>
              <w:rPr>
                <w:rFonts w:ascii="Times New Roman"/>
                <w:sz w:val="18"/>
              </w:rPr>
              <w:t> Place</w:t>
            </w:r>
            <w:r>
              <w:rPr>
                <w:rFonts w:ascii="Times New Roman"/>
                <w:spacing w:val="-2"/>
                <w:sz w:val="18"/>
              </w:rPr>
              <w:t> </w:t>
            </w:r>
            <w:r>
              <w:rPr>
                <w:rFonts w:ascii="Times New Roman"/>
                <w:sz w:val="18"/>
              </w:rPr>
              <w:t>Singapore</w:t>
            </w:r>
            <w:r>
              <w:rPr>
                <w:rFonts w:ascii="Times New Roman"/>
                <w:sz w:val="18"/>
              </w:rPr>
              <w:t> (429115)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投资、并购</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间接投资</w:t>
            </w:r>
          </w:p>
        </w:tc>
      </w:tr>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91"/>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Heng Shun</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pacing w:val="-3"/>
                <w:sz w:val="18"/>
                <w:szCs w:val="18"/>
              </w:rPr>
              <w:t>Tian</w:t>
            </w:r>
            <w:r>
              <w:rPr>
                <w:rFonts w:ascii="Times New Roman" w:hAnsi="Times New Roman" w:cs="Times New Roman" w:eastAsia="Times New Roman" w:hint="default"/>
                <w:sz w:val="18"/>
                <w:szCs w:val="18"/>
              </w:rPr>
              <w:t> Cheng EPC</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Pte.</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7"/>
                <w:sz w:val="18"/>
                <w:szCs w:val="18"/>
              </w:rPr>
              <w:t>Ltd</w:t>
            </w:r>
            <w:r>
              <w:rPr>
                <w:rFonts w:ascii="宋体" w:hAnsi="宋体" w:cs="宋体" w:eastAsia="宋体" w:hint="default"/>
                <w:spacing w:val="-37"/>
                <w:sz w:val="18"/>
                <w:szCs w:val="18"/>
              </w:rPr>
              <w:t>（</w:t>
            </w:r>
            <w:r>
              <w:rPr>
                <w:rFonts w:ascii="Times New Roman" w:hAnsi="Times New Roman" w:cs="Times New Roman" w:eastAsia="Times New Roman" w:hint="default"/>
                <w:spacing w:val="-37"/>
                <w:sz w:val="18"/>
                <w:szCs w:val="18"/>
              </w:rPr>
              <w:t>.</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恒顺新加坡</w:t>
            </w:r>
          </w:p>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天成工程总承包</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360" w:lineRule="auto"/>
              <w:ind w:left="23" w:right="168"/>
              <w:jc w:val="left"/>
              <w:rPr>
                <w:rFonts w:ascii="Times New Roman" w:hAnsi="Times New Roman" w:cs="Times New Roman" w:eastAsia="Times New Roman" w:hint="default"/>
                <w:sz w:val="18"/>
                <w:szCs w:val="18"/>
              </w:rPr>
            </w:pPr>
            <w:r>
              <w:rPr>
                <w:rFonts w:ascii="Times New Roman"/>
                <w:sz w:val="18"/>
              </w:rPr>
              <w:t>24Ean</w:t>
            </w:r>
            <w:r>
              <w:rPr>
                <w:rFonts w:ascii="Times New Roman"/>
                <w:spacing w:val="-2"/>
                <w:sz w:val="18"/>
              </w:rPr>
              <w:t> </w:t>
            </w:r>
            <w:r>
              <w:rPr>
                <w:rFonts w:ascii="Times New Roman"/>
                <w:sz w:val="18"/>
              </w:rPr>
              <w:t>Kiam</w:t>
            </w:r>
            <w:r>
              <w:rPr>
                <w:rFonts w:ascii="Times New Roman"/>
                <w:sz w:val="18"/>
              </w:rPr>
              <w:t> Place</w:t>
            </w:r>
            <w:r>
              <w:rPr>
                <w:rFonts w:ascii="Times New Roman"/>
                <w:spacing w:val="-3"/>
                <w:sz w:val="18"/>
              </w:rPr>
              <w:t> </w:t>
            </w:r>
            <w:r>
              <w:rPr>
                <w:rFonts w:ascii="Times New Roman"/>
                <w:sz w:val="18"/>
              </w:rPr>
              <w:t>Singapore</w:t>
            </w:r>
            <w:r>
              <w:rPr>
                <w:rFonts w:ascii="Times New Roman"/>
                <w:sz w:val="18"/>
              </w:rPr>
              <w:t> (429115)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360" w:lineRule="auto"/>
              <w:ind w:left="23" w:right="165"/>
              <w:jc w:val="left"/>
              <w:rPr>
                <w:rFonts w:ascii="Times New Roman" w:hAnsi="Times New Roman" w:cs="Times New Roman" w:eastAsia="Times New Roman" w:hint="default"/>
                <w:sz w:val="18"/>
                <w:szCs w:val="18"/>
              </w:rPr>
            </w:pPr>
            <w:r>
              <w:rPr>
                <w:rFonts w:ascii="Times New Roman"/>
                <w:sz w:val="18"/>
              </w:rPr>
              <w:t>24Ean</w:t>
            </w:r>
            <w:r>
              <w:rPr>
                <w:rFonts w:ascii="Times New Roman"/>
                <w:spacing w:val="-2"/>
                <w:sz w:val="18"/>
              </w:rPr>
              <w:t> </w:t>
            </w:r>
            <w:r>
              <w:rPr>
                <w:rFonts w:ascii="Times New Roman"/>
                <w:sz w:val="18"/>
              </w:rPr>
              <w:t>Kiam</w:t>
            </w:r>
            <w:r>
              <w:rPr>
                <w:rFonts w:ascii="Times New Roman"/>
                <w:sz w:val="18"/>
              </w:rPr>
              <w:t> Place</w:t>
            </w:r>
            <w:r>
              <w:rPr>
                <w:rFonts w:ascii="Times New Roman"/>
                <w:spacing w:val="-3"/>
                <w:sz w:val="18"/>
              </w:rPr>
              <w:t> </w:t>
            </w:r>
            <w:r>
              <w:rPr>
                <w:rFonts w:ascii="Times New Roman"/>
                <w:sz w:val="18"/>
              </w:rPr>
              <w:t>Singapore</w:t>
            </w:r>
            <w:r>
              <w:rPr>
                <w:rFonts w:ascii="Times New Roman"/>
                <w:sz w:val="18"/>
              </w:rPr>
              <w:t> (429115)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EPC</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间接投资</w:t>
            </w:r>
          </w:p>
        </w:tc>
      </w:tr>
      <w:tr>
        <w:trPr>
          <w:trHeight w:val="165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29"/>
              <w:jc w:val="left"/>
              <w:rPr>
                <w:rFonts w:ascii="Times New Roman" w:hAnsi="Times New Roman" w:cs="Times New Roman" w:eastAsia="Times New Roman" w:hint="default"/>
                <w:sz w:val="18"/>
                <w:szCs w:val="18"/>
              </w:rPr>
            </w:pPr>
            <w:r>
              <w:rPr>
                <w:rFonts w:ascii="Times New Roman"/>
                <w:sz w:val="18"/>
              </w:rPr>
              <w:t>H&amp;Shun</w:t>
            </w:r>
            <w:r>
              <w:rPr>
                <w:rFonts w:ascii="Times New Roman"/>
                <w:spacing w:val="-5"/>
                <w:sz w:val="18"/>
              </w:rPr>
              <w:t> </w:t>
            </w:r>
            <w:r>
              <w:rPr>
                <w:rFonts w:ascii="Times New Roman"/>
                <w:sz w:val="18"/>
              </w:rPr>
              <w:t>Power</w:t>
            </w:r>
            <w:r>
              <w:rPr>
                <w:rFonts w:ascii="Times New Roman"/>
                <w:sz w:val="18"/>
              </w:rPr>
              <w:t> Holding</w:t>
            </w:r>
            <w:r>
              <w:rPr>
                <w:rFonts w:ascii="Times New Roman"/>
                <w:spacing w:val="-4"/>
                <w:sz w:val="18"/>
              </w:rPr>
              <w:t> </w:t>
            </w:r>
            <w:r>
              <w:rPr>
                <w:rFonts w:ascii="Times New Roman"/>
                <w:sz w:val="18"/>
              </w:rPr>
              <w:t>Pte.Ltd.</w:t>
            </w:r>
          </w:p>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（恒顺新加坡能</w:t>
            </w:r>
          </w:p>
          <w:p>
            <w:pPr>
              <w:pStyle w:val="TableParagraph"/>
              <w:spacing w:line="319" w:lineRule="auto" w:before="76"/>
              <w:ind w:left="24" w:right="255"/>
              <w:jc w:val="left"/>
              <w:rPr>
                <w:rFonts w:ascii="宋体" w:hAnsi="宋体" w:cs="宋体" w:eastAsia="宋体" w:hint="default"/>
                <w:sz w:val="18"/>
                <w:szCs w:val="18"/>
              </w:rPr>
            </w:pPr>
            <w:r>
              <w:rPr>
                <w:rFonts w:ascii="宋体" w:hAnsi="宋体" w:cs="宋体" w:eastAsia="宋体" w:hint="default"/>
                <w:sz w:val="18"/>
                <w:szCs w:val="18"/>
              </w:rPr>
              <w:t>源控股有限公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362" w:lineRule="auto"/>
              <w:ind w:left="23" w:right="168"/>
              <w:jc w:val="left"/>
              <w:rPr>
                <w:rFonts w:ascii="Times New Roman" w:hAnsi="Times New Roman" w:cs="Times New Roman" w:eastAsia="Times New Roman" w:hint="default"/>
                <w:sz w:val="18"/>
                <w:szCs w:val="18"/>
              </w:rPr>
            </w:pPr>
            <w:r>
              <w:rPr>
                <w:rFonts w:ascii="Times New Roman"/>
                <w:sz w:val="18"/>
              </w:rPr>
              <w:t>24Ean</w:t>
            </w:r>
            <w:r>
              <w:rPr>
                <w:rFonts w:ascii="Times New Roman"/>
                <w:spacing w:val="-2"/>
                <w:sz w:val="18"/>
              </w:rPr>
              <w:t> </w:t>
            </w:r>
            <w:r>
              <w:rPr>
                <w:rFonts w:ascii="Times New Roman"/>
                <w:sz w:val="18"/>
              </w:rPr>
              <w:t>Kiam</w:t>
            </w:r>
            <w:r>
              <w:rPr>
                <w:rFonts w:ascii="Times New Roman"/>
                <w:sz w:val="18"/>
              </w:rPr>
              <w:t> Place</w:t>
            </w:r>
            <w:r>
              <w:rPr>
                <w:rFonts w:ascii="Times New Roman"/>
                <w:spacing w:val="-3"/>
                <w:sz w:val="18"/>
              </w:rPr>
              <w:t> </w:t>
            </w:r>
            <w:r>
              <w:rPr>
                <w:rFonts w:ascii="Times New Roman"/>
                <w:sz w:val="18"/>
              </w:rPr>
              <w:t>Singapore</w:t>
            </w:r>
            <w:r>
              <w:rPr>
                <w:rFonts w:ascii="Times New Roman"/>
                <w:sz w:val="18"/>
              </w:rPr>
              <w:t> (429115)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362" w:lineRule="auto"/>
              <w:ind w:left="23" w:right="165"/>
              <w:jc w:val="left"/>
              <w:rPr>
                <w:rFonts w:ascii="Times New Roman" w:hAnsi="Times New Roman" w:cs="Times New Roman" w:eastAsia="Times New Roman" w:hint="default"/>
                <w:sz w:val="18"/>
                <w:szCs w:val="18"/>
              </w:rPr>
            </w:pPr>
            <w:r>
              <w:rPr>
                <w:rFonts w:ascii="Times New Roman"/>
                <w:sz w:val="18"/>
              </w:rPr>
              <w:t>24Ean</w:t>
            </w:r>
            <w:r>
              <w:rPr>
                <w:rFonts w:ascii="Times New Roman"/>
                <w:spacing w:val="-2"/>
                <w:sz w:val="18"/>
              </w:rPr>
              <w:t> </w:t>
            </w:r>
            <w:r>
              <w:rPr>
                <w:rFonts w:ascii="Times New Roman"/>
                <w:sz w:val="18"/>
              </w:rPr>
              <w:t>Kiam</w:t>
            </w:r>
            <w:r>
              <w:rPr>
                <w:rFonts w:ascii="Times New Roman"/>
                <w:sz w:val="18"/>
              </w:rPr>
              <w:t> Place</w:t>
            </w:r>
            <w:r>
              <w:rPr>
                <w:rFonts w:ascii="Times New Roman"/>
                <w:spacing w:val="-3"/>
                <w:sz w:val="18"/>
              </w:rPr>
              <w:t> </w:t>
            </w:r>
            <w:r>
              <w:rPr>
                <w:rFonts w:ascii="Times New Roman"/>
                <w:sz w:val="18"/>
              </w:rPr>
              <w:t>Singapore</w:t>
            </w:r>
            <w:r>
              <w:rPr>
                <w:rFonts w:ascii="Times New Roman"/>
                <w:sz w:val="18"/>
              </w:rPr>
              <w:t> (429115)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间接投资</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330.670013pt;margin-top:72.475983pt;width:67.8pt;height:43.55pt;mso-position-horizontal-relative:page;mso-position-vertical-relative:page;z-index:-818848" coordorigin="6613,1450" coordsize="1356,871">
            <v:group style="position:absolute;left:6613;top:1450;width:1356;height:469" coordorigin="6613,1450" coordsize="1356,469">
              <v:shape style="position:absolute;left:6613;top:1450;width:1356;height:469" coordorigin="6613,1450" coordsize="1356,469" path="m6613,1918l7969,1918,7969,1450,6613,1450,6613,1918xe" filled="true" fillcolor="#ffffff" stroked="false">
                <v:path arrowok="t"/>
                <v:fill type="solid"/>
              </v:shape>
            </v:group>
            <v:group style="position:absolute;left:6624;top:1918;width:2;height:392" coordorigin="6624,1918" coordsize="2,392">
              <v:shape style="position:absolute;left:6624;top:1918;width:2;height:392" coordorigin="6624,1918" coordsize="0,392" path="m6624,1918l6624,2309e" filled="false" stroked="true" strokeweight="1.08pt" strokecolor="#ffffff">
                <v:path arrowok="t"/>
              </v:shape>
            </v:group>
            <v:group style="position:absolute;left:6635;top:1918;width:1311;height:392" coordorigin="6635,1918" coordsize="1311,392">
              <v:shape style="position:absolute;left:6635;top:1918;width:1311;height:392" coordorigin="6635,1918" coordsize="1311,392" path="m6635,2309l7945,2309,7945,1918,6635,1918,6635,2309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68"/>
              <w:jc w:val="left"/>
              <w:rPr>
                <w:rFonts w:ascii="Times New Roman" w:hAnsi="Times New Roman" w:cs="Times New Roman" w:eastAsia="Times New Roman" w:hint="default"/>
                <w:sz w:val="18"/>
                <w:szCs w:val="18"/>
              </w:rPr>
            </w:pPr>
            <w:r>
              <w:rPr>
                <w:rFonts w:ascii="Times New Roman"/>
                <w:sz w:val="18"/>
              </w:rPr>
              <w:t>An Shun</w:t>
            </w:r>
            <w:r>
              <w:rPr>
                <w:rFonts w:ascii="Times New Roman"/>
                <w:spacing w:val="-2"/>
                <w:sz w:val="18"/>
              </w:rPr>
              <w:t> </w:t>
            </w:r>
            <w:r>
              <w:rPr>
                <w:rFonts w:ascii="Times New Roman"/>
                <w:sz w:val="18"/>
              </w:rPr>
              <w:t>Coal</w:t>
            </w:r>
            <w:r>
              <w:rPr>
                <w:rFonts w:ascii="Times New Roman"/>
                <w:sz w:val="18"/>
              </w:rPr>
              <w:t> Mines</w:t>
            </w:r>
            <w:r>
              <w:rPr>
                <w:rFonts w:ascii="Times New Roman"/>
                <w:spacing w:val="-3"/>
                <w:sz w:val="18"/>
              </w:rPr>
              <w:t> </w:t>
            </w:r>
            <w:r>
              <w:rPr>
                <w:rFonts w:ascii="Times New Roman"/>
                <w:sz w:val="18"/>
              </w:rPr>
              <w:t>Pte.Ltd.</w:t>
            </w:r>
          </w:p>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（恒顺新加坡安</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顺煤矿有限公司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23" w:right="168"/>
              <w:jc w:val="left"/>
              <w:rPr>
                <w:rFonts w:ascii="Times New Roman" w:hAnsi="Times New Roman" w:cs="Times New Roman" w:eastAsia="Times New Roman" w:hint="default"/>
                <w:sz w:val="18"/>
                <w:szCs w:val="18"/>
              </w:rPr>
            </w:pPr>
            <w:r>
              <w:rPr>
                <w:rFonts w:ascii="Times New Roman"/>
                <w:sz w:val="18"/>
              </w:rPr>
              <w:t>24Ean</w:t>
            </w:r>
            <w:r>
              <w:rPr>
                <w:rFonts w:ascii="Times New Roman"/>
                <w:spacing w:val="-2"/>
                <w:sz w:val="18"/>
              </w:rPr>
              <w:t> </w:t>
            </w:r>
            <w:r>
              <w:rPr>
                <w:rFonts w:ascii="Times New Roman"/>
                <w:sz w:val="18"/>
              </w:rPr>
              <w:t>Kiam</w:t>
            </w:r>
            <w:r>
              <w:rPr>
                <w:rFonts w:ascii="Times New Roman"/>
                <w:sz w:val="18"/>
              </w:rPr>
              <w:t> Place</w:t>
            </w:r>
            <w:r>
              <w:rPr>
                <w:rFonts w:ascii="Times New Roman"/>
                <w:spacing w:val="-3"/>
                <w:sz w:val="18"/>
              </w:rPr>
              <w:t> </w:t>
            </w:r>
            <w:r>
              <w:rPr>
                <w:rFonts w:ascii="Times New Roman"/>
                <w:sz w:val="18"/>
              </w:rPr>
              <w:t>Singapore</w:t>
            </w:r>
            <w:r>
              <w:rPr>
                <w:rFonts w:ascii="Times New Roman"/>
                <w:sz w:val="18"/>
              </w:rPr>
              <w:t> (429115)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23" w:right="165"/>
              <w:jc w:val="left"/>
              <w:rPr>
                <w:rFonts w:ascii="Times New Roman" w:hAnsi="Times New Roman" w:cs="Times New Roman" w:eastAsia="Times New Roman" w:hint="default"/>
                <w:sz w:val="18"/>
                <w:szCs w:val="18"/>
              </w:rPr>
            </w:pPr>
            <w:r>
              <w:rPr>
                <w:rFonts w:ascii="Times New Roman"/>
                <w:sz w:val="18"/>
              </w:rPr>
              <w:t>24Ean</w:t>
            </w:r>
            <w:r>
              <w:rPr>
                <w:rFonts w:ascii="Times New Roman"/>
                <w:spacing w:val="-2"/>
                <w:sz w:val="18"/>
              </w:rPr>
              <w:t> </w:t>
            </w:r>
            <w:r>
              <w:rPr>
                <w:rFonts w:ascii="Times New Roman"/>
                <w:sz w:val="18"/>
              </w:rPr>
              <w:t>Kiam</w:t>
            </w:r>
            <w:r>
              <w:rPr>
                <w:rFonts w:ascii="Times New Roman"/>
                <w:sz w:val="18"/>
              </w:rPr>
              <w:t> Place</w:t>
            </w:r>
            <w:r>
              <w:rPr>
                <w:rFonts w:ascii="Times New Roman"/>
                <w:spacing w:val="-3"/>
                <w:sz w:val="18"/>
              </w:rPr>
              <w:t> </w:t>
            </w:r>
            <w:r>
              <w:rPr>
                <w:rFonts w:ascii="Times New Roman"/>
                <w:sz w:val="18"/>
              </w:rPr>
              <w:t>Singapore</w:t>
            </w:r>
            <w:r>
              <w:rPr>
                <w:rFonts w:ascii="Times New Roman"/>
                <w:sz w:val="18"/>
              </w:rPr>
              <w:t> (429115)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6" w:right="108"/>
              <w:jc w:val="left"/>
              <w:rPr>
                <w:rFonts w:ascii="宋体" w:hAnsi="宋体" w:cs="宋体" w:eastAsia="宋体" w:hint="default"/>
                <w:sz w:val="18"/>
                <w:szCs w:val="18"/>
              </w:rPr>
            </w:pPr>
            <w:r>
              <w:rPr>
                <w:rFonts w:ascii="宋体" w:hAnsi="宋体" w:cs="宋体" w:eastAsia="宋体" w:hint="default"/>
                <w:spacing w:val="-6"/>
                <w:sz w:val="18"/>
                <w:szCs w:val="18"/>
              </w:rPr>
              <w:t>煤矿开采、投资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并购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间接投资</w:t>
            </w:r>
          </w:p>
        </w:tc>
      </w:tr>
      <w:tr>
        <w:trPr>
          <w:trHeight w:val="366" w:hRule="exact"/>
        </w:trPr>
        <w:tc>
          <w:tcPr>
            <w:tcW w:w="13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Shiny</w:t>
            </w:r>
            <w:r>
              <w:rPr>
                <w:rFonts w:ascii="Times New Roman"/>
                <w:spacing w:val="-4"/>
                <w:sz w:val="18"/>
              </w:rPr>
              <w:t> </w:t>
            </w:r>
            <w:r>
              <w:rPr>
                <w:rFonts w:ascii="Times New Roman"/>
                <w:sz w:val="18"/>
              </w:rPr>
              <w:t>Kindness</w:t>
            </w:r>
          </w:p>
        </w:tc>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Room</w:t>
            </w: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Room</w:t>
            </w: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left="24" w:right="0"/>
              <w:jc w:val="left"/>
              <w:rPr>
                <w:rFonts w:ascii="Times New Roman" w:hAnsi="Times New Roman" w:cs="Times New Roman" w:eastAsia="Times New Roman" w:hint="default"/>
                <w:sz w:val="18"/>
                <w:szCs w:val="18"/>
              </w:rPr>
            </w:pPr>
            <w:r>
              <w:rPr>
                <w:rFonts w:ascii="Times New Roman"/>
                <w:sz w:val="18"/>
              </w:rPr>
              <w:t>International</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left="23" w:right="0"/>
              <w:jc w:val="left"/>
              <w:rPr>
                <w:rFonts w:ascii="Times New Roman" w:hAnsi="Times New Roman" w:cs="Times New Roman" w:eastAsia="Times New Roman" w:hint="default"/>
                <w:sz w:val="18"/>
                <w:szCs w:val="18"/>
              </w:rPr>
            </w:pPr>
            <w:r>
              <w:rPr>
                <w:rFonts w:ascii="Times New Roman"/>
                <w:spacing w:val="-3"/>
                <w:sz w:val="18"/>
              </w:rPr>
              <w:t>B,10/F.,Tower</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left="23" w:right="0"/>
              <w:jc w:val="left"/>
              <w:rPr>
                <w:rFonts w:ascii="Times New Roman" w:hAnsi="Times New Roman" w:cs="Times New Roman" w:eastAsia="Times New Roman" w:hint="default"/>
                <w:sz w:val="18"/>
                <w:szCs w:val="18"/>
              </w:rPr>
            </w:pPr>
            <w:r>
              <w:rPr>
                <w:rFonts w:ascii="Times New Roman"/>
                <w:spacing w:val="-3"/>
                <w:sz w:val="18"/>
              </w:rPr>
              <w:t>B,10/F.,Tower</w:t>
            </w:r>
          </w:p>
        </w:tc>
        <w:tc>
          <w:tcPr>
            <w:tcW w:w="1368" w:type="dxa"/>
            <w:tcBorders>
              <w:top w:val="nil" w:sz="6" w:space="0" w:color="auto"/>
              <w:left w:val="single" w:sz="4" w:space="0" w:color="000000"/>
              <w:bottom w:val="nil" w:sz="6" w:space="0" w:color="auto"/>
              <w:right w:val="single" w:sz="4" w:space="0" w:color="000000"/>
            </w:tcBorders>
          </w:tcPr>
          <w:p>
            <w:pP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Limited</w:t>
            </w:r>
            <w:r>
              <w:rPr>
                <w:rFonts w:ascii="宋体" w:hAnsi="宋体" w:cs="宋体" w:eastAsia="宋体" w:hint="default"/>
                <w:sz w:val="18"/>
                <w:szCs w:val="18"/>
              </w:rPr>
              <w:t>（恒顺香</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3" w:right="0"/>
              <w:jc w:val="left"/>
              <w:rPr>
                <w:rFonts w:ascii="Times New Roman" w:hAnsi="Times New Roman" w:cs="Times New Roman" w:eastAsia="Times New Roman" w:hint="default"/>
                <w:sz w:val="18"/>
                <w:szCs w:val="18"/>
              </w:rPr>
            </w:pPr>
            <w:r>
              <w:rPr>
                <w:rFonts w:ascii="Times New Roman"/>
                <w:sz w:val="18"/>
              </w:rPr>
              <w:t>A,Billion</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3" w:right="0"/>
              <w:jc w:val="left"/>
              <w:rPr>
                <w:rFonts w:ascii="Times New Roman" w:hAnsi="Times New Roman" w:cs="Times New Roman" w:eastAsia="Times New Roman" w:hint="default"/>
                <w:sz w:val="18"/>
                <w:szCs w:val="18"/>
              </w:rPr>
            </w:pPr>
            <w:r>
              <w:rPr>
                <w:rFonts w:ascii="Times New Roman"/>
                <w:sz w:val="18"/>
              </w:rPr>
              <w:t>A,Billion</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贸易、投资并购</w:t>
            </w: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间接投资</w:t>
            </w:r>
          </w:p>
        </w:tc>
      </w:tr>
      <w:tr>
        <w:trPr>
          <w:trHeight w:val="311"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港泽善国际有限</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3" w:right="0"/>
              <w:jc w:val="left"/>
              <w:rPr>
                <w:rFonts w:ascii="Times New Roman" w:hAnsi="Times New Roman" w:cs="Times New Roman" w:eastAsia="Times New Roman" w:hint="default"/>
                <w:sz w:val="18"/>
                <w:szCs w:val="18"/>
              </w:rPr>
            </w:pPr>
            <w:r>
              <w:rPr>
                <w:rFonts w:ascii="Times New Roman"/>
                <w:sz w:val="18"/>
              </w:rPr>
              <w:t>Centre,1</w:t>
            </w:r>
            <w:r>
              <w:rPr>
                <w:rFonts w:ascii="Times New Roman"/>
                <w:spacing w:val="2"/>
                <w:sz w:val="18"/>
              </w:rPr>
              <w:t> </w:t>
            </w:r>
            <w:r>
              <w:rPr>
                <w:rFonts w:ascii="Times New Roman"/>
                <w:spacing w:val="-5"/>
                <w:sz w:val="18"/>
              </w:rPr>
              <w:t>Wang</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3" w:right="0"/>
              <w:jc w:val="left"/>
              <w:rPr>
                <w:rFonts w:ascii="Times New Roman" w:hAnsi="Times New Roman" w:cs="Times New Roman" w:eastAsia="Times New Roman" w:hint="default"/>
                <w:sz w:val="18"/>
                <w:szCs w:val="18"/>
              </w:rPr>
            </w:pPr>
            <w:r>
              <w:rPr>
                <w:rFonts w:ascii="Times New Roman"/>
                <w:sz w:val="18"/>
              </w:rPr>
              <w:t>Centre,1</w:t>
            </w:r>
            <w:r>
              <w:rPr>
                <w:rFonts w:ascii="Times New Roman"/>
                <w:spacing w:val="2"/>
                <w:sz w:val="18"/>
              </w:rPr>
              <w:t> </w:t>
            </w:r>
            <w:r>
              <w:rPr>
                <w:rFonts w:ascii="Times New Roman"/>
                <w:spacing w:val="-5"/>
                <w:sz w:val="18"/>
              </w:rPr>
              <w:t>Wang</w:t>
            </w:r>
          </w:p>
        </w:tc>
        <w:tc>
          <w:tcPr>
            <w:tcW w:w="1368" w:type="dxa"/>
            <w:tcBorders>
              <w:top w:val="nil" w:sz="6" w:space="0" w:color="auto"/>
              <w:left w:val="single" w:sz="4" w:space="0" w:color="000000"/>
              <w:bottom w:val="nil" w:sz="6" w:space="0" w:color="auto"/>
              <w:right w:val="single" w:sz="4" w:space="0" w:color="000000"/>
            </w:tcBorders>
          </w:tcPr>
          <w:p>
            <w:pP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3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23" w:right="0"/>
              <w:jc w:val="left"/>
              <w:rPr>
                <w:rFonts w:ascii="Times New Roman" w:hAnsi="Times New Roman" w:cs="Times New Roman" w:eastAsia="Times New Roman" w:hint="default"/>
                <w:sz w:val="18"/>
                <w:szCs w:val="18"/>
              </w:rPr>
            </w:pPr>
            <w:r>
              <w:rPr>
                <w:rFonts w:ascii="Times New Roman"/>
                <w:sz w:val="18"/>
              </w:rPr>
              <w:t>Kwong</w:t>
            </w:r>
          </w:p>
        </w:tc>
        <w:tc>
          <w:tcPr>
            <w:tcW w:w="13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23" w:right="0"/>
              <w:jc w:val="left"/>
              <w:rPr>
                <w:rFonts w:ascii="Times New Roman" w:hAnsi="Times New Roman" w:cs="Times New Roman" w:eastAsia="Times New Roman" w:hint="default"/>
                <w:sz w:val="18"/>
                <w:szCs w:val="18"/>
              </w:rPr>
            </w:pPr>
            <w:r>
              <w:rPr>
                <w:rFonts w:ascii="Times New Roman"/>
                <w:sz w:val="18"/>
              </w:rPr>
              <w:t>Kwong</w:t>
            </w: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5"/>
                <w:sz w:val="18"/>
              </w:rPr>
              <w:t>PT.</w:t>
            </w:r>
            <w:r>
              <w:rPr>
                <w:rFonts w:ascii="Times New Roman"/>
                <w:spacing w:val="-13"/>
                <w:sz w:val="18"/>
              </w:rPr>
              <w:t> </w:t>
            </w:r>
            <w:r>
              <w:rPr>
                <w:rFonts w:ascii="Times New Roman"/>
                <w:sz w:val="18"/>
              </w:rPr>
              <w:t>Transon</w:t>
            </w:r>
          </w:p>
          <w:p>
            <w:pPr>
              <w:pStyle w:val="TableParagraph"/>
              <w:spacing w:line="309" w:lineRule="auto" w:before="105"/>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Energy </w:t>
            </w:r>
            <w:r>
              <w:rPr>
                <w:rFonts w:ascii="Times New Roman" w:hAnsi="Times New Roman" w:cs="Times New Roman" w:eastAsia="Times New Roman" w:hint="default"/>
                <w:spacing w:val="-6"/>
                <w:w w:val="99"/>
                <w:sz w:val="18"/>
                <w:szCs w:val="18"/>
              </w:rPr>
              <w:t>Kapitalindo</w:t>
            </w:r>
            <w:r>
              <w:rPr>
                <w:rFonts w:ascii="宋体" w:hAnsi="宋体" w:cs="宋体" w:eastAsia="宋体" w:hint="default"/>
                <w:spacing w:val="-6"/>
                <w:w w:val="99"/>
                <w:sz w:val="18"/>
                <w:szCs w:val="18"/>
              </w:rPr>
              <w:t>（恒顺</w:t>
            </w:r>
            <w:r>
              <w:rPr>
                <w:rFonts w:ascii="宋体" w:hAnsi="宋体" w:cs="宋体" w:eastAsia="宋体" w:hint="default"/>
                <w:spacing w:val="-82"/>
                <w:w w:val="99"/>
                <w:sz w:val="18"/>
                <w:szCs w:val="18"/>
              </w:rPr>
              <w:t> </w:t>
            </w:r>
            <w:r>
              <w:rPr>
                <w:rFonts w:ascii="宋体" w:hAnsi="宋体" w:cs="宋体" w:eastAsia="宋体" w:hint="default"/>
                <w:sz w:val="18"/>
                <w:szCs w:val="18"/>
              </w:rPr>
              <w:t>印尼安能有限公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23" w:right="25"/>
              <w:jc w:val="left"/>
              <w:rPr>
                <w:rFonts w:ascii="Times New Roman" w:hAnsi="Times New Roman" w:cs="Times New Roman" w:eastAsia="Times New Roman" w:hint="default"/>
                <w:sz w:val="18"/>
                <w:szCs w:val="18"/>
              </w:rPr>
            </w:pPr>
            <w:r>
              <w:rPr>
                <w:rFonts w:ascii="Times New Roman"/>
                <w:sz w:val="18"/>
              </w:rPr>
              <w:t>Menara Prima</w:t>
            </w:r>
            <w:r>
              <w:rPr>
                <w:rFonts w:ascii="Times New Roman"/>
                <w:spacing w:val="-4"/>
                <w:sz w:val="18"/>
              </w:rPr>
              <w:t> </w:t>
            </w:r>
            <w:r>
              <w:rPr>
                <w:rFonts w:ascii="Times New Roman"/>
                <w:sz w:val="18"/>
              </w:rPr>
              <w:t>2</w:t>
            </w:r>
            <w:r>
              <w:rPr>
                <w:rFonts w:ascii="Times New Roman"/>
                <w:w w:val="99"/>
                <w:sz w:val="18"/>
              </w:rPr>
              <w:t> </w:t>
            </w:r>
            <w:r>
              <w:rPr>
                <w:rFonts w:ascii="Times New Roman"/>
                <w:sz w:val="18"/>
              </w:rPr>
              <w:t>Lt.20,</w:t>
            </w:r>
            <w:r>
              <w:rPr>
                <w:rFonts w:ascii="Times New Roman"/>
                <w:spacing w:val="-1"/>
                <w:sz w:val="18"/>
              </w:rPr>
              <w:t> </w:t>
            </w:r>
            <w:r>
              <w:rPr>
                <w:rFonts w:ascii="Times New Roman"/>
                <w:sz w:val="18"/>
              </w:rPr>
              <w:t>Mega</w:t>
            </w:r>
            <w:r>
              <w:rPr>
                <w:rFonts w:ascii="Times New Roman"/>
                <w:sz w:val="18"/>
              </w:rPr>
              <w:t> Kuningan,</w:t>
            </w:r>
            <w:r>
              <w:rPr>
                <w:rFonts w:ascii="Times New Roman"/>
                <w:spacing w:val="-6"/>
                <w:sz w:val="18"/>
              </w:rPr>
              <w:t> </w:t>
            </w:r>
            <w:r>
              <w:rPr>
                <w:rFonts w:ascii="Times New Roman"/>
                <w:sz w:val="18"/>
              </w:rPr>
              <w:t>Jakarta</w:t>
            </w:r>
            <w:r>
              <w:rPr>
                <w:rFonts w:ascii="Times New Roman"/>
                <w:sz w:val="18"/>
              </w:rPr>
              <w:t> Selatan.12950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23" w:right="21"/>
              <w:jc w:val="left"/>
              <w:rPr>
                <w:rFonts w:ascii="Times New Roman" w:hAnsi="Times New Roman" w:cs="Times New Roman" w:eastAsia="Times New Roman" w:hint="default"/>
                <w:sz w:val="18"/>
                <w:szCs w:val="18"/>
              </w:rPr>
            </w:pPr>
            <w:r>
              <w:rPr>
                <w:rFonts w:ascii="Times New Roman"/>
                <w:sz w:val="18"/>
              </w:rPr>
              <w:t>Menara Prima</w:t>
            </w:r>
            <w:r>
              <w:rPr>
                <w:rFonts w:ascii="Times New Roman"/>
                <w:spacing w:val="-4"/>
                <w:sz w:val="18"/>
              </w:rPr>
              <w:t> </w:t>
            </w:r>
            <w:r>
              <w:rPr>
                <w:rFonts w:ascii="Times New Roman"/>
                <w:sz w:val="18"/>
              </w:rPr>
              <w:t>2</w:t>
            </w:r>
            <w:r>
              <w:rPr>
                <w:rFonts w:ascii="Times New Roman"/>
                <w:w w:val="99"/>
                <w:sz w:val="18"/>
              </w:rPr>
              <w:t> </w:t>
            </w:r>
            <w:r>
              <w:rPr>
                <w:rFonts w:ascii="Times New Roman"/>
                <w:sz w:val="18"/>
              </w:rPr>
              <w:t>Lt.20,</w:t>
            </w:r>
            <w:r>
              <w:rPr>
                <w:rFonts w:ascii="Times New Roman"/>
                <w:spacing w:val="-1"/>
                <w:sz w:val="18"/>
              </w:rPr>
              <w:t> </w:t>
            </w:r>
            <w:r>
              <w:rPr>
                <w:rFonts w:ascii="Times New Roman"/>
                <w:sz w:val="18"/>
              </w:rPr>
              <w:t>Mega</w:t>
            </w:r>
            <w:r>
              <w:rPr>
                <w:rFonts w:ascii="Times New Roman"/>
                <w:sz w:val="18"/>
              </w:rPr>
              <w:t> Kuningan,</w:t>
            </w:r>
            <w:r>
              <w:rPr>
                <w:rFonts w:ascii="Times New Roman"/>
                <w:spacing w:val="-5"/>
                <w:sz w:val="18"/>
              </w:rPr>
              <w:t> </w:t>
            </w:r>
            <w:r>
              <w:rPr>
                <w:rFonts w:ascii="Times New Roman"/>
                <w:sz w:val="18"/>
              </w:rPr>
              <w:t>Jakarta</w:t>
            </w:r>
            <w:r>
              <w:rPr>
                <w:rFonts w:ascii="Times New Roman"/>
                <w:sz w:val="18"/>
              </w:rPr>
              <w:t> Selatan.12950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采矿服务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间接投资</w:t>
            </w:r>
          </w:p>
        </w:tc>
      </w:tr>
      <w:tr>
        <w:trPr>
          <w:trHeight w:val="363" w:hRule="exact"/>
        </w:trPr>
        <w:tc>
          <w:tcPr>
            <w:tcW w:w="13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pacing w:val="-5"/>
                <w:sz w:val="18"/>
              </w:rPr>
              <w:t>PT. </w:t>
            </w:r>
            <w:r>
              <w:rPr>
                <w:rFonts w:ascii="Times New Roman"/>
                <w:sz w:val="18"/>
              </w:rPr>
              <w:t>W &amp;</w:t>
            </w:r>
            <w:r>
              <w:rPr>
                <w:rFonts w:ascii="Times New Roman"/>
                <w:spacing w:val="-3"/>
                <w:sz w:val="18"/>
              </w:rPr>
              <w:t> </w:t>
            </w:r>
            <w:r>
              <w:rPr>
                <w:rFonts w:ascii="Times New Roman"/>
                <w:sz w:val="18"/>
              </w:rPr>
              <w:t>H</w:t>
            </w:r>
          </w:p>
        </w:tc>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Menara Prima</w:t>
            </w:r>
            <w:r>
              <w:rPr>
                <w:rFonts w:ascii="Times New Roman"/>
                <w:spacing w:val="-7"/>
                <w:sz w:val="18"/>
              </w:rPr>
              <w:t> </w:t>
            </w:r>
            <w:r>
              <w:rPr>
                <w:rFonts w:ascii="Times New Roman"/>
                <w:sz w:val="18"/>
              </w:rPr>
              <w:t>2</w:t>
            </w: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Menara Prima</w:t>
            </w:r>
            <w:r>
              <w:rPr>
                <w:rFonts w:ascii="Times New Roman"/>
                <w:spacing w:val="-7"/>
                <w:sz w:val="18"/>
              </w:rPr>
              <w:t> </w:t>
            </w:r>
            <w:r>
              <w:rPr>
                <w:rFonts w:ascii="Times New Roman"/>
                <w:sz w:val="18"/>
              </w:rPr>
              <w:t>2</w:t>
            </w: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2"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24" w:right="0"/>
              <w:jc w:val="left"/>
              <w:rPr>
                <w:rFonts w:ascii="Times New Roman" w:hAnsi="Times New Roman" w:cs="Times New Roman" w:eastAsia="Times New Roman" w:hint="default"/>
                <w:sz w:val="18"/>
                <w:szCs w:val="18"/>
              </w:rPr>
            </w:pPr>
            <w:r>
              <w:rPr>
                <w:rFonts w:ascii="Times New Roman"/>
                <w:sz w:val="18"/>
              </w:rPr>
              <w:t>Brothers</w:t>
            </w:r>
            <w:r>
              <w:rPr>
                <w:rFonts w:ascii="Times New Roman"/>
                <w:spacing w:val="-2"/>
                <w:sz w:val="18"/>
              </w:rPr>
              <w:t> </w:t>
            </w:r>
            <w:r>
              <w:rPr>
                <w:rFonts w:ascii="Times New Roman"/>
                <w:sz w:val="18"/>
              </w:rPr>
              <w:t>Mining</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（恒顺印尼兄弟</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362" w:lineRule="auto" w:before="45"/>
              <w:ind w:left="23" w:right="25"/>
              <w:jc w:val="left"/>
              <w:rPr>
                <w:rFonts w:ascii="Times New Roman" w:hAnsi="Times New Roman" w:cs="Times New Roman" w:eastAsia="Times New Roman" w:hint="default"/>
                <w:sz w:val="18"/>
                <w:szCs w:val="18"/>
              </w:rPr>
            </w:pPr>
            <w:r>
              <w:rPr>
                <w:rFonts w:ascii="Times New Roman"/>
                <w:sz w:val="18"/>
              </w:rPr>
              <w:t>Lt.20,</w:t>
            </w:r>
            <w:r>
              <w:rPr>
                <w:rFonts w:ascii="Times New Roman"/>
                <w:spacing w:val="-1"/>
                <w:sz w:val="18"/>
              </w:rPr>
              <w:t> </w:t>
            </w:r>
            <w:r>
              <w:rPr>
                <w:rFonts w:ascii="Times New Roman"/>
                <w:sz w:val="18"/>
              </w:rPr>
              <w:t>Mega</w:t>
            </w:r>
            <w:r>
              <w:rPr>
                <w:rFonts w:ascii="Times New Roman"/>
                <w:sz w:val="18"/>
              </w:rPr>
              <w:t> Kuningan,</w:t>
            </w:r>
            <w:r>
              <w:rPr>
                <w:rFonts w:ascii="Times New Roman"/>
                <w:spacing w:val="-8"/>
                <w:sz w:val="18"/>
              </w:rPr>
              <w:t> </w:t>
            </w:r>
            <w:r>
              <w:rPr>
                <w:rFonts w:ascii="Times New Roman"/>
                <w:sz w:val="18"/>
              </w:rPr>
              <w:t>Jakarta</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62" w:lineRule="auto" w:before="45"/>
              <w:ind w:left="23" w:right="22"/>
              <w:jc w:val="left"/>
              <w:rPr>
                <w:rFonts w:ascii="Times New Roman" w:hAnsi="Times New Roman" w:cs="Times New Roman" w:eastAsia="Times New Roman" w:hint="default"/>
                <w:sz w:val="18"/>
                <w:szCs w:val="18"/>
              </w:rPr>
            </w:pPr>
            <w:r>
              <w:rPr>
                <w:rFonts w:ascii="Times New Roman"/>
                <w:sz w:val="18"/>
              </w:rPr>
              <w:t>Lt.20,</w:t>
            </w:r>
            <w:r>
              <w:rPr>
                <w:rFonts w:ascii="Times New Roman"/>
                <w:spacing w:val="-1"/>
                <w:sz w:val="18"/>
              </w:rPr>
              <w:t> </w:t>
            </w:r>
            <w:r>
              <w:rPr>
                <w:rFonts w:ascii="Times New Roman"/>
                <w:sz w:val="18"/>
              </w:rPr>
              <w:t>Mega</w:t>
            </w:r>
            <w:r>
              <w:rPr>
                <w:rFonts w:ascii="Times New Roman"/>
                <w:sz w:val="18"/>
              </w:rPr>
              <w:t> Kuningan,</w:t>
            </w:r>
            <w:r>
              <w:rPr>
                <w:rFonts w:ascii="Times New Roman"/>
                <w:spacing w:val="-8"/>
                <w:sz w:val="18"/>
              </w:rPr>
              <w:t> </w:t>
            </w:r>
            <w:r>
              <w:rPr>
                <w:rFonts w:ascii="Times New Roman"/>
                <w:sz w:val="18"/>
              </w:rPr>
              <w:t>Jakarta</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14" w:lineRule="auto" w:before="5"/>
              <w:ind w:left="26" w:right="70"/>
              <w:jc w:val="left"/>
              <w:rPr>
                <w:rFonts w:ascii="宋体" w:hAnsi="宋体" w:cs="宋体" w:eastAsia="宋体" w:hint="default"/>
                <w:sz w:val="18"/>
                <w:szCs w:val="18"/>
              </w:rPr>
            </w:pPr>
            <w:r>
              <w:rPr>
                <w:rFonts w:ascii="宋体" w:hAnsi="宋体" w:cs="宋体" w:eastAsia="宋体" w:hint="default"/>
                <w:sz w:val="18"/>
                <w:szCs w:val="18"/>
              </w:rPr>
              <w:t>采矿及其他挖掘 服务</w:t>
            </w: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4" w:lineRule="auto" w:before="5"/>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55" w:hRule="exact"/>
        </w:trPr>
        <w:tc>
          <w:tcPr>
            <w:tcW w:w="13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矿业有限公司）</w:t>
            </w:r>
          </w:p>
        </w:tc>
        <w:tc>
          <w:tcPr>
            <w:tcW w:w="13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23" w:right="0"/>
              <w:jc w:val="left"/>
              <w:rPr>
                <w:rFonts w:ascii="Times New Roman" w:hAnsi="Times New Roman" w:cs="Times New Roman" w:eastAsia="Times New Roman" w:hint="default"/>
                <w:sz w:val="18"/>
                <w:szCs w:val="18"/>
              </w:rPr>
            </w:pPr>
            <w:r>
              <w:rPr>
                <w:rFonts w:ascii="Times New Roman"/>
                <w:sz w:val="18"/>
              </w:rPr>
              <w:t>Selatan.12950</w:t>
            </w:r>
          </w:p>
        </w:tc>
        <w:tc>
          <w:tcPr>
            <w:tcW w:w="13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23" w:right="0"/>
              <w:jc w:val="left"/>
              <w:rPr>
                <w:rFonts w:ascii="Times New Roman" w:hAnsi="Times New Roman" w:cs="Times New Roman" w:eastAsia="Times New Roman" w:hint="default"/>
                <w:sz w:val="18"/>
                <w:szCs w:val="18"/>
              </w:rPr>
            </w:pPr>
            <w:r>
              <w:rPr>
                <w:rFonts w:ascii="Times New Roman"/>
                <w:sz w:val="18"/>
              </w:rPr>
              <w:t>Selatan.12950</w:t>
            </w: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289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09" w:lineRule="auto"/>
              <w:ind w:left="24" w:right="55"/>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PT. </w:t>
            </w:r>
            <w:r>
              <w:rPr>
                <w:rFonts w:ascii="Times New Roman" w:hAnsi="Times New Roman" w:cs="Times New Roman" w:eastAsia="Times New Roman" w:hint="default"/>
                <w:sz w:val="18"/>
                <w:szCs w:val="18"/>
              </w:rPr>
              <w:t>Kutal</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Nyala</w:t>
            </w:r>
            <w:r>
              <w:rPr>
                <w:rFonts w:ascii="Times New Roman" w:hAnsi="Times New Roman" w:cs="Times New Roman" w:eastAsia="Times New Roman" w:hint="default"/>
                <w:sz w:val="18"/>
                <w:szCs w:val="18"/>
              </w:rPr>
              <w:t> Resources</w:t>
            </w:r>
            <w:r>
              <w:rPr>
                <w:rFonts w:ascii="宋体" w:hAnsi="宋体" w:cs="宋体" w:eastAsia="宋体" w:hint="default"/>
                <w:sz w:val="18"/>
                <w:szCs w:val="18"/>
              </w:rPr>
              <w:t>（恒顺 印尼东加码头有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23" w:right="48"/>
              <w:jc w:val="left"/>
              <w:rPr>
                <w:rFonts w:ascii="Times New Roman" w:hAnsi="Times New Roman" w:cs="Times New Roman" w:eastAsia="Times New Roman" w:hint="default"/>
                <w:sz w:val="18"/>
                <w:szCs w:val="18"/>
              </w:rPr>
            </w:pPr>
            <w:r>
              <w:rPr>
                <w:rFonts w:ascii="Times New Roman"/>
                <w:sz w:val="18"/>
              </w:rPr>
              <w:t>Jl. HAM</w:t>
            </w:r>
            <w:r>
              <w:rPr>
                <w:rFonts w:ascii="Times New Roman"/>
                <w:spacing w:val="-4"/>
                <w:sz w:val="18"/>
              </w:rPr>
              <w:t> </w:t>
            </w:r>
            <w:r>
              <w:rPr>
                <w:rFonts w:ascii="Times New Roman"/>
                <w:sz w:val="18"/>
              </w:rPr>
              <w:t>Rifadin,</w:t>
            </w:r>
            <w:r>
              <w:rPr>
                <w:rFonts w:ascii="Times New Roman"/>
                <w:sz w:val="18"/>
              </w:rPr>
              <w:t> Grand</w:t>
            </w:r>
            <w:r>
              <w:rPr>
                <w:rFonts w:ascii="Times New Roman"/>
                <w:spacing w:val="33"/>
                <w:sz w:val="18"/>
              </w:rPr>
              <w:t> </w:t>
            </w:r>
            <w:r>
              <w:rPr>
                <w:rFonts w:ascii="Times New Roman"/>
                <w:spacing w:val="-4"/>
                <w:sz w:val="18"/>
              </w:rPr>
              <w:t>Taman</w:t>
            </w:r>
            <w:r>
              <w:rPr>
                <w:rFonts w:ascii="Times New Roman"/>
                <w:w w:val="99"/>
                <w:sz w:val="18"/>
              </w:rPr>
              <w:t> </w:t>
            </w:r>
            <w:r>
              <w:rPr>
                <w:rFonts w:ascii="Times New Roman"/>
                <w:sz w:val="18"/>
              </w:rPr>
              <w:t>Sari Blok</w:t>
            </w:r>
            <w:r>
              <w:rPr>
                <w:rFonts w:ascii="Times New Roman"/>
                <w:spacing w:val="-1"/>
                <w:sz w:val="18"/>
              </w:rPr>
              <w:t> </w:t>
            </w:r>
            <w:r>
              <w:rPr>
                <w:rFonts w:ascii="Times New Roman"/>
                <w:sz w:val="18"/>
              </w:rPr>
              <w:t>C2</w:t>
            </w:r>
            <w:r>
              <w:rPr>
                <w:rFonts w:ascii="Times New Roman"/>
                <w:sz w:val="18"/>
              </w:rPr>
              <w:t> No.1&amp;2,</w:t>
            </w:r>
            <w:r>
              <w:rPr>
                <w:rFonts w:ascii="Times New Roman"/>
                <w:spacing w:val="-4"/>
                <w:sz w:val="18"/>
              </w:rPr>
              <w:t> </w:t>
            </w:r>
            <w:r>
              <w:rPr>
                <w:rFonts w:ascii="Times New Roman"/>
                <w:sz w:val="18"/>
              </w:rPr>
              <w:t>Harapan</w:t>
            </w:r>
            <w:r>
              <w:rPr>
                <w:rFonts w:ascii="Times New Roman"/>
                <w:w w:val="99"/>
                <w:sz w:val="18"/>
              </w:rPr>
              <w:t> </w:t>
            </w:r>
            <w:r>
              <w:rPr>
                <w:rFonts w:ascii="Times New Roman"/>
                <w:sz w:val="18"/>
              </w:rPr>
              <w:t>Baru,</w:t>
            </w:r>
            <w:r>
              <w:rPr>
                <w:rFonts w:ascii="Times New Roman"/>
                <w:spacing w:val="-2"/>
                <w:sz w:val="18"/>
              </w:rPr>
              <w:t> </w:t>
            </w:r>
            <w:r>
              <w:rPr>
                <w:rFonts w:ascii="Times New Roman"/>
                <w:sz w:val="18"/>
              </w:rPr>
              <w:t>Samarinda</w:t>
            </w:r>
            <w:r>
              <w:rPr>
                <w:rFonts w:ascii="Times New Roman"/>
                <w:sz w:val="18"/>
              </w:rPr>
              <w:t> Seberang, Kalimantan </w:t>
            </w:r>
            <w:r>
              <w:rPr>
                <w:rFonts w:ascii="Times New Roman"/>
                <w:spacing w:val="-3"/>
                <w:sz w:val="18"/>
              </w:rPr>
              <w:t>Timur</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115"/>
              <w:jc w:val="left"/>
              <w:rPr>
                <w:rFonts w:ascii="Times New Roman" w:hAnsi="Times New Roman" w:cs="Times New Roman" w:eastAsia="Times New Roman" w:hint="default"/>
                <w:sz w:val="18"/>
                <w:szCs w:val="18"/>
              </w:rPr>
            </w:pPr>
            <w:r>
              <w:rPr>
                <w:rFonts w:ascii="Times New Roman"/>
                <w:sz w:val="18"/>
              </w:rPr>
              <w:t>Komplek Balikpapan</w:t>
            </w:r>
            <w:r>
              <w:rPr>
                <w:rFonts w:ascii="Times New Roman"/>
                <w:spacing w:val="-2"/>
                <w:sz w:val="18"/>
              </w:rPr>
              <w:t> </w:t>
            </w:r>
            <w:r>
              <w:rPr>
                <w:rFonts w:ascii="Times New Roman"/>
                <w:sz w:val="18"/>
              </w:rPr>
              <w:t>Baru</w:t>
            </w:r>
            <w:r>
              <w:rPr>
                <w:rFonts w:ascii="Times New Roman"/>
                <w:sz w:val="18"/>
              </w:rPr>
              <w:t> Blok U-2</w:t>
            </w:r>
            <w:r>
              <w:rPr>
                <w:rFonts w:ascii="Times New Roman"/>
                <w:spacing w:val="-2"/>
                <w:sz w:val="18"/>
              </w:rPr>
              <w:t> </w:t>
            </w:r>
            <w:r>
              <w:rPr>
                <w:rFonts w:ascii="Times New Roman"/>
                <w:sz w:val="18"/>
              </w:rPr>
              <w:t>No.23,</w:t>
            </w:r>
            <w:r>
              <w:rPr>
                <w:rFonts w:ascii="Times New Roman"/>
                <w:sz w:val="18"/>
              </w:rPr>
              <w:t> Kel. Gunung Samarinda, Balikpapan Selatan, Kalimantan </w:t>
            </w:r>
            <w:r>
              <w:rPr>
                <w:rFonts w:ascii="Times New Roman"/>
                <w:spacing w:val="-3"/>
                <w:sz w:val="18"/>
              </w:rPr>
              <w:t>Timur</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码头服务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66"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Jl. A. </w:t>
            </w:r>
            <w:r>
              <w:rPr>
                <w:rFonts w:ascii="Times New Roman"/>
                <w:spacing w:val="-5"/>
                <w:sz w:val="18"/>
              </w:rPr>
              <w:t>Yani</w:t>
            </w:r>
            <w:r>
              <w:rPr>
                <w:rFonts w:ascii="Times New Roman"/>
                <w:spacing w:val="-20"/>
                <w:sz w:val="18"/>
              </w:rPr>
              <w:t> </w:t>
            </w:r>
            <w:r>
              <w:rPr>
                <w:rFonts w:ascii="Times New Roman"/>
                <w:sz w:val="18"/>
              </w:rPr>
              <w:t>KM</w:t>
            </w: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Jl. A. </w:t>
            </w:r>
            <w:r>
              <w:rPr>
                <w:rFonts w:ascii="Times New Roman"/>
                <w:spacing w:val="-5"/>
                <w:sz w:val="18"/>
              </w:rPr>
              <w:t>Yani</w:t>
            </w:r>
            <w:r>
              <w:rPr>
                <w:rFonts w:ascii="Times New Roman"/>
                <w:spacing w:val="-20"/>
                <w:sz w:val="18"/>
              </w:rPr>
              <w:t> </w:t>
            </w:r>
            <w:r>
              <w:rPr>
                <w:rFonts w:ascii="Times New Roman"/>
                <w:sz w:val="18"/>
              </w:rPr>
              <w:t>KM</w:t>
            </w: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24" w:right="0"/>
              <w:jc w:val="left"/>
              <w:rPr>
                <w:rFonts w:ascii="Times New Roman" w:hAnsi="Times New Roman" w:cs="Times New Roman" w:eastAsia="Times New Roman" w:hint="default"/>
                <w:sz w:val="18"/>
                <w:szCs w:val="18"/>
              </w:rPr>
            </w:pPr>
            <w:r>
              <w:rPr>
                <w:rFonts w:ascii="Times New Roman"/>
                <w:spacing w:val="-5"/>
                <w:sz w:val="18"/>
              </w:rPr>
              <w:t>PT.</w:t>
            </w:r>
            <w:r>
              <w:rPr>
                <w:rFonts w:ascii="Times New Roman"/>
                <w:spacing w:val="-1"/>
                <w:sz w:val="18"/>
              </w:rPr>
              <w:t> </w:t>
            </w:r>
            <w:r>
              <w:rPr>
                <w:rFonts w:ascii="Times New Roman"/>
                <w:sz w:val="18"/>
              </w:rPr>
              <w:t>CIS</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left="23" w:right="0"/>
              <w:jc w:val="left"/>
              <w:rPr>
                <w:rFonts w:ascii="Times New Roman" w:hAnsi="Times New Roman" w:cs="Times New Roman" w:eastAsia="Times New Roman" w:hint="default"/>
                <w:sz w:val="18"/>
                <w:szCs w:val="18"/>
              </w:rPr>
            </w:pPr>
            <w:r>
              <w:rPr>
                <w:rFonts w:ascii="Times New Roman"/>
                <w:sz w:val="18"/>
              </w:rPr>
              <w:t>5.7,</w:t>
            </w:r>
            <w:r>
              <w:rPr>
                <w:rFonts w:ascii="Times New Roman"/>
                <w:spacing w:val="-4"/>
                <w:sz w:val="18"/>
              </w:rPr>
              <w:t> </w:t>
            </w:r>
            <w:r>
              <w:rPr>
                <w:rFonts w:ascii="Times New Roman"/>
                <w:sz w:val="18"/>
              </w:rPr>
              <w:t>Komplek</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left="23" w:right="0"/>
              <w:jc w:val="left"/>
              <w:rPr>
                <w:rFonts w:ascii="Times New Roman" w:hAnsi="Times New Roman" w:cs="Times New Roman" w:eastAsia="Times New Roman" w:hint="default"/>
                <w:sz w:val="18"/>
                <w:szCs w:val="18"/>
              </w:rPr>
            </w:pPr>
            <w:r>
              <w:rPr>
                <w:rFonts w:ascii="Times New Roman"/>
                <w:sz w:val="18"/>
              </w:rPr>
              <w:t>5.7,</w:t>
            </w:r>
            <w:r>
              <w:rPr>
                <w:rFonts w:ascii="Times New Roman"/>
                <w:spacing w:val="-4"/>
                <w:sz w:val="18"/>
              </w:rPr>
              <w:t> </w:t>
            </w:r>
            <w:r>
              <w:rPr>
                <w:rFonts w:ascii="Times New Roman"/>
                <w:sz w:val="18"/>
              </w:rPr>
              <w:t>Komplek</w:t>
            </w:r>
          </w:p>
        </w:tc>
        <w:tc>
          <w:tcPr>
            <w:tcW w:w="1368" w:type="dxa"/>
            <w:tcBorders>
              <w:top w:val="nil" w:sz="6" w:space="0" w:color="auto"/>
              <w:left w:val="single" w:sz="4" w:space="0" w:color="000000"/>
              <w:bottom w:val="nil" w:sz="6" w:space="0" w:color="auto"/>
              <w:right w:val="single" w:sz="4" w:space="0" w:color="000000"/>
            </w:tcBorders>
          </w:tcPr>
          <w:p>
            <w:pP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623"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300" w:lineRule="auto" w:before="4"/>
              <w:ind w:left="24"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Resources</w:t>
            </w:r>
            <w:r>
              <w:rPr>
                <w:rFonts w:ascii="宋体" w:hAnsi="宋体" w:cs="宋体" w:eastAsia="宋体" w:hint="default"/>
                <w:sz w:val="18"/>
                <w:szCs w:val="18"/>
              </w:rPr>
              <w:t>（恒顺 印尼中加煤矿有</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362" w:lineRule="auto" w:before="46"/>
              <w:ind w:left="23" w:right="332"/>
              <w:jc w:val="left"/>
              <w:rPr>
                <w:rFonts w:ascii="Times New Roman" w:hAnsi="Times New Roman" w:cs="Times New Roman" w:eastAsia="Times New Roman" w:hint="default"/>
                <w:sz w:val="18"/>
                <w:szCs w:val="18"/>
              </w:rPr>
            </w:pPr>
            <w:r>
              <w:rPr>
                <w:rFonts w:ascii="Times New Roman"/>
                <w:sz w:val="18"/>
              </w:rPr>
              <w:t>Banjar</w:t>
            </w:r>
            <w:r>
              <w:rPr>
                <w:rFonts w:ascii="Times New Roman"/>
                <w:spacing w:val="-1"/>
                <w:sz w:val="18"/>
              </w:rPr>
              <w:t> </w:t>
            </w:r>
            <w:r>
              <w:rPr>
                <w:rFonts w:ascii="Times New Roman"/>
                <w:sz w:val="18"/>
              </w:rPr>
              <w:t>Indah</w:t>
            </w:r>
            <w:r>
              <w:rPr>
                <w:rFonts w:ascii="Times New Roman"/>
                <w:sz w:val="18"/>
              </w:rPr>
              <w:t> Permai</w:t>
            </w:r>
            <w:r>
              <w:rPr>
                <w:rFonts w:ascii="Times New Roman"/>
                <w:spacing w:val="-4"/>
                <w:sz w:val="18"/>
              </w:rPr>
              <w:t> </w:t>
            </w:r>
            <w:r>
              <w:rPr>
                <w:rFonts w:ascii="Times New Roman"/>
                <w:sz w:val="18"/>
              </w:rPr>
              <w:t>No.54</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62" w:lineRule="auto" w:before="46"/>
              <w:ind w:left="23" w:right="329"/>
              <w:jc w:val="left"/>
              <w:rPr>
                <w:rFonts w:ascii="Times New Roman" w:hAnsi="Times New Roman" w:cs="Times New Roman" w:eastAsia="Times New Roman" w:hint="default"/>
                <w:sz w:val="18"/>
                <w:szCs w:val="18"/>
              </w:rPr>
            </w:pPr>
            <w:r>
              <w:rPr>
                <w:rFonts w:ascii="Times New Roman"/>
                <w:sz w:val="18"/>
              </w:rPr>
              <w:t>Banjar</w:t>
            </w:r>
            <w:r>
              <w:rPr>
                <w:rFonts w:ascii="Times New Roman"/>
                <w:spacing w:val="-1"/>
                <w:sz w:val="18"/>
              </w:rPr>
              <w:t> </w:t>
            </w:r>
            <w:r>
              <w:rPr>
                <w:rFonts w:ascii="Times New Roman"/>
                <w:sz w:val="18"/>
              </w:rPr>
              <w:t>Indah</w:t>
            </w:r>
            <w:r>
              <w:rPr>
                <w:rFonts w:ascii="Times New Roman"/>
                <w:sz w:val="18"/>
              </w:rPr>
              <w:t> Permai</w:t>
            </w:r>
            <w:r>
              <w:rPr>
                <w:rFonts w:ascii="Times New Roman"/>
                <w:spacing w:val="-4"/>
                <w:sz w:val="18"/>
              </w:rPr>
              <w:t> </w:t>
            </w:r>
            <w:r>
              <w:rPr>
                <w:rFonts w:ascii="Times New Roman"/>
                <w:sz w:val="18"/>
              </w:rPr>
              <w:t>No.54</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煤矿</w:t>
            </w: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17"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3" w:right="0"/>
              <w:jc w:val="left"/>
              <w:rPr>
                <w:rFonts w:ascii="Times New Roman" w:hAnsi="Times New Roman" w:cs="Times New Roman" w:eastAsia="Times New Roman" w:hint="default"/>
                <w:sz w:val="18"/>
                <w:szCs w:val="18"/>
              </w:rPr>
            </w:pPr>
            <w:r>
              <w:rPr>
                <w:rFonts w:ascii="Times New Roman"/>
                <w:spacing w:val="-4"/>
                <w:sz w:val="18"/>
              </w:rPr>
              <w:t>RT.064,</w:t>
            </w:r>
            <w:r>
              <w:rPr>
                <w:rFonts w:ascii="Times New Roman"/>
                <w:spacing w:val="1"/>
                <w:sz w:val="18"/>
              </w:rPr>
              <w:t> </w:t>
            </w:r>
            <w:r>
              <w:rPr>
                <w:rFonts w:ascii="Times New Roman"/>
                <w:sz w:val="18"/>
              </w:rPr>
              <w:t>Kel.</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3" w:right="0"/>
              <w:jc w:val="left"/>
              <w:rPr>
                <w:rFonts w:ascii="Times New Roman" w:hAnsi="Times New Roman" w:cs="Times New Roman" w:eastAsia="Times New Roman" w:hint="default"/>
                <w:sz w:val="18"/>
                <w:szCs w:val="18"/>
              </w:rPr>
            </w:pPr>
            <w:r>
              <w:rPr>
                <w:rFonts w:ascii="Times New Roman"/>
                <w:spacing w:val="-4"/>
                <w:sz w:val="18"/>
              </w:rPr>
              <w:t>RT.064,</w:t>
            </w:r>
            <w:r>
              <w:rPr>
                <w:rFonts w:ascii="Times New Roman"/>
                <w:spacing w:val="1"/>
                <w:sz w:val="18"/>
              </w:rPr>
              <w:t> </w:t>
            </w:r>
            <w:r>
              <w:rPr>
                <w:rFonts w:ascii="Times New Roman"/>
                <w:sz w:val="18"/>
              </w:rPr>
              <w:t>Kel.</w:t>
            </w:r>
          </w:p>
        </w:tc>
        <w:tc>
          <w:tcPr>
            <w:tcW w:w="1368" w:type="dxa"/>
            <w:tcBorders>
              <w:top w:val="nil" w:sz="6" w:space="0" w:color="auto"/>
              <w:left w:val="single" w:sz="4" w:space="0" w:color="000000"/>
              <w:bottom w:val="nil" w:sz="6" w:space="0" w:color="auto"/>
              <w:right w:val="single" w:sz="4" w:space="0" w:color="000000"/>
            </w:tcBorders>
          </w:tcPr>
          <w:p>
            <w:pP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0"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Times New Roman" w:hAnsi="Times New Roman" w:cs="Times New Roman" w:eastAsia="Times New Roman" w:hint="default"/>
                <w:sz w:val="18"/>
                <w:szCs w:val="18"/>
              </w:rPr>
            </w:pPr>
            <w:r>
              <w:rPr>
                <w:rFonts w:ascii="Times New Roman"/>
                <w:sz w:val="18"/>
              </w:rPr>
              <w:t>Pemurus</w:t>
            </w:r>
            <w:r>
              <w:rPr>
                <w:rFonts w:ascii="Times New Roman"/>
                <w:spacing w:val="-7"/>
                <w:sz w:val="18"/>
              </w:rPr>
              <w:t> </w:t>
            </w:r>
            <w:r>
              <w:rPr>
                <w:rFonts w:ascii="Times New Roman"/>
                <w:sz w:val="18"/>
              </w:rPr>
              <w:t>Dalam,</w:t>
            </w:r>
          </w:p>
        </w:tc>
        <w:tc>
          <w:tcPr>
            <w:tcW w:w="13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Times New Roman" w:hAnsi="Times New Roman" w:cs="Times New Roman" w:eastAsia="Times New Roman" w:hint="default"/>
                <w:sz w:val="18"/>
                <w:szCs w:val="18"/>
              </w:rPr>
            </w:pPr>
            <w:r>
              <w:rPr>
                <w:rFonts w:ascii="Times New Roman"/>
                <w:sz w:val="18"/>
              </w:rPr>
              <w:t>Pemurus</w:t>
            </w:r>
            <w:r>
              <w:rPr>
                <w:rFonts w:ascii="Times New Roman"/>
                <w:spacing w:val="-7"/>
                <w:sz w:val="18"/>
              </w:rPr>
              <w:t> </w:t>
            </w:r>
            <w:r>
              <w:rPr>
                <w:rFonts w:ascii="Times New Roman"/>
                <w:sz w:val="18"/>
              </w:rPr>
              <w:t>Dalam,</w:t>
            </w: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3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5"/>
                <w:sz w:val="18"/>
              </w:rPr>
              <w:t>PT.</w:t>
            </w:r>
            <w:r>
              <w:rPr>
                <w:rFonts w:ascii="Times New Roman"/>
                <w:spacing w:val="-1"/>
                <w:sz w:val="18"/>
              </w:rPr>
              <w:t> </w:t>
            </w:r>
            <w:r>
              <w:rPr>
                <w:rFonts w:ascii="Times New Roman"/>
                <w:sz w:val="18"/>
              </w:rPr>
              <w:t>Madani</w:t>
            </w:r>
          </w:p>
        </w:tc>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Menara Prima</w:t>
            </w:r>
            <w:r>
              <w:rPr>
                <w:rFonts w:ascii="Times New Roman"/>
                <w:spacing w:val="-7"/>
                <w:sz w:val="18"/>
              </w:rPr>
              <w:t> </w:t>
            </w:r>
            <w:r>
              <w:rPr>
                <w:rFonts w:ascii="Times New Roman"/>
                <w:sz w:val="18"/>
              </w:rPr>
              <w:t>2</w:t>
            </w: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Menara Prima</w:t>
            </w:r>
            <w:r>
              <w:rPr>
                <w:rFonts w:ascii="Times New Roman"/>
                <w:spacing w:val="-7"/>
                <w:sz w:val="18"/>
              </w:rPr>
              <w:t> </w:t>
            </w:r>
            <w:r>
              <w:rPr>
                <w:rFonts w:ascii="Times New Roman"/>
                <w:sz w:val="18"/>
              </w:rPr>
              <w:t>2</w:t>
            </w: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4" w:right="19"/>
              <w:jc w:val="left"/>
              <w:rPr>
                <w:rFonts w:ascii="宋体" w:hAnsi="宋体" w:cs="宋体" w:eastAsia="宋体" w:hint="default"/>
                <w:sz w:val="18"/>
                <w:szCs w:val="18"/>
              </w:rPr>
            </w:pPr>
            <w:r>
              <w:rPr>
                <w:rFonts w:ascii="Times New Roman" w:hAnsi="Times New Roman" w:cs="Times New Roman" w:eastAsia="Times New Roman" w:hint="default"/>
                <w:spacing w:val="-6"/>
                <w:w w:val="99"/>
                <w:sz w:val="18"/>
                <w:szCs w:val="18"/>
              </w:rPr>
              <w:t>Sejahtera</w:t>
            </w:r>
            <w:r>
              <w:rPr>
                <w:rFonts w:ascii="宋体" w:hAnsi="宋体" w:cs="宋体" w:eastAsia="宋体" w:hint="default"/>
                <w:spacing w:val="-6"/>
                <w:w w:val="99"/>
                <w:sz w:val="18"/>
                <w:szCs w:val="18"/>
              </w:rPr>
              <w:t>（恒顺印</w:t>
            </w:r>
            <w:r>
              <w:rPr>
                <w:rFonts w:ascii="宋体" w:hAnsi="宋体" w:cs="宋体" w:eastAsia="宋体" w:hint="default"/>
                <w:spacing w:val="-88"/>
                <w:w w:val="99"/>
                <w:sz w:val="18"/>
                <w:szCs w:val="18"/>
              </w:rPr>
              <w:t> </w:t>
            </w:r>
            <w:r>
              <w:rPr>
                <w:rFonts w:ascii="宋体" w:hAnsi="宋体" w:cs="宋体" w:eastAsia="宋体" w:hint="default"/>
                <w:sz w:val="18"/>
                <w:szCs w:val="18"/>
              </w:rPr>
              <w:t>尼苏岛镍矿有限</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362" w:lineRule="auto" w:before="47"/>
              <w:ind w:left="23" w:right="25"/>
              <w:jc w:val="left"/>
              <w:rPr>
                <w:rFonts w:ascii="Times New Roman" w:hAnsi="Times New Roman" w:cs="Times New Roman" w:eastAsia="Times New Roman" w:hint="default"/>
                <w:sz w:val="18"/>
                <w:szCs w:val="18"/>
              </w:rPr>
            </w:pPr>
            <w:r>
              <w:rPr>
                <w:rFonts w:ascii="Times New Roman"/>
                <w:sz w:val="18"/>
              </w:rPr>
              <w:t>Lt.20,</w:t>
            </w:r>
            <w:r>
              <w:rPr>
                <w:rFonts w:ascii="Times New Roman"/>
                <w:spacing w:val="-1"/>
                <w:sz w:val="18"/>
              </w:rPr>
              <w:t> </w:t>
            </w:r>
            <w:r>
              <w:rPr>
                <w:rFonts w:ascii="Times New Roman"/>
                <w:sz w:val="18"/>
              </w:rPr>
              <w:t>Mega</w:t>
            </w:r>
            <w:r>
              <w:rPr>
                <w:rFonts w:ascii="Times New Roman"/>
                <w:sz w:val="18"/>
              </w:rPr>
              <w:t> Kuningan,</w:t>
            </w:r>
            <w:r>
              <w:rPr>
                <w:rFonts w:ascii="Times New Roman"/>
                <w:spacing w:val="-8"/>
                <w:sz w:val="18"/>
              </w:rPr>
              <w:t> </w:t>
            </w:r>
            <w:r>
              <w:rPr>
                <w:rFonts w:ascii="Times New Roman"/>
                <w:sz w:val="18"/>
              </w:rPr>
              <w:t>Jakarta</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62" w:lineRule="auto" w:before="47"/>
              <w:ind w:left="23" w:right="22"/>
              <w:jc w:val="left"/>
              <w:rPr>
                <w:rFonts w:ascii="Times New Roman" w:hAnsi="Times New Roman" w:cs="Times New Roman" w:eastAsia="Times New Roman" w:hint="default"/>
                <w:sz w:val="18"/>
                <w:szCs w:val="18"/>
              </w:rPr>
            </w:pPr>
            <w:r>
              <w:rPr>
                <w:rFonts w:ascii="Times New Roman"/>
                <w:sz w:val="18"/>
              </w:rPr>
              <w:t>Lt.20,</w:t>
            </w:r>
            <w:r>
              <w:rPr>
                <w:rFonts w:ascii="Times New Roman"/>
                <w:spacing w:val="-1"/>
                <w:sz w:val="18"/>
              </w:rPr>
              <w:t> </w:t>
            </w:r>
            <w:r>
              <w:rPr>
                <w:rFonts w:ascii="Times New Roman"/>
                <w:sz w:val="18"/>
              </w:rPr>
              <w:t>Mega</w:t>
            </w:r>
            <w:r>
              <w:rPr>
                <w:rFonts w:ascii="Times New Roman"/>
                <w:sz w:val="18"/>
              </w:rPr>
              <w:t> Kuningan,</w:t>
            </w:r>
            <w:r>
              <w:rPr>
                <w:rFonts w:ascii="Times New Roman"/>
                <w:spacing w:val="-8"/>
                <w:sz w:val="18"/>
              </w:rPr>
              <w:t> </w:t>
            </w:r>
            <w:r>
              <w:rPr>
                <w:rFonts w:ascii="Times New Roman"/>
                <w:sz w:val="18"/>
              </w:rPr>
              <w:t>Jakarta</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6" w:right="70"/>
              <w:jc w:val="left"/>
              <w:rPr>
                <w:rFonts w:ascii="宋体" w:hAnsi="宋体" w:cs="宋体" w:eastAsia="宋体" w:hint="default"/>
                <w:sz w:val="18"/>
                <w:szCs w:val="18"/>
              </w:rPr>
            </w:pPr>
            <w:r>
              <w:rPr>
                <w:rFonts w:ascii="宋体" w:hAnsi="宋体" w:cs="宋体" w:eastAsia="宋体" w:hint="default"/>
                <w:sz w:val="18"/>
                <w:szCs w:val="18"/>
              </w:rPr>
              <w:t>矿的开采及其他 服务</w:t>
            </w: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95.00%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53" w:hRule="exact"/>
        </w:trPr>
        <w:tc>
          <w:tcPr>
            <w:tcW w:w="13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23" w:right="0"/>
              <w:jc w:val="left"/>
              <w:rPr>
                <w:rFonts w:ascii="Times New Roman" w:hAnsi="Times New Roman" w:cs="Times New Roman" w:eastAsia="Times New Roman" w:hint="default"/>
                <w:sz w:val="18"/>
                <w:szCs w:val="18"/>
              </w:rPr>
            </w:pPr>
            <w:r>
              <w:rPr>
                <w:rFonts w:ascii="Times New Roman"/>
                <w:sz w:val="18"/>
              </w:rPr>
              <w:t>Selatan.12950</w:t>
            </w:r>
          </w:p>
        </w:tc>
        <w:tc>
          <w:tcPr>
            <w:tcW w:w="13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23" w:right="0"/>
              <w:jc w:val="left"/>
              <w:rPr>
                <w:rFonts w:ascii="Times New Roman" w:hAnsi="Times New Roman" w:cs="Times New Roman" w:eastAsia="Times New Roman" w:hint="default"/>
                <w:sz w:val="18"/>
                <w:szCs w:val="18"/>
              </w:rPr>
            </w:pPr>
            <w:r>
              <w:rPr>
                <w:rFonts w:ascii="Times New Roman"/>
                <w:sz w:val="18"/>
              </w:rPr>
              <w:t>Selatan.12950</w:t>
            </w: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3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pacing w:val="-3"/>
                <w:sz w:val="18"/>
              </w:rPr>
              <w:t>PT.Transon</w:t>
            </w:r>
            <w:r>
              <w:rPr>
                <w:rFonts w:ascii="Times New Roman"/>
                <w:spacing w:val="2"/>
                <w:sz w:val="18"/>
              </w:rPr>
              <w:t> </w:t>
            </w:r>
            <w:r>
              <w:rPr>
                <w:rFonts w:ascii="Times New Roman"/>
                <w:sz w:val="18"/>
              </w:rPr>
              <w:t>Daya</w:t>
            </w:r>
          </w:p>
        </w:tc>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Menara Prima</w:t>
            </w:r>
            <w:r>
              <w:rPr>
                <w:rFonts w:ascii="Times New Roman"/>
                <w:spacing w:val="-7"/>
                <w:sz w:val="18"/>
              </w:rPr>
              <w:t> </w:t>
            </w:r>
            <w:r>
              <w:rPr>
                <w:rFonts w:ascii="Times New Roman"/>
                <w:sz w:val="18"/>
              </w:rPr>
              <w:t>2</w:t>
            </w: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Menara Prima</w:t>
            </w:r>
            <w:r>
              <w:rPr>
                <w:rFonts w:ascii="Times New Roman"/>
                <w:spacing w:val="-7"/>
                <w:sz w:val="18"/>
              </w:rPr>
              <w:t> </w:t>
            </w:r>
            <w:r>
              <w:rPr>
                <w:rFonts w:ascii="Times New Roman"/>
                <w:sz w:val="18"/>
              </w:rPr>
              <w:t>2</w:t>
            </w: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3"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300" w:lineRule="auto" w:before="4"/>
              <w:ind w:left="24" w:right="19"/>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Indomining</w:t>
            </w:r>
            <w:r>
              <w:rPr>
                <w:rFonts w:ascii="宋体" w:hAnsi="宋体" w:cs="宋体" w:eastAsia="宋体" w:hint="default"/>
                <w:spacing w:val="-6"/>
                <w:sz w:val="18"/>
                <w:szCs w:val="18"/>
              </w:rPr>
              <w:t>（恒顺</w:t>
            </w:r>
            <w:r>
              <w:rPr>
                <w:rFonts w:ascii="宋体" w:hAnsi="宋体" w:cs="宋体" w:eastAsia="宋体" w:hint="default"/>
                <w:spacing w:val="-79"/>
                <w:sz w:val="18"/>
                <w:szCs w:val="18"/>
              </w:rPr>
              <w:t> </w:t>
            </w:r>
            <w:r>
              <w:rPr>
                <w:rFonts w:ascii="宋体" w:hAnsi="宋体" w:cs="宋体" w:eastAsia="宋体" w:hint="default"/>
                <w:sz w:val="18"/>
                <w:szCs w:val="18"/>
              </w:rPr>
              <w:t>印尼矿业服务有</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362" w:lineRule="auto" w:before="46"/>
              <w:ind w:left="23" w:right="25"/>
              <w:jc w:val="left"/>
              <w:rPr>
                <w:rFonts w:ascii="Times New Roman" w:hAnsi="Times New Roman" w:cs="Times New Roman" w:eastAsia="Times New Roman" w:hint="default"/>
                <w:sz w:val="18"/>
                <w:szCs w:val="18"/>
              </w:rPr>
            </w:pPr>
            <w:r>
              <w:rPr>
                <w:rFonts w:ascii="Times New Roman"/>
                <w:sz w:val="18"/>
              </w:rPr>
              <w:t>Lt.20,</w:t>
            </w:r>
            <w:r>
              <w:rPr>
                <w:rFonts w:ascii="Times New Roman"/>
                <w:spacing w:val="-1"/>
                <w:sz w:val="18"/>
              </w:rPr>
              <w:t> </w:t>
            </w:r>
            <w:r>
              <w:rPr>
                <w:rFonts w:ascii="Times New Roman"/>
                <w:sz w:val="18"/>
              </w:rPr>
              <w:t>Mega</w:t>
            </w:r>
            <w:r>
              <w:rPr>
                <w:rFonts w:ascii="Times New Roman"/>
                <w:sz w:val="18"/>
              </w:rPr>
              <w:t> Kuningan,</w:t>
            </w:r>
            <w:r>
              <w:rPr>
                <w:rFonts w:ascii="Times New Roman"/>
                <w:spacing w:val="-8"/>
                <w:sz w:val="18"/>
              </w:rPr>
              <w:t> </w:t>
            </w:r>
            <w:r>
              <w:rPr>
                <w:rFonts w:ascii="Times New Roman"/>
                <w:sz w:val="18"/>
              </w:rPr>
              <w:t>Jakarta</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62" w:lineRule="auto" w:before="46"/>
              <w:ind w:left="23" w:right="22"/>
              <w:jc w:val="left"/>
              <w:rPr>
                <w:rFonts w:ascii="Times New Roman" w:hAnsi="Times New Roman" w:cs="Times New Roman" w:eastAsia="Times New Roman" w:hint="default"/>
                <w:sz w:val="18"/>
                <w:szCs w:val="18"/>
              </w:rPr>
            </w:pPr>
            <w:r>
              <w:rPr>
                <w:rFonts w:ascii="Times New Roman"/>
                <w:sz w:val="18"/>
              </w:rPr>
              <w:t>Lt.20,</w:t>
            </w:r>
            <w:r>
              <w:rPr>
                <w:rFonts w:ascii="Times New Roman"/>
                <w:spacing w:val="-1"/>
                <w:sz w:val="18"/>
              </w:rPr>
              <w:t> </w:t>
            </w:r>
            <w:r>
              <w:rPr>
                <w:rFonts w:ascii="Times New Roman"/>
                <w:sz w:val="18"/>
              </w:rPr>
              <w:t>Mega</w:t>
            </w:r>
            <w:r>
              <w:rPr>
                <w:rFonts w:ascii="Times New Roman"/>
                <w:sz w:val="18"/>
              </w:rPr>
              <w:t> Kuningan,</w:t>
            </w:r>
            <w:r>
              <w:rPr>
                <w:rFonts w:ascii="Times New Roman"/>
                <w:spacing w:val="-8"/>
                <w:sz w:val="18"/>
              </w:rPr>
              <w:t> </w:t>
            </w:r>
            <w:r>
              <w:rPr>
                <w:rFonts w:ascii="Times New Roman"/>
                <w:sz w:val="18"/>
              </w:rPr>
              <w:t>Jakarta</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采矿服务</w:t>
            </w: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间接投资</w:t>
            </w:r>
          </w:p>
        </w:tc>
      </w:tr>
      <w:tr>
        <w:trPr>
          <w:trHeight w:val="355" w:hRule="exact"/>
        </w:trPr>
        <w:tc>
          <w:tcPr>
            <w:tcW w:w="13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sz w:val="18"/>
              </w:rPr>
              <w:t>Selatan.12950</w:t>
            </w:r>
          </w:p>
        </w:tc>
        <w:tc>
          <w:tcPr>
            <w:tcW w:w="13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sz w:val="18"/>
              </w:rPr>
              <w:t>Selatan.12950</w:t>
            </w: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4" w:right="0"/>
              <w:jc w:val="left"/>
              <w:rPr>
                <w:rFonts w:ascii="Times New Roman" w:hAnsi="Times New Roman" w:cs="Times New Roman" w:eastAsia="Times New Roman" w:hint="default"/>
                <w:sz w:val="18"/>
                <w:szCs w:val="18"/>
              </w:rPr>
            </w:pPr>
            <w:r>
              <w:rPr>
                <w:rFonts w:ascii="Times New Roman"/>
                <w:sz w:val="18"/>
              </w:rPr>
              <w:t>H&amp;Shun</w:t>
            </w:r>
            <w:r>
              <w:rPr>
                <w:rFonts w:ascii="Times New Roman"/>
                <w:spacing w:val="-3"/>
                <w:sz w:val="18"/>
              </w:rPr>
              <w:t> </w:t>
            </w:r>
            <w:r>
              <w:rPr>
                <w:rFonts w:ascii="Times New Roman"/>
                <w:sz w:val="18"/>
              </w:rPr>
              <w:t>Coal</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24Ean</w:t>
            </w:r>
            <w:r>
              <w:rPr>
                <w:rFonts w:ascii="Times New Roman"/>
                <w:spacing w:val="-2"/>
                <w:sz w:val="18"/>
              </w:rPr>
              <w:t> </w:t>
            </w:r>
            <w:r>
              <w:rPr>
                <w:rFonts w:ascii="Times New Roman"/>
                <w:sz w:val="18"/>
              </w:rPr>
              <w:t>Kiam</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24Ean</w:t>
            </w:r>
            <w:r>
              <w:rPr>
                <w:rFonts w:ascii="Times New Roman"/>
                <w:spacing w:val="-2"/>
                <w:sz w:val="18"/>
              </w:rPr>
              <w:t> </w:t>
            </w:r>
            <w:r>
              <w:rPr>
                <w:rFonts w:ascii="Times New Roman"/>
                <w:sz w:val="18"/>
              </w:rPr>
              <w:t>Kiam</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间接投资</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06.529999pt;margin-top:590.139954pt;width:91.95pt;height:31.2pt;mso-position-horizontal-relative:page;mso-position-vertical-relative:page;z-index:-8188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4"/>
                    <w:ind w:left="0" w:right="0"/>
                    <w:jc w:val="left"/>
                  </w:pPr>
                  <w:r>
                    <w:rPr/>
                    <w:t>咨询、</w:t>
                  </w:r>
                </w:p>
              </w:txbxContent>
            </v:textbox>
            <w10:wrap type="none"/>
          </v:shape>
        </w:pict>
      </w:r>
      <w:r>
        <w:rPr/>
        <w:pict>
          <v:group style="position:absolute;margin-left:330.670013pt;margin-top:369.289978pt;width:67.8pt;height:35.85pt;mso-position-horizontal-relative:page;mso-position-vertical-relative:page;z-index:-818800" coordorigin="6613,7386" coordsize="1356,717">
            <v:group style="position:absolute;left:6613;top:7386;width:1356;height:312" coordorigin="6613,7386" coordsize="1356,312">
              <v:shape style="position:absolute;left:6613;top:7386;width:1356;height:312" coordorigin="6613,7386" coordsize="1356,312" path="m6613,7698l7969,7698,7969,7386,6613,7386,6613,7698xe" filled="true" fillcolor="#ffffff" stroked="false">
                <v:path arrowok="t"/>
                <v:fill type="solid"/>
              </v:shape>
            </v:group>
            <v:group style="position:absolute;left:6624;top:7698;width:2;height:394" coordorigin="6624,7698" coordsize="2,394">
              <v:shape style="position:absolute;left:6624;top:7698;width:2;height:394" coordorigin="6624,7698" coordsize="0,394" path="m6624,7698l6624,8091e" filled="false" stroked="true" strokeweight="1.08pt" strokecolor="#ffffff">
                <v:path arrowok="t"/>
              </v:shape>
            </v:group>
            <v:group style="position:absolute;left:6635;top:7698;width:1311;height:394" coordorigin="6635,7698" coordsize="1311,394">
              <v:shape style="position:absolute;left:6635;top:7698;width:1311;height:394" coordorigin="6635,7698" coordsize="1311,394" path="m6635,8091l7945,8091,7945,7698,6635,7698,6635,8091xe" filled="true" fillcolor="#ffffff" stroked="false">
                <v:path arrowok="t"/>
                <v:fill type="solid"/>
              </v:shape>
            </v:group>
            <w10:wrap type="none"/>
          </v:group>
        </w:pict>
      </w:r>
      <w:r>
        <w:rPr/>
        <w:pict>
          <v:group style="position:absolute;margin-left:330.670013pt;margin-top:590.139954pt;width:67.8pt;height:31.2pt;mso-position-horizontal-relative:page;mso-position-vertical-relative:page;z-index:-818776" coordorigin="6613,11803" coordsize="1356,624">
            <v:shape style="position:absolute;left:6613;top:11803;width:1356;height:624" coordorigin="6613,11803" coordsize="1356,624" path="m6613,12427l7969,12427,7969,11803,6613,11803,6613,1242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379"/>
        <w:gridCol w:w="989"/>
        <w:gridCol w:w="1366"/>
        <w:gridCol w:w="1366"/>
      </w:tblGrid>
      <w:tr>
        <w:trPr>
          <w:trHeight w:val="129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Energy</w:t>
            </w:r>
            <w:r>
              <w:rPr>
                <w:rFonts w:ascii="Times New Roman"/>
                <w:spacing w:val="-9"/>
                <w:sz w:val="18"/>
              </w:rPr>
              <w:t> </w:t>
            </w:r>
            <w:r>
              <w:rPr>
                <w:rFonts w:ascii="Times New Roman"/>
                <w:sz w:val="18"/>
              </w:rPr>
              <w:t>Pte.Ltd</w:t>
            </w:r>
          </w:p>
          <w:p>
            <w:pPr>
              <w:pStyle w:val="TableParagraph"/>
              <w:spacing w:line="316" w:lineRule="auto" w:before="63"/>
              <w:ind w:left="24" w:right="75"/>
              <w:jc w:val="left"/>
              <w:rPr>
                <w:rFonts w:ascii="宋体" w:hAnsi="宋体" w:cs="宋体" w:eastAsia="宋体" w:hint="default"/>
                <w:sz w:val="18"/>
                <w:szCs w:val="18"/>
              </w:rPr>
            </w:pPr>
            <w:r>
              <w:rPr>
                <w:rFonts w:ascii="宋体" w:hAnsi="宋体" w:cs="宋体" w:eastAsia="宋体" w:hint="default"/>
                <w:sz w:val="18"/>
                <w:szCs w:val="18"/>
              </w:rPr>
              <w:t>（恒顺新加坡煤 炭能源有限公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3" w:right="168"/>
              <w:jc w:val="left"/>
              <w:rPr>
                <w:rFonts w:ascii="Times New Roman" w:hAnsi="Times New Roman" w:cs="Times New Roman" w:eastAsia="Times New Roman" w:hint="default"/>
                <w:sz w:val="18"/>
                <w:szCs w:val="18"/>
              </w:rPr>
            </w:pPr>
            <w:r>
              <w:rPr>
                <w:rFonts w:ascii="Times New Roman"/>
                <w:sz w:val="18"/>
              </w:rPr>
              <w:t>Place</w:t>
            </w:r>
            <w:r>
              <w:rPr>
                <w:rFonts w:ascii="Times New Roman"/>
                <w:spacing w:val="-3"/>
                <w:sz w:val="18"/>
              </w:rPr>
              <w:t> </w:t>
            </w:r>
            <w:r>
              <w:rPr>
                <w:rFonts w:ascii="Times New Roman"/>
                <w:sz w:val="18"/>
              </w:rPr>
              <w:t>Singapore</w:t>
            </w:r>
            <w:r>
              <w:rPr>
                <w:rFonts w:ascii="Times New Roman"/>
                <w:sz w:val="18"/>
              </w:rPr>
              <w:t> (429115)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3" w:right="165"/>
              <w:jc w:val="left"/>
              <w:rPr>
                <w:rFonts w:ascii="Times New Roman" w:hAnsi="Times New Roman" w:cs="Times New Roman" w:eastAsia="Times New Roman" w:hint="default"/>
                <w:sz w:val="18"/>
                <w:szCs w:val="18"/>
              </w:rPr>
            </w:pPr>
            <w:r>
              <w:rPr>
                <w:rFonts w:ascii="Times New Roman"/>
                <w:sz w:val="18"/>
              </w:rPr>
              <w:t>Place</w:t>
            </w:r>
            <w:r>
              <w:rPr>
                <w:rFonts w:ascii="Times New Roman"/>
                <w:spacing w:val="-3"/>
                <w:sz w:val="18"/>
              </w:rPr>
              <w:t> </w:t>
            </w:r>
            <w:r>
              <w:rPr>
                <w:rFonts w:ascii="Times New Roman"/>
                <w:sz w:val="18"/>
              </w:rPr>
              <w:t>Singapore</w:t>
            </w:r>
            <w:r>
              <w:rPr>
                <w:rFonts w:ascii="Times New Roman"/>
                <w:sz w:val="18"/>
              </w:rPr>
              <w:t> (429115)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96"/>
              <w:jc w:val="left"/>
              <w:rPr>
                <w:rFonts w:ascii="Times New Roman" w:hAnsi="Times New Roman" w:cs="Times New Roman" w:eastAsia="Times New Roman" w:hint="default"/>
                <w:sz w:val="18"/>
                <w:szCs w:val="18"/>
              </w:rPr>
            </w:pPr>
            <w:r>
              <w:rPr>
                <w:rFonts w:ascii="Times New Roman"/>
                <w:sz w:val="18"/>
              </w:rPr>
              <w:t>H&amp;Shun</w:t>
            </w:r>
            <w:r>
              <w:rPr>
                <w:rFonts w:ascii="Times New Roman"/>
                <w:spacing w:val="-2"/>
                <w:sz w:val="18"/>
              </w:rPr>
              <w:t> </w:t>
            </w:r>
            <w:r>
              <w:rPr>
                <w:rFonts w:ascii="Times New Roman"/>
                <w:sz w:val="18"/>
              </w:rPr>
              <w:t>Coal</w:t>
            </w:r>
            <w:r>
              <w:rPr>
                <w:rFonts w:ascii="Times New Roman"/>
                <w:sz w:val="18"/>
              </w:rPr>
              <w:t> Resource</w:t>
            </w:r>
            <w:r>
              <w:rPr>
                <w:rFonts w:ascii="Times New Roman"/>
                <w:spacing w:val="-5"/>
                <w:sz w:val="18"/>
              </w:rPr>
              <w:t> </w:t>
            </w:r>
            <w:r>
              <w:rPr>
                <w:rFonts w:ascii="Times New Roman"/>
                <w:sz w:val="18"/>
              </w:rPr>
              <w:t>Pte.Ltd</w:t>
            </w:r>
          </w:p>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（恒顺新加坡煤</w:t>
            </w:r>
          </w:p>
          <w:p>
            <w:pPr>
              <w:pStyle w:val="TableParagraph"/>
              <w:spacing w:line="316" w:lineRule="auto" w:before="76"/>
              <w:ind w:left="24" w:right="255"/>
              <w:jc w:val="left"/>
              <w:rPr>
                <w:rFonts w:ascii="宋体" w:hAnsi="宋体" w:cs="宋体" w:eastAsia="宋体" w:hint="default"/>
                <w:sz w:val="18"/>
                <w:szCs w:val="18"/>
              </w:rPr>
            </w:pPr>
            <w:r>
              <w:rPr>
                <w:rFonts w:ascii="宋体" w:hAnsi="宋体" w:cs="宋体" w:eastAsia="宋体" w:hint="default"/>
                <w:sz w:val="18"/>
                <w:szCs w:val="18"/>
              </w:rPr>
              <w:t>炭资源有限公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23" w:right="166"/>
              <w:jc w:val="left"/>
              <w:rPr>
                <w:rFonts w:ascii="Times New Roman" w:hAnsi="Times New Roman" w:cs="Times New Roman" w:eastAsia="Times New Roman" w:hint="default"/>
                <w:sz w:val="18"/>
                <w:szCs w:val="18"/>
              </w:rPr>
            </w:pPr>
            <w:r>
              <w:rPr>
                <w:rFonts w:ascii="Times New Roman"/>
                <w:sz w:val="18"/>
              </w:rPr>
              <w:t>24Ean</w:t>
            </w:r>
            <w:r>
              <w:rPr>
                <w:rFonts w:ascii="Times New Roman"/>
                <w:spacing w:val="-2"/>
                <w:sz w:val="18"/>
              </w:rPr>
              <w:t> </w:t>
            </w:r>
            <w:r>
              <w:rPr>
                <w:rFonts w:ascii="Times New Roman"/>
                <w:sz w:val="18"/>
              </w:rPr>
              <w:t>Kiam</w:t>
            </w:r>
            <w:r>
              <w:rPr>
                <w:rFonts w:ascii="Times New Roman"/>
                <w:sz w:val="18"/>
              </w:rPr>
              <w:t> Place</w:t>
            </w:r>
            <w:r>
              <w:rPr>
                <w:rFonts w:ascii="Times New Roman"/>
                <w:spacing w:val="-2"/>
                <w:sz w:val="18"/>
              </w:rPr>
              <w:t> </w:t>
            </w:r>
            <w:r>
              <w:rPr>
                <w:rFonts w:ascii="Times New Roman"/>
                <w:sz w:val="18"/>
              </w:rPr>
              <w:t>Singapore</w:t>
            </w:r>
            <w:r>
              <w:rPr>
                <w:rFonts w:ascii="Times New Roman"/>
                <w:sz w:val="18"/>
              </w:rPr>
              <w:t> (429115)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23" w:right="165"/>
              <w:jc w:val="left"/>
              <w:rPr>
                <w:rFonts w:ascii="Times New Roman" w:hAnsi="Times New Roman" w:cs="Times New Roman" w:eastAsia="Times New Roman" w:hint="default"/>
                <w:sz w:val="18"/>
                <w:szCs w:val="18"/>
              </w:rPr>
            </w:pPr>
            <w:r>
              <w:rPr>
                <w:rFonts w:ascii="Times New Roman"/>
                <w:sz w:val="18"/>
              </w:rPr>
              <w:t>24Ean</w:t>
            </w:r>
            <w:r>
              <w:rPr>
                <w:rFonts w:ascii="Times New Roman"/>
                <w:spacing w:val="-2"/>
                <w:sz w:val="18"/>
              </w:rPr>
              <w:t> </w:t>
            </w:r>
            <w:r>
              <w:rPr>
                <w:rFonts w:ascii="Times New Roman"/>
                <w:sz w:val="18"/>
              </w:rPr>
              <w:t>Kiam</w:t>
            </w:r>
            <w:r>
              <w:rPr>
                <w:rFonts w:ascii="Times New Roman"/>
                <w:sz w:val="18"/>
              </w:rPr>
              <w:t> Place</w:t>
            </w:r>
            <w:r>
              <w:rPr>
                <w:rFonts w:ascii="Times New Roman"/>
                <w:spacing w:val="-3"/>
                <w:sz w:val="18"/>
              </w:rPr>
              <w:t> </w:t>
            </w:r>
            <w:r>
              <w:rPr>
                <w:rFonts w:ascii="Times New Roman"/>
                <w:sz w:val="18"/>
              </w:rPr>
              <w:t>Singapore</w:t>
            </w:r>
            <w:r>
              <w:rPr>
                <w:rFonts w:ascii="Times New Roman"/>
                <w:sz w:val="18"/>
              </w:rPr>
              <w:t> (429115)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间接投资</w:t>
            </w:r>
          </w:p>
        </w:tc>
      </w:tr>
      <w:tr>
        <w:trPr>
          <w:trHeight w:val="165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5"/>
                <w:sz w:val="18"/>
              </w:rPr>
              <w:t>PT.</w:t>
            </w:r>
            <w:r>
              <w:rPr>
                <w:rFonts w:ascii="Times New Roman"/>
                <w:spacing w:val="-13"/>
                <w:sz w:val="18"/>
              </w:rPr>
              <w:t> </w:t>
            </w:r>
            <w:r>
              <w:rPr>
                <w:rFonts w:ascii="Times New Roman"/>
                <w:sz w:val="18"/>
              </w:rPr>
              <w:t>Transon</w:t>
            </w:r>
          </w:p>
          <w:p>
            <w:pPr>
              <w:pStyle w:val="TableParagraph"/>
              <w:spacing w:line="309" w:lineRule="auto" w:before="105"/>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Mining </w:t>
            </w:r>
            <w:r>
              <w:rPr>
                <w:rFonts w:ascii="Times New Roman" w:hAnsi="Times New Roman" w:cs="Times New Roman" w:eastAsia="Times New Roman" w:hint="default"/>
                <w:spacing w:val="-2"/>
                <w:sz w:val="18"/>
                <w:szCs w:val="18"/>
              </w:rPr>
              <w:t>Development</w:t>
            </w:r>
            <w:r>
              <w:rPr>
                <w:rFonts w:ascii="宋体" w:hAnsi="宋体" w:cs="宋体" w:eastAsia="宋体" w:hint="default"/>
                <w:spacing w:val="-2"/>
                <w:sz w:val="18"/>
                <w:szCs w:val="18"/>
              </w:rPr>
              <w:t>（恒</w:t>
            </w:r>
            <w:r>
              <w:rPr>
                <w:rFonts w:ascii="宋体" w:hAnsi="宋体" w:cs="宋体" w:eastAsia="宋体" w:hint="default"/>
                <w:spacing w:val="-82"/>
                <w:sz w:val="18"/>
                <w:szCs w:val="18"/>
              </w:rPr>
              <w:t> </w:t>
            </w:r>
            <w:r>
              <w:rPr>
                <w:rFonts w:ascii="宋体" w:hAnsi="宋体" w:cs="宋体" w:eastAsia="宋体" w:hint="default"/>
                <w:sz w:val="18"/>
                <w:szCs w:val="18"/>
              </w:rPr>
              <w:t>顺印尼安宁有限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23" w:right="25"/>
              <w:jc w:val="left"/>
              <w:rPr>
                <w:rFonts w:ascii="Times New Roman" w:hAnsi="Times New Roman" w:cs="Times New Roman" w:eastAsia="Times New Roman" w:hint="default"/>
                <w:sz w:val="18"/>
                <w:szCs w:val="18"/>
              </w:rPr>
            </w:pPr>
            <w:r>
              <w:rPr>
                <w:rFonts w:ascii="Times New Roman"/>
                <w:sz w:val="18"/>
              </w:rPr>
              <w:t>Menara Prima</w:t>
            </w:r>
            <w:r>
              <w:rPr>
                <w:rFonts w:ascii="Times New Roman"/>
                <w:spacing w:val="-4"/>
                <w:sz w:val="18"/>
              </w:rPr>
              <w:t> </w:t>
            </w:r>
            <w:r>
              <w:rPr>
                <w:rFonts w:ascii="Times New Roman"/>
                <w:sz w:val="18"/>
              </w:rPr>
              <w:t>2</w:t>
            </w:r>
            <w:r>
              <w:rPr>
                <w:rFonts w:ascii="Times New Roman"/>
                <w:w w:val="99"/>
                <w:sz w:val="18"/>
              </w:rPr>
              <w:t> </w:t>
            </w:r>
            <w:r>
              <w:rPr>
                <w:rFonts w:ascii="Times New Roman"/>
                <w:sz w:val="18"/>
              </w:rPr>
              <w:t>Lt.20,</w:t>
            </w:r>
            <w:r>
              <w:rPr>
                <w:rFonts w:ascii="Times New Roman"/>
                <w:spacing w:val="-1"/>
                <w:sz w:val="18"/>
              </w:rPr>
              <w:t> </w:t>
            </w:r>
            <w:r>
              <w:rPr>
                <w:rFonts w:ascii="Times New Roman"/>
                <w:sz w:val="18"/>
              </w:rPr>
              <w:t>Mega</w:t>
            </w:r>
            <w:r>
              <w:rPr>
                <w:rFonts w:ascii="Times New Roman"/>
                <w:sz w:val="18"/>
              </w:rPr>
              <w:t> Kuningan,</w:t>
            </w:r>
            <w:r>
              <w:rPr>
                <w:rFonts w:ascii="Times New Roman"/>
                <w:spacing w:val="-6"/>
                <w:sz w:val="18"/>
              </w:rPr>
              <w:t> </w:t>
            </w:r>
            <w:r>
              <w:rPr>
                <w:rFonts w:ascii="Times New Roman"/>
                <w:sz w:val="18"/>
              </w:rPr>
              <w:t>Jakarta</w:t>
            </w:r>
            <w:r>
              <w:rPr>
                <w:rFonts w:ascii="Times New Roman"/>
                <w:sz w:val="18"/>
              </w:rPr>
              <w:t> Selatan.12950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23" w:right="22"/>
              <w:jc w:val="left"/>
              <w:rPr>
                <w:rFonts w:ascii="Times New Roman" w:hAnsi="Times New Roman" w:cs="Times New Roman" w:eastAsia="Times New Roman" w:hint="default"/>
                <w:sz w:val="18"/>
                <w:szCs w:val="18"/>
              </w:rPr>
            </w:pPr>
            <w:r>
              <w:rPr>
                <w:rFonts w:ascii="Times New Roman"/>
                <w:sz w:val="18"/>
              </w:rPr>
              <w:t>Menara Prima</w:t>
            </w:r>
            <w:r>
              <w:rPr>
                <w:rFonts w:ascii="Times New Roman"/>
                <w:spacing w:val="-4"/>
                <w:sz w:val="18"/>
              </w:rPr>
              <w:t> </w:t>
            </w:r>
            <w:r>
              <w:rPr>
                <w:rFonts w:ascii="Times New Roman"/>
                <w:sz w:val="18"/>
              </w:rPr>
              <w:t>2</w:t>
            </w:r>
            <w:r>
              <w:rPr>
                <w:rFonts w:ascii="Times New Roman"/>
                <w:w w:val="99"/>
                <w:sz w:val="18"/>
              </w:rPr>
              <w:t> </w:t>
            </w:r>
            <w:r>
              <w:rPr>
                <w:rFonts w:ascii="Times New Roman"/>
                <w:sz w:val="18"/>
              </w:rPr>
              <w:t>Lt.20,</w:t>
            </w:r>
            <w:r>
              <w:rPr>
                <w:rFonts w:ascii="Times New Roman"/>
                <w:spacing w:val="-1"/>
                <w:sz w:val="18"/>
              </w:rPr>
              <w:t> </w:t>
            </w:r>
            <w:r>
              <w:rPr>
                <w:rFonts w:ascii="Times New Roman"/>
                <w:sz w:val="18"/>
              </w:rPr>
              <w:t>Mega</w:t>
            </w:r>
            <w:r>
              <w:rPr>
                <w:rFonts w:ascii="Times New Roman"/>
                <w:sz w:val="18"/>
              </w:rPr>
              <w:t> Kuningan,</w:t>
            </w:r>
            <w:r>
              <w:rPr>
                <w:rFonts w:ascii="Times New Roman"/>
                <w:spacing w:val="-6"/>
                <w:sz w:val="18"/>
              </w:rPr>
              <w:t> </w:t>
            </w:r>
            <w:r>
              <w:rPr>
                <w:rFonts w:ascii="Times New Roman"/>
                <w:sz w:val="18"/>
              </w:rPr>
              <w:t>Jakarta</w:t>
            </w:r>
            <w:r>
              <w:rPr>
                <w:rFonts w:ascii="Times New Roman"/>
                <w:sz w:val="18"/>
              </w:rPr>
              <w:t> Selatan.12950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采矿服务</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间接投资</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61"/>
              <w:jc w:val="left"/>
              <w:rPr>
                <w:rFonts w:ascii="Times New Roman" w:hAnsi="Times New Roman" w:cs="Times New Roman" w:eastAsia="Times New Roman" w:hint="default"/>
                <w:sz w:val="18"/>
                <w:szCs w:val="18"/>
              </w:rPr>
            </w:pPr>
            <w:r>
              <w:rPr>
                <w:rFonts w:ascii="Times New Roman"/>
                <w:spacing w:val="-5"/>
                <w:sz w:val="18"/>
              </w:rPr>
              <w:t>PT.</w:t>
            </w:r>
            <w:r>
              <w:rPr>
                <w:rFonts w:ascii="Times New Roman"/>
                <w:spacing w:val="-3"/>
                <w:sz w:val="18"/>
              </w:rPr>
              <w:t> </w:t>
            </w:r>
            <w:r>
              <w:rPr>
                <w:rFonts w:ascii="Times New Roman"/>
                <w:sz w:val="18"/>
              </w:rPr>
              <w:t>Transon</w:t>
            </w:r>
            <w:r>
              <w:rPr>
                <w:rFonts w:ascii="Times New Roman"/>
                <w:sz w:val="18"/>
              </w:rPr>
              <w:t> Global</w:t>
            </w:r>
            <w:r>
              <w:rPr>
                <w:rFonts w:ascii="Times New Roman"/>
                <w:spacing w:val="-5"/>
                <w:sz w:val="18"/>
              </w:rPr>
              <w:t> </w:t>
            </w:r>
            <w:r>
              <w:rPr>
                <w:rFonts w:ascii="Times New Roman"/>
                <w:sz w:val="18"/>
              </w:rPr>
              <w:t>Resources</w:t>
            </w:r>
          </w:p>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（恒顺印尼环宇</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资源有限公司）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25"/>
              <w:jc w:val="left"/>
              <w:rPr>
                <w:rFonts w:ascii="Times New Roman" w:hAnsi="Times New Roman" w:cs="Times New Roman" w:eastAsia="Times New Roman" w:hint="default"/>
                <w:sz w:val="18"/>
                <w:szCs w:val="18"/>
              </w:rPr>
            </w:pPr>
            <w:r>
              <w:rPr>
                <w:rFonts w:ascii="Times New Roman"/>
                <w:sz w:val="18"/>
              </w:rPr>
              <w:t>Menara Prima</w:t>
            </w:r>
            <w:r>
              <w:rPr>
                <w:rFonts w:ascii="Times New Roman"/>
                <w:spacing w:val="-4"/>
                <w:sz w:val="18"/>
              </w:rPr>
              <w:t> </w:t>
            </w:r>
            <w:r>
              <w:rPr>
                <w:rFonts w:ascii="Times New Roman"/>
                <w:sz w:val="18"/>
              </w:rPr>
              <w:t>2</w:t>
            </w:r>
            <w:r>
              <w:rPr>
                <w:rFonts w:ascii="Times New Roman"/>
                <w:w w:val="99"/>
                <w:sz w:val="18"/>
              </w:rPr>
              <w:t> </w:t>
            </w:r>
            <w:r>
              <w:rPr>
                <w:rFonts w:ascii="Times New Roman"/>
                <w:sz w:val="18"/>
              </w:rPr>
              <w:t>Lt.20,</w:t>
            </w:r>
            <w:r>
              <w:rPr>
                <w:rFonts w:ascii="Times New Roman"/>
                <w:spacing w:val="-1"/>
                <w:sz w:val="18"/>
              </w:rPr>
              <w:t> </w:t>
            </w:r>
            <w:r>
              <w:rPr>
                <w:rFonts w:ascii="Times New Roman"/>
                <w:sz w:val="18"/>
              </w:rPr>
              <w:t>Mega</w:t>
            </w:r>
            <w:r>
              <w:rPr>
                <w:rFonts w:ascii="Times New Roman"/>
                <w:sz w:val="18"/>
              </w:rPr>
              <w:t> Kuningan,</w:t>
            </w:r>
            <w:r>
              <w:rPr>
                <w:rFonts w:ascii="Times New Roman"/>
                <w:spacing w:val="-6"/>
                <w:sz w:val="18"/>
              </w:rPr>
              <w:t> </w:t>
            </w:r>
            <w:r>
              <w:rPr>
                <w:rFonts w:ascii="Times New Roman"/>
                <w:sz w:val="18"/>
              </w:rPr>
              <w:t>Jakarta</w:t>
            </w:r>
            <w:r>
              <w:rPr>
                <w:rFonts w:ascii="Times New Roman"/>
                <w:sz w:val="18"/>
              </w:rPr>
              <w:t> Selatan.12950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22"/>
              <w:jc w:val="left"/>
              <w:rPr>
                <w:rFonts w:ascii="Times New Roman" w:hAnsi="Times New Roman" w:cs="Times New Roman" w:eastAsia="Times New Roman" w:hint="default"/>
                <w:sz w:val="18"/>
                <w:szCs w:val="18"/>
              </w:rPr>
            </w:pPr>
            <w:r>
              <w:rPr>
                <w:rFonts w:ascii="Times New Roman"/>
                <w:sz w:val="18"/>
              </w:rPr>
              <w:t>Menara Prima</w:t>
            </w:r>
            <w:r>
              <w:rPr>
                <w:rFonts w:ascii="Times New Roman"/>
                <w:spacing w:val="-4"/>
                <w:sz w:val="18"/>
              </w:rPr>
              <w:t> </w:t>
            </w:r>
            <w:r>
              <w:rPr>
                <w:rFonts w:ascii="Times New Roman"/>
                <w:sz w:val="18"/>
              </w:rPr>
              <w:t>2</w:t>
            </w:r>
            <w:r>
              <w:rPr>
                <w:rFonts w:ascii="Times New Roman"/>
                <w:w w:val="99"/>
                <w:sz w:val="18"/>
              </w:rPr>
              <w:t> </w:t>
            </w:r>
            <w:r>
              <w:rPr>
                <w:rFonts w:ascii="Times New Roman"/>
                <w:sz w:val="18"/>
              </w:rPr>
              <w:t>Lt.20,</w:t>
            </w:r>
            <w:r>
              <w:rPr>
                <w:rFonts w:ascii="Times New Roman"/>
                <w:spacing w:val="-1"/>
                <w:sz w:val="18"/>
              </w:rPr>
              <w:t> </w:t>
            </w:r>
            <w:r>
              <w:rPr>
                <w:rFonts w:ascii="Times New Roman"/>
                <w:sz w:val="18"/>
              </w:rPr>
              <w:t>Mega</w:t>
            </w:r>
            <w:r>
              <w:rPr>
                <w:rFonts w:ascii="Times New Roman"/>
                <w:sz w:val="18"/>
              </w:rPr>
              <w:t> Kuningan,</w:t>
            </w:r>
            <w:r>
              <w:rPr>
                <w:rFonts w:ascii="Times New Roman"/>
                <w:spacing w:val="-6"/>
                <w:sz w:val="18"/>
              </w:rPr>
              <w:t> </w:t>
            </w:r>
            <w:r>
              <w:rPr>
                <w:rFonts w:ascii="Times New Roman"/>
                <w:sz w:val="18"/>
              </w:rPr>
              <w:t>Jakarta</w:t>
            </w:r>
            <w:r>
              <w:rPr>
                <w:rFonts w:ascii="Times New Roman"/>
                <w:sz w:val="18"/>
              </w:rPr>
              <w:t> Selatan.12950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矿山服务</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间接投资</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青岛恒顺众昇实 业有限公司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青岛市城阳区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山东省青岛市城 阳区流亭街道空 港产业聚集区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108"/>
              <w:jc w:val="left"/>
              <w:rPr>
                <w:rFonts w:ascii="宋体" w:hAnsi="宋体" w:cs="宋体" w:eastAsia="宋体" w:hint="default"/>
                <w:sz w:val="18"/>
                <w:szCs w:val="18"/>
              </w:rPr>
            </w:pPr>
            <w:r>
              <w:rPr>
                <w:rFonts w:ascii="宋体" w:hAnsi="宋体" w:cs="宋体" w:eastAsia="宋体" w:hint="default"/>
                <w:spacing w:val="-6"/>
                <w:sz w:val="18"/>
                <w:szCs w:val="18"/>
              </w:rPr>
              <w:t>工程承包、施工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建筑安装</w:t>
            </w:r>
          </w:p>
        </w:tc>
        <w:tc>
          <w:tcPr>
            <w:tcW w:w="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青岛恒顺众昇进 出口有限公司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青岛市城阳区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山东省青岛市城 阳区流亭街道空 港产业聚集区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货物、技术、代 理进出口</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青岛恒顺众昇矿 产资源有限公司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青岛市城阳区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山东省青岛市城 阳区流亭街道空 港产业聚集区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矿产资源开发、 加工</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75"/>
              <w:jc w:val="left"/>
              <w:rPr>
                <w:rFonts w:ascii="宋体" w:hAnsi="宋体" w:cs="宋体" w:eastAsia="宋体" w:hint="default"/>
                <w:sz w:val="18"/>
                <w:szCs w:val="18"/>
              </w:rPr>
            </w:pPr>
            <w:r>
              <w:rPr>
                <w:rFonts w:ascii="宋体" w:hAnsi="宋体" w:cs="宋体" w:eastAsia="宋体" w:hint="default"/>
                <w:sz w:val="18"/>
                <w:szCs w:val="18"/>
              </w:rPr>
              <w:t>青岛恒顺众昇电 气制造有限公司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青岛市城阳区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71"/>
              <w:jc w:val="both"/>
              <w:rPr>
                <w:rFonts w:ascii="宋体" w:hAnsi="宋体" w:cs="宋体" w:eastAsia="宋体" w:hint="default"/>
                <w:sz w:val="18"/>
                <w:szCs w:val="18"/>
              </w:rPr>
            </w:pPr>
            <w:r>
              <w:rPr>
                <w:rFonts w:ascii="宋体" w:hAnsi="宋体" w:cs="宋体" w:eastAsia="宋体" w:hint="default"/>
                <w:sz w:val="18"/>
                <w:szCs w:val="18"/>
              </w:rPr>
              <w:t>山东省青岛市城 阳区流亭街道空 港产业聚集区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电力设备的研 发、生产制造、 安装、调试、销 售</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165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北京科程物联网 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北京市东城区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4"/>
              <w:ind w:left="23" w:right="67"/>
              <w:jc w:val="both"/>
              <w:rPr>
                <w:rFonts w:ascii="宋体" w:hAnsi="宋体" w:cs="宋体" w:eastAsia="宋体" w:hint="default"/>
                <w:sz w:val="18"/>
                <w:szCs w:val="18"/>
              </w:rPr>
            </w:pPr>
            <w:r>
              <w:rPr>
                <w:rFonts w:ascii="宋体" w:hAnsi="宋体" w:cs="宋体" w:eastAsia="宋体" w:hint="default"/>
                <w:sz w:val="18"/>
                <w:szCs w:val="18"/>
              </w:rPr>
              <w:t>北京市东城区东 长安街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号东方 广场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技术开发、技术 </w:t>
            </w:r>
            <w:r>
              <w:rPr>
                <w:rFonts w:ascii="宋体" w:hAnsi="宋体" w:cs="宋体" w:eastAsia="宋体" w:hint="default"/>
                <w:spacing w:val="-8"/>
                <w:sz w:val="18"/>
                <w:szCs w:val="18"/>
              </w:rPr>
              <w:t>转让、技术</w:t>
            </w:r>
            <w:r>
              <w:rPr>
                <w:rFonts w:ascii="宋体" w:hAnsi="宋体" w:cs="宋体" w:eastAsia="宋体" w:hint="default"/>
                <w:sz w:val="18"/>
                <w:szCs w:val="18"/>
              </w:rPr>
              <w:t> 技术服务、计算 机系统服务、数 据处理等</w:t>
            </w:r>
          </w:p>
        </w:tc>
        <w:tc>
          <w:tcPr>
            <w:tcW w:w="379" w:type="dxa"/>
            <w:tcBorders>
              <w:top w:val="single" w:sz="4" w:space="0" w:color="000000"/>
              <w:left w:val="single" w:sz="4" w:space="0" w:color="000000"/>
              <w:bottom w:val="single" w:sz="4" w:space="0" w:color="000000"/>
              <w:right w:val="nil" w:sz="6" w:space="0" w:color="auto"/>
            </w:tcBorders>
          </w:tcPr>
          <w:p>
            <w:pP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192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22"/>
              <w:jc w:val="left"/>
              <w:rPr>
                <w:rFonts w:ascii="Times New Roman" w:hAnsi="Times New Roman" w:cs="Times New Roman" w:eastAsia="Times New Roman" w:hint="default"/>
                <w:sz w:val="18"/>
                <w:szCs w:val="18"/>
              </w:rPr>
            </w:pPr>
            <w:r>
              <w:rPr>
                <w:rFonts w:ascii="Times New Roman"/>
                <w:sz w:val="18"/>
              </w:rPr>
              <w:t>Qingdao Hengshun Zhongsheng Group South Africa(PTY)</w:t>
            </w:r>
            <w:r>
              <w:rPr>
                <w:rFonts w:ascii="Times New Roman"/>
                <w:spacing w:val="-4"/>
                <w:sz w:val="18"/>
              </w:rPr>
              <w:t> </w:t>
            </w:r>
            <w:r>
              <w:rPr>
                <w:rFonts w:ascii="Times New Roman"/>
                <w:sz w:val="18"/>
              </w:rPr>
              <w:t>Ltd</w:t>
            </w:r>
          </w:p>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（青岛恒顺众昇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126"/>
              <w:jc w:val="left"/>
              <w:rPr>
                <w:rFonts w:ascii="Times New Roman" w:hAnsi="Times New Roman" w:cs="Times New Roman" w:eastAsia="Times New Roman" w:hint="default"/>
                <w:sz w:val="18"/>
                <w:szCs w:val="18"/>
              </w:rPr>
            </w:pPr>
            <w:r>
              <w:rPr>
                <w:rFonts w:ascii="Times New Roman"/>
                <w:sz w:val="18"/>
              </w:rPr>
              <w:t>1st Floor Greystone Building</w:t>
            </w:r>
            <w:r>
              <w:rPr>
                <w:rFonts w:ascii="Times New Roman"/>
                <w:spacing w:val="-1"/>
                <w:sz w:val="18"/>
              </w:rPr>
              <w:t> </w:t>
            </w:r>
            <w:r>
              <w:rPr>
                <w:rFonts w:ascii="Times New Roman"/>
                <w:sz w:val="18"/>
              </w:rPr>
              <w:t>4</w:t>
            </w:r>
            <w:r>
              <w:rPr>
                <w:rFonts w:ascii="Times New Roman"/>
                <w:sz w:val="18"/>
              </w:rPr>
              <w:t> Fourways Golf Park Roos</w:t>
            </w:r>
            <w:r>
              <w:rPr>
                <w:rFonts w:ascii="Times New Roman"/>
                <w:spacing w:val="-7"/>
                <w:sz w:val="18"/>
              </w:rPr>
              <w:t> </w:t>
            </w:r>
            <w:r>
              <w:rPr>
                <w:rFonts w:ascii="Times New Roman"/>
                <w:sz w:val="18"/>
              </w:rPr>
              <w:t>Street</w:t>
            </w:r>
            <w:r>
              <w:rPr>
                <w:rFonts w:ascii="Times New Roman"/>
                <w:w w:val="99"/>
                <w:sz w:val="18"/>
              </w:rPr>
              <w:t> </w:t>
            </w:r>
            <w:r>
              <w:rPr>
                <w:rFonts w:ascii="Times New Roman"/>
                <w:sz w:val="18"/>
              </w:rPr>
              <w:t>Fourways</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123"/>
              <w:jc w:val="left"/>
              <w:rPr>
                <w:rFonts w:ascii="Times New Roman" w:hAnsi="Times New Roman" w:cs="Times New Roman" w:eastAsia="Times New Roman" w:hint="default"/>
                <w:sz w:val="18"/>
                <w:szCs w:val="18"/>
              </w:rPr>
            </w:pPr>
            <w:r>
              <w:rPr>
                <w:rFonts w:ascii="Times New Roman"/>
                <w:sz w:val="18"/>
              </w:rPr>
              <w:t>1st Floor Greystone Building</w:t>
            </w:r>
            <w:r>
              <w:rPr>
                <w:rFonts w:ascii="Times New Roman"/>
                <w:spacing w:val="-1"/>
                <w:sz w:val="18"/>
              </w:rPr>
              <w:t> </w:t>
            </w:r>
            <w:r>
              <w:rPr>
                <w:rFonts w:ascii="Times New Roman"/>
                <w:sz w:val="18"/>
              </w:rPr>
              <w:t>4</w:t>
            </w:r>
            <w:r>
              <w:rPr>
                <w:rFonts w:ascii="Times New Roman"/>
                <w:sz w:val="18"/>
              </w:rPr>
              <w:t> Fourways Golf Park Roos</w:t>
            </w:r>
            <w:r>
              <w:rPr>
                <w:rFonts w:ascii="Times New Roman"/>
                <w:spacing w:val="-7"/>
                <w:sz w:val="18"/>
              </w:rPr>
              <w:t> </w:t>
            </w:r>
            <w:r>
              <w:rPr>
                <w:rFonts w:ascii="Times New Roman"/>
                <w:sz w:val="18"/>
              </w:rPr>
              <w:t>Street</w:t>
            </w:r>
            <w:r>
              <w:rPr>
                <w:rFonts w:ascii="Times New Roman"/>
                <w:w w:val="99"/>
                <w:sz w:val="18"/>
              </w:rPr>
              <w:t> </w:t>
            </w:r>
            <w:r>
              <w:rPr>
                <w:rFonts w:ascii="Times New Roman"/>
                <w:sz w:val="18"/>
              </w:rPr>
              <w:t>Fourways</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4" w:lineRule="auto"/>
              <w:ind w:left="26" w:right="70"/>
              <w:jc w:val="left"/>
              <w:rPr>
                <w:rFonts w:ascii="宋体" w:hAnsi="宋体" w:cs="宋体" w:eastAsia="宋体" w:hint="default"/>
                <w:sz w:val="18"/>
                <w:szCs w:val="18"/>
              </w:rPr>
            </w:pPr>
            <w:r>
              <w:rPr>
                <w:rFonts w:ascii="宋体" w:hAnsi="宋体" w:cs="宋体" w:eastAsia="宋体" w:hint="default"/>
                <w:sz w:val="18"/>
                <w:szCs w:val="18"/>
              </w:rPr>
              <w:t>电站建设、一级 工业园、矿业等</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67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75"/>
              <w:jc w:val="left"/>
              <w:rPr>
                <w:rFonts w:ascii="宋体" w:hAnsi="宋体" w:cs="宋体" w:eastAsia="宋体" w:hint="default"/>
                <w:sz w:val="18"/>
                <w:szCs w:val="18"/>
              </w:rPr>
            </w:pPr>
            <w:r>
              <w:rPr>
                <w:rFonts w:ascii="宋体" w:hAnsi="宋体" w:cs="宋体" w:eastAsia="宋体" w:hint="default"/>
                <w:sz w:val="18"/>
                <w:szCs w:val="18"/>
              </w:rPr>
              <w:t>集团南非有限公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Johannesburg</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Johannesburg</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76"/>
              <w:jc w:val="left"/>
              <w:rPr>
                <w:rFonts w:ascii="Times New Roman" w:hAnsi="Times New Roman" w:cs="Times New Roman" w:eastAsia="Times New Roman" w:hint="default"/>
                <w:sz w:val="18"/>
                <w:szCs w:val="18"/>
              </w:rPr>
            </w:pPr>
            <w:r>
              <w:rPr>
                <w:rFonts w:ascii="Times New Roman"/>
                <w:sz w:val="18"/>
              </w:rPr>
              <w:t>Hengshun Zhongsheng Group</w:t>
            </w:r>
            <w:r>
              <w:rPr>
                <w:rFonts w:ascii="Times New Roman"/>
                <w:w w:val="99"/>
                <w:sz w:val="18"/>
              </w:rPr>
              <w:t> </w:t>
            </w:r>
            <w:r>
              <w:rPr>
                <w:rFonts w:ascii="Times New Roman"/>
                <w:sz w:val="18"/>
              </w:rPr>
              <w:t>Zimbabwe(Privat</w:t>
            </w:r>
          </w:p>
          <w:p>
            <w:pPr>
              <w:pStyle w:val="TableParagraph"/>
              <w:spacing w:line="210"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（恒顺</w:t>
            </w:r>
          </w:p>
          <w:p>
            <w:pPr>
              <w:pStyle w:val="TableParagraph"/>
              <w:spacing w:line="316" w:lineRule="auto" w:before="63"/>
              <w:ind w:left="24" w:right="75"/>
              <w:jc w:val="left"/>
              <w:rPr>
                <w:rFonts w:ascii="宋体" w:hAnsi="宋体" w:cs="宋体" w:eastAsia="宋体" w:hint="default"/>
                <w:sz w:val="18"/>
                <w:szCs w:val="18"/>
              </w:rPr>
            </w:pPr>
            <w:r>
              <w:rPr>
                <w:rFonts w:ascii="宋体" w:hAnsi="宋体" w:cs="宋体" w:eastAsia="宋体" w:hint="default"/>
                <w:sz w:val="18"/>
                <w:szCs w:val="18"/>
              </w:rPr>
              <w:t>众昇集团津巴布 韦有限公司）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62" w:lineRule="auto"/>
              <w:ind w:left="23" w:right="52"/>
              <w:jc w:val="left"/>
              <w:rPr>
                <w:rFonts w:ascii="Times New Roman" w:hAnsi="Times New Roman" w:cs="Times New Roman" w:eastAsia="Times New Roman" w:hint="default"/>
                <w:sz w:val="18"/>
                <w:szCs w:val="18"/>
              </w:rPr>
            </w:pPr>
            <w:r>
              <w:rPr>
                <w:rFonts w:ascii="Times New Roman"/>
                <w:sz w:val="18"/>
              </w:rPr>
              <w:t>15 Harare</w:t>
            </w:r>
            <w:r>
              <w:rPr>
                <w:rFonts w:ascii="Times New Roman"/>
                <w:w w:val="99"/>
                <w:sz w:val="18"/>
              </w:rPr>
              <w:t> </w:t>
            </w:r>
            <w:r>
              <w:rPr>
                <w:rFonts w:ascii="Times New Roman"/>
                <w:sz w:val="18"/>
              </w:rPr>
              <w:t>Drive,Chisipite,H</w:t>
            </w:r>
            <w:r>
              <w:rPr>
                <w:rFonts w:ascii="Times New Roman"/>
                <w:w w:val="99"/>
                <w:sz w:val="18"/>
              </w:rPr>
              <w:t> </w:t>
            </w:r>
            <w:r>
              <w:rPr>
                <w:rFonts w:ascii="Times New Roman"/>
                <w:sz w:val="18"/>
              </w:rPr>
              <w:t>arare</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62" w:lineRule="auto"/>
              <w:ind w:left="23" w:right="49"/>
              <w:jc w:val="left"/>
              <w:rPr>
                <w:rFonts w:ascii="Times New Roman" w:hAnsi="Times New Roman" w:cs="Times New Roman" w:eastAsia="Times New Roman" w:hint="default"/>
                <w:sz w:val="18"/>
                <w:szCs w:val="18"/>
              </w:rPr>
            </w:pPr>
            <w:r>
              <w:rPr>
                <w:rFonts w:ascii="Times New Roman"/>
                <w:sz w:val="18"/>
              </w:rPr>
              <w:t>15 Harare</w:t>
            </w:r>
            <w:r>
              <w:rPr>
                <w:rFonts w:ascii="Times New Roman"/>
                <w:w w:val="99"/>
                <w:sz w:val="18"/>
              </w:rPr>
              <w:t> </w:t>
            </w:r>
            <w:r>
              <w:rPr>
                <w:rFonts w:ascii="Times New Roman"/>
                <w:sz w:val="18"/>
              </w:rPr>
              <w:t>Drive,Chisipite,H</w:t>
            </w:r>
            <w:r>
              <w:rPr>
                <w:rFonts w:ascii="Times New Roman"/>
                <w:w w:val="99"/>
                <w:sz w:val="18"/>
              </w:rPr>
              <w:t> </w:t>
            </w:r>
            <w:r>
              <w:rPr>
                <w:rFonts w:ascii="Times New Roman"/>
                <w:sz w:val="18"/>
              </w:rPr>
              <w:t>arare</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工业园开发、电 站建设运营等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134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91"/>
              <w:ind w:left="24"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Protea</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Holdings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Pte.Ltd.</w:t>
            </w:r>
            <w:r>
              <w:rPr>
                <w:rFonts w:ascii="宋体" w:hAnsi="宋体" w:cs="宋体" w:eastAsia="宋体" w:hint="default"/>
                <w:sz w:val="18"/>
                <w:szCs w:val="18"/>
              </w:rPr>
              <w:t>（恒顺新 加坡普帝控股有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23" w:right="168"/>
              <w:jc w:val="left"/>
              <w:rPr>
                <w:rFonts w:ascii="Times New Roman" w:hAnsi="Times New Roman" w:cs="Times New Roman" w:eastAsia="Times New Roman" w:hint="default"/>
                <w:sz w:val="18"/>
                <w:szCs w:val="18"/>
              </w:rPr>
            </w:pPr>
            <w:r>
              <w:rPr>
                <w:rFonts w:ascii="Times New Roman"/>
                <w:sz w:val="18"/>
              </w:rPr>
              <w:t>24Ean</w:t>
            </w:r>
            <w:r>
              <w:rPr>
                <w:rFonts w:ascii="Times New Roman"/>
                <w:spacing w:val="-1"/>
                <w:sz w:val="18"/>
              </w:rPr>
              <w:t> </w:t>
            </w:r>
            <w:r>
              <w:rPr>
                <w:rFonts w:ascii="Times New Roman"/>
                <w:sz w:val="18"/>
              </w:rPr>
              <w:t>Kiam</w:t>
            </w:r>
            <w:r>
              <w:rPr>
                <w:rFonts w:ascii="Times New Roman"/>
                <w:sz w:val="18"/>
              </w:rPr>
              <w:t> Place</w:t>
            </w:r>
            <w:r>
              <w:rPr>
                <w:rFonts w:ascii="Times New Roman"/>
                <w:spacing w:val="-3"/>
                <w:sz w:val="18"/>
              </w:rPr>
              <w:t> </w:t>
            </w:r>
            <w:r>
              <w:rPr>
                <w:rFonts w:ascii="Times New Roman"/>
                <w:sz w:val="18"/>
              </w:rPr>
              <w:t>Singapore</w:t>
            </w:r>
            <w:r>
              <w:rPr>
                <w:rFonts w:ascii="Times New Roman"/>
                <w:sz w:val="18"/>
              </w:rPr>
              <w:t> (429115)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23" w:right="165"/>
              <w:jc w:val="left"/>
              <w:rPr>
                <w:rFonts w:ascii="Times New Roman" w:hAnsi="Times New Roman" w:cs="Times New Roman" w:eastAsia="Times New Roman" w:hint="default"/>
                <w:sz w:val="18"/>
                <w:szCs w:val="18"/>
              </w:rPr>
            </w:pPr>
            <w:r>
              <w:rPr>
                <w:rFonts w:ascii="Times New Roman"/>
                <w:sz w:val="18"/>
              </w:rPr>
              <w:t>24Ean</w:t>
            </w:r>
            <w:r>
              <w:rPr>
                <w:rFonts w:ascii="Times New Roman"/>
                <w:spacing w:val="-2"/>
                <w:sz w:val="18"/>
              </w:rPr>
              <w:t> </w:t>
            </w:r>
            <w:r>
              <w:rPr>
                <w:rFonts w:ascii="Times New Roman"/>
                <w:sz w:val="18"/>
              </w:rPr>
              <w:t>Kiam</w:t>
            </w:r>
            <w:r>
              <w:rPr>
                <w:rFonts w:ascii="Times New Roman"/>
                <w:sz w:val="18"/>
              </w:rPr>
              <w:t> Place</w:t>
            </w:r>
            <w:r>
              <w:rPr>
                <w:rFonts w:ascii="Times New Roman"/>
                <w:spacing w:val="-3"/>
                <w:sz w:val="18"/>
              </w:rPr>
              <w:t> </w:t>
            </w:r>
            <w:r>
              <w:rPr>
                <w:rFonts w:ascii="Times New Roman"/>
                <w:sz w:val="18"/>
              </w:rPr>
              <w:t>Singapore</w:t>
            </w:r>
            <w:r>
              <w:rPr>
                <w:rFonts w:ascii="Times New Roman"/>
                <w:sz w:val="18"/>
              </w:rPr>
              <w:t> (429115)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7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PT.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Bumi</w:t>
            </w:r>
            <w:r>
              <w:rPr>
                <w:rFonts w:ascii="Times New Roman" w:hAnsi="Times New Roman" w:cs="Times New Roman" w:eastAsia="Times New Roman" w:hint="default"/>
                <w:sz w:val="18"/>
                <w:szCs w:val="18"/>
              </w:rPr>
              <w:t> Morowali Utama(</w:t>
            </w:r>
            <w:r>
              <w:rPr>
                <w:rFonts w:ascii="宋体" w:hAnsi="宋体" w:cs="宋体" w:eastAsia="宋体" w:hint="default"/>
                <w:sz w:val="18"/>
                <w:szCs w:val="18"/>
              </w:rPr>
              <w:t>恒顺印尼 中苏镍矿有限公 司</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23" w:right="25"/>
              <w:jc w:val="left"/>
              <w:rPr>
                <w:rFonts w:ascii="Times New Roman" w:hAnsi="Times New Roman" w:cs="Times New Roman" w:eastAsia="Times New Roman" w:hint="default"/>
                <w:sz w:val="18"/>
                <w:szCs w:val="18"/>
              </w:rPr>
            </w:pPr>
            <w:r>
              <w:rPr>
                <w:rFonts w:ascii="Times New Roman"/>
                <w:sz w:val="18"/>
              </w:rPr>
              <w:t>Menara Prima</w:t>
            </w:r>
            <w:r>
              <w:rPr>
                <w:rFonts w:ascii="Times New Roman"/>
                <w:spacing w:val="-4"/>
                <w:sz w:val="18"/>
              </w:rPr>
              <w:t> </w:t>
            </w:r>
            <w:r>
              <w:rPr>
                <w:rFonts w:ascii="Times New Roman"/>
                <w:sz w:val="18"/>
              </w:rPr>
              <w:t>2</w:t>
            </w:r>
            <w:r>
              <w:rPr>
                <w:rFonts w:ascii="Times New Roman"/>
                <w:w w:val="99"/>
                <w:sz w:val="18"/>
              </w:rPr>
              <w:t> </w:t>
            </w:r>
            <w:r>
              <w:rPr>
                <w:rFonts w:ascii="Times New Roman"/>
                <w:sz w:val="18"/>
              </w:rPr>
              <w:t>Lt.20,</w:t>
            </w:r>
            <w:r>
              <w:rPr>
                <w:rFonts w:ascii="Times New Roman"/>
                <w:spacing w:val="-1"/>
                <w:sz w:val="18"/>
              </w:rPr>
              <w:t> </w:t>
            </w:r>
            <w:r>
              <w:rPr>
                <w:rFonts w:ascii="Times New Roman"/>
                <w:sz w:val="18"/>
              </w:rPr>
              <w:t>Mega</w:t>
            </w:r>
            <w:r>
              <w:rPr>
                <w:rFonts w:ascii="Times New Roman"/>
                <w:sz w:val="18"/>
              </w:rPr>
              <w:t> Kuningan,</w:t>
            </w:r>
            <w:r>
              <w:rPr>
                <w:rFonts w:ascii="Times New Roman"/>
                <w:spacing w:val="-6"/>
                <w:sz w:val="18"/>
              </w:rPr>
              <w:t> </w:t>
            </w:r>
            <w:r>
              <w:rPr>
                <w:rFonts w:ascii="Times New Roman"/>
                <w:sz w:val="18"/>
              </w:rPr>
              <w:t>Jakarta</w:t>
            </w:r>
            <w:r>
              <w:rPr>
                <w:rFonts w:ascii="Times New Roman"/>
                <w:sz w:val="18"/>
              </w:rPr>
              <w:t> Selatan.12950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23" w:right="22"/>
              <w:jc w:val="left"/>
              <w:rPr>
                <w:rFonts w:ascii="Times New Roman" w:hAnsi="Times New Roman" w:cs="Times New Roman" w:eastAsia="Times New Roman" w:hint="default"/>
                <w:sz w:val="18"/>
                <w:szCs w:val="18"/>
              </w:rPr>
            </w:pPr>
            <w:r>
              <w:rPr>
                <w:rFonts w:ascii="Times New Roman"/>
                <w:sz w:val="18"/>
              </w:rPr>
              <w:t>Menara Prima</w:t>
            </w:r>
            <w:r>
              <w:rPr>
                <w:rFonts w:ascii="Times New Roman"/>
                <w:spacing w:val="-4"/>
                <w:sz w:val="18"/>
              </w:rPr>
              <w:t> </w:t>
            </w:r>
            <w:r>
              <w:rPr>
                <w:rFonts w:ascii="Times New Roman"/>
                <w:sz w:val="18"/>
              </w:rPr>
              <w:t>2</w:t>
            </w:r>
            <w:r>
              <w:rPr>
                <w:rFonts w:ascii="Times New Roman"/>
                <w:w w:val="99"/>
                <w:sz w:val="18"/>
              </w:rPr>
              <w:t> </w:t>
            </w:r>
            <w:r>
              <w:rPr>
                <w:rFonts w:ascii="Times New Roman"/>
                <w:sz w:val="18"/>
              </w:rPr>
              <w:t>Lt.20,</w:t>
            </w:r>
            <w:r>
              <w:rPr>
                <w:rFonts w:ascii="Times New Roman"/>
                <w:spacing w:val="-1"/>
                <w:sz w:val="18"/>
              </w:rPr>
              <w:t> </w:t>
            </w:r>
            <w:r>
              <w:rPr>
                <w:rFonts w:ascii="Times New Roman"/>
                <w:sz w:val="18"/>
              </w:rPr>
              <w:t>Mega</w:t>
            </w:r>
            <w:r>
              <w:rPr>
                <w:rFonts w:ascii="Times New Roman"/>
                <w:sz w:val="18"/>
              </w:rPr>
              <w:t> Kuningan,</w:t>
            </w:r>
            <w:r>
              <w:rPr>
                <w:rFonts w:ascii="Times New Roman"/>
                <w:spacing w:val="-6"/>
                <w:sz w:val="18"/>
              </w:rPr>
              <w:t> </w:t>
            </w:r>
            <w:r>
              <w:rPr>
                <w:rFonts w:ascii="Times New Roman"/>
                <w:sz w:val="18"/>
              </w:rPr>
              <w:t>Jakarta</w:t>
            </w:r>
            <w:r>
              <w:rPr>
                <w:rFonts w:ascii="Times New Roman"/>
                <w:sz w:val="18"/>
              </w:rPr>
              <w:t> Selatan.12950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采矿</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并购</w:t>
            </w:r>
          </w:p>
        </w:tc>
      </w:tr>
      <w:tr>
        <w:trPr>
          <w:trHeight w:val="165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Holywin Investment Pte.Ltd.</w:t>
            </w:r>
            <w:r>
              <w:rPr>
                <w:rFonts w:ascii="宋体" w:hAnsi="宋体" w:cs="宋体" w:eastAsia="宋体" w:hint="default"/>
                <w:sz w:val="18"/>
                <w:szCs w:val="18"/>
              </w:rPr>
              <w:t>（恒顺新</w:t>
            </w:r>
          </w:p>
          <w:p>
            <w:pPr>
              <w:pStyle w:val="TableParagraph"/>
              <w:spacing w:line="316" w:lineRule="auto" w:before="39"/>
              <w:ind w:left="24" w:right="75"/>
              <w:jc w:val="left"/>
              <w:rPr>
                <w:rFonts w:ascii="宋体" w:hAnsi="宋体" w:cs="宋体" w:eastAsia="宋体" w:hint="default"/>
                <w:sz w:val="18"/>
                <w:szCs w:val="18"/>
              </w:rPr>
            </w:pPr>
            <w:r>
              <w:rPr>
                <w:rFonts w:ascii="宋体" w:hAnsi="宋体" w:cs="宋体" w:eastAsia="宋体" w:hint="default"/>
                <w:sz w:val="18"/>
                <w:szCs w:val="18"/>
              </w:rPr>
              <w:t>加坡圣赢投资有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23" w:right="168"/>
              <w:jc w:val="left"/>
              <w:rPr>
                <w:rFonts w:ascii="Times New Roman" w:hAnsi="Times New Roman" w:cs="Times New Roman" w:eastAsia="Times New Roman" w:hint="default"/>
                <w:sz w:val="18"/>
                <w:szCs w:val="18"/>
              </w:rPr>
            </w:pPr>
            <w:r>
              <w:rPr>
                <w:rFonts w:ascii="Times New Roman"/>
                <w:sz w:val="18"/>
              </w:rPr>
              <w:t>24Ean</w:t>
            </w:r>
            <w:r>
              <w:rPr>
                <w:rFonts w:ascii="Times New Roman"/>
                <w:spacing w:val="-2"/>
                <w:sz w:val="18"/>
              </w:rPr>
              <w:t> </w:t>
            </w:r>
            <w:r>
              <w:rPr>
                <w:rFonts w:ascii="Times New Roman"/>
                <w:sz w:val="18"/>
              </w:rPr>
              <w:t>Kiam</w:t>
            </w:r>
            <w:r>
              <w:rPr>
                <w:rFonts w:ascii="Times New Roman"/>
                <w:sz w:val="18"/>
              </w:rPr>
              <w:t> Place</w:t>
            </w:r>
            <w:r>
              <w:rPr>
                <w:rFonts w:ascii="Times New Roman"/>
                <w:spacing w:val="-3"/>
                <w:sz w:val="18"/>
              </w:rPr>
              <w:t> </w:t>
            </w:r>
            <w:r>
              <w:rPr>
                <w:rFonts w:ascii="Times New Roman"/>
                <w:sz w:val="18"/>
              </w:rPr>
              <w:t>Singapore</w:t>
            </w:r>
            <w:r>
              <w:rPr>
                <w:rFonts w:ascii="Times New Roman"/>
                <w:sz w:val="18"/>
              </w:rPr>
              <w:t> (429115)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23" w:right="165"/>
              <w:jc w:val="left"/>
              <w:rPr>
                <w:rFonts w:ascii="Times New Roman" w:hAnsi="Times New Roman" w:cs="Times New Roman" w:eastAsia="Times New Roman" w:hint="default"/>
                <w:sz w:val="18"/>
                <w:szCs w:val="18"/>
              </w:rPr>
            </w:pPr>
            <w:r>
              <w:rPr>
                <w:rFonts w:ascii="Times New Roman"/>
                <w:sz w:val="18"/>
              </w:rPr>
              <w:t>24Ean</w:t>
            </w:r>
            <w:r>
              <w:rPr>
                <w:rFonts w:ascii="Times New Roman"/>
                <w:spacing w:val="-2"/>
                <w:sz w:val="18"/>
              </w:rPr>
              <w:t> </w:t>
            </w:r>
            <w:r>
              <w:rPr>
                <w:rFonts w:ascii="Times New Roman"/>
                <w:sz w:val="18"/>
              </w:rPr>
              <w:t>Kiam</w:t>
            </w:r>
            <w:r>
              <w:rPr>
                <w:rFonts w:ascii="Times New Roman"/>
                <w:sz w:val="18"/>
              </w:rPr>
              <w:t> Place</w:t>
            </w:r>
            <w:r>
              <w:rPr>
                <w:rFonts w:ascii="Times New Roman"/>
                <w:spacing w:val="-3"/>
                <w:sz w:val="18"/>
              </w:rPr>
              <w:t> </w:t>
            </w:r>
            <w:r>
              <w:rPr>
                <w:rFonts w:ascii="Times New Roman"/>
                <w:sz w:val="18"/>
              </w:rPr>
              <w:t>Singapore</w:t>
            </w:r>
            <w:r>
              <w:rPr>
                <w:rFonts w:ascii="Times New Roman"/>
                <w:sz w:val="18"/>
              </w:rPr>
              <w:t> (429115)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新疆清源生物质 能源有限公司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新疆阿拉尔市大 学生创业园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新疆阿拉尔市大 学生创业园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生物质发电及相 关项目的开发、 建设等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7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PT.Transon</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Ocean Industry</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Park</w:t>
            </w:r>
            <w:r>
              <w:rPr>
                <w:rFonts w:ascii="宋体" w:hAnsi="宋体" w:cs="宋体" w:eastAsia="宋体" w:hint="default"/>
                <w:sz w:val="18"/>
                <w:szCs w:val="18"/>
              </w:rPr>
              <w:t>（恒顺印尼 海源有限公司）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25"/>
              <w:jc w:val="left"/>
              <w:rPr>
                <w:rFonts w:ascii="Times New Roman" w:hAnsi="Times New Roman" w:cs="Times New Roman" w:eastAsia="Times New Roman" w:hint="default"/>
                <w:sz w:val="18"/>
                <w:szCs w:val="18"/>
              </w:rPr>
            </w:pPr>
            <w:r>
              <w:rPr>
                <w:rFonts w:ascii="Times New Roman"/>
                <w:sz w:val="18"/>
              </w:rPr>
              <w:t>Menara Prima</w:t>
            </w:r>
            <w:r>
              <w:rPr>
                <w:rFonts w:ascii="Times New Roman"/>
                <w:spacing w:val="-4"/>
                <w:sz w:val="18"/>
              </w:rPr>
              <w:t> </w:t>
            </w:r>
            <w:r>
              <w:rPr>
                <w:rFonts w:ascii="Times New Roman"/>
                <w:sz w:val="18"/>
              </w:rPr>
              <w:t>2</w:t>
            </w:r>
            <w:r>
              <w:rPr>
                <w:rFonts w:ascii="Times New Roman"/>
                <w:w w:val="99"/>
                <w:sz w:val="18"/>
              </w:rPr>
              <w:t> </w:t>
            </w:r>
            <w:r>
              <w:rPr>
                <w:rFonts w:ascii="Times New Roman"/>
                <w:sz w:val="18"/>
              </w:rPr>
              <w:t>Lt.20,</w:t>
            </w:r>
            <w:r>
              <w:rPr>
                <w:rFonts w:ascii="Times New Roman"/>
                <w:spacing w:val="-1"/>
                <w:sz w:val="18"/>
              </w:rPr>
              <w:t> </w:t>
            </w:r>
            <w:r>
              <w:rPr>
                <w:rFonts w:ascii="Times New Roman"/>
                <w:sz w:val="18"/>
              </w:rPr>
              <w:t>Mega</w:t>
            </w:r>
            <w:r>
              <w:rPr>
                <w:rFonts w:ascii="Times New Roman"/>
                <w:sz w:val="18"/>
              </w:rPr>
              <w:t> Kuningan,</w:t>
            </w:r>
            <w:r>
              <w:rPr>
                <w:rFonts w:ascii="Times New Roman"/>
                <w:spacing w:val="-6"/>
                <w:sz w:val="18"/>
              </w:rPr>
              <w:t> </w:t>
            </w:r>
            <w:r>
              <w:rPr>
                <w:rFonts w:ascii="Times New Roman"/>
                <w:sz w:val="18"/>
              </w:rPr>
              <w:t>Jakarta</w:t>
            </w:r>
            <w:r>
              <w:rPr>
                <w:rFonts w:ascii="Times New Roman"/>
                <w:sz w:val="18"/>
              </w:rPr>
              <w:t> Selatan.12950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22"/>
              <w:jc w:val="left"/>
              <w:rPr>
                <w:rFonts w:ascii="Times New Roman" w:hAnsi="Times New Roman" w:cs="Times New Roman" w:eastAsia="Times New Roman" w:hint="default"/>
                <w:sz w:val="18"/>
                <w:szCs w:val="18"/>
              </w:rPr>
            </w:pPr>
            <w:r>
              <w:rPr>
                <w:rFonts w:ascii="Times New Roman"/>
                <w:sz w:val="18"/>
              </w:rPr>
              <w:t>Menara Prima</w:t>
            </w:r>
            <w:r>
              <w:rPr>
                <w:rFonts w:ascii="Times New Roman"/>
                <w:spacing w:val="-4"/>
                <w:sz w:val="18"/>
              </w:rPr>
              <w:t> </w:t>
            </w:r>
            <w:r>
              <w:rPr>
                <w:rFonts w:ascii="Times New Roman"/>
                <w:sz w:val="18"/>
              </w:rPr>
              <w:t>2</w:t>
            </w:r>
            <w:r>
              <w:rPr>
                <w:rFonts w:ascii="Times New Roman"/>
                <w:w w:val="99"/>
                <w:sz w:val="18"/>
              </w:rPr>
              <w:t> </w:t>
            </w:r>
            <w:r>
              <w:rPr>
                <w:rFonts w:ascii="Times New Roman"/>
                <w:sz w:val="18"/>
              </w:rPr>
              <w:t>Lt.20,</w:t>
            </w:r>
            <w:r>
              <w:rPr>
                <w:rFonts w:ascii="Times New Roman"/>
                <w:spacing w:val="-1"/>
                <w:sz w:val="18"/>
              </w:rPr>
              <w:t> </w:t>
            </w:r>
            <w:r>
              <w:rPr>
                <w:rFonts w:ascii="Times New Roman"/>
                <w:sz w:val="18"/>
              </w:rPr>
              <w:t>Mega</w:t>
            </w:r>
            <w:r>
              <w:rPr>
                <w:rFonts w:ascii="Times New Roman"/>
                <w:sz w:val="18"/>
              </w:rPr>
              <w:t> Kuningan,</w:t>
            </w:r>
            <w:r>
              <w:rPr>
                <w:rFonts w:ascii="Times New Roman"/>
                <w:spacing w:val="-6"/>
                <w:sz w:val="18"/>
              </w:rPr>
              <w:t> </w:t>
            </w:r>
            <w:r>
              <w:rPr>
                <w:rFonts w:ascii="Times New Roman"/>
                <w:sz w:val="18"/>
              </w:rPr>
              <w:t>Jakarta</w:t>
            </w:r>
            <w:r>
              <w:rPr>
                <w:rFonts w:ascii="Times New Roman"/>
                <w:sz w:val="18"/>
              </w:rPr>
              <w:t> Selatan.12950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196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2" w:lineRule="exact"/>
              <w:ind w:left="24" w:right="7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Philippines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Qian</w:t>
            </w:r>
            <w:r>
              <w:rPr>
                <w:rFonts w:ascii="Times New Roman" w:hAnsi="Times New Roman" w:cs="Times New Roman" w:eastAsia="Times New Roman" w:hint="default"/>
                <w:sz w:val="18"/>
                <w:szCs w:val="18"/>
              </w:rPr>
              <w:t> Jia</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Services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Incorporated(</w:t>
            </w:r>
            <w:r>
              <w:rPr>
                <w:rFonts w:ascii="宋体" w:hAnsi="宋体" w:cs="宋体" w:eastAsia="宋体" w:hint="default"/>
                <w:sz w:val="18"/>
                <w:szCs w:val="18"/>
              </w:rPr>
              <w:t>菲</w:t>
            </w:r>
            <w:r>
              <w:rPr>
                <w:rFonts w:ascii="宋体" w:hAnsi="宋体" w:cs="宋体" w:eastAsia="宋体" w:hint="default"/>
                <w:w w:val="99"/>
                <w:sz w:val="18"/>
                <w:szCs w:val="18"/>
              </w:rPr>
              <w:t> </w:t>
            </w:r>
            <w:r>
              <w:rPr>
                <w:rFonts w:ascii="宋体" w:hAnsi="宋体" w:cs="宋体" w:eastAsia="宋体" w:hint="default"/>
                <w:sz w:val="18"/>
                <w:szCs w:val="18"/>
              </w:rPr>
              <w:t>律宾乾嘉服务公</w:t>
            </w:r>
            <w:r>
              <w:rPr>
                <w:rFonts w:ascii="宋体" w:hAnsi="宋体" w:cs="宋体" w:eastAsia="宋体" w:hint="default"/>
                <w:w w:val="99"/>
                <w:sz w:val="18"/>
                <w:szCs w:val="18"/>
              </w:rPr>
              <w:t> </w:t>
            </w:r>
            <w:r>
              <w:rPr>
                <w:rFonts w:ascii="宋体" w:hAnsi="宋体" w:cs="宋体" w:eastAsia="宋体" w:hint="default"/>
                <w:sz w:val="18"/>
                <w:szCs w:val="18"/>
              </w:rPr>
              <w:t>司</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46"/>
              <w:jc w:val="left"/>
              <w:rPr>
                <w:rFonts w:ascii="Times New Roman" w:hAnsi="Times New Roman" w:cs="Times New Roman" w:eastAsia="Times New Roman" w:hint="default"/>
                <w:sz w:val="18"/>
                <w:szCs w:val="18"/>
              </w:rPr>
            </w:pPr>
            <w:r>
              <w:rPr>
                <w:rFonts w:ascii="Times New Roman"/>
                <w:sz w:val="18"/>
              </w:rPr>
              <w:t>10/F Fort</w:t>
            </w:r>
            <w:r>
              <w:rPr>
                <w:rFonts w:ascii="Times New Roman"/>
                <w:spacing w:val="-5"/>
                <w:sz w:val="18"/>
              </w:rPr>
              <w:t> </w:t>
            </w:r>
            <w:r>
              <w:rPr>
                <w:rFonts w:ascii="Times New Roman"/>
                <w:sz w:val="18"/>
              </w:rPr>
              <w:t>Legend</w:t>
            </w:r>
            <w:r>
              <w:rPr>
                <w:rFonts w:ascii="Times New Roman"/>
                <w:sz w:val="18"/>
              </w:rPr>
              <w:t> </w:t>
            </w:r>
            <w:r>
              <w:rPr>
                <w:rFonts w:ascii="Times New Roman"/>
                <w:spacing w:val="-4"/>
                <w:sz w:val="18"/>
              </w:rPr>
              <w:t>Tower,</w:t>
            </w:r>
            <w:r>
              <w:rPr>
                <w:rFonts w:ascii="Times New Roman"/>
                <w:sz w:val="18"/>
              </w:rPr>
              <w:t> 3rd</w:t>
            </w:r>
            <w:r>
              <w:rPr>
                <w:rFonts w:ascii="Times New Roman"/>
                <w:w w:val="99"/>
                <w:sz w:val="18"/>
              </w:rPr>
              <w:t> </w:t>
            </w:r>
            <w:r>
              <w:rPr>
                <w:rFonts w:ascii="Times New Roman"/>
                <w:spacing w:val="-3"/>
                <w:sz w:val="18"/>
              </w:rPr>
              <w:t>Avenue Cor.</w:t>
            </w:r>
            <w:r>
              <w:rPr>
                <w:rFonts w:ascii="Times New Roman"/>
                <w:spacing w:val="4"/>
                <w:sz w:val="18"/>
              </w:rPr>
              <w:t> </w:t>
            </w:r>
            <w:r>
              <w:rPr>
                <w:rFonts w:ascii="Times New Roman"/>
                <w:sz w:val="18"/>
              </w:rPr>
              <w:t>31st,</w:t>
            </w:r>
            <w:r>
              <w:rPr>
                <w:rFonts w:ascii="Times New Roman"/>
                <w:w w:val="99"/>
                <w:sz w:val="18"/>
              </w:rPr>
              <w:t> </w:t>
            </w:r>
            <w:r>
              <w:rPr>
                <w:rFonts w:ascii="Times New Roman"/>
                <w:sz w:val="18"/>
              </w:rPr>
              <w:t>Bonifacio</w:t>
            </w:r>
            <w:r>
              <w:rPr>
                <w:rFonts w:ascii="Times New Roman"/>
                <w:spacing w:val="-2"/>
                <w:sz w:val="18"/>
              </w:rPr>
              <w:t> </w:t>
            </w:r>
            <w:r>
              <w:rPr>
                <w:rFonts w:ascii="Times New Roman"/>
                <w:sz w:val="18"/>
              </w:rPr>
              <w:t>Global</w:t>
            </w:r>
            <w:r>
              <w:rPr>
                <w:rFonts w:ascii="Times New Roman"/>
                <w:sz w:val="18"/>
              </w:rPr>
              <w:t> </w:t>
            </w:r>
            <w:r>
              <w:rPr>
                <w:rFonts w:ascii="Times New Roman"/>
                <w:spacing w:val="-4"/>
                <w:sz w:val="18"/>
              </w:rPr>
              <w:t>City,</w:t>
            </w:r>
            <w:r>
              <w:rPr>
                <w:rFonts w:ascii="Times New Roman"/>
                <w:spacing w:val="1"/>
                <w:sz w:val="18"/>
              </w:rPr>
              <w:t> </w:t>
            </w:r>
            <w:r>
              <w:rPr>
                <w:rFonts w:ascii="Times New Roman"/>
                <w:spacing w:val="-3"/>
                <w:sz w:val="18"/>
              </w:rPr>
              <w:t>Taguig</w:t>
            </w:r>
            <w:r>
              <w:rPr>
                <w:rFonts w:ascii="Times New Roman"/>
                <w:spacing w:val="2"/>
                <w:sz w:val="18"/>
              </w:rPr>
              <w:t> </w:t>
            </w:r>
            <w:r>
              <w:rPr>
                <w:rFonts w:ascii="Times New Roman"/>
                <w:spacing w:val="-3"/>
                <w:sz w:val="18"/>
              </w:rPr>
              <w:t>City,</w:t>
            </w:r>
            <w:r>
              <w:rPr>
                <w:rFonts w:ascii="Times New Roman"/>
                <w:spacing w:val="-43"/>
                <w:sz w:val="18"/>
              </w:rPr>
              <w:t> </w:t>
            </w:r>
            <w:r>
              <w:rPr>
                <w:rFonts w:ascii="Times New Roman"/>
                <w:spacing w:val="-43"/>
                <w:sz w:val="18"/>
              </w:rPr>
            </w:r>
            <w:r>
              <w:rPr>
                <w:rFonts w:ascii="Times New Roman"/>
                <w:sz w:val="18"/>
              </w:rPr>
              <w:t>1634,</w:t>
            </w:r>
            <w:r>
              <w:rPr>
                <w:rFonts w:ascii="Times New Roman"/>
                <w:spacing w:val="-4"/>
                <w:sz w:val="18"/>
              </w:rPr>
              <w:t> </w:t>
            </w:r>
            <w:r>
              <w:rPr>
                <w:rFonts w:ascii="Times New Roman"/>
                <w:sz w:val="18"/>
              </w:rPr>
              <w:t>Philippines</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43"/>
              <w:jc w:val="left"/>
              <w:rPr>
                <w:rFonts w:ascii="Times New Roman" w:hAnsi="Times New Roman" w:cs="Times New Roman" w:eastAsia="Times New Roman" w:hint="default"/>
                <w:sz w:val="18"/>
                <w:szCs w:val="18"/>
              </w:rPr>
            </w:pPr>
            <w:r>
              <w:rPr>
                <w:rFonts w:ascii="Times New Roman"/>
                <w:sz w:val="18"/>
              </w:rPr>
              <w:t>10/F Fort</w:t>
            </w:r>
            <w:r>
              <w:rPr>
                <w:rFonts w:ascii="Times New Roman"/>
                <w:spacing w:val="-5"/>
                <w:sz w:val="18"/>
              </w:rPr>
              <w:t> </w:t>
            </w:r>
            <w:r>
              <w:rPr>
                <w:rFonts w:ascii="Times New Roman"/>
                <w:sz w:val="18"/>
              </w:rPr>
              <w:t>Legend</w:t>
            </w:r>
            <w:r>
              <w:rPr>
                <w:rFonts w:ascii="Times New Roman"/>
                <w:sz w:val="18"/>
              </w:rPr>
              <w:t> </w:t>
            </w:r>
            <w:r>
              <w:rPr>
                <w:rFonts w:ascii="Times New Roman"/>
                <w:spacing w:val="-4"/>
                <w:sz w:val="18"/>
              </w:rPr>
              <w:t>Tower,</w:t>
            </w:r>
            <w:r>
              <w:rPr>
                <w:rFonts w:ascii="Times New Roman"/>
                <w:sz w:val="18"/>
              </w:rPr>
              <w:t> 3rd</w:t>
            </w:r>
            <w:r>
              <w:rPr>
                <w:rFonts w:ascii="Times New Roman"/>
                <w:w w:val="99"/>
                <w:sz w:val="18"/>
              </w:rPr>
              <w:t> </w:t>
            </w:r>
            <w:r>
              <w:rPr>
                <w:rFonts w:ascii="Times New Roman"/>
                <w:spacing w:val="-3"/>
                <w:sz w:val="18"/>
              </w:rPr>
              <w:t>Avenue Cor.</w:t>
            </w:r>
            <w:r>
              <w:rPr>
                <w:rFonts w:ascii="Times New Roman"/>
                <w:spacing w:val="4"/>
                <w:sz w:val="18"/>
              </w:rPr>
              <w:t> </w:t>
            </w:r>
            <w:r>
              <w:rPr>
                <w:rFonts w:ascii="Times New Roman"/>
                <w:sz w:val="18"/>
              </w:rPr>
              <w:t>31st,</w:t>
            </w:r>
            <w:r>
              <w:rPr>
                <w:rFonts w:ascii="Times New Roman"/>
                <w:w w:val="99"/>
                <w:sz w:val="18"/>
              </w:rPr>
              <w:t> </w:t>
            </w:r>
            <w:r>
              <w:rPr>
                <w:rFonts w:ascii="Times New Roman"/>
                <w:sz w:val="18"/>
              </w:rPr>
              <w:t>Bonifacio</w:t>
            </w:r>
            <w:r>
              <w:rPr>
                <w:rFonts w:ascii="Times New Roman"/>
                <w:spacing w:val="-2"/>
                <w:sz w:val="18"/>
              </w:rPr>
              <w:t> </w:t>
            </w:r>
            <w:r>
              <w:rPr>
                <w:rFonts w:ascii="Times New Roman"/>
                <w:sz w:val="18"/>
              </w:rPr>
              <w:t>Global</w:t>
            </w:r>
            <w:r>
              <w:rPr>
                <w:rFonts w:ascii="Times New Roman"/>
                <w:sz w:val="18"/>
              </w:rPr>
              <w:t> </w:t>
            </w:r>
            <w:r>
              <w:rPr>
                <w:rFonts w:ascii="Times New Roman"/>
                <w:spacing w:val="-4"/>
                <w:sz w:val="18"/>
              </w:rPr>
              <w:t>City,</w:t>
            </w:r>
            <w:r>
              <w:rPr>
                <w:rFonts w:ascii="Times New Roman"/>
                <w:spacing w:val="1"/>
                <w:sz w:val="18"/>
              </w:rPr>
              <w:t> </w:t>
            </w:r>
            <w:r>
              <w:rPr>
                <w:rFonts w:ascii="Times New Roman"/>
                <w:spacing w:val="-3"/>
                <w:sz w:val="18"/>
              </w:rPr>
              <w:t>Taguig</w:t>
            </w:r>
            <w:r>
              <w:rPr>
                <w:rFonts w:ascii="Times New Roman"/>
                <w:spacing w:val="2"/>
                <w:sz w:val="18"/>
              </w:rPr>
              <w:t> </w:t>
            </w:r>
            <w:r>
              <w:rPr>
                <w:rFonts w:ascii="Times New Roman"/>
                <w:spacing w:val="-3"/>
                <w:sz w:val="18"/>
              </w:rPr>
              <w:t>City,</w:t>
            </w:r>
            <w:r>
              <w:rPr>
                <w:rFonts w:ascii="Times New Roman"/>
                <w:spacing w:val="-43"/>
                <w:sz w:val="18"/>
              </w:rPr>
              <w:t> </w:t>
            </w:r>
            <w:r>
              <w:rPr>
                <w:rFonts w:ascii="Times New Roman"/>
                <w:spacing w:val="-43"/>
                <w:sz w:val="18"/>
              </w:rPr>
            </w:r>
            <w:r>
              <w:rPr>
                <w:rFonts w:ascii="Times New Roman"/>
                <w:sz w:val="18"/>
              </w:rPr>
              <w:t>1634,</w:t>
            </w:r>
            <w:r>
              <w:rPr>
                <w:rFonts w:ascii="Times New Roman"/>
                <w:spacing w:val="-4"/>
                <w:sz w:val="18"/>
              </w:rPr>
              <w:t> </w:t>
            </w:r>
            <w:r>
              <w:rPr>
                <w:rFonts w:ascii="Times New Roman"/>
                <w:sz w:val="18"/>
              </w:rPr>
              <w:t>Philippines</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总承包施工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间接投资</w:t>
            </w:r>
          </w:p>
        </w:tc>
      </w:tr>
      <w:tr>
        <w:trPr>
          <w:trHeight w:val="196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H&amp;Shun International Holdings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Hong</w:t>
            </w:r>
            <w:r>
              <w:rPr>
                <w:rFonts w:ascii="Times New Roman" w:hAnsi="Times New Roman" w:cs="Times New Roman" w:eastAsia="Times New Roman" w:hint="default"/>
                <w:sz w:val="18"/>
                <w:szCs w:val="18"/>
              </w:rPr>
              <w:t> Kong</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恒</w:t>
            </w:r>
          </w:p>
          <w:p>
            <w:pPr>
              <w:pStyle w:val="TableParagraph"/>
              <w:spacing w:line="316" w:lineRule="auto" w:before="39"/>
              <w:ind w:left="24" w:right="75"/>
              <w:jc w:val="left"/>
              <w:rPr>
                <w:rFonts w:ascii="Times New Roman" w:hAnsi="Times New Roman" w:cs="Times New Roman" w:eastAsia="Times New Roman" w:hint="default"/>
                <w:sz w:val="18"/>
                <w:szCs w:val="18"/>
              </w:rPr>
            </w:pPr>
            <w:r>
              <w:rPr>
                <w:rFonts w:ascii="宋体" w:hAnsi="宋体" w:cs="宋体" w:eastAsia="宋体" w:hint="default"/>
                <w:sz w:val="18"/>
                <w:szCs w:val="18"/>
              </w:rPr>
              <w:t>顺（香港）国际 控股有限公司</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23" w:right="116"/>
              <w:jc w:val="left"/>
              <w:rPr>
                <w:rFonts w:ascii="Times New Roman" w:hAnsi="Times New Roman" w:cs="Times New Roman" w:eastAsia="Times New Roman" w:hint="default"/>
                <w:sz w:val="18"/>
                <w:szCs w:val="18"/>
              </w:rPr>
            </w:pPr>
            <w:r>
              <w:rPr>
                <w:rFonts w:ascii="Times New Roman"/>
                <w:sz w:val="18"/>
              </w:rPr>
              <w:t>15/F</w:t>
            </w:r>
            <w:r>
              <w:rPr>
                <w:rFonts w:ascii="Times New Roman"/>
                <w:spacing w:val="-2"/>
                <w:sz w:val="18"/>
              </w:rPr>
              <w:t> </w:t>
            </w:r>
            <w:r>
              <w:rPr>
                <w:rFonts w:ascii="Times New Roman"/>
                <w:sz w:val="18"/>
              </w:rPr>
              <w:t>Chuang`S</w:t>
            </w:r>
            <w:r>
              <w:rPr>
                <w:rFonts w:ascii="Times New Roman"/>
                <w:w w:val="99"/>
                <w:sz w:val="18"/>
              </w:rPr>
              <w:t> </w:t>
            </w:r>
            <w:r>
              <w:rPr>
                <w:rFonts w:ascii="Times New Roman"/>
                <w:spacing w:val="-3"/>
                <w:sz w:val="18"/>
              </w:rPr>
              <w:t>Tower</w:t>
            </w:r>
            <w:r>
              <w:rPr>
                <w:rFonts w:ascii="Times New Roman"/>
                <w:sz w:val="18"/>
              </w:rPr>
              <w:t> 30-32</w:t>
            </w:r>
            <w:r>
              <w:rPr>
                <w:rFonts w:ascii="Times New Roman"/>
                <w:w w:val="99"/>
                <w:sz w:val="18"/>
              </w:rPr>
              <w:t> </w:t>
            </w:r>
            <w:r>
              <w:rPr>
                <w:rFonts w:ascii="Times New Roman"/>
                <w:sz w:val="18"/>
              </w:rPr>
              <w:t>Connaught</w:t>
            </w:r>
            <w:r>
              <w:rPr>
                <w:rFonts w:ascii="Times New Roman"/>
                <w:spacing w:val="-3"/>
                <w:sz w:val="18"/>
              </w:rPr>
              <w:t> </w:t>
            </w:r>
            <w:r>
              <w:rPr>
                <w:rFonts w:ascii="Times New Roman"/>
                <w:sz w:val="18"/>
              </w:rPr>
              <w:t>Roda</w:t>
            </w:r>
            <w:r>
              <w:rPr>
                <w:rFonts w:ascii="Times New Roman"/>
                <w:w w:val="99"/>
                <w:sz w:val="18"/>
              </w:rPr>
              <w:t> </w:t>
            </w:r>
            <w:r>
              <w:rPr>
                <w:rFonts w:ascii="Times New Roman"/>
                <w:sz w:val="18"/>
              </w:rPr>
              <w:t>Central Central</w:t>
            </w:r>
            <w:r>
              <w:rPr>
                <w:rFonts w:ascii="Times New Roman"/>
                <w:w w:val="99"/>
                <w:sz w:val="18"/>
              </w:rPr>
              <w:t> </w:t>
            </w:r>
            <w:r>
              <w:rPr>
                <w:rFonts w:ascii="Times New Roman"/>
                <w:sz w:val="18"/>
              </w:rPr>
              <w:t>HK</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23" w:right="113"/>
              <w:jc w:val="left"/>
              <w:rPr>
                <w:rFonts w:ascii="Times New Roman" w:hAnsi="Times New Roman" w:cs="Times New Roman" w:eastAsia="Times New Roman" w:hint="default"/>
                <w:sz w:val="18"/>
                <w:szCs w:val="18"/>
              </w:rPr>
            </w:pPr>
            <w:r>
              <w:rPr>
                <w:rFonts w:ascii="Times New Roman"/>
                <w:sz w:val="18"/>
              </w:rPr>
              <w:t>15/F</w:t>
            </w:r>
            <w:r>
              <w:rPr>
                <w:rFonts w:ascii="Times New Roman"/>
                <w:spacing w:val="-2"/>
                <w:sz w:val="18"/>
              </w:rPr>
              <w:t> </w:t>
            </w:r>
            <w:r>
              <w:rPr>
                <w:rFonts w:ascii="Times New Roman"/>
                <w:sz w:val="18"/>
              </w:rPr>
              <w:t>Chuang`S</w:t>
            </w:r>
            <w:r>
              <w:rPr>
                <w:rFonts w:ascii="Times New Roman"/>
                <w:w w:val="99"/>
                <w:sz w:val="18"/>
              </w:rPr>
              <w:t> </w:t>
            </w:r>
            <w:r>
              <w:rPr>
                <w:rFonts w:ascii="Times New Roman"/>
                <w:spacing w:val="-3"/>
                <w:sz w:val="18"/>
              </w:rPr>
              <w:t>Tower</w:t>
            </w:r>
            <w:r>
              <w:rPr>
                <w:rFonts w:ascii="Times New Roman"/>
                <w:sz w:val="18"/>
              </w:rPr>
              <w:t> 30-32</w:t>
            </w:r>
            <w:r>
              <w:rPr>
                <w:rFonts w:ascii="Times New Roman"/>
                <w:w w:val="99"/>
                <w:sz w:val="18"/>
              </w:rPr>
              <w:t> </w:t>
            </w:r>
            <w:r>
              <w:rPr>
                <w:rFonts w:ascii="Times New Roman"/>
                <w:sz w:val="18"/>
              </w:rPr>
              <w:t>Connaught</w:t>
            </w:r>
            <w:r>
              <w:rPr>
                <w:rFonts w:ascii="Times New Roman"/>
                <w:spacing w:val="-3"/>
                <w:sz w:val="18"/>
              </w:rPr>
              <w:t> </w:t>
            </w:r>
            <w:r>
              <w:rPr>
                <w:rFonts w:ascii="Times New Roman"/>
                <w:sz w:val="18"/>
              </w:rPr>
              <w:t>Roda</w:t>
            </w:r>
            <w:r>
              <w:rPr>
                <w:rFonts w:ascii="Times New Roman"/>
                <w:w w:val="99"/>
                <w:sz w:val="18"/>
              </w:rPr>
              <w:t> </w:t>
            </w:r>
            <w:r>
              <w:rPr>
                <w:rFonts w:ascii="Times New Roman"/>
                <w:sz w:val="18"/>
              </w:rPr>
              <w:t>Central Central</w:t>
            </w:r>
            <w:r>
              <w:rPr>
                <w:rFonts w:ascii="Times New Roman"/>
                <w:w w:val="99"/>
                <w:sz w:val="18"/>
              </w:rPr>
              <w:t> </w:t>
            </w:r>
            <w:r>
              <w:rPr>
                <w:rFonts w:ascii="Times New Roman"/>
                <w:sz w:val="18"/>
              </w:rPr>
              <w:t>HK</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间接投资</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06.53299pt;margin-top:72.475983pt;width:91.95pt;height:39.050pt;mso-position-horizontal-relative:page;mso-position-vertical-relative:page;z-index:-81875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0" w:right="0"/>
                    <w:jc w:val="left"/>
                  </w:pPr>
                  <w:r>
                    <w:rPr/>
                    <w:t>加工、</w:t>
                  </w:r>
                </w:p>
              </w:txbxContent>
            </v:textbox>
            <w10:wrap type="none"/>
          </v:shape>
        </w:pict>
      </w:r>
      <w:r>
        <w:rPr/>
        <w:pict>
          <v:group style="position:absolute;margin-left:330.670013pt;margin-top:72.475983pt;width:67.8pt;height:39.050pt;mso-position-horizontal-relative:page;mso-position-vertical-relative:page;z-index:-818728" coordorigin="6613,1450" coordsize="1356,781">
            <v:shape style="position:absolute;left:6613;top:1450;width:1356;height:781" coordorigin="6613,1450" coordsize="1356,781" path="m6613,2230l7969,2230,7969,1450,6613,1450,6613,223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379"/>
        <w:gridCol w:w="989"/>
        <w:gridCol w:w="1366"/>
        <w:gridCol w:w="1366"/>
      </w:tblGrid>
      <w:tr>
        <w:trPr>
          <w:trHeight w:val="196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0"/>
              <w:ind w:left="24" w:right="16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China</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Africa</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Cigarette</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Company</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(Private)</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中非香</w:t>
            </w:r>
            <w:r>
              <w:rPr>
                <w:rFonts w:ascii="宋体" w:hAnsi="宋体" w:cs="宋体" w:eastAsia="宋体" w:hint="default"/>
                <w:w w:val="99"/>
                <w:sz w:val="18"/>
                <w:szCs w:val="18"/>
              </w:rPr>
              <w:t> </w:t>
            </w:r>
            <w:r>
              <w:rPr>
                <w:rFonts w:ascii="宋体" w:hAnsi="宋体" w:cs="宋体" w:eastAsia="宋体" w:hint="default"/>
                <w:sz w:val="18"/>
                <w:szCs w:val="18"/>
              </w:rPr>
              <w:t>烟有限公司</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23" w:right="74"/>
              <w:jc w:val="left"/>
              <w:rPr>
                <w:rFonts w:ascii="Times New Roman" w:hAnsi="Times New Roman" w:cs="Times New Roman" w:eastAsia="Times New Roman" w:hint="default"/>
                <w:sz w:val="18"/>
                <w:szCs w:val="18"/>
              </w:rPr>
            </w:pPr>
            <w:r>
              <w:rPr>
                <w:rFonts w:ascii="Times New Roman"/>
                <w:sz w:val="18"/>
              </w:rPr>
              <w:t>15 Harare Drive</w:t>
            </w:r>
            <w:r>
              <w:rPr>
                <w:rFonts w:ascii="Times New Roman"/>
                <w:spacing w:val="-5"/>
                <w:sz w:val="18"/>
              </w:rPr>
              <w:t> </w:t>
            </w:r>
            <w:r>
              <w:rPr>
                <w:rFonts w:ascii="Times New Roman"/>
                <w:sz w:val="18"/>
              </w:rPr>
              <w:t>,</w:t>
            </w:r>
            <w:r>
              <w:rPr>
                <w:rFonts w:ascii="Times New Roman"/>
                <w:w w:val="99"/>
                <w:sz w:val="18"/>
              </w:rPr>
              <w:t> </w:t>
            </w:r>
            <w:r>
              <w:rPr>
                <w:rFonts w:ascii="Times New Roman"/>
                <w:sz w:val="18"/>
              </w:rPr>
              <w:t>Chisipite</w:t>
            </w:r>
            <w:r>
              <w:rPr>
                <w:rFonts w:ascii="Times New Roman"/>
                <w:spacing w:val="-3"/>
                <w:sz w:val="18"/>
              </w:rPr>
              <w:t> </w:t>
            </w:r>
            <w:r>
              <w:rPr>
                <w:rFonts w:ascii="Times New Roman"/>
                <w:sz w:val="18"/>
              </w:rPr>
              <w:t>,</w:t>
            </w:r>
            <w:r>
              <w:rPr>
                <w:rFonts w:ascii="Times New Roman"/>
                <w:w w:val="99"/>
                <w:sz w:val="18"/>
              </w:rPr>
              <w:t> </w:t>
            </w:r>
            <w:r>
              <w:rPr>
                <w:rFonts w:ascii="Times New Roman"/>
                <w:sz w:val="18"/>
              </w:rPr>
              <w:t>Harare,</w:t>
            </w:r>
            <w:r>
              <w:rPr>
                <w:rFonts w:ascii="Times New Roman"/>
                <w:w w:val="99"/>
                <w:sz w:val="18"/>
              </w:rPr>
              <w:t> </w:t>
            </w:r>
            <w:r>
              <w:rPr>
                <w:rFonts w:ascii="Times New Roman"/>
                <w:sz w:val="18"/>
              </w:rPr>
              <w:t>Zimbabwe</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23" w:right="71"/>
              <w:jc w:val="left"/>
              <w:rPr>
                <w:rFonts w:ascii="Times New Roman" w:hAnsi="Times New Roman" w:cs="Times New Roman" w:eastAsia="Times New Roman" w:hint="default"/>
                <w:sz w:val="18"/>
                <w:szCs w:val="18"/>
              </w:rPr>
            </w:pPr>
            <w:r>
              <w:rPr>
                <w:rFonts w:ascii="Times New Roman"/>
                <w:sz w:val="18"/>
              </w:rPr>
              <w:t>15 Harare Drive</w:t>
            </w:r>
            <w:r>
              <w:rPr>
                <w:rFonts w:ascii="Times New Roman"/>
                <w:spacing w:val="-5"/>
                <w:sz w:val="18"/>
              </w:rPr>
              <w:t> </w:t>
            </w:r>
            <w:r>
              <w:rPr>
                <w:rFonts w:ascii="Times New Roman"/>
                <w:sz w:val="18"/>
              </w:rPr>
              <w:t>,</w:t>
            </w:r>
            <w:r>
              <w:rPr>
                <w:rFonts w:ascii="Times New Roman"/>
                <w:w w:val="99"/>
                <w:sz w:val="18"/>
              </w:rPr>
              <w:t> </w:t>
            </w:r>
            <w:r>
              <w:rPr>
                <w:rFonts w:ascii="Times New Roman"/>
                <w:sz w:val="18"/>
              </w:rPr>
              <w:t>Chisipite</w:t>
            </w:r>
            <w:r>
              <w:rPr>
                <w:rFonts w:ascii="Times New Roman"/>
                <w:spacing w:val="-3"/>
                <w:sz w:val="18"/>
              </w:rPr>
              <w:t> </w:t>
            </w:r>
            <w:r>
              <w:rPr>
                <w:rFonts w:ascii="Times New Roman"/>
                <w:sz w:val="18"/>
              </w:rPr>
              <w:t>,</w:t>
            </w:r>
            <w:r>
              <w:rPr>
                <w:rFonts w:ascii="Times New Roman"/>
                <w:w w:val="99"/>
                <w:sz w:val="18"/>
              </w:rPr>
              <w:t> </w:t>
            </w:r>
            <w:r>
              <w:rPr>
                <w:rFonts w:ascii="Times New Roman"/>
                <w:sz w:val="18"/>
              </w:rPr>
              <w:t>Harare,</w:t>
            </w:r>
            <w:r>
              <w:rPr>
                <w:rFonts w:ascii="Times New Roman"/>
                <w:w w:val="99"/>
                <w:sz w:val="18"/>
              </w:rPr>
              <w:t> </w:t>
            </w:r>
            <w:r>
              <w:rPr>
                <w:rFonts w:ascii="Times New Roman"/>
                <w:sz w:val="18"/>
              </w:rPr>
              <w:t>Zimbabwe</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烟草采购、 电站建设与运营 等</w:t>
            </w:r>
          </w:p>
        </w:tc>
        <w:tc>
          <w:tcPr>
            <w:tcW w:w="379" w:type="dxa"/>
            <w:tcBorders>
              <w:top w:val="single" w:sz="4" w:space="0" w:color="000000"/>
              <w:left w:val="single" w:sz="4" w:space="0" w:color="000000"/>
              <w:bottom w:val="single" w:sz="4" w:space="0" w:color="000000"/>
              <w:right w:val="nil" w:sz="6" w:space="0" w:color="auto"/>
            </w:tcBorders>
          </w:tcPr>
          <w:p>
            <w:pP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青岛恒顺众昇电 力工程技术研究 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青岛市城阳区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青岛市城阳区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6" w:right="70"/>
              <w:jc w:val="left"/>
              <w:rPr>
                <w:rFonts w:ascii="宋体" w:hAnsi="宋体" w:cs="宋体" w:eastAsia="宋体" w:hint="default"/>
                <w:sz w:val="18"/>
                <w:szCs w:val="18"/>
              </w:rPr>
            </w:pPr>
            <w:r>
              <w:rPr>
                <w:rFonts w:ascii="宋体" w:hAnsi="宋体" w:cs="宋体" w:eastAsia="宋体" w:hint="default"/>
                <w:sz w:val="18"/>
                <w:szCs w:val="18"/>
              </w:rPr>
              <w:t>电力工程技术的 学术研究与交流</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bl>
    <w:p>
      <w:pPr>
        <w:pStyle w:val="BodyText"/>
        <w:spacing w:line="357" w:lineRule="auto" w:before="49"/>
        <w:ind w:right="5994"/>
        <w:jc w:val="left"/>
      </w:pPr>
      <w:r>
        <w:rPr/>
        <w:t>在子公司的持股比例不同于表决权比例的说明： 无</w:t>
      </w:r>
    </w:p>
    <w:p>
      <w:pPr>
        <w:pStyle w:val="BodyText"/>
        <w:spacing w:line="360" w:lineRule="auto" w:before="29"/>
        <w:ind w:right="1854"/>
        <w:jc w:val="left"/>
      </w:pPr>
      <w:r>
        <w:rPr/>
        <w:t>持有半数或以下表决权但仍控制被投资单位、以及持有半数以上表决权但不控制被投资单位的依据： 无</w:t>
      </w:r>
    </w:p>
    <w:p>
      <w:pPr>
        <w:pStyle w:val="BodyText"/>
        <w:spacing w:line="222" w:lineRule="exact"/>
        <w:ind w:right="135"/>
        <w:jc w:val="left"/>
      </w:pPr>
      <w:r>
        <w:rPr/>
        <w:t>对于纳入合并范围的重要的结构化主体，控制的依据：无</w:t>
      </w:r>
    </w:p>
    <w:p>
      <w:pPr>
        <w:pStyle w:val="BodyText"/>
        <w:spacing w:line="240" w:lineRule="auto" w:before="76"/>
        <w:ind w:right="135"/>
        <w:jc w:val="left"/>
      </w:pPr>
      <w:r>
        <w:rPr/>
        <w:t>确定公司是代理人还是委托人的依据：无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7"/>
          <w:szCs w:val="17"/>
        </w:rPr>
      </w:pPr>
    </w:p>
    <w:p>
      <w:pPr>
        <w:pStyle w:val="Heading3"/>
        <w:spacing w:line="240" w:lineRule="auto"/>
        <w:ind w:right="135"/>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102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PT. </w:t>
            </w:r>
            <w:r>
              <w:rPr>
                <w:rFonts w:ascii="Times New Roman" w:hAnsi="Times New Roman" w:cs="Times New Roman" w:eastAsia="Times New Roman" w:hint="default"/>
                <w:sz w:val="18"/>
                <w:szCs w:val="18"/>
              </w:rPr>
              <w:t>CIS</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pacing w:val="-3"/>
                <w:sz w:val="18"/>
                <w:szCs w:val="18"/>
              </w:rPr>
              <w:t>Resources</w:t>
            </w:r>
            <w:r>
              <w:rPr>
                <w:rFonts w:ascii="宋体" w:hAnsi="宋体" w:cs="宋体" w:eastAsia="宋体" w:hint="default"/>
                <w:spacing w:val="-3"/>
                <w:sz w:val="18"/>
                <w:szCs w:val="18"/>
              </w:rPr>
              <w:t>（恒顺</w:t>
            </w:r>
            <w:r>
              <w:rPr>
                <w:rFonts w:ascii="宋体" w:hAnsi="宋体" w:cs="宋体" w:eastAsia="宋体" w:hint="default"/>
                <w:sz w:val="18"/>
                <w:szCs w:val="18"/>
              </w:rPr>
              <w:t> 印尼中加煤矿有限公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-241,472.88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5,074,905.24</w:t>
            </w:r>
          </w:p>
        </w:tc>
      </w:tr>
      <w:tr>
        <w:trPr>
          <w:trHeight w:val="102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91"/>
              <w:ind w:left="24" w:right="8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PT. </w:t>
            </w:r>
            <w:r>
              <w:rPr>
                <w:rFonts w:ascii="Times New Roman" w:hAnsi="Times New Roman" w:cs="Times New Roman" w:eastAsia="Times New Roman" w:hint="default"/>
                <w:sz w:val="18"/>
                <w:szCs w:val="18"/>
              </w:rPr>
              <w:t>Bumi</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Morowali</w:t>
            </w:r>
            <w:r>
              <w:rPr>
                <w:rFonts w:ascii="Times New Roman" w:hAnsi="Times New Roman" w:cs="Times New Roman" w:eastAsia="Times New Roman" w:hint="default"/>
                <w:sz w:val="18"/>
                <w:szCs w:val="18"/>
              </w:rPr>
              <w:t> Utama(</w:t>
            </w:r>
            <w:r>
              <w:rPr>
                <w:rFonts w:ascii="宋体" w:hAnsi="宋体" w:cs="宋体" w:eastAsia="宋体" w:hint="default"/>
                <w:sz w:val="18"/>
                <w:szCs w:val="18"/>
              </w:rPr>
              <w:t>恒顺印尼中苏镍 矿有限公司</w:t>
            </w:r>
            <w:r>
              <w:rPr>
                <w:rFonts w:ascii="Times New Roman" w:hAnsi="Times New Roman" w:cs="Times New Roman" w:eastAsia="Times New Roman"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-394,474.59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10,175,189.58</w:t>
            </w:r>
          </w:p>
        </w:tc>
      </w:tr>
      <w:tr>
        <w:trPr>
          <w:trHeight w:val="102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91"/>
              <w:ind w:left="24" w:right="6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PT. </w:t>
            </w:r>
            <w:r>
              <w:rPr>
                <w:rFonts w:ascii="Times New Roman" w:hAnsi="Times New Roman" w:cs="Times New Roman" w:eastAsia="Times New Roman" w:hint="default"/>
                <w:sz w:val="18"/>
                <w:szCs w:val="18"/>
              </w:rPr>
              <w:t>Kutal</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Nyala</w:t>
            </w:r>
            <w:r>
              <w:rPr>
                <w:rFonts w:ascii="Times New Roman" w:hAnsi="Times New Roman" w:cs="Times New Roman" w:eastAsia="Times New Roman" w:hint="default"/>
                <w:sz w:val="18"/>
                <w:szCs w:val="18"/>
              </w:rPr>
              <w:t> Resources</w:t>
            </w:r>
            <w:r>
              <w:rPr>
                <w:rFonts w:ascii="宋体" w:hAnsi="宋体" w:cs="宋体" w:eastAsia="宋体" w:hint="default"/>
                <w:sz w:val="18"/>
                <w:szCs w:val="18"/>
              </w:rPr>
              <w:t>（恒顺印尼东 加码头有限公司）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-137,746.15</w:t>
            </w:r>
          </w:p>
        </w:tc>
      </w:tr>
    </w:tbl>
    <w:p>
      <w:pPr>
        <w:spacing w:line="240" w:lineRule="auto" w:before="3"/>
        <w:rPr>
          <w:rFonts w:ascii="宋体" w:hAnsi="宋体" w:cs="宋体" w:eastAsia="宋体" w:hint="default"/>
          <w:sz w:val="19"/>
          <w:szCs w:val="19"/>
        </w:rPr>
      </w:pPr>
    </w:p>
    <w:p>
      <w:pPr>
        <w:pStyle w:val="Heading3"/>
        <w:spacing w:line="240" w:lineRule="auto" w:before="36"/>
        <w:ind w:right="135"/>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401"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82"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98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5"/>
                <w:sz w:val="18"/>
              </w:rPr>
              <w:t>PT.</w:t>
            </w:r>
            <w:r>
              <w:rPr>
                <w:rFonts w:ascii="Times New Roman"/>
                <w:spacing w:val="-1"/>
                <w:sz w:val="18"/>
              </w:rPr>
              <w:t> </w:t>
            </w:r>
            <w:r>
              <w:rPr>
                <w:rFonts w:ascii="Times New Roman"/>
                <w:sz w:val="18"/>
              </w:rPr>
              <w:t>CIS</w:t>
            </w:r>
          </w:p>
          <w:p>
            <w:pPr>
              <w:pStyle w:val="TableParagraph"/>
              <w:spacing w:line="312" w:lineRule="auto" w:before="105"/>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Resource s</w:t>
            </w:r>
            <w:r>
              <w:rPr>
                <w:rFonts w:ascii="宋体" w:hAnsi="宋体" w:cs="宋体" w:eastAsia="宋体" w:hint="default"/>
                <w:sz w:val="18"/>
                <w:szCs w:val="18"/>
              </w:rPr>
              <w:t>（恒顺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39,947,3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00.51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1,340,78</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6.21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41,288,0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86.72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15,913,5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60.53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15,913,5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60.53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43,948,0</w:t>
            </w:r>
          </w:p>
          <w:p>
            <w:pPr>
              <w:pStyle w:val="TableParagraph"/>
              <w:spacing w:line="240" w:lineRule="auto" w:before="102"/>
              <w:ind w:left="298" w:right="0"/>
              <w:jc w:val="left"/>
              <w:rPr>
                <w:rFonts w:ascii="Times New Roman" w:hAnsi="Times New Roman" w:cs="Times New Roman" w:eastAsia="Times New Roman" w:hint="default"/>
                <w:sz w:val="18"/>
                <w:szCs w:val="18"/>
              </w:rPr>
            </w:pPr>
            <w:r>
              <w:rPr>
                <w:rFonts w:ascii="Times New Roman"/>
                <w:sz w:val="18"/>
              </w:rPr>
              <w:t>73.58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1,182,04</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2.51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45,130,1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16.09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16,829,8</w:t>
            </w:r>
          </w:p>
          <w:p>
            <w:pPr>
              <w:pStyle w:val="TableParagraph"/>
              <w:spacing w:line="240" w:lineRule="auto" w:before="102"/>
              <w:ind w:left="299" w:right="0"/>
              <w:jc w:val="left"/>
              <w:rPr>
                <w:rFonts w:ascii="Times New Roman" w:hAnsi="Times New Roman" w:cs="Times New Roman" w:eastAsia="Times New Roman" w:hint="default"/>
                <w:sz w:val="18"/>
                <w:szCs w:val="18"/>
              </w:rPr>
            </w:pPr>
            <w:r>
              <w:rPr>
                <w:rFonts w:ascii="Times New Roman"/>
                <w:sz w:val="18"/>
              </w:rPr>
              <w:t>03.45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16,829,8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03.45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129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61"/>
              <w:jc w:val="both"/>
              <w:rPr>
                <w:rFonts w:ascii="宋体" w:hAnsi="宋体" w:cs="宋体" w:eastAsia="宋体" w:hint="default"/>
                <w:sz w:val="18"/>
                <w:szCs w:val="18"/>
              </w:rPr>
            </w:pPr>
            <w:r>
              <w:rPr>
                <w:rFonts w:ascii="宋体" w:hAnsi="宋体" w:cs="宋体" w:eastAsia="宋体" w:hint="default"/>
                <w:sz w:val="18"/>
                <w:szCs w:val="18"/>
              </w:rPr>
              <w:t>印尼中 加煤矿 有限公 司）</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289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5"/>
                <w:sz w:val="18"/>
              </w:rPr>
              <w:t>PT.</w:t>
            </w:r>
          </w:p>
          <w:p>
            <w:pPr>
              <w:pStyle w:val="TableParagraph"/>
              <w:spacing w:line="362" w:lineRule="auto" w:before="105"/>
              <w:ind w:left="24" w:right="42"/>
              <w:jc w:val="left"/>
              <w:rPr>
                <w:rFonts w:ascii="Times New Roman" w:hAnsi="Times New Roman" w:cs="Times New Roman" w:eastAsia="Times New Roman" w:hint="default"/>
                <w:sz w:val="18"/>
                <w:szCs w:val="18"/>
              </w:rPr>
            </w:pPr>
            <w:r>
              <w:rPr>
                <w:rFonts w:ascii="Times New Roman"/>
                <w:sz w:val="18"/>
              </w:rPr>
              <w:t>Bumi Morowal i</w:t>
            </w:r>
          </w:p>
          <w:p>
            <w:pPr>
              <w:pStyle w:val="TableParagraph"/>
              <w:spacing w:line="316" w:lineRule="auto" w:before="3"/>
              <w:ind w:left="24" w:right="101"/>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Utama( </w:t>
            </w:r>
            <w:r>
              <w:rPr>
                <w:rFonts w:ascii="宋体" w:hAnsi="宋体" w:cs="宋体" w:eastAsia="宋体" w:hint="default"/>
                <w:sz w:val="18"/>
                <w:szCs w:val="18"/>
              </w:rPr>
              <w:t>恒顺印 尼中苏 镍矿有 限公司</w:t>
            </w:r>
            <w:r>
              <w:rPr>
                <w:rFonts w:ascii="Times New Roman" w:hAnsi="Times New Roman" w:cs="Times New Roman" w:eastAsia="Times New Roman" w:hint="default"/>
                <w:sz w:val="18"/>
                <w:szCs w:val="18"/>
              </w:rPr>
              <w:t>)</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53,906,3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13.06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3,878,32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5.66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57,784,6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38.72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6,908,69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0.84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6,908,69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0.84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76,458,2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10.58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516,088.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76,974,2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98.70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20,693,0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95.16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20,693,0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95.16</w:t>
            </w:r>
          </w:p>
        </w:tc>
      </w:tr>
      <w:tr>
        <w:trPr>
          <w:trHeight w:val="290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5"/>
                <w:sz w:val="18"/>
              </w:rPr>
              <w:t>PT.</w:t>
            </w:r>
          </w:p>
          <w:p>
            <w:pPr>
              <w:pStyle w:val="TableParagraph"/>
              <w:spacing w:line="312" w:lineRule="exact" w:before="23"/>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Kutal Nyala Resource s</w:t>
            </w:r>
            <w:r>
              <w:rPr>
                <w:rFonts w:ascii="宋体" w:hAnsi="宋体" w:cs="宋体" w:eastAsia="宋体" w:hint="default"/>
                <w:sz w:val="18"/>
                <w:szCs w:val="18"/>
              </w:rPr>
              <w:t>（恒顺 印尼东 加码头 有限公</w:t>
            </w:r>
          </w:p>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70,759.2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5,393,05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2.47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5,463,81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1.71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6,037,75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6,037,75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19,809.2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4,809,63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4,829,44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5,441,50</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3.99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5,441,50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3.99</w:t>
            </w:r>
          </w:p>
        </w:tc>
      </w:tr>
    </w:tbl>
    <w:p>
      <w:pPr>
        <w:pStyle w:val="BodyText"/>
        <w:spacing w:line="240" w:lineRule="auto" w:before="49"/>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65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both"/>
              <w:rPr>
                <w:rFonts w:ascii="Times New Roman" w:hAnsi="Times New Roman" w:cs="Times New Roman" w:eastAsia="Times New Roman" w:hint="default"/>
                <w:sz w:val="18"/>
                <w:szCs w:val="18"/>
              </w:rPr>
            </w:pPr>
            <w:r>
              <w:rPr>
                <w:rFonts w:ascii="Times New Roman"/>
                <w:spacing w:val="-5"/>
                <w:sz w:val="18"/>
              </w:rPr>
              <w:t>PT.</w:t>
            </w:r>
            <w:r>
              <w:rPr>
                <w:rFonts w:ascii="Times New Roman"/>
                <w:spacing w:val="-1"/>
                <w:sz w:val="18"/>
              </w:rPr>
              <w:t> </w:t>
            </w:r>
            <w:r>
              <w:rPr>
                <w:rFonts w:ascii="Times New Roman"/>
                <w:sz w:val="18"/>
              </w:rPr>
              <w:t>CIS</w:t>
            </w:r>
          </w:p>
          <w:p>
            <w:pPr>
              <w:pStyle w:val="TableParagraph"/>
              <w:spacing w:line="240" w:lineRule="auto" w:before="105"/>
              <w:ind w:left="24" w:right="0"/>
              <w:jc w:val="both"/>
              <w:rPr>
                <w:rFonts w:ascii="Times New Roman" w:hAnsi="Times New Roman" w:cs="Times New Roman" w:eastAsia="Times New Roman" w:hint="default"/>
                <w:sz w:val="18"/>
                <w:szCs w:val="18"/>
              </w:rPr>
            </w:pPr>
            <w:r>
              <w:rPr>
                <w:rFonts w:ascii="Times New Roman"/>
                <w:sz w:val="18"/>
              </w:rPr>
              <w:t>Resources</w:t>
            </w:r>
          </w:p>
          <w:p>
            <w:pPr>
              <w:pStyle w:val="TableParagraph"/>
              <w:spacing w:line="319" w:lineRule="auto" w:before="63"/>
              <w:ind w:left="24" w:right="125"/>
              <w:jc w:val="both"/>
              <w:rPr>
                <w:rFonts w:ascii="宋体" w:hAnsi="宋体" w:cs="宋体" w:eastAsia="宋体" w:hint="default"/>
                <w:sz w:val="18"/>
                <w:szCs w:val="18"/>
              </w:rPr>
            </w:pPr>
            <w:r>
              <w:rPr>
                <w:rFonts w:ascii="宋体" w:hAnsi="宋体" w:cs="宋体" w:eastAsia="宋体" w:hint="default"/>
                <w:sz w:val="18"/>
                <w:szCs w:val="18"/>
              </w:rPr>
              <w:t>（恒顺印尼 中加煤矿有 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-1,207,364.40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4,716.84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-92,489.96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-779,162.01</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-5,827,241.74</w:t>
            </w:r>
          </w:p>
        </w:tc>
      </w:tr>
      <w:tr>
        <w:trPr>
          <w:trHeight w:val="1649"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6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PT.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Bumi</w:t>
            </w:r>
            <w:r>
              <w:rPr>
                <w:rFonts w:ascii="Times New Roman" w:hAnsi="Times New Roman" w:cs="Times New Roman" w:eastAsia="Times New Roman" w:hint="default"/>
                <w:sz w:val="18"/>
                <w:szCs w:val="18"/>
              </w:rPr>
              <w:t> Morowali Utama(</w:t>
            </w:r>
            <w:r>
              <w:rPr>
                <w:rFonts w:ascii="宋体" w:hAnsi="宋体" w:cs="宋体" w:eastAsia="宋体" w:hint="default"/>
                <w:sz w:val="18"/>
                <w:szCs w:val="18"/>
              </w:rPr>
              <w:t>恒顺 印尼中苏镍 矿有限公司</w:t>
            </w:r>
            <w:r>
              <w:rPr>
                <w:rFonts w:ascii="Times New Roman" w:hAnsi="Times New Roman" w:cs="Times New Roman" w:eastAsia="Times New Roman" w:hint="default"/>
                <w:sz w:val="18"/>
                <w:szCs w:val="18"/>
              </w:rPr>
              <w:t>)</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-1,972,372.93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1,914,659.44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114,381,744.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54,700,047.4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1,638,885.52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-1,263,799.38</w:t>
            </w:r>
          </w:p>
        </w:tc>
      </w:tr>
      <w:tr>
        <w:trPr>
          <w:trHeight w:val="196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86"/>
              <w:jc w:val="left"/>
              <w:rPr>
                <w:rFonts w:ascii="Times New Roman" w:hAnsi="Times New Roman" w:cs="Times New Roman" w:eastAsia="Times New Roman" w:hint="default"/>
                <w:sz w:val="18"/>
                <w:szCs w:val="18"/>
              </w:rPr>
            </w:pPr>
            <w:r>
              <w:rPr>
                <w:rFonts w:ascii="Times New Roman"/>
                <w:spacing w:val="-5"/>
                <w:sz w:val="18"/>
              </w:rPr>
              <w:t>PT.</w:t>
            </w:r>
            <w:r>
              <w:rPr>
                <w:rFonts w:ascii="Times New Roman"/>
                <w:spacing w:val="-1"/>
                <w:sz w:val="18"/>
              </w:rPr>
              <w:t> </w:t>
            </w:r>
            <w:r>
              <w:rPr>
                <w:rFonts w:ascii="Times New Roman"/>
                <w:sz w:val="18"/>
              </w:rPr>
              <w:t>Kutal</w:t>
            </w:r>
            <w:r>
              <w:rPr>
                <w:rFonts w:ascii="Times New Roman"/>
                <w:sz w:val="18"/>
              </w:rPr>
              <w:t> Nyala Resources</w:t>
            </w:r>
          </w:p>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（恒顺印尼</w:t>
            </w:r>
          </w:p>
          <w:p>
            <w:pPr>
              <w:pStyle w:val="TableParagraph"/>
              <w:spacing w:line="316" w:lineRule="auto" w:before="77"/>
              <w:ind w:left="24" w:right="125"/>
              <w:jc w:val="left"/>
              <w:rPr>
                <w:rFonts w:ascii="宋体" w:hAnsi="宋体" w:cs="宋体" w:eastAsia="宋体" w:hint="default"/>
                <w:sz w:val="18"/>
                <w:szCs w:val="18"/>
              </w:rPr>
            </w:pPr>
            <w:r>
              <w:rPr>
                <w:rFonts w:ascii="宋体" w:hAnsi="宋体" w:cs="宋体" w:eastAsia="宋体" w:hint="default"/>
                <w:sz w:val="18"/>
                <w:szCs w:val="18"/>
              </w:rPr>
              <w:t>东加码头有 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937,500.00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82.63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-31,673.40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1,141,867.53</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35"/>
        <w:jc w:val="left"/>
        <w:rPr>
          <w:b w:val="0"/>
          <w:bCs w:val="0"/>
        </w:rPr>
      </w:pPr>
      <w:r>
        <w:rPr/>
        <w:t>十、关联方及关联交易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35"/>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4734"/>
        <w:jc w:val="left"/>
      </w:pPr>
      <w:r>
        <w:rPr/>
        <w:t>本企业最终控制方是青岛市人民政府国有资产监督管理委员会。 其他说明：</w:t>
      </w:r>
    </w:p>
    <w:p>
      <w:pPr>
        <w:pStyle w:val="BodyText"/>
        <w:spacing w:line="300" w:lineRule="auto" w:before="25"/>
        <w:ind w:right="146" w:firstLine="288"/>
        <w:jc w:val="both"/>
      </w:pPr>
      <w:r>
        <w:rPr/>
        <w:t>截至本报告期，城投金控直接持有恒顺众昇股份比例为</w:t>
      </w:r>
      <w:r>
        <w:rPr>
          <w:rFonts w:ascii="Times New Roman" w:hAnsi="Times New Roman" w:cs="Times New Roman" w:eastAsia="Times New Roman" w:hint="default"/>
        </w:rPr>
        <w:t>20.32%</w:t>
      </w:r>
      <w:r>
        <w:rPr/>
        <w:t>，通过表决权委托方式持有恒顺众昇</w:t>
      </w:r>
      <w:r>
        <w:rPr>
          <w:spacing w:val="-54"/>
        </w:rPr>
        <w:t> </w:t>
      </w:r>
      <w:r>
        <w:rPr>
          <w:rFonts w:ascii="Times New Roman" w:hAnsi="Times New Roman" w:cs="Times New Roman" w:eastAsia="Times New Roman" w:hint="default"/>
        </w:rPr>
        <w:t>61,322,000</w:t>
      </w:r>
      <w:r>
        <w:rPr>
          <w:rFonts w:ascii="Times New Roman" w:hAnsi="Times New Roman" w:cs="Times New Roman" w:eastAsia="Times New Roman" w:hint="default"/>
          <w:spacing w:val="-9"/>
        </w:rPr>
        <w:t> </w:t>
      </w:r>
      <w:r>
        <w:rPr/>
        <w:t>股对应的 表决权，合计享有的表决权股份数量为 </w:t>
      </w:r>
      <w:r>
        <w:rPr>
          <w:rFonts w:ascii="Times New Roman" w:hAnsi="Times New Roman" w:cs="Times New Roman" w:eastAsia="Times New Roman" w:hint="default"/>
        </w:rPr>
        <w:t>217,057,826 </w:t>
      </w:r>
      <w:r>
        <w:rPr/>
        <w:t>股，占公司总股本的</w:t>
      </w:r>
      <w:r>
        <w:rPr>
          <w:spacing w:val="-58"/>
        </w:rPr>
        <w:t> </w:t>
      </w:r>
      <w:r>
        <w:rPr>
          <w:rFonts w:ascii="Times New Roman" w:hAnsi="Times New Roman" w:cs="Times New Roman" w:eastAsia="Times New Roman" w:hint="default"/>
        </w:rPr>
        <w:t>28.32%</w:t>
      </w:r>
      <w:r>
        <w:rPr/>
        <w:t>。青岛市人民政府国有资产监督管理委员 会通过青岛城市建设投资（集团）有限责任公司间接持有城投金控</w:t>
      </w:r>
      <w:r>
        <w:rPr>
          <w:rFonts w:ascii="Times New Roman" w:hAnsi="Times New Roman" w:cs="Times New Roman" w:eastAsia="Times New Roman" w:hint="default"/>
        </w:rPr>
        <w:t>100%</w:t>
      </w:r>
      <w:r>
        <w:rPr/>
        <w:t>股权，因此恒顺众昇实际控制人为青岛市人民政府 国有资产监督管理委员会。</w:t>
      </w:r>
    </w:p>
    <w:p>
      <w:pPr>
        <w:spacing w:line="240" w:lineRule="auto" w:before="10"/>
        <w:rPr>
          <w:rFonts w:ascii="宋体" w:hAnsi="宋体" w:cs="宋体" w:eastAsia="宋体" w:hint="default"/>
          <w:sz w:val="23"/>
          <w:szCs w:val="23"/>
        </w:rPr>
      </w:pPr>
    </w:p>
    <w:p>
      <w:pPr>
        <w:pStyle w:val="Heading3"/>
        <w:spacing w:line="240" w:lineRule="auto"/>
        <w:ind w:right="135"/>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35"/>
        <w:jc w:val="left"/>
      </w:pPr>
      <w:r>
        <w:rPr/>
        <w:t>本企业子公司的情况详见附注。</w:t>
      </w:r>
    </w:p>
    <w:p>
      <w:pPr>
        <w:spacing w:line="240" w:lineRule="auto" w:before="0"/>
        <w:rPr>
          <w:rFonts w:ascii="宋体" w:hAnsi="宋体" w:cs="宋体" w:eastAsia="宋体" w:hint="default"/>
          <w:sz w:val="18"/>
          <w:szCs w:val="18"/>
        </w:rPr>
      </w:pPr>
    </w:p>
    <w:p>
      <w:pPr>
        <w:pStyle w:val="Heading3"/>
        <w:spacing w:line="240" w:lineRule="auto" w:before="120"/>
        <w:ind w:right="135"/>
        <w:jc w:val="left"/>
        <w:rPr>
          <w:b w:val="0"/>
          <w:bCs w:val="0"/>
        </w:rPr>
      </w:pPr>
      <w:r>
        <w:rPr>
          <w:rFonts w:ascii="Times New Roman" w:hAnsi="Times New Roman" w:cs="Times New Roman" w:eastAsia="Times New Roman" w:hint="default"/>
        </w:rPr>
        <w:t>3</w:t>
      </w:r>
      <w:r>
        <w:rPr/>
        <w:t>、其他关联方情况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青岛城市建设投资（集团）有限责任公司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间接控制上市公司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青岛城投资产管理有限公司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以上股东直接或间接控制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青岛汇泉财富金融信息服务有限公司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以上股东直接或间接控制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青岛城投金控股权投资管理有限公司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以上股东直接或间接控制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青岛城投能源股权投资管理有限公司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以上股东直接或间接控制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中国金港（控股）集团有限公司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以上股东直接或间接控制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深圳青云万里资产管理有限公司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以上股东直接或间接控制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青岛城投中天创新投资有限公司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以上股东直接或间接控制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青岛城投循环股权投资管理有限责任公司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以上股东直接或间接控制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青岛金桥船舶工程有限公司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以上股东直接或间接控制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青岛程远投资管理有限公司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以上股东直接或间接控制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青岛弘福硕企业管理咨询有限公司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以上股东直接或间接控制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青岛泰实吉润企业管理咨询有限公司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以上股东直接或间接控制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青岛城投国际控股有限公司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青岛城投文化产业有限公司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青岛城投地产投资控股（集团）有限公司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青岛城投实业投资（集团）有限公司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青岛红岛文化艺术中心发展有限公司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青岛城乡建设小额贷款有限公司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青岛绿洲湿地开发有限公司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青岛城乡社区建设融资担保有限公司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青岛市政资源综合开发有限公司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青岛城乡社区建设投资集团有限公司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青岛红岛开发建设集团有限公司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青岛城投路桥投资发展有限公司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青岛城投置地发展有限公司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青岛城投文化传媒有限公司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青岛鸿鹰投资置业有限公司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青岛胜通海岸置业发展有限公司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青岛开发投资有限公司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青岛城投教育投资有限公司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华青发展（控股）集团有限公司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香港国际（青岛）有限公司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青岛城投（蓬莱）投资发展控股有限公司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青岛城投高新投资控股有限公司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青岛东奥开发建设集团公司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青岛高新佳营置业投资有限公司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青岛城投房地产开发有限公司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青岛城投旅游经济发展有限公司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青岛城投环境能源有限公司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青岛轮渡有限责任公司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青岛圣海温泉酒店投资管理有限公司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青岛城投工程建设发展（集团）有限责任公司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青岛城投实业有限公司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青岛国际游艇俱乐部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青岛奥帆中心演艺有限公司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青岛蓝海新港城置业有限公司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华青国际</w:t>
            </w:r>
            <w:r>
              <w:rPr>
                <w:rFonts w:ascii="Times New Roman" w:hAnsi="Times New Roman" w:cs="Times New Roman" w:eastAsia="Times New Roman" w:hint="default"/>
                <w:sz w:val="18"/>
                <w:szCs w:val="18"/>
              </w:rPr>
              <w:t>(</w:t>
            </w:r>
            <w:r>
              <w:rPr>
                <w:rFonts w:ascii="宋体" w:hAnsi="宋体" w:cs="宋体" w:eastAsia="宋体" w:hint="default"/>
                <w:sz w:val="18"/>
                <w:szCs w:val="18"/>
              </w:rPr>
              <w:t>控股</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青岛城乡建设融资租赁有限公司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上海青投融资租赁有限公司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青岛城投鳌山湾置业有限公司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青岛汇泉民间资本管理有限公司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青岛海丝民合半导体投资中心（有限合伙）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贾晓钰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戴一鸣</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新余清源环保投资管理有限公司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广西恒顺电器有限公司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青岛熹源控股有限公司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南宁市恒川高新商务酒店</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广西恒鼎房地产开发有限公司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5"/>
                <w:sz w:val="18"/>
              </w:rPr>
              <w:t>PT. </w:t>
            </w:r>
            <w:r>
              <w:rPr>
                <w:rFonts w:ascii="Times New Roman"/>
                <w:sz w:val="18"/>
              </w:rPr>
              <w:t>Qingdao Evercontaining</w:t>
            </w:r>
            <w:r>
              <w:rPr>
                <w:rFonts w:ascii="Times New Roman"/>
                <w:spacing w:val="-2"/>
                <w:sz w:val="18"/>
              </w:rPr>
              <w:t> </w:t>
            </w:r>
            <w:r>
              <w:rPr>
                <w:rFonts w:ascii="Times New Roman"/>
                <w:sz w:val="18"/>
              </w:rPr>
              <w:t>Electric</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青岛邦汇博贸易有限公司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青岛隆达宏业贸易有限公司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青岛和亿盈贸易有限公司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青岛鹰谷置业有限公司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公司关联自然人任董事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青岛邦德集中供热设备有限公司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澳柯玛股份有限公司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公司关联自然人任董事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pacing w:val="-5"/>
                <w:sz w:val="18"/>
              </w:rPr>
              <w:t>PT. </w:t>
            </w:r>
            <w:r>
              <w:rPr>
                <w:rFonts w:ascii="Times New Roman"/>
                <w:sz w:val="18"/>
              </w:rPr>
              <w:t>Metal Smeltindo</w:t>
            </w:r>
            <w:r>
              <w:rPr>
                <w:rFonts w:ascii="Times New Roman"/>
                <w:spacing w:val="-4"/>
                <w:sz w:val="18"/>
              </w:rPr>
              <w:t> </w:t>
            </w:r>
            <w:r>
              <w:rPr>
                <w:rFonts w:ascii="Times New Roman"/>
                <w:sz w:val="18"/>
              </w:rPr>
              <w:t>Selaras</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关联自然人控制的公司</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35"/>
        <w:jc w:val="left"/>
        <w:rPr>
          <w:b w:val="0"/>
          <w:bCs w:val="0"/>
        </w:rPr>
      </w:pPr>
      <w:r>
        <w:rPr>
          <w:rFonts w:ascii="Times New Roman" w:hAnsi="Times New Roman" w:cs="Times New Roman" w:eastAsia="Times New Roman" w:hint="default"/>
        </w:rPr>
        <w:t>4</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35"/>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35"/>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5"/>
                <w:sz w:val="18"/>
              </w:rPr>
              <w:t>PT. </w:t>
            </w:r>
            <w:r>
              <w:rPr>
                <w:rFonts w:ascii="Times New Roman"/>
                <w:sz w:val="18"/>
              </w:rPr>
              <w:t>Metal Smeltindo</w:t>
            </w:r>
            <w:r>
              <w:rPr>
                <w:rFonts w:ascii="Times New Roman"/>
                <w:spacing w:val="-4"/>
                <w:sz w:val="18"/>
              </w:rPr>
              <w:t> </w:t>
            </w:r>
            <w:r>
              <w:rPr>
                <w:rFonts w:ascii="Times New Roman"/>
                <w:sz w:val="18"/>
              </w:rPr>
              <w:t>Selaras</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RKEF </w:t>
            </w:r>
            <w:r>
              <w:rPr>
                <w:rFonts w:ascii="宋体" w:hAnsi="宋体" w:cs="宋体" w:eastAsia="宋体" w:hint="default"/>
                <w:sz w:val="18"/>
                <w:szCs w:val="18"/>
              </w:rPr>
              <w:t>特种冶炼设备成套</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3" w:right="0"/>
              <w:jc w:val="left"/>
              <w:rPr>
                <w:rFonts w:ascii="Times New Roman" w:hAnsi="Times New Roman" w:cs="Times New Roman" w:eastAsia="Times New Roman" w:hint="default"/>
                <w:sz w:val="18"/>
                <w:szCs w:val="18"/>
              </w:rPr>
            </w:pPr>
            <w:r>
              <w:rPr>
                <w:rFonts w:ascii="Times New Roman"/>
                <w:sz w:val="18"/>
              </w:rPr>
              <w:t>45,792,740.63</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95" w:right="0"/>
              <w:jc w:val="left"/>
              <w:rPr>
                <w:rFonts w:ascii="Times New Roman" w:hAnsi="Times New Roman" w:cs="Times New Roman" w:eastAsia="Times New Roman" w:hint="default"/>
                <w:sz w:val="18"/>
                <w:szCs w:val="18"/>
              </w:rPr>
            </w:pPr>
            <w:r>
              <w:rPr>
                <w:rFonts w:ascii="Times New Roman"/>
                <w:sz w:val="18"/>
              </w:rPr>
              <w:t>551,839,871.86</w:t>
            </w:r>
          </w:p>
        </w:tc>
      </w:tr>
    </w:tbl>
    <w:p>
      <w:pPr>
        <w:spacing w:line="240" w:lineRule="auto" w:before="3"/>
        <w:rPr>
          <w:rFonts w:ascii="宋体" w:hAnsi="宋体" w:cs="宋体" w:eastAsia="宋体" w:hint="default"/>
          <w:sz w:val="19"/>
          <w:szCs w:val="19"/>
        </w:rPr>
      </w:pPr>
    </w:p>
    <w:p>
      <w:pPr>
        <w:pStyle w:val="Heading3"/>
        <w:spacing w:line="240" w:lineRule="auto" w:before="36"/>
        <w:ind w:right="135"/>
        <w:jc w:val="left"/>
        <w:rPr>
          <w:b w:val="0"/>
          <w:bCs w:val="0"/>
        </w:rPr>
      </w:pPr>
      <w:r>
        <w:rPr/>
        <w:t>（</w:t>
      </w:r>
      <w:r>
        <w:rPr>
          <w:rFonts w:ascii="Times New Roman" w:hAnsi="Times New Roman" w:cs="Times New Roman" w:eastAsia="Times New Roman" w:hint="default"/>
        </w:rPr>
        <w:t>2</w:t>
      </w:r>
      <w:r>
        <w:rPr/>
        <w:t>）关联担保情况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35"/>
        <w:jc w:val="left"/>
      </w:pPr>
      <w:r>
        <w:rPr/>
        <w:t>本公司作为被担保方</w:t>
      </w:r>
    </w:p>
    <w:p>
      <w:pPr>
        <w:pStyle w:val="BodyText"/>
        <w:spacing w:line="240" w:lineRule="auto" w:before="118"/>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贾全臣、贾玉兰、贾晓 钰、戴一鸣</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青岛城投金融控股集团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青岛邦德集中供热设备 有限公司抵押担保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贾全臣、贾晓钰个人担 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青岛城投金融控股集团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贾晓钰个人担保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贾全臣、贾玉兰、贾晓 钰、戴一鸣</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青岛程远投资管理有限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青岛城乡社区建设融资 担保有限公司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77"/>
              <w:jc w:val="left"/>
              <w:rPr>
                <w:rFonts w:ascii="宋体" w:hAnsi="宋体" w:cs="宋体" w:eastAsia="宋体" w:hint="default"/>
                <w:sz w:val="18"/>
                <w:szCs w:val="18"/>
              </w:rPr>
            </w:pPr>
            <w:r>
              <w:rPr>
                <w:rFonts w:ascii="宋体" w:hAnsi="宋体" w:cs="宋体" w:eastAsia="宋体" w:hint="default"/>
                <w:sz w:val="18"/>
                <w:szCs w:val="18"/>
              </w:rPr>
              <w:t>青岛城乡社区建设融资 担保有限公司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3"/>
        <w:rPr>
          <w:rFonts w:ascii="宋体" w:hAnsi="宋体" w:cs="宋体" w:eastAsia="宋体" w:hint="default"/>
          <w:sz w:val="19"/>
          <w:szCs w:val="19"/>
        </w:rPr>
      </w:pPr>
    </w:p>
    <w:p>
      <w:pPr>
        <w:pStyle w:val="Heading3"/>
        <w:spacing w:line="240" w:lineRule="auto" w:before="36"/>
        <w:ind w:right="135"/>
        <w:jc w:val="left"/>
        <w:rPr>
          <w:b w:val="0"/>
          <w:bCs w:val="0"/>
        </w:rPr>
      </w:pPr>
      <w:r>
        <w:rPr/>
        <w:t>（</w:t>
      </w:r>
      <w:r>
        <w:rPr>
          <w:rFonts w:ascii="Times New Roman" w:hAnsi="Times New Roman" w:cs="Times New Roman" w:eastAsia="Times New Roman" w:hint="default"/>
        </w:rPr>
        <w:t>3</w:t>
      </w:r>
      <w:r>
        <w:rPr/>
        <w:t>）关键管理人员报酬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3,824,330.68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2,810,511.15</w:t>
            </w:r>
          </w:p>
        </w:tc>
      </w:tr>
    </w:tbl>
    <w:p>
      <w:pPr>
        <w:spacing w:line="240" w:lineRule="auto" w:before="3"/>
        <w:rPr>
          <w:rFonts w:ascii="宋体" w:hAnsi="宋体" w:cs="宋体" w:eastAsia="宋体" w:hint="default"/>
          <w:sz w:val="19"/>
          <w:szCs w:val="19"/>
        </w:rPr>
      </w:pPr>
    </w:p>
    <w:p>
      <w:pPr>
        <w:pStyle w:val="Heading3"/>
        <w:spacing w:line="240" w:lineRule="auto" w:before="36"/>
        <w:ind w:right="135"/>
        <w:jc w:val="left"/>
        <w:rPr>
          <w:b w:val="0"/>
          <w:bCs w:val="0"/>
        </w:rPr>
      </w:pPr>
      <w:r>
        <w:rPr>
          <w:rFonts w:ascii="Times New Roman" w:hAnsi="Times New Roman" w:cs="Times New Roman" w:eastAsia="Times New Roman" w:hint="default"/>
        </w:rPr>
        <w:t>5</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5"/>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66"/>
              <w:jc w:val="left"/>
              <w:rPr>
                <w:rFonts w:ascii="Times New Roman" w:hAnsi="Times New Roman" w:cs="Times New Roman" w:eastAsia="Times New Roman" w:hint="default"/>
                <w:sz w:val="18"/>
                <w:szCs w:val="18"/>
              </w:rPr>
            </w:pPr>
            <w:r>
              <w:rPr>
                <w:rFonts w:ascii="Times New Roman"/>
                <w:spacing w:val="-5"/>
                <w:sz w:val="18"/>
              </w:rPr>
              <w:t>PT. </w:t>
            </w:r>
            <w:r>
              <w:rPr>
                <w:rFonts w:ascii="Times New Roman"/>
                <w:sz w:val="18"/>
              </w:rPr>
              <w:t>Metal</w:t>
            </w:r>
            <w:r>
              <w:rPr>
                <w:rFonts w:ascii="Times New Roman"/>
                <w:spacing w:val="1"/>
                <w:sz w:val="18"/>
              </w:rPr>
              <w:t> </w:t>
            </w:r>
            <w:r>
              <w:rPr>
                <w:rFonts w:ascii="Times New Roman"/>
                <w:sz w:val="18"/>
              </w:rPr>
              <w:t>Smeltindo</w:t>
            </w:r>
            <w:r>
              <w:rPr>
                <w:rFonts w:ascii="Times New Roman"/>
                <w:sz w:val="18"/>
              </w:rPr>
              <w:t> Selaras</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2,303,953.91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8" w:right="0"/>
              <w:jc w:val="left"/>
              <w:rPr>
                <w:rFonts w:ascii="Times New Roman" w:hAnsi="Times New Roman" w:cs="Times New Roman" w:eastAsia="Times New Roman" w:hint="default"/>
                <w:sz w:val="18"/>
                <w:szCs w:val="18"/>
              </w:rPr>
            </w:pPr>
            <w:r>
              <w:rPr>
                <w:rFonts w:ascii="Times New Roman"/>
                <w:sz w:val="18"/>
              </w:rPr>
              <w:t>115,197.70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234,385,453.91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2,343,854.54</w:t>
            </w:r>
          </w:p>
        </w:tc>
      </w:tr>
    </w:tbl>
    <w:p>
      <w:pPr>
        <w:spacing w:line="240" w:lineRule="auto" w:before="3"/>
        <w:rPr>
          <w:rFonts w:ascii="宋体" w:hAnsi="宋体" w:cs="宋体" w:eastAsia="宋体" w:hint="default"/>
          <w:sz w:val="19"/>
          <w:szCs w:val="19"/>
        </w:rPr>
      </w:pPr>
    </w:p>
    <w:p>
      <w:pPr>
        <w:pStyle w:val="Heading3"/>
        <w:spacing w:line="240" w:lineRule="auto" w:before="36"/>
        <w:ind w:right="135"/>
        <w:jc w:val="left"/>
        <w:rPr>
          <w:b w:val="0"/>
          <w:bCs w:val="0"/>
        </w:rPr>
      </w:pPr>
      <w:r>
        <w:rPr>
          <w:rFonts w:ascii="Times New Roman" w:hAnsi="Times New Roman" w:cs="Times New Roman" w:eastAsia="Times New Roman" w:hint="default"/>
        </w:rPr>
        <w:t>6</w:t>
      </w:r>
      <w:r>
        <w:rPr/>
        <w:t>、关联方承诺</w:t>
      </w:r>
      <w:r>
        <w:rPr>
          <w:b w:val="0"/>
          <w:bCs w:val="0"/>
        </w:rPr>
      </w:r>
    </w:p>
    <w:p>
      <w:pPr>
        <w:spacing w:line="240" w:lineRule="auto" w:before="7"/>
        <w:rPr>
          <w:rFonts w:ascii="宋体" w:hAnsi="宋体" w:cs="宋体" w:eastAsia="宋体" w:hint="default"/>
          <w:b/>
          <w:bCs/>
          <w:sz w:val="24"/>
          <w:szCs w:val="24"/>
        </w:rPr>
      </w:pPr>
    </w:p>
    <w:p>
      <w:pPr>
        <w:spacing w:line="487" w:lineRule="auto" w:before="0"/>
        <w:ind w:left="152" w:right="777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十一、股份支付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2"/>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1.656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宋体" w:hAnsi="宋体" w:cs="宋体" w:eastAsia="宋体" w:hint="default"/>
                <w:spacing w:val="89"/>
                <w:sz w:val="18"/>
                <w:szCs w:val="18"/>
              </w:rPr>
              <w:t> </w:t>
            </w:r>
            <w:r>
              <w:rPr>
                <w:rFonts w:ascii="宋体" w:hAnsi="宋体" w:cs="宋体" w:eastAsia="宋体" w:hint="default"/>
                <w:sz w:val="18"/>
                <w:szCs w:val="18"/>
              </w:rPr>
              <w:t>期限待定</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both"/>
      </w:pPr>
      <w:r>
        <w:rPr/>
        <w:t>其他说明</w:t>
      </w:r>
    </w:p>
    <w:p>
      <w:pPr>
        <w:pStyle w:val="BodyText"/>
        <w:spacing w:line="240" w:lineRule="auto" w:before="115"/>
        <w:ind w:left="513" w:right="135"/>
        <w:jc w:val="left"/>
        <w:rPr>
          <w:rFonts w:ascii="Times New Roman" w:hAnsi="Times New Roman" w:cs="Times New Roman" w:eastAsia="Times New Roman" w:hint="default"/>
        </w:rPr>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日，公司</w:t>
      </w:r>
      <w:r>
        <w:rPr>
          <w:spacing w:val="-45"/>
        </w:rPr>
        <w:t> </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4 </w:t>
      </w:r>
      <w:r>
        <w:rPr/>
        <w:t>年第二次临时股东大会审议通过了《限制性股票激励计划（草案修订稿</w:t>
      </w:r>
      <w:r>
        <w:rPr>
          <w:spacing w:val="-92"/>
        </w:rPr>
        <w:t>）》</w:t>
      </w:r>
      <w:r>
        <w:rPr>
          <w:spacing w:val="1"/>
        </w:rPr>
        <w:t>。</w:t>
      </w:r>
      <w:r>
        <w:rPr>
          <w:rFonts w:ascii="Times New Roman" w:hAnsi="Times New Roman" w:cs="Times New Roman" w:eastAsia="Times New Roman" w:hint="default"/>
          <w:spacing w:val="1"/>
        </w:rPr>
        <w:t>201</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rPr>
      </w:r>
    </w:p>
    <w:p>
      <w:pPr>
        <w:pStyle w:val="BodyText"/>
        <w:spacing w:line="240" w:lineRule="auto" w:before="63"/>
        <w:ind w:right="0"/>
        <w:jc w:val="both"/>
        <w:rPr>
          <w:rFonts w:ascii="Times New Roman" w:hAnsi="Times New Roman" w:cs="Times New Roman" w:eastAsia="Times New Roman" w:hint="default"/>
        </w:rPr>
      </w:pPr>
      <w:r>
        <w:rPr/>
        <w:t>月</w:t>
      </w:r>
      <w:r>
        <w:rPr>
          <w:spacing w:val="-51"/>
        </w:rPr>
        <w:t> </w:t>
      </w:r>
      <w:r>
        <w:rPr>
          <w:rFonts w:ascii="Times New Roman" w:hAnsi="Times New Roman" w:cs="Times New Roman" w:eastAsia="Times New Roman" w:hint="default"/>
        </w:rPr>
        <w:t>20</w:t>
      </w:r>
      <w:r>
        <w:rPr>
          <w:rFonts w:ascii="Times New Roman" w:hAnsi="Times New Roman" w:cs="Times New Roman" w:eastAsia="Times New Roman" w:hint="default"/>
          <w:spacing w:val="-6"/>
        </w:rPr>
        <w:t> </w:t>
      </w:r>
      <w:r>
        <w:rPr/>
        <w:t>日公司召开第二届董事会第十二次会议，会议决定授予公司</w:t>
      </w:r>
      <w:r>
        <w:rPr>
          <w:spacing w:val="-51"/>
        </w:rPr>
        <w:t> </w:t>
      </w:r>
      <w:r>
        <w:rPr>
          <w:rFonts w:ascii="Times New Roman" w:hAnsi="Times New Roman" w:cs="Times New Roman" w:eastAsia="Times New Roman" w:hint="default"/>
        </w:rPr>
        <w:t>26</w:t>
      </w:r>
      <w:r>
        <w:rPr>
          <w:rFonts w:ascii="Times New Roman" w:hAnsi="Times New Roman" w:cs="Times New Roman" w:eastAsia="Times New Roman" w:hint="default"/>
          <w:spacing w:val="-5"/>
        </w:rPr>
        <w:t> </w:t>
      </w:r>
      <w:r>
        <w:rPr/>
        <w:t>位激励对象合计</w:t>
      </w:r>
      <w:r>
        <w:rPr>
          <w:spacing w:val="-52"/>
        </w:rPr>
        <w:t> </w:t>
      </w:r>
      <w:r>
        <w:rPr>
          <w:rFonts w:ascii="Times New Roman" w:hAnsi="Times New Roman" w:cs="Times New Roman" w:eastAsia="Times New Roman" w:hint="default"/>
        </w:rPr>
        <w:t>1,705</w:t>
      </w:r>
      <w:r>
        <w:rPr>
          <w:rFonts w:ascii="Times New Roman" w:hAnsi="Times New Roman" w:cs="Times New Roman" w:eastAsia="Times New Roman" w:hint="default"/>
          <w:spacing w:val="-7"/>
        </w:rPr>
        <w:t> </w:t>
      </w:r>
      <w:r>
        <w:rPr>
          <w:spacing w:val="-4"/>
        </w:rPr>
        <w:t>万股限制性股票，授权日为</w:t>
      </w:r>
      <w:r>
        <w:rPr>
          <w:spacing w:val="-51"/>
        </w:rPr>
        <w:t> </w:t>
      </w:r>
      <w:r>
        <w:rPr>
          <w:rFonts w:ascii="Times New Roman" w:hAnsi="Times New Roman" w:cs="Times New Roman" w:eastAsia="Times New Roman" w:hint="default"/>
        </w:rPr>
        <w:t>2014</w:t>
      </w:r>
    </w:p>
    <w:p>
      <w:pPr>
        <w:pStyle w:val="BodyText"/>
        <w:spacing w:line="240" w:lineRule="auto" w:before="63"/>
        <w:ind w:right="0"/>
        <w:jc w:val="both"/>
      </w:pP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20 </w:t>
      </w:r>
      <w:r>
        <w:rPr/>
        <w:t>日，授予价格为</w:t>
      </w:r>
      <w:r>
        <w:rPr>
          <w:spacing w:val="-48"/>
        </w:rPr>
        <w:t> </w:t>
      </w:r>
      <w:r>
        <w:rPr>
          <w:rFonts w:ascii="Times New Roman" w:hAnsi="Times New Roman" w:cs="Times New Roman" w:eastAsia="Times New Roman" w:hint="default"/>
        </w:rPr>
        <w:t>4.20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股，并对相关事项进行了公告。公司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年第四次临时股东大会审议通过的</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年半</w:t>
      </w:r>
    </w:p>
    <w:p>
      <w:pPr>
        <w:pStyle w:val="BodyText"/>
        <w:spacing w:line="309" w:lineRule="auto" w:before="63"/>
        <w:ind w:right="153"/>
        <w:jc w:val="both"/>
      </w:pPr>
      <w:r>
        <w:rPr/>
        <w:t>年度利润分配方案已实施完毕。</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3"/>
        </w:rPr>
        <w:t> </w:t>
      </w:r>
      <w:r>
        <w:rPr/>
        <w:t>月</w:t>
      </w:r>
      <w:r>
        <w:rPr>
          <w:spacing w:val="-43"/>
        </w:rPr>
        <w:t> </w:t>
      </w:r>
      <w:r>
        <w:rPr>
          <w:rFonts w:ascii="Times New Roman" w:hAnsi="Times New Roman" w:cs="Times New Roman" w:eastAsia="Times New Roman" w:hint="default"/>
          <w:spacing w:val="-1"/>
        </w:rPr>
        <w:t>22</w:t>
      </w:r>
      <w:r>
        <w:rPr>
          <w:rFonts w:ascii="Times New Roman" w:hAnsi="Times New Roman" w:cs="Times New Roman" w:eastAsia="Times New Roman" w:hint="default"/>
          <w:spacing w:val="3"/>
        </w:rPr>
        <w:t> </w:t>
      </w:r>
      <w:r>
        <w:rPr>
          <w:spacing w:val="-6"/>
        </w:rPr>
        <w:t>日，根据公司《限制性股票激励计划（草案修订稿）》，董事会依据股东大</w:t>
      </w:r>
      <w:r>
        <w:rPr>
          <w:spacing w:val="-88"/>
        </w:rPr>
        <w:t> </w:t>
      </w:r>
      <w:r>
        <w:rPr>
          <w:spacing w:val="-88"/>
        </w:rPr>
      </w:r>
      <w:r>
        <w:rPr>
          <w:spacing w:val="-2"/>
        </w:rPr>
        <w:t>会的授权，经公司第二届董事会第二十五次会议审议，对限制性股票激励计划中首次授予的限制性股票数量及回购价格进行</w:t>
      </w:r>
      <w:r>
        <w:rPr>
          <w:spacing w:val="-64"/>
        </w:rPr>
        <w:t> </w:t>
      </w:r>
      <w:r>
        <w:rPr>
          <w:spacing w:val="-64"/>
        </w:rPr>
      </w:r>
      <w:r>
        <w:rPr/>
        <w:t>相应的调整。调整后首次授予的限制性股票总量为</w:t>
      </w:r>
      <w:r>
        <w:rPr>
          <w:spacing w:val="-46"/>
        </w:rPr>
        <w:t> </w:t>
      </w:r>
      <w:r>
        <w:rPr>
          <w:rFonts w:ascii="Times New Roman" w:hAnsi="Times New Roman" w:cs="Times New Roman" w:eastAsia="Times New Roman" w:hint="default"/>
        </w:rPr>
        <w:t>4,262.50</w:t>
      </w:r>
      <w:r>
        <w:rPr>
          <w:rFonts w:ascii="Times New Roman" w:hAnsi="Times New Roman" w:cs="Times New Roman" w:eastAsia="Times New Roman" w:hint="default"/>
          <w:spacing w:val="-2"/>
        </w:rPr>
        <w:t> </w:t>
      </w:r>
      <w:r>
        <w:rPr/>
        <w:t>万股；调整后首次授予的限制性股票的回购价格为</w:t>
      </w:r>
      <w:r>
        <w:rPr>
          <w:spacing w:val="-46"/>
        </w:rPr>
        <w:t> </w:t>
      </w:r>
      <w:r>
        <w:rPr>
          <w:rFonts w:ascii="Times New Roman" w:hAnsi="Times New Roman" w:cs="Times New Roman" w:eastAsia="Times New Roman" w:hint="default"/>
        </w:rPr>
        <w:t>1.656 </w:t>
      </w:r>
      <w:r>
        <w:rPr>
          <w:spacing w:val="-3"/>
        </w:rPr>
        <w:t>元。</w:t>
      </w:r>
      <w:r>
        <w:rPr/>
      </w:r>
    </w:p>
    <w:p>
      <w:pPr>
        <w:pStyle w:val="BodyText"/>
        <w:spacing w:line="240" w:lineRule="auto" w:before="46"/>
        <w:ind w:left="513" w:right="135"/>
        <w:jc w:val="left"/>
      </w:pPr>
      <w:r>
        <w:rPr>
          <w:rFonts w:ascii="Times New Roman" w:hAnsi="Times New Roman" w:cs="Times New Roman" w:eastAsia="Times New Roman" w:hint="default"/>
        </w:rPr>
        <w:t>2015 </w:t>
      </w:r>
      <w:r>
        <w:rPr/>
        <w:t>年</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月，限制性股票第一期达到解锁条件，激励对象分别于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日解锁共计</w:t>
      </w:r>
      <w:r>
        <w:rPr>
          <w:spacing w:val="-46"/>
        </w:rPr>
        <w:t> </w:t>
      </w:r>
      <w:r>
        <w:rPr>
          <w:rFonts w:ascii="Times New Roman" w:hAnsi="Times New Roman" w:cs="Times New Roman" w:eastAsia="Times New Roman" w:hint="default"/>
        </w:rPr>
        <w:t>1,278.75 </w:t>
      </w:r>
      <w:r>
        <w:rPr/>
        <w:t>万股。</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p>
    <w:p>
      <w:pPr>
        <w:pStyle w:val="BodyText"/>
        <w:spacing w:line="300" w:lineRule="auto" w:before="63"/>
        <w:ind w:right="158"/>
        <w:jc w:val="both"/>
      </w:pPr>
      <w:r>
        <w:rPr>
          <w:rFonts w:ascii="Times New Roman" w:hAnsi="Times New Roman" w:cs="Times New Roman" w:eastAsia="Times New Roman" w:hint="default"/>
        </w:rPr>
        <w:t>10 </w:t>
      </w:r>
      <w:r>
        <w:rPr/>
        <w:t>月，限制性股票第二期达到解锁条件，激励对象分别于</w:t>
      </w:r>
      <w:r>
        <w:rPr>
          <w:spacing w:val="-46"/>
        </w:rPr>
        <w:t> </w:t>
      </w:r>
      <w:r>
        <w:rPr>
          <w:rFonts w:ascii="Times New Roman" w:hAnsi="Times New Roman" w:cs="Times New Roman" w:eastAsia="Times New Roman" w:hint="default"/>
        </w:rPr>
        <w:t>2016 </w:t>
      </w:r>
      <w:r>
        <w:rPr/>
        <w:t>年</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日解锁共计</w:t>
      </w:r>
      <w:r>
        <w:rPr>
          <w:spacing w:val="-49"/>
        </w:rPr>
        <w:t> </w:t>
      </w:r>
      <w:r>
        <w:rPr>
          <w:rFonts w:ascii="Times New Roman" w:hAnsi="Times New Roman" w:cs="Times New Roman" w:eastAsia="Times New Roman" w:hint="default"/>
        </w:rPr>
        <w:t>1,278.75 </w:t>
      </w:r>
      <w:r>
        <w:rPr/>
        <w:t>万股。</w:t>
      </w:r>
      <w:r>
        <w:rPr>
          <w:rFonts w:ascii="Times New Roman" w:hAnsi="Times New Roman" w:cs="Times New Roman" w:eastAsia="Times New Roman" w:hint="default"/>
        </w:rPr>
        <w:t>2017 </w:t>
      </w:r>
      <w:r>
        <w:rPr/>
        <w:t>年</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月，限制 性股票第三期达到解锁时间，因证监会立案调查尚未正式结案，第三期解锁将延期，具体解锁情况需等正式结案后确定。</w:t>
      </w:r>
    </w:p>
    <w:p>
      <w:pPr>
        <w:pStyle w:val="BodyText"/>
        <w:spacing w:line="309" w:lineRule="auto" w:before="70"/>
        <w:ind w:right="160" w:firstLine="360"/>
        <w:jc w:val="both"/>
      </w:pPr>
      <w:r>
        <w:rPr/>
        <w:t>根据公司《青岛市恒顺电气股份有限公司股权激励计划</w:t>
      </w:r>
      <w:r>
        <w:rPr>
          <w:rFonts w:ascii="Times New Roman" w:hAnsi="Times New Roman" w:cs="Times New Roman" w:eastAsia="Times New Roman" w:hint="default"/>
        </w:rPr>
        <w:t>(</w:t>
      </w:r>
      <w:r>
        <w:rPr/>
        <w:t>正式稿</w:t>
      </w:r>
      <w:r>
        <w:rPr>
          <w:rFonts w:ascii="Times New Roman" w:hAnsi="Times New Roman" w:cs="Times New Roman" w:eastAsia="Times New Roman" w:hint="default"/>
        </w:rPr>
        <w:t>)</w:t>
      </w:r>
      <w:r>
        <w:rPr/>
        <w:t>》的相关规定，公司于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10 </w:t>
      </w:r>
      <w:r>
        <w:rPr/>
        <w:t>月</w:t>
      </w:r>
      <w:r>
        <w:rPr>
          <w:spacing w:val="-48"/>
        </w:rPr>
        <w:t> </w:t>
      </w:r>
      <w:r>
        <w:rPr>
          <w:rFonts w:ascii="Times New Roman" w:hAnsi="Times New Roman" w:cs="Times New Roman" w:eastAsia="Times New Roman" w:hint="default"/>
        </w:rPr>
        <w:t>27 </w:t>
      </w:r>
      <w:r>
        <w:rPr/>
        <w:t>日召开第三届 </w:t>
      </w:r>
      <w:r>
        <w:rPr>
          <w:spacing w:val="-2"/>
        </w:rPr>
        <w:t>董事会第六次会议，审议通过了《关于回购注销部分限制性股票的议案》，原激励对象付大志因个人原因离职，公司决定将</w:t>
      </w:r>
      <w:r>
        <w:rPr>
          <w:spacing w:val="-72"/>
        </w:rPr>
        <w:t> </w:t>
      </w:r>
      <w:r>
        <w:rPr>
          <w:spacing w:val="-72"/>
        </w:rPr>
      </w:r>
      <w:r>
        <w:rPr/>
        <w:t>对其所持已获授但尚未解锁的限制性股票共计 </w:t>
      </w:r>
      <w:r>
        <w:rPr>
          <w:rFonts w:ascii="Times New Roman" w:hAnsi="Times New Roman" w:cs="Times New Roman" w:eastAsia="Times New Roman" w:hint="default"/>
        </w:rPr>
        <w:t>100 </w:t>
      </w:r>
      <w:r>
        <w:rPr/>
        <w:t>万股以 </w:t>
      </w:r>
      <w:r>
        <w:rPr>
          <w:rFonts w:ascii="Times New Roman" w:hAnsi="Times New Roman" w:cs="Times New Roman" w:eastAsia="Times New Roman" w:hint="default"/>
        </w:rPr>
        <w:t>1.656</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股的价格进行回购注销。</w:t>
      </w:r>
    </w:p>
    <w:p>
      <w:pPr>
        <w:pStyle w:val="BodyText"/>
        <w:spacing w:line="300" w:lineRule="auto" w:before="46"/>
        <w:ind w:right="158" w:firstLine="360"/>
        <w:jc w:val="both"/>
      </w:pPr>
      <w:r>
        <w:rPr>
          <w:spacing w:val="-6"/>
        </w:rPr>
        <w:t>根据《限制性股票股权激励计划（草案修订稿）》，自限制性股票期权授予日起</w:t>
      </w:r>
      <w:r>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spacing w:val="-1"/>
        </w:rPr>
        <w:t>个月后，满足解锁条件的，激励对象</w:t>
      </w:r>
      <w:r>
        <w:rPr/>
        <w:t> 可以分三期申请解锁。解锁安排如下表所示：</w:t>
      </w:r>
    </w:p>
    <w:p>
      <w:pPr>
        <w:spacing w:line="240" w:lineRule="auto" w:before="1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3152"/>
        <w:gridCol w:w="4320"/>
        <w:gridCol w:w="1779"/>
      </w:tblGrid>
      <w:tr>
        <w:trPr>
          <w:trHeight w:val="346" w:hRule="exact"/>
        </w:trPr>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4" w:right="0"/>
              <w:jc w:val="center"/>
              <w:rPr>
                <w:rFonts w:ascii="宋体" w:hAnsi="宋体" w:cs="宋体" w:eastAsia="宋体" w:hint="default"/>
                <w:sz w:val="18"/>
                <w:szCs w:val="18"/>
              </w:rPr>
            </w:pPr>
            <w:r>
              <w:rPr>
                <w:rFonts w:ascii="宋体" w:hAnsi="宋体" w:cs="宋体" w:eastAsia="宋体" w:hint="default"/>
                <w:sz w:val="18"/>
                <w:szCs w:val="18"/>
              </w:rPr>
              <w:t>行权期</w:t>
            </w:r>
          </w:p>
        </w:tc>
        <w:tc>
          <w:tcPr>
            <w:tcW w:w="4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9" w:right="0"/>
              <w:jc w:val="center"/>
              <w:rPr>
                <w:rFonts w:ascii="宋体" w:hAnsi="宋体" w:cs="宋体" w:eastAsia="宋体" w:hint="default"/>
                <w:sz w:val="18"/>
                <w:szCs w:val="18"/>
              </w:rPr>
            </w:pPr>
            <w:r>
              <w:rPr>
                <w:rFonts w:ascii="宋体" w:hAnsi="宋体" w:cs="宋体" w:eastAsia="宋体" w:hint="default"/>
                <w:sz w:val="18"/>
                <w:szCs w:val="18"/>
              </w:rPr>
              <w:t>行权时间</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3" w:right="0"/>
              <w:jc w:val="center"/>
              <w:rPr>
                <w:rFonts w:ascii="宋体" w:hAnsi="宋体" w:cs="宋体" w:eastAsia="宋体" w:hint="default"/>
                <w:sz w:val="18"/>
                <w:szCs w:val="18"/>
              </w:rPr>
            </w:pPr>
            <w:r>
              <w:rPr>
                <w:rFonts w:ascii="宋体" w:hAnsi="宋体" w:cs="宋体" w:eastAsia="宋体" w:hint="default"/>
                <w:sz w:val="18"/>
                <w:szCs w:val="18"/>
              </w:rPr>
              <w:t>行权比例</w:t>
            </w:r>
          </w:p>
        </w:tc>
      </w:tr>
      <w:tr>
        <w:trPr>
          <w:trHeight w:val="660" w:hRule="exact"/>
        </w:trPr>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64" w:right="0"/>
              <w:jc w:val="center"/>
              <w:rPr>
                <w:rFonts w:ascii="宋体" w:hAnsi="宋体" w:cs="宋体" w:eastAsia="宋体" w:hint="default"/>
                <w:sz w:val="18"/>
                <w:szCs w:val="18"/>
              </w:rPr>
            </w:pPr>
            <w:r>
              <w:rPr>
                <w:rFonts w:ascii="宋体" w:hAnsi="宋体" w:cs="宋体" w:eastAsia="宋体" w:hint="default"/>
                <w:sz w:val="18"/>
                <w:szCs w:val="18"/>
              </w:rPr>
              <w:t>第一次解锁</w:t>
            </w:r>
          </w:p>
        </w:tc>
        <w:tc>
          <w:tcPr>
            <w:tcW w:w="432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0"/>
              <w:jc w:val="left"/>
              <w:rPr>
                <w:rFonts w:ascii="宋体" w:hAnsi="宋体" w:cs="宋体" w:eastAsia="宋体" w:hint="default"/>
                <w:sz w:val="18"/>
                <w:szCs w:val="18"/>
              </w:rPr>
            </w:pPr>
            <w:r>
              <w:rPr>
                <w:rFonts w:ascii="宋体" w:hAnsi="宋体" w:cs="宋体" w:eastAsia="宋体" w:hint="default"/>
                <w:spacing w:val="6"/>
                <w:sz w:val="18"/>
                <w:szCs w:val="18"/>
              </w:rPr>
              <w:t>自授予日起</w:t>
            </w:r>
            <w:r>
              <w:rPr>
                <w:rFonts w:ascii="Times New Roman" w:hAnsi="Times New Roman" w:cs="Times New Roman" w:eastAsia="Times New Roman" w:hint="default"/>
                <w:spacing w:val="6"/>
                <w:sz w:val="18"/>
                <w:szCs w:val="18"/>
              </w:rPr>
              <w:t>12</w:t>
            </w:r>
            <w:r>
              <w:rPr>
                <w:rFonts w:ascii="宋体" w:hAnsi="宋体" w:cs="宋体" w:eastAsia="宋体" w:hint="default"/>
                <w:spacing w:val="6"/>
                <w:sz w:val="18"/>
                <w:szCs w:val="18"/>
              </w:rPr>
              <w:t>个月后的首个交易日起至授予日起</w:t>
            </w:r>
            <w:r>
              <w:rPr>
                <w:rFonts w:ascii="Times New Roman" w:hAnsi="Times New Roman" w:cs="Times New Roman" w:eastAsia="Times New Roman" w:hint="default"/>
                <w:spacing w:val="6"/>
                <w:sz w:val="18"/>
                <w:szCs w:val="18"/>
              </w:rPr>
              <w:t>24</w:t>
            </w:r>
            <w:r>
              <w:rPr>
                <w:rFonts w:ascii="宋体" w:hAnsi="宋体" w:cs="宋体" w:eastAsia="宋体" w:hint="default"/>
                <w:spacing w:val="6"/>
                <w:sz w:val="18"/>
                <w:szCs w:val="18"/>
              </w:rPr>
              <w:t>个</w:t>
            </w:r>
            <w:r>
              <w:rPr>
                <w:rFonts w:ascii="宋体" w:hAnsi="宋体" w:cs="宋体" w:eastAsia="宋体" w:hint="default"/>
                <w:spacing w:val="-83"/>
                <w:sz w:val="18"/>
                <w:szCs w:val="18"/>
              </w:rPr>
              <w:t> </w:t>
            </w:r>
            <w:r>
              <w:rPr>
                <w:rFonts w:ascii="宋体" w:hAnsi="宋体" w:cs="宋体" w:eastAsia="宋体" w:hint="default"/>
                <w:sz w:val="18"/>
                <w:szCs w:val="18"/>
              </w:rPr>
              <w:t>月内的最后一个交易日当日止</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65" w:right="0"/>
              <w:jc w:val="center"/>
              <w:rPr>
                <w:rFonts w:ascii="Times New Roman" w:hAnsi="Times New Roman" w:cs="Times New Roman" w:eastAsia="Times New Roman" w:hint="default"/>
                <w:sz w:val="18"/>
                <w:szCs w:val="18"/>
              </w:rPr>
            </w:pPr>
            <w:r>
              <w:rPr>
                <w:rFonts w:ascii="Times New Roman"/>
                <w:sz w:val="18"/>
              </w:rPr>
              <w:t>30%</w:t>
            </w:r>
          </w:p>
        </w:tc>
      </w:tr>
      <w:tr>
        <w:trPr>
          <w:trHeight w:val="658" w:hRule="exact"/>
        </w:trPr>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64" w:right="0"/>
              <w:jc w:val="center"/>
              <w:rPr>
                <w:rFonts w:ascii="宋体" w:hAnsi="宋体" w:cs="宋体" w:eastAsia="宋体" w:hint="default"/>
                <w:sz w:val="18"/>
                <w:szCs w:val="18"/>
              </w:rPr>
            </w:pPr>
            <w:r>
              <w:rPr>
                <w:rFonts w:ascii="宋体" w:hAnsi="宋体" w:cs="宋体" w:eastAsia="宋体" w:hint="default"/>
                <w:sz w:val="18"/>
                <w:szCs w:val="18"/>
              </w:rPr>
              <w:t>第二次解锁</w:t>
            </w:r>
          </w:p>
        </w:tc>
        <w:tc>
          <w:tcPr>
            <w:tcW w:w="432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0"/>
              <w:jc w:val="left"/>
              <w:rPr>
                <w:rFonts w:ascii="宋体" w:hAnsi="宋体" w:cs="宋体" w:eastAsia="宋体" w:hint="default"/>
                <w:sz w:val="18"/>
                <w:szCs w:val="18"/>
              </w:rPr>
            </w:pPr>
            <w:r>
              <w:rPr>
                <w:rFonts w:ascii="宋体" w:hAnsi="宋体" w:cs="宋体" w:eastAsia="宋体" w:hint="default"/>
                <w:spacing w:val="6"/>
                <w:sz w:val="18"/>
                <w:szCs w:val="18"/>
              </w:rPr>
              <w:t>自授予日起</w:t>
            </w:r>
            <w:r>
              <w:rPr>
                <w:rFonts w:ascii="Times New Roman" w:hAnsi="Times New Roman" w:cs="Times New Roman" w:eastAsia="Times New Roman" w:hint="default"/>
                <w:spacing w:val="6"/>
                <w:sz w:val="18"/>
                <w:szCs w:val="18"/>
              </w:rPr>
              <w:t>24</w:t>
            </w:r>
            <w:r>
              <w:rPr>
                <w:rFonts w:ascii="宋体" w:hAnsi="宋体" w:cs="宋体" w:eastAsia="宋体" w:hint="default"/>
                <w:spacing w:val="6"/>
                <w:sz w:val="18"/>
                <w:szCs w:val="18"/>
              </w:rPr>
              <w:t>个月后的首个交易日起至授予日起</w:t>
            </w:r>
            <w:r>
              <w:rPr>
                <w:rFonts w:ascii="Times New Roman" w:hAnsi="Times New Roman" w:cs="Times New Roman" w:eastAsia="Times New Roman" w:hint="default"/>
                <w:spacing w:val="6"/>
                <w:sz w:val="18"/>
                <w:szCs w:val="18"/>
              </w:rPr>
              <w:t>36</w:t>
            </w:r>
            <w:r>
              <w:rPr>
                <w:rFonts w:ascii="宋体" w:hAnsi="宋体" w:cs="宋体" w:eastAsia="宋体" w:hint="default"/>
                <w:spacing w:val="6"/>
                <w:sz w:val="18"/>
                <w:szCs w:val="18"/>
              </w:rPr>
              <w:t>个</w:t>
            </w:r>
            <w:r>
              <w:rPr>
                <w:rFonts w:ascii="宋体" w:hAnsi="宋体" w:cs="宋体" w:eastAsia="宋体" w:hint="default"/>
                <w:spacing w:val="-83"/>
                <w:sz w:val="18"/>
                <w:szCs w:val="18"/>
              </w:rPr>
              <w:t> </w:t>
            </w:r>
            <w:r>
              <w:rPr>
                <w:rFonts w:ascii="宋体" w:hAnsi="宋体" w:cs="宋体" w:eastAsia="宋体" w:hint="default"/>
                <w:sz w:val="18"/>
                <w:szCs w:val="18"/>
              </w:rPr>
              <w:t>月内的最后一个交易日当日止</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65" w:right="0"/>
              <w:jc w:val="center"/>
              <w:rPr>
                <w:rFonts w:ascii="Times New Roman" w:hAnsi="Times New Roman" w:cs="Times New Roman" w:eastAsia="Times New Roman" w:hint="default"/>
                <w:sz w:val="18"/>
                <w:szCs w:val="18"/>
              </w:rPr>
            </w:pPr>
            <w:r>
              <w:rPr>
                <w:rFonts w:ascii="Times New Roman"/>
                <w:sz w:val="18"/>
              </w:rPr>
              <w:t>30%</w:t>
            </w:r>
          </w:p>
        </w:tc>
      </w:tr>
      <w:tr>
        <w:trPr>
          <w:trHeight w:val="660" w:hRule="exact"/>
        </w:trPr>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64" w:right="0"/>
              <w:jc w:val="center"/>
              <w:rPr>
                <w:rFonts w:ascii="宋体" w:hAnsi="宋体" w:cs="宋体" w:eastAsia="宋体" w:hint="default"/>
                <w:sz w:val="18"/>
                <w:szCs w:val="18"/>
              </w:rPr>
            </w:pPr>
            <w:r>
              <w:rPr>
                <w:rFonts w:ascii="宋体" w:hAnsi="宋体" w:cs="宋体" w:eastAsia="宋体" w:hint="default"/>
                <w:sz w:val="18"/>
                <w:szCs w:val="18"/>
              </w:rPr>
              <w:t>第三次解锁</w:t>
            </w:r>
          </w:p>
        </w:tc>
        <w:tc>
          <w:tcPr>
            <w:tcW w:w="432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0"/>
              <w:jc w:val="left"/>
              <w:rPr>
                <w:rFonts w:ascii="宋体" w:hAnsi="宋体" w:cs="宋体" w:eastAsia="宋体" w:hint="default"/>
                <w:sz w:val="18"/>
                <w:szCs w:val="18"/>
              </w:rPr>
            </w:pPr>
            <w:r>
              <w:rPr>
                <w:rFonts w:ascii="宋体" w:hAnsi="宋体" w:cs="宋体" w:eastAsia="宋体" w:hint="default"/>
                <w:spacing w:val="6"/>
                <w:sz w:val="18"/>
                <w:szCs w:val="18"/>
              </w:rPr>
              <w:t>自授予日起</w:t>
            </w:r>
            <w:r>
              <w:rPr>
                <w:rFonts w:ascii="Times New Roman" w:hAnsi="Times New Roman" w:cs="Times New Roman" w:eastAsia="Times New Roman" w:hint="default"/>
                <w:spacing w:val="6"/>
                <w:sz w:val="18"/>
                <w:szCs w:val="18"/>
              </w:rPr>
              <w:t>36</w:t>
            </w:r>
            <w:r>
              <w:rPr>
                <w:rFonts w:ascii="宋体" w:hAnsi="宋体" w:cs="宋体" w:eastAsia="宋体" w:hint="default"/>
                <w:spacing w:val="6"/>
                <w:sz w:val="18"/>
                <w:szCs w:val="18"/>
              </w:rPr>
              <w:t>个月后的首个交易日起至授予日起</w:t>
            </w:r>
            <w:r>
              <w:rPr>
                <w:rFonts w:ascii="Times New Roman" w:hAnsi="Times New Roman" w:cs="Times New Roman" w:eastAsia="Times New Roman" w:hint="default"/>
                <w:spacing w:val="6"/>
                <w:sz w:val="18"/>
                <w:szCs w:val="18"/>
              </w:rPr>
              <w:t>48</w:t>
            </w:r>
            <w:r>
              <w:rPr>
                <w:rFonts w:ascii="宋体" w:hAnsi="宋体" w:cs="宋体" w:eastAsia="宋体" w:hint="default"/>
                <w:spacing w:val="6"/>
                <w:sz w:val="18"/>
                <w:szCs w:val="18"/>
              </w:rPr>
              <w:t>个</w:t>
            </w:r>
            <w:r>
              <w:rPr>
                <w:rFonts w:ascii="宋体" w:hAnsi="宋体" w:cs="宋体" w:eastAsia="宋体" w:hint="default"/>
                <w:spacing w:val="-83"/>
                <w:sz w:val="18"/>
                <w:szCs w:val="18"/>
              </w:rPr>
              <w:t> </w:t>
            </w:r>
            <w:r>
              <w:rPr>
                <w:rFonts w:ascii="宋体" w:hAnsi="宋体" w:cs="宋体" w:eastAsia="宋体" w:hint="default"/>
                <w:sz w:val="18"/>
                <w:szCs w:val="18"/>
              </w:rPr>
              <w:t>月内的最后一个交易日当日止</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64" w:right="0"/>
              <w:jc w:val="center"/>
              <w:rPr>
                <w:rFonts w:ascii="Times New Roman" w:hAnsi="Times New Roman" w:cs="Times New Roman" w:eastAsia="Times New Roman" w:hint="default"/>
                <w:sz w:val="18"/>
                <w:szCs w:val="18"/>
              </w:rPr>
            </w:pPr>
            <w:r>
              <w:rPr>
                <w:rFonts w:ascii="Times New Roman"/>
                <w:sz w:val="18"/>
              </w:rPr>
              <w:t>40%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35"/>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2"/>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按照修正的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期权定价模型计算确定</w:t>
            </w:r>
          </w:p>
        </w:tc>
      </w:tr>
      <w:tr>
        <w:trPr>
          <w:trHeight w:val="71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2"/>
              <w:jc w:val="left"/>
              <w:rPr>
                <w:rFonts w:ascii="宋体" w:hAnsi="宋体" w:cs="宋体" w:eastAsia="宋体" w:hint="default"/>
                <w:sz w:val="18"/>
                <w:szCs w:val="18"/>
              </w:rPr>
            </w:pPr>
            <w:r>
              <w:rPr>
                <w:rFonts w:ascii="宋体" w:hAnsi="宋体" w:cs="宋体" w:eastAsia="宋体" w:hint="default"/>
                <w:sz w:val="18"/>
                <w:szCs w:val="18"/>
              </w:rPr>
              <w:t>公司根据在职激励对象对应的权益工具、</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年度公司， 业绩以及对未来年度公司业绩的预测进行确定</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47,541,663.03</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4,086,859.24</w:t>
            </w:r>
          </w:p>
        </w:tc>
      </w:tr>
    </w:tbl>
    <w:p>
      <w:pPr>
        <w:pStyle w:val="BodyText"/>
        <w:spacing w:line="240" w:lineRule="auto" w:before="49"/>
        <w:ind w:right="135"/>
        <w:jc w:val="left"/>
      </w:pPr>
      <w:r>
        <w:rPr/>
        <w:t>其他说明</w:t>
      </w:r>
    </w:p>
    <w:p>
      <w:pPr>
        <w:pStyle w:val="BodyText"/>
        <w:spacing w:line="240" w:lineRule="auto" w:before="115"/>
        <w:ind w:right="0"/>
        <w:jc w:val="left"/>
      </w:pPr>
      <w:r>
        <w:rPr/>
        <w:t>①资本公积中以权益结算的股份支付金额为</w:t>
      </w:r>
      <w:r>
        <w:rPr>
          <w:rFonts w:ascii="Times New Roman" w:hAnsi="Times New Roman" w:cs="Times New Roman" w:eastAsia="Times New Roman" w:hint="default"/>
        </w:rPr>
        <w:t>2014</w:t>
      </w:r>
      <w:r>
        <w:rPr/>
        <w:t>年度</w:t>
      </w:r>
      <w:r>
        <w:rPr>
          <w:rFonts w:ascii="Times New Roman" w:hAnsi="Times New Roman" w:cs="Times New Roman" w:eastAsia="Times New Roman" w:hint="default"/>
        </w:rPr>
        <w:t>5,522,005.67</w:t>
      </w:r>
      <w:r>
        <w:rPr/>
        <w:t>元，</w:t>
      </w:r>
      <w:r>
        <w:rPr>
          <w:rFonts w:ascii="Times New Roman" w:hAnsi="Times New Roman" w:cs="Times New Roman" w:eastAsia="Times New Roman" w:hint="default"/>
        </w:rPr>
        <w:t>2015</w:t>
      </w:r>
      <w:r>
        <w:rPr/>
        <w:t>年度</w:t>
      </w:r>
      <w:r>
        <w:rPr>
          <w:rFonts w:ascii="Times New Roman" w:hAnsi="Times New Roman" w:cs="Times New Roman" w:eastAsia="Times New Roman" w:hint="default"/>
        </w:rPr>
        <w:t>25,558,997.67</w:t>
      </w:r>
      <w:r>
        <w:rPr/>
        <w:t>元，</w:t>
      </w:r>
      <w:r>
        <w:rPr>
          <w:rFonts w:ascii="Times New Roman" w:hAnsi="Times New Roman" w:cs="Times New Roman" w:eastAsia="Times New Roman" w:hint="default"/>
        </w:rPr>
        <w:t>2016</w:t>
      </w:r>
      <w:r>
        <w:rPr/>
        <w:t>年度</w:t>
      </w:r>
      <w:r>
        <w:rPr>
          <w:rFonts w:ascii="Times New Roman" w:hAnsi="Times New Roman" w:cs="Times New Roman" w:eastAsia="Times New Roman" w:hint="default"/>
        </w:rPr>
        <w:t>12,373,800.45</w:t>
      </w:r>
      <w:r>
        <w:rPr/>
        <w:t>元，</w:t>
      </w:r>
    </w:p>
    <w:p>
      <w:pPr>
        <w:pStyle w:val="BodyText"/>
        <w:spacing w:line="240" w:lineRule="auto" w:before="63"/>
        <w:ind w:right="135"/>
        <w:jc w:val="left"/>
      </w:pP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4,086,859.24</w:t>
      </w:r>
      <w:r>
        <w:rPr/>
        <w:t>元，合计</w:t>
      </w:r>
      <w:r>
        <w:rPr>
          <w:rFonts w:ascii="Times New Roman" w:hAnsi="Times New Roman" w:cs="Times New Roman" w:eastAsia="Times New Roman" w:hint="default"/>
        </w:rPr>
        <w:t>47,541,663.03</w:t>
      </w:r>
      <w:r>
        <w:rPr/>
        <w:t>元。</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00" w:lineRule="auto" w:before="44"/>
        <w:ind w:right="149"/>
        <w:jc w:val="both"/>
      </w:pPr>
      <w:r>
        <w:rPr>
          <w:spacing w:val="-2"/>
        </w:rPr>
        <w:t>②以股份支付服务情况：本公司采用</w:t>
      </w:r>
      <w:r>
        <w:rPr>
          <w:rFonts w:ascii="Times New Roman" w:hAnsi="Times New Roman" w:cs="Times New Roman" w:eastAsia="Times New Roman" w:hint="default"/>
          <w:spacing w:val="-2"/>
        </w:rPr>
        <w:t>B-S</w:t>
      </w:r>
      <w:r>
        <w:rPr>
          <w:rFonts w:ascii="Times New Roman" w:hAnsi="Times New Roman" w:cs="Times New Roman" w:eastAsia="Times New Roman" w:hint="default"/>
          <w:spacing w:val="14"/>
        </w:rPr>
        <w:t> </w:t>
      </w:r>
      <w:r>
        <w:rPr>
          <w:spacing w:val="-2"/>
        </w:rPr>
        <w:t>模型确定该股票限制性股票的公允价值，估值方法选取的参数为：ⅰ限制性股票授</w:t>
      </w:r>
      <w:r>
        <w:rPr>
          <w:spacing w:val="-86"/>
        </w:rPr>
        <w:t> </w:t>
      </w:r>
      <w:r>
        <w:rPr>
          <w:spacing w:val="-86"/>
        </w:rPr>
      </w:r>
      <w:r>
        <w:rPr>
          <w:spacing w:val="-2"/>
        </w:rPr>
        <w:t>予价格为</w:t>
      </w:r>
      <w:r>
        <w:rPr>
          <w:rFonts w:ascii="Times New Roman" w:hAnsi="Times New Roman" w:cs="Times New Roman" w:eastAsia="Times New Roman" w:hint="default"/>
          <w:spacing w:val="-2"/>
        </w:rPr>
        <w:t>4.20</w:t>
      </w:r>
      <w:r>
        <w:rPr>
          <w:spacing w:val="-2"/>
        </w:rPr>
        <w:t>元；ⅱ限制性股票的剩余年限为</w:t>
      </w:r>
      <w:r>
        <w:rPr>
          <w:rFonts w:ascii="Times New Roman" w:hAnsi="Times New Roman" w:cs="Times New Roman" w:eastAsia="Times New Roman" w:hint="default"/>
          <w:spacing w:val="-2"/>
        </w:rPr>
        <w:t>1</w:t>
      </w:r>
      <w:r>
        <w:rPr>
          <w:spacing w:val="-2"/>
        </w:rPr>
        <w:t>年、</w:t>
      </w:r>
      <w:r>
        <w:rPr>
          <w:rFonts w:ascii="Times New Roman" w:hAnsi="Times New Roman" w:cs="Times New Roman" w:eastAsia="Times New Roman" w:hint="default"/>
          <w:spacing w:val="-2"/>
        </w:rPr>
        <w:t>2</w:t>
      </w:r>
      <w:r>
        <w:rPr>
          <w:spacing w:val="-2"/>
        </w:rPr>
        <w:t>年、</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39"/>
        </w:rPr>
        <w:t> </w:t>
      </w:r>
      <w:r>
        <w:rPr>
          <w:spacing w:val="-1"/>
        </w:rPr>
        <w:t>年；ⅲ标的股份在授予日的价格为</w:t>
      </w:r>
      <w:r>
        <w:rPr>
          <w:rFonts w:ascii="Times New Roman" w:hAnsi="Times New Roman" w:cs="Times New Roman" w:eastAsia="Times New Roman" w:hint="default"/>
          <w:spacing w:val="-1"/>
        </w:rPr>
        <w:t>11.83</w:t>
      </w:r>
      <w:r>
        <w:rPr>
          <w:spacing w:val="-1"/>
        </w:rPr>
        <w:t>元；ⅳ股价预计年化波动</w:t>
      </w:r>
      <w:r>
        <w:rPr>
          <w:spacing w:val="-86"/>
        </w:rPr>
        <w:t> </w:t>
      </w:r>
      <w:r>
        <w:rPr>
          <w:spacing w:val="-86"/>
        </w:rPr>
      </w:r>
      <w:r>
        <w:rPr/>
        <w:t>率为</w:t>
      </w:r>
      <w:r>
        <w:rPr>
          <w:rFonts w:ascii="Times New Roman" w:hAnsi="Times New Roman" w:cs="Times New Roman" w:eastAsia="Times New Roman" w:hint="default"/>
        </w:rPr>
        <w:t>47.06%</w:t>
      </w:r>
      <w:r>
        <w:rPr/>
        <w:t>、</w:t>
      </w:r>
      <w:r>
        <w:rPr>
          <w:rFonts w:ascii="Times New Roman" w:hAnsi="Times New Roman" w:cs="Times New Roman" w:eastAsia="Times New Roman" w:hint="default"/>
        </w:rPr>
        <w:t>43.65%</w:t>
      </w:r>
      <w:r>
        <w:rPr/>
        <w:t>、</w:t>
      </w:r>
      <w:r>
        <w:rPr>
          <w:rFonts w:ascii="Times New Roman" w:hAnsi="Times New Roman" w:cs="Times New Roman" w:eastAsia="Times New Roman" w:hint="default"/>
        </w:rPr>
        <w:t>42.54%</w:t>
      </w:r>
      <w:r>
        <w:rPr/>
        <w:t>；ⅴ限制性股票有效期内的无风险利率为</w:t>
      </w:r>
      <w:r>
        <w:rPr>
          <w:rFonts w:ascii="Times New Roman" w:hAnsi="Times New Roman" w:cs="Times New Roman" w:eastAsia="Times New Roman" w:hint="default"/>
        </w:rPr>
        <w:t>3%</w:t>
      </w:r>
      <w:r>
        <w:rPr/>
        <w:t>、</w:t>
      </w:r>
      <w:r>
        <w:rPr>
          <w:rFonts w:ascii="Times New Roman" w:hAnsi="Times New Roman" w:cs="Times New Roman" w:eastAsia="Times New Roman" w:hint="default"/>
        </w:rPr>
        <w:t>3.75%</w:t>
      </w:r>
      <w:r>
        <w:rPr/>
        <w:t>、</w:t>
      </w:r>
      <w:r>
        <w:rPr>
          <w:rFonts w:ascii="Times New Roman" w:hAnsi="Times New Roman" w:cs="Times New Roman" w:eastAsia="Times New Roman" w:hint="default"/>
        </w:rPr>
        <w:t>4.25%</w:t>
      </w:r>
      <w:r>
        <w:rPr/>
        <w:t>；ⅵ股息率</w:t>
      </w:r>
      <w:r>
        <w:rPr>
          <w:rFonts w:ascii="Times New Roman" w:hAnsi="Times New Roman" w:cs="Times New Roman" w:eastAsia="Times New Roman" w:hint="default"/>
        </w:rPr>
        <w:t>1.68%</w:t>
      </w:r>
      <w:r>
        <w:rPr/>
        <w:t>。</w:t>
      </w:r>
    </w:p>
    <w:p>
      <w:pPr>
        <w:pStyle w:val="BodyText"/>
        <w:spacing w:line="240" w:lineRule="auto" w:before="13"/>
        <w:ind w:right="0"/>
        <w:jc w:val="both"/>
        <w:rPr>
          <w:rFonts w:ascii="Times New Roman" w:hAnsi="Times New Roman" w:cs="Times New Roman" w:eastAsia="Times New Roman" w:hint="default"/>
        </w:rPr>
      </w:pPr>
      <w:r>
        <w:rPr/>
        <w:t>③以上述模型计算的</w:t>
      </w:r>
      <w:r>
        <w:rPr>
          <w:rFonts w:ascii="Times New Roman" w:hAnsi="Times New Roman" w:cs="Times New Roman" w:eastAsia="Times New Roman" w:hint="default"/>
        </w:rPr>
        <w:t>2017</w:t>
      </w:r>
      <w:r>
        <w:rPr/>
        <w:t>年以股份支付换取的职工服务总额如下</w:t>
      </w:r>
      <w:r>
        <w:rPr>
          <w:rFonts w:ascii="Times New Roman" w:hAnsi="Times New Roman" w:cs="Times New Roman" w:eastAsia="Times New Roman" w:hint="default"/>
        </w:rPr>
        <w:t>:</w:t>
      </w:r>
    </w:p>
    <w:p>
      <w:pPr>
        <w:spacing w:line="240" w:lineRule="auto" w:before="9"/>
        <w:rPr>
          <w:rFonts w:ascii="Times New Roman" w:hAnsi="Times New Roman" w:cs="Times New Roman" w:eastAsia="Times New Roman"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4628"/>
        <w:gridCol w:w="4628"/>
      </w:tblGrid>
      <w:tr>
        <w:trPr>
          <w:trHeight w:val="348" w:hRule="exact"/>
        </w:trPr>
        <w:tc>
          <w:tcPr>
            <w:tcW w:w="4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7" w:right="0"/>
              <w:jc w:val="left"/>
              <w:rPr>
                <w:rFonts w:ascii="宋体" w:hAnsi="宋体" w:cs="宋体" w:eastAsia="宋体" w:hint="default"/>
                <w:sz w:val="18"/>
                <w:szCs w:val="18"/>
              </w:rPr>
            </w:pPr>
            <w:r>
              <w:rPr>
                <w:rFonts w:ascii="宋体" w:hAnsi="宋体" w:cs="宋体" w:eastAsia="宋体" w:hint="default"/>
                <w:sz w:val="18"/>
                <w:szCs w:val="18"/>
              </w:rPr>
              <w:t>以股份支付换取的职工服务总额</w:t>
            </w:r>
          </w:p>
        </w:tc>
        <w:tc>
          <w:tcPr>
            <w:tcW w:w="4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408.69</w:t>
            </w:r>
            <w:r>
              <w:rPr>
                <w:rFonts w:ascii="宋体" w:hAnsi="宋体" w:cs="宋体" w:eastAsia="宋体" w:hint="default"/>
                <w:sz w:val="18"/>
                <w:szCs w:val="18"/>
              </w:rPr>
              <w:t>万元</w:t>
            </w:r>
          </w:p>
        </w:tc>
      </w:tr>
      <w:tr>
        <w:trPr>
          <w:trHeight w:val="346" w:hRule="exact"/>
        </w:trPr>
        <w:tc>
          <w:tcPr>
            <w:tcW w:w="4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7" w:right="0"/>
              <w:jc w:val="left"/>
              <w:rPr>
                <w:rFonts w:ascii="宋体" w:hAnsi="宋体" w:cs="宋体" w:eastAsia="宋体" w:hint="default"/>
                <w:sz w:val="18"/>
                <w:szCs w:val="18"/>
              </w:rPr>
            </w:pPr>
            <w:r>
              <w:rPr>
                <w:rFonts w:ascii="宋体" w:hAnsi="宋体" w:cs="宋体" w:eastAsia="宋体" w:hint="default"/>
                <w:sz w:val="18"/>
                <w:szCs w:val="18"/>
              </w:rPr>
              <w:t>以股份支付换取的其他服务总额</w:t>
            </w:r>
          </w:p>
        </w:tc>
        <w:tc>
          <w:tcPr>
            <w:tcW w:w="462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8"/>
          <w:szCs w:val="28"/>
        </w:rPr>
      </w:pPr>
    </w:p>
    <w:p>
      <w:pPr>
        <w:pStyle w:val="Heading3"/>
        <w:spacing w:line="240" w:lineRule="auto" w:before="36"/>
        <w:ind w:right="135"/>
        <w:jc w:val="left"/>
        <w:rPr>
          <w:b w:val="0"/>
          <w:bCs w:val="0"/>
        </w:rPr>
      </w:pPr>
      <w:r>
        <w:rPr>
          <w:rFonts w:ascii="Times New Roman" w:hAnsi="Times New Roman" w:cs="Times New Roman" w:eastAsia="Times New Roman" w:hint="default"/>
        </w:rPr>
        <w:t>3</w:t>
      </w:r>
      <w:r>
        <w:rPr/>
        <w:t>、股份支付的修改、终止情况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35"/>
        <w:jc w:val="left"/>
      </w:pPr>
      <w:r>
        <w:rPr/>
        <w:t>公司被证监会立案调查尚未正式结案，因此股份支付予以延期，具体解锁情况需等正式结案后确定。</w:t>
      </w:r>
    </w:p>
    <w:p>
      <w:pPr>
        <w:spacing w:line="240" w:lineRule="auto" w:before="0"/>
        <w:rPr>
          <w:rFonts w:ascii="宋体" w:hAnsi="宋体" w:cs="宋体" w:eastAsia="宋体" w:hint="default"/>
          <w:sz w:val="18"/>
          <w:szCs w:val="18"/>
        </w:rPr>
      </w:pPr>
    </w:p>
    <w:p>
      <w:pPr>
        <w:spacing w:line="487" w:lineRule="auto" w:before="121"/>
        <w:ind w:left="152" w:right="736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十二、承诺及或有事项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57" w:lineRule="auto" w:before="105"/>
        <w:ind w:right="7434"/>
        <w:jc w:val="left"/>
      </w:pPr>
      <w:r>
        <w:rPr/>
        <w:t>资产负债表日存在的重要承诺 无</w:t>
      </w:r>
    </w:p>
    <w:p>
      <w:pPr>
        <w:spacing w:line="240" w:lineRule="auto" w:before="6"/>
        <w:rPr>
          <w:rFonts w:ascii="宋体" w:hAnsi="宋体" w:cs="宋体" w:eastAsia="宋体" w:hint="default"/>
          <w:sz w:val="20"/>
          <w:szCs w:val="20"/>
        </w:rPr>
      </w:pPr>
    </w:p>
    <w:p>
      <w:pPr>
        <w:pStyle w:val="Heading3"/>
        <w:spacing w:line="240" w:lineRule="auto"/>
        <w:ind w:right="135"/>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35"/>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35"/>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35"/>
        <w:jc w:val="left"/>
      </w:pPr>
      <w:r>
        <w:rPr/>
        <w:t>公司不存在需要披露的重要或有事项。</w:t>
      </w:r>
    </w:p>
    <w:p>
      <w:pPr>
        <w:spacing w:line="240" w:lineRule="auto" w:before="0"/>
        <w:rPr>
          <w:rFonts w:ascii="宋体" w:hAnsi="宋体" w:cs="宋体" w:eastAsia="宋体" w:hint="default"/>
          <w:sz w:val="18"/>
          <w:szCs w:val="18"/>
        </w:rPr>
      </w:pPr>
    </w:p>
    <w:p>
      <w:pPr>
        <w:spacing w:line="487" w:lineRule="auto" w:before="120"/>
        <w:ind w:left="152" w:right="68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2"/>
        <w:ind w:right="135"/>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35"/>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35"/>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35"/>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35"/>
        <w:jc w:val="left"/>
      </w:pPr>
      <w:r>
        <w:rPr/>
        <w:t>无</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35"/>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35"/>
        <w:jc w:val="left"/>
      </w:pPr>
      <w:r>
        <w:rPr/>
        <w:t>无</w:t>
      </w:r>
    </w:p>
    <w:p>
      <w:pPr>
        <w:spacing w:line="240" w:lineRule="auto" w:before="1"/>
        <w:rPr>
          <w:rFonts w:ascii="宋体" w:hAnsi="宋体" w:cs="宋体" w:eastAsia="宋体" w:hint="default"/>
          <w:sz w:val="25"/>
          <w:szCs w:val="25"/>
        </w:rPr>
      </w:pPr>
    </w:p>
    <w:p>
      <w:pPr>
        <w:spacing w:line="506" w:lineRule="auto" w:before="0"/>
        <w:ind w:left="152" w:right="7612" w:firstLine="0"/>
        <w:jc w:val="left"/>
        <w:rPr>
          <w:rFonts w:ascii="宋体" w:hAnsi="宋体" w:cs="宋体" w:eastAsia="宋体" w:hint="default"/>
          <w:sz w:val="18"/>
          <w:szCs w:val="18"/>
        </w:rPr>
      </w:pPr>
      <w:r>
        <w:rPr>
          <w:rFonts w:ascii="宋体" w:hAnsi="宋体" w:cs="宋体" w:eastAsia="宋体" w:hint="default"/>
          <w:b/>
          <w:bCs/>
          <w:sz w:val="24"/>
          <w:szCs w:val="24"/>
        </w:rPr>
        <w:t>十四、其他重要事项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b/>
          <w:bCs/>
          <w:w w:val="100"/>
          <w:sz w:val="21"/>
          <w:szCs w:val="21"/>
        </w:rPr>
        <w:t> </w:t>
      </w:r>
      <w:r>
        <w:rPr>
          <w:rFonts w:ascii="宋体" w:hAnsi="宋体" w:cs="宋体" w:eastAsia="宋体" w:hint="default"/>
          <w:sz w:val="18"/>
          <w:szCs w:val="18"/>
        </w:rPr>
        <w:t>无</w:t>
      </w:r>
    </w:p>
    <w:p>
      <w:pPr>
        <w:pStyle w:val="Heading3"/>
        <w:spacing w:line="240" w:lineRule="auto" w:before="153"/>
        <w:ind w:right="135"/>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35"/>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35"/>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35"/>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35"/>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35"/>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35"/>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35"/>
        <w:jc w:val="left"/>
      </w:pPr>
      <w:r>
        <w:rPr/>
        <w:t>无</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35"/>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35"/>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35"/>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35"/>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35"/>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35"/>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52" w:right="59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4"/>
        <w:ind w:right="135"/>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9"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73,939,5</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14.90%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739,395.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73,200,10</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5.00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487,385</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,453.91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52.71%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4,873,854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482,511,59</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9.37</w:t>
            </w:r>
          </w:p>
        </w:tc>
      </w:tr>
      <w:tr>
        <w:trPr>
          <w:trHeight w:val="1028"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420,800,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967.94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84.77%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91,192,6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55.84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21.67%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329,608,3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12.10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424,601</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,686.73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45.92%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47,815,17</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0.76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11.26%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376,786,51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5.97</w:t>
            </w: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1,658,19</w:t>
            </w:r>
          </w:p>
          <w:p>
            <w:pPr>
              <w:pStyle w:val="TableParagraph"/>
              <w:spacing w:line="240" w:lineRule="auto" w:before="102"/>
              <w:ind w:left="422" w:right="0"/>
              <w:jc w:val="left"/>
              <w:rPr>
                <w:rFonts w:ascii="Times New Roman" w:hAnsi="Times New Roman" w:cs="Times New Roman" w:eastAsia="Times New Roman" w:hint="default"/>
                <w:sz w:val="18"/>
                <w:szCs w:val="18"/>
              </w:rPr>
            </w:pPr>
            <w:r>
              <w:rPr>
                <w:rFonts w:ascii="Times New Roman"/>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1,658,19</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12,638,</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190.00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1,767,990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13.99%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10,870,200.</w:t>
            </w:r>
            <w:r>
              <w:rPr>
                <w:rFonts w:ascii="Times New Roman"/>
                <w:sz w:val="18"/>
              </w:rPr>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496,398,</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657.94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93,590,2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40.84</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18.85%</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402,808,4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17.10</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924,625</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,330.64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54,457,01</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5.30</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5.89%</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870,168,31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5.34</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04"/>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6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71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56"/>
              <w:jc w:val="left"/>
              <w:rPr>
                <w:rFonts w:ascii="Times New Roman" w:hAnsi="Times New Roman" w:cs="Times New Roman" w:eastAsia="Times New Roman" w:hint="default"/>
                <w:sz w:val="18"/>
                <w:szCs w:val="18"/>
              </w:rPr>
            </w:pPr>
            <w:r>
              <w:rPr>
                <w:rFonts w:ascii="Times New Roman"/>
                <w:sz w:val="18"/>
              </w:rPr>
              <w:t>PT.Pembangkit</w:t>
            </w:r>
            <w:r>
              <w:rPr>
                <w:rFonts w:ascii="Times New Roman"/>
                <w:spacing w:val="-18"/>
                <w:sz w:val="18"/>
              </w:rPr>
              <w:t> </w:t>
            </w:r>
            <w:r>
              <w:rPr>
                <w:rFonts w:ascii="Times New Roman"/>
                <w:sz w:val="18"/>
              </w:rPr>
              <w:t>Sumber</w:t>
            </w:r>
            <w:r>
              <w:rPr>
                <w:rFonts w:ascii="Times New Roman"/>
                <w:sz w:val="18"/>
              </w:rPr>
              <w:t> Daya</w:t>
            </w:r>
            <w:r>
              <w:rPr>
                <w:rFonts w:ascii="Times New Roman"/>
                <w:spacing w:val="-2"/>
                <w:sz w:val="18"/>
              </w:rPr>
              <w:t> </w:t>
            </w:r>
            <w:r>
              <w:rPr>
                <w:rFonts w:ascii="Times New Roman"/>
                <w:sz w:val="18"/>
              </w:rPr>
              <w:t>Indonesia</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56,859,500.00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568,595.00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尚未完工</w:t>
            </w:r>
          </w:p>
        </w:tc>
      </w:tr>
      <w:tr>
        <w:trPr>
          <w:trHeight w:val="715"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524"/>
              <w:jc w:val="left"/>
              <w:rPr>
                <w:rFonts w:ascii="Times New Roman" w:hAnsi="Times New Roman" w:cs="Times New Roman" w:eastAsia="Times New Roman" w:hint="default"/>
                <w:sz w:val="18"/>
                <w:szCs w:val="18"/>
              </w:rPr>
            </w:pPr>
            <w:r>
              <w:rPr>
                <w:rFonts w:ascii="Times New Roman"/>
                <w:sz w:val="18"/>
              </w:rPr>
              <w:t>PT.Artabumi</w:t>
            </w:r>
            <w:r>
              <w:rPr>
                <w:rFonts w:ascii="Times New Roman"/>
                <w:spacing w:val="-16"/>
                <w:sz w:val="18"/>
              </w:rPr>
              <w:t> </w:t>
            </w:r>
            <w:r>
              <w:rPr>
                <w:rFonts w:ascii="Times New Roman"/>
                <w:sz w:val="18"/>
              </w:rPr>
              <w:t>Sentra</w:t>
            </w:r>
            <w:r>
              <w:rPr>
                <w:rFonts w:ascii="Times New Roman"/>
                <w:sz w:val="18"/>
              </w:rPr>
              <w:t> Industri</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17,080,000.00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170,800.00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尚未完工</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73,939,500.00</w:t>
            </w:r>
          </w:p>
        </w:tc>
        <w:tc>
          <w:tcPr>
            <w:tcW w:w="191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739,395.00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pStyle w:val="BodyText"/>
        <w:spacing w:line="240" w:lineRule="auto" w:before="49"/>
        <w:ind w:right="-20"/>
        <w:jc w:val="left"/>
      </w:pPr>
      <w:r>
        <w:rPr/>
        <w:t>组合中，按账龄分析法计提坏账准备的应收账款：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113" w:space="4716"/>
            <w:col w:w="112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3"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5,237,599.91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261,880.00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5,237,599.91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261,880.00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18,524,518.71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1,852,451.87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368,678,279.94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73,735,655.99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28,360,569.38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15,342,667.98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54.10%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23,115,768.30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11,557,884.15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2,920,034.51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1,460,017.26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2,324,766.57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2,324,766.57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420,800,967.94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91,192,655.84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21.67%</w:t>
            </w:r>
          </w:p>
        </w:tc>
      </w:tr>
    </w:tbl>
    <w:p>
      <w:pPr>
        <w:pStyle w:val="BodyText"/>
        <w:spacing w:line="360" w:lineRule="auto" w:before="49"/>
        <w:ind w:right="4194"/>
        <w:jc w:val="left"/>
      </w:pPr>
      <w:r>
        <w:rPr/>
        <w:t>确定该组合依据的说明： 单项金额不重大但按信用风险特征组合后该组合的风险较大的应收账款</w:t>
      </w:r>
    </w:p>
    <w:p>
      <w:pPr>
        <w:pStyle w:val="BodyText"/>
        <w:spacing w:line="236" w:lineRule="exact"/>
        <w:ind w:right="0"/>
        <w:jc w:val="left"/>
      </w:pPr>
      <w:r>
        <w:rPr/>
        <w:t>①</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9</w:t>
      </w:r>
      <w:r>
        <w:rPr/>
        <w:t>年</w:t>
      </w:r>
      <w:r>
        <w:rPr>
          <w:rFonts w:ascii="Times New Roman" w:hAnsi="Times New Roman" w:cs="Times New Roman" w:eastAsia="Times New Roman" w:hint="default"/>
          <w:spacing w:val="1"/>
        </w:rPr>
        <w:t>5</w:t>
      </w:r>
      <w:r>
        <w:rPr/>
        <w:t>月销售给青岛青波</w:t>
      </w:r>
      <w:r>
        <w:rPr>
          <w:spacing w:val="-3"/>
        </w:rPr>
        <w:t>变</w:t>
      </w:r>
      <w:r>
        <w:rPr/>
        <w:t>压器股份有限公司产品货款</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
        </w:rPr>
        <w:t>0</w:t>
      </w:r>
      <w:r>
        <w:rPr/>
        <w:t>万元</w:t>
      </w:r>
      <w:r>
        <w:rPr>
          <w:spacing w:val="-82"/>
        </w:rPr>
        <w:t>，</w:t>
      </w:r>
      <w:r>
        <w:rPr/>
        <w:t>因对方对欠款余额不确认</w:t>
      </w:r>
      <w:r>
        <w:rPr>
          <w:spacing w:val="-82"/>
        </w:rPr>
        <w:t>，</w:t>
      </w:r>
      <w:r>
        <w:rPr/>
        <w:t>造成款项无法收回的风险</w:t>
      </w:r>
      <w:r>
        <w:rPr>
          <w:spacing w:val="-9"/>
        </w:rPr>
        <w:t>，</w:t>
      </w:r>
      <w:r>
        <w:rPr/>
        <w:t>故</w:t>
      </w:r>
    </w:p>
    <w:p>
      <w:pPr>
        <w:pStyle w:val="BodyText"/>
        <w:spacing w:line="240" w:lineRule="auto" w:before="63"/>
        <w:ind w:right="135"/>
        <w:jc w:val="left"/>
      </w:pPr>
      <w:r>
        <w:rPr/>
        <w:t>公司在</w:t>
      </w:r>
      <w:r>
        <w:rPr>
          <w:rFonts w:ascii="Times New Roman" w:hAnsi="Times New Roman" w:cs="Times New Roman" w:eastAsia="Times New Roman" w:hint="default"/>
        </w:rPr>
        <w:t>2010</w:t>
      </w:r>
      <w:r>
        <w:rPr/>
        <w:t>年全额计提坏账准备。</w:t>
      </w:r>
    </w:p>
    <w:p>
      <w:pPr>
        <w:pStyle w:val="BodyText"/>
        <w:spacing w:line="300" w:lineRule="auto" w:before="63"/>
        <w:ind w:right="144"/>
        <w:jc w:val="left"/>
      </w:pPr>
      <w:r>
        <w:rPr/>
        <w:t>②应收沁阳沁澳铝业有限公司货款</w:t>
      </w:r>
      <w:r>
        <w:rPr>
          <w:rFonts w:ascii="Times New Roman" w:hAnsi="Times New Roman" w:cs="Times New Roman" w:eastAsia="Times New Roman" w:hint="default"/>
        </w:rPr>
        <w:t>184</w:t>
      </w:r>
      <w:r>
        <w:rPr/>
        <w:t>万元，</w:t>
      </w:r>
      <w:r>
        <w:rPr>
          <w:rFonts w:ascii="Times New Roman" w:hAnsi="Times New Roman" w:cs="Times New Roman" w:eastAsia="Times New Roman" w:hint="default"/>
        </w:rPr>
        <w:t>2010</w:t>
      </w:r>
      <w:r>
        <w:rPr/>
        <w:t>年已收回</w:t>
      </w:r>
      <w:r>
        <w:rPr>
          <w:rFonts w:ascii="Times New Roman" w:hAnsi="Times New Roman" w:cs="Times New Roman" w:eastAsia="Times New Roman" w:hint="default"/>
        </w:rPr>
        <w:t>981,810.00</w:t>
      </w:r>
      <w:r>
        <w:rPr/>
        <w:t>元，余额</w:t>
      </w:r>
      <w:r>
        <w:rPr>
          <w:rFonts w:ascii="Times New Roman" w:hAnsi="Times New Roman" w:cs="Times New Roman" w:eastAsia="Times New Roman" w:hint="default"/>
        </w:rPr>
        <w:t>858,190.00</w:t>
      </w:r>
      <w:r>
        <w:rPr/>
        <w:t>元在</w:t>
      </w:r>
      <w:r>
        <w:rPr>
          <w:rFonts w:ascii="Times New Roman" w:hAnsi="Times New Roman" w:cs="Times New Roman" w:eastAsia="Times New Roman" w:hint="default"/>
        </w:rPr>
        <w:t>2010</w:t>
      </w:r>
      <w:r>
        <w:rPr/>
        <w:t>年末重新划分为单项金额 不重大但按信用风险特征组合后该组合的风险较大的应收账款种类，已全额计提了坏账准备。</w:t>
      </w:r>
    </w:p>
    <w:p>
      <w:pPr>
        <w:pStyle w:val="BodyText"/>
        <w:spacing w:line="240" w:lineRule="auto" w:before="72"/>
        <w:ind w:right="135"/>
        <w:jc w:val="left"/>
      </w:pPr>
      <w:r>
        <w:rPr/>
        <w:t>组合中，采用余额百分比法计提坏账准备的应收账款：</w:t>
      </w:r>
    </w:p>
    <w:p>
      <w:pPr>
        <w:pStyle w:val="BodyText"/>
        <w:spacing w:line="348"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 无</w:t>
      </w:r>
    </w:p>
    <w:p>
      <w:pPr>
        <w:spacing w:line="240" w:lineRule="auto" w:before="0"/>
        <w:rPr>
          <w:rFonts w:ascii="宋体" w:hAnsi="宋体" w:cs="宋体" w:eastAsia="宋体" w:hint="default"/>
          <w:sz w:val="21"/>
          <w:szCs w:val="21"/>
        </w:rPr>
      </w:pPr>
    </w:p>
    <w:p>
      <w:pPr>
        <w:pStyle w:val="Heading3"/>
        <w:spacing w:line="240" w:lineRule="auto"/>
        <w:ind w:right="135"/>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35"/>
        <w:jc w:val="left"/>
      </w:pPr>
      <w:r>
        <w:rPr/>
        <w:t>本期计提坏账准备金额</w:t>
      </w:r>
      <w:r>
        <w:rPr>
          <w:spacing w:val="-48"/>
        </w:rPr>
        <w:t> </w:t>
      </w:r>
      <w:r>
        <w:rPr>
          <w:rFonts w:ascii="Times New Roman" w:hAnsi="Times New Roman" w:cs="Times New Roman" w:eastAsia="Times New Roman" w:hint="default"/>
        </w:rPr>
        <w:t>45,678,219.31</w:t>
      </w:r>
      <w:r>
        <w:rPr>
          <w:rFonts w:ascii="Times New Roman" w:hAnsi="Times New Roman" w:cs="Times New Roman" w:eastAsia="Times New Roman" w:hint="default"/>
          <w:spacing w:val="-1"/>
        </w:rPr>
        <w:t> </w:t>
      </w:r>
      <w:r>
        <w:rPr/>
        <w:t>元；本期收回或转回坏账准备金额</w:t>
      </w:r>
      <w:r>
        <w:rPr>
          <w:spacing w:val="-49"/>
        </w:rPr>
        <w:t> </w:t>
      </w:r>
      <w:r>
        <w:rPr>
          <w:rFonts w:ascii="Times New Roman" w:hAnsi="Times New Roman" w:cs="Times New Roman" w:eastAsia="Times New Roman" w:hint="default"/>
        </w:rPr>
        <w:t>6,544,993.77</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3"/>
        <w:spacing w:line="240" w:lineRule="auto"/>
        <w:ind w:right="135"/>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137"/>
        <w:jc w:val="left"/>
      </w:pPr>
      <w:r>
        <w:rPr/>
        <w:t>公司本报告期按欠款方归集的期末余额前五名应收账款汇总金额为</w:t>
      </w:r>
      <w:r>
        <w:rPr>
          <w:spacing w:val="-38"/>
        </w:rPr>
        <w:t> </w:t>
      </w:r>
      <w:r>
        <w:rPr>
          <w:rFonts w:ascii="Times New Roman" w:hAnsi="Times New Roman" w:cs="Times New Roman" w:eastAsia="Times New Roman" w:hint="default"/>
        </w:rPr>
        <w:t>477,799,832.32</w:t>
      </w:r>
      <w:r>
        <w:rPr/>
        <w:t>元，占应收账款期末余额合计数的比例为 </w:t>
      </w:r>
      <w:r>
        <w:rPr>
          <w:rFonts w:ascii="Times New Roman" w:hAnsi="Times New Roman" w:cs="Times New Roman" w:eastAsia="Times New Roman" w:hint="default"/>
        </w:rPr>
        <w:t>96.25%</w:t>
      </w:r>
      <w:r>
        <w:rPr/>
        <w:t>，相应计提的坏账准备期末余额汇总金额为</w:t>
      </w:r>
      <w:r>
        <w:rPr>
          <w:rFonts w:ascii="Times New Roman" w:hAnsi="Times New Roman" w:cs="Times New Roman" w:eastAsia="Times New Roman" w:hint="default"/>
        </w:rPr>
        <w:t>85,521,884.83</w:t>
      </w:r>
      <w:r>
        <w:rPr/>
        <w:t>元。</w:t>
      </w:r>
    </w:p>
    <w:p>
      <w:pPr>
        <w:spacing w:after="0" w:line="30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135"/>
        <w:jc w:val="left"/>
      </w:pPr>
      <w:r>
        <w:rPr/>
        <w:t>其他说明：</w:t>
      </w:r>
    </w:p>
    <w:p>
      <w:pPr>
        <w:pStyle w:val="BodyText"/>
        <w:spacing w:line="240" w:lineRule="auto" w:before="117"/>
        <w:ind w:right="135"/>
        <w:jc w:val="left"/>
      </w:pPr>
      <w:r>
        <w:rPr/>
        <w:t>①本期无通过重组等其他方式收回的应收账款、无实际核销的应收账款。</w:t>
      </w:r>
    </w:p>
    <w:p>
      <w:pPr>
        <w:pStyle w:val="BodyText"/>
        <w:spacing w:line="240" w:lineRule="auto" w:before="76"/>
        <w:ind w:right="135"/>
        <w:jc w:val="left"/>
      </w:pPr>
      <w:r>
        <w:rPr/>
        <w:t>②本期应收账款中无持有公司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）以上表决权股份的股东单位欠款。</w:t>
      </w:r>
    </w:p>
    <w:p>
      <w:pPr>
        <w:pStyle w:val="BodyText"/>
        <w:spacing w:line="300" w:lineRule="auto" w:before="63"/>
        <w:ind w:right="197"/>
        <w:jc w:val="left"/>
      </w:pPr>
      <w:r>
        <w:rPr/>
        <w:t>③本期应收关联方公司款项的情况：应收关联方</w:t>
      </w:r>
      <w:r>
        <w:rPr>
          <w:rFonts w:ascii="Times New Roman" w:hAnsi="Times New Roman" w:cs="Times New Roman" w:eastAsia="Times New Roman" w:hint="default"/>
        </w:rPr>
        <w:t>PT. Metal Smeltindo</w:t>
      </w:r>
      <w:r>
        <w:rPr>
          <w:rFonts w:ascii="Times New Roman" w:hAnsi="Times New Roman" w:cs="Times New Roman" w:eastAsia="Times New Roman" w:hint="default"/>
          <w:spacing w:val="-8"/>
        </w:rPr>
        <w:t> </w:t>
      </w:r>
      <w:r>
        <w:rPr>
          <w:rFonts w:ascii="Times New Roman" w:hAnsi="Times New Roman" w:cs="Times New Roman" w:eastAsia="Times New Roman" w:hint="default"/>
        </w:rPr>
        <w:t>Selaras</w:t>
      </w:r>
      <w:r>
        <w:rPr/>
        <w:t>应收账款</w:t>
      </w:r>
      <w:r>
        <w:rPr>
          <w:rFonts w:ascii="Times New Roman" w:hAnsi="Times New Roman" w:cs="Times New Roman" w:eastAsia="Times New Roman" w:hint="default"/>
        </w:rPr>
        <w:t>2,303,953.91</w:t>
      </w:r>
      <w:r>
        <w:rPr/>
        <w:t>元，年限</w:t>
      </w:r>
      <w:r>
        <w:rPr>
          <w:rFonts w:ascii="Times New Roman" w:hAnsi="Times New Roman" w:cs="Times New Roman" w:eastAsia="Times New Roman" w:hint="default"/>
        </w:rPr>
        <w:t>1</w:t>
      </w:r>
      <w:r>
        <w:rPr/>
        <w:t>年以内，占应收 账款总额的</w:t>
      </w:r>
      <w:r>
        <w:rPr>
          <w:rFonts w:ascii="Times New Roman" w:hAnsi="Times New Roman" w:cs="Times New Roman" w:eastAsia="Times New Roman" w:hint="default"/>
        </w:rPr>
        <w:t>0.46%</w:t>
      </w:r>
      <w:r>
        <w:rPr/>
        <w:t>。</w:t>
      </w:r>
    </w:p>
    <w:p>
      <w:pPr>
        <w:pStyle w:val="BodyText"/>
        <w:spacing w:line="240" w:lineRule="auto" w:before="13"/>
        <w:ind w:right="135"/>
        <w:jc w:val="left"/>
      </w:pPr>
      <w:r>
        <w:rPr/>
        <w:t>④报告期内公司无终止确认的应收款项。</w:t>
      </w:r>
    </w:p>
    <w:p>
      <w:pPr>
        <w:pStyle w:val="BodyText"/>
        <w:spacing w:line="240" w:lineRule="auto" w:before="76"/>
        <w:ind w:right="135"/>
        <w:jc w:val="left"/>
      </w:pPr>
      <w:r>
        <w:rPr/>
        <w:t>⑤报告期内公司无以应收款项为标的进行证券化的交易情况。</w:t>
      </w:r>
    </w:p>
    <w:p>
      <w:pPr>
        <w:pStyle w:val="BodyText"/>
        <w:spacing w:line="240" w:lineRule="auto" w:before="76"/>
        <w:ind w:right="135"/>
        <w:jc w:val="left"/>
      </w:pPr>
      <w:r>
        <w:rPr/>
        <w:t>⑥报告期内公司无转移应收账款且继续涉入形成的资产、负债。</w:t>
      </w:r>
    </w:p>
    <w:p>
      <w:pPr>
        <w:spacing w:line="240" w:lineRule="auto" w:before="0"/>
        <w:rPr>
          <w:rFonts w:ascii="宋体" w:hAnsi="宋体" w:cs="宋体" w:eastAsia="宋体" w:hint="default"/>
          <w:sz w:val="18"/>
          <w:szCs w:val="18"/>
        </w:rPr>
      </w:pPr>
    </w:p>
    <w:p>
      <w:pPr>
        <w:pStyle w:val="Heading3"/>
        <w:spacing w:line="240" w:lineRule="auto" w:before="120"/>
        <w:ind w:right="135"/>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5"/>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8"/>
        <w:gridCol w:w="655"/>
        <w:gridCol w:w="761"/>
        <w:gridCol w:w="814"/>
        <w:gridCol w:w="934"/>
        <w:gridCol w:w="931"/>
      </w:tblGrid>
      <w:tr>
        <w:trPr>
          <w:trHeight w:val="398"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4" w:type="dxa"/>
            <w:vMerge/>
            <w:tcBorders>
              <w:left w:val="single" w:sz="4" w:space="0" w:color="000000"/>
              <w:bottom w:val="single" w:sz="5"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4" w:type="dxa"/>
            <w:vMerge w:val="restart"/>
            <w:tcBorders>
              <w:top w:val="single" w:sz="5" w:space="0" w:color="FFFFFF"/>
              <w:left w:val="single" w:sz="4" w:space="0" w:color="000000"/>
              <w:right w:val="single" w:sz="4" w:space="0" w:color="000000"/>
            </w:tcBorders>
            <w:shd w:val="clear" w:color="auto" w:fill="D2D2D2"/>
          </w:tcPr>
          <w:p>
            <w:pPr/>
          </w:p>
        </w:tc>
        <w:tc>
          <w:tcPr>
            <w:tcW w:w="774"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140,945,</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553.67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77.71%</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140,945,5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53.67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9,516,0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36.54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84.98%</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9,516,036.5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1027"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39,385,5</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57.05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21.71%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2,312,48</w:t>
            </w:r>
          </w:p>
          <w:p>
            <w:pPr>
              <w:pStyle w:val="TableParagraph"/>
              <w:spacing w:line="240" w:lineRule="auto" w:before="102"/>
              <w:ind w:left="422" w:right="0"/>
              <w:jc w:val="left"/>
              <w:rPr>
                <w:rFonts w:ascii="Times New Roman" w:hAnsi="Times New Roman" w:cs="Times New Roman" w:eastAsia="Times New Roman" w:hint="default"/>
                <w:sz w:val="18"/>
                <w:szCs w:val="18"/>
              </w:rPr>
            </w:pPr>
            <w:r>
              <w:rPr>
                <w:rFonts w:ascii="Times New Roman"/>
                <w:sz w:val="18"/>
              </w:rPr>
              <w:t>5.11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37,073,07</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1.94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1,440,0</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65.15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12.86%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329,906.4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22.91%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1,110,158.7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r>
      <w:tr>
        <w:trPr>
          <w:trHeight w:val="102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1,052,31</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8.00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151,845.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14.43%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900,473.0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241,449</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241,449.00</w:t>
            </w:r>
          </w:p>
        </w:tc>
      </w:tr>
      <w:tr>
        <w:trPr>
          <w:trHeight w:val="163" w:hRule="exact"/>
        </w:trPr>
        <w:tc>
          <w:tcPr>
            <w:tcW w:w="1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3"/>
              <w:ind w:left="84" w:right="0"/>
              <w:jc w:val="center"/>
              <w:rPr>
                <w:rFonts w:ascii="Times New Roman" w:hAnsi="Times New Roman" w:cs="Times New Roman" w:eastAsia="Times New Roman" w:hint="default"/>
                <w:sz w:val="18"/>
                <w:szCs w:val="18"/>
              </w:rPr>
            </w:pPr>
            <w:r>
              <w:rPr>
                <w:rFonts w:ascii="Times New Roman"/>
                <w:sz w:val="18"/>
              </w:rPr>
              <w:t>181,383,</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428.72</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2,464,33</w:t>
            </w:r>
          </w:p>
          <w:p>
            <w:pPr>
              <w:pStyle w:val="TableParagraph"/>
              <w:spacing w:line="240" w:lineRule="auto" w:before="102"/>
              <w:ind w:left="422" w:right="0"/>
              <w:jc w:val="left"/>
              <w:rPr>
                <w:rFonts w:ascii="Times New Roman" w:hAnsi="Times New Roman" w:cs="Times New Roman" w:eastAsia="Times New Roman" w:hint="default"/>
                <w:sz w:val="18"/>
                <w:szCs w:val="18"/>
              </w:rPr>
            </w:pPr>
            <w:r>
              <w:rPr>
                <w:rFonts w:ascii="Times New Roman"/>
                <w:sz w:val="18"/>
              </w:rPr>
              <w:t>0.11</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1.36%</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178,919,0</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98.61</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11,197,</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550.69</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329,906.4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2.95%</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10,867,644.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25</w:t>
            </w:r>
          </w:p>
        </w:tc>
      </w:tr>
      <w:tr>
        <w:trPr>
          <w:trHeight w:val="391" w:hRule="exact"/>
        </w:trPr>
        <w:tc>
          <w:tcPr>
            <w:tcW w:w="16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1"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1337"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91"/>
              <w:ind w:left="24" w:right="14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Heng Shun </w:t>
            </w:r>
            <w:r>
              <w:rPr>
                <w:rFonts w:ascii="Times New Roman" w:hAnsi="Times New Roman" w:cs="Times New Roman" w:eastAsia="Times New Roman" w:hint="default"/>
                <w:spacing w:val="-3"/>
                <w:sz w:val="18"/>
                <w:szCs w:val="18"/>
              </w:rPr>
              <w:t>Tian</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Cheng</w:t>
            </w:r>
            <w:r>
              <w:rPr>
                <w:rFonts w:ascii="Times New Roman" w:hAnsi="Times New Roman" w:cs="Times New Roman" w:eastAsia="Times New Roman" w:hint="default"/>
                <w:sz w:val="18"/>
                <w:szCs w:val="18"/>
              </w:rPr>
              <w:t> EPC Pte. Ltd.</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恒顺新加 坡天成工程总承包有限 公司</w:t>
            </w:r>
            <w:r>
              <w:rPr>
                <w:rFonts w:ascii="Times New Roman" w:hAnsi="Times New Roman" w:cs="Times New Roman" w:eastAsia="Times New Roman" w:hint="default"/>
                <w:sz w:val="18"/>
                <w:szCs w:val="18"/>
              </w:rPr>
              <w:t>)</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87,500,000.00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内部往来</w:t>
            </w:r>
          </w:p>
        </w:tc>
      </w:tr>
      <w:tr>
        <w:trPr>
          <w:trHeight w:val="675"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91"/>
              <w:ind w:left="24" w:right="21"/>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PT. </w:t>
            </w:r>
            <w:r>
              <w:rPr>
                <w:rFonts w:ascii="Times New Roman" w:hAnsi="Times New Roman" w:cs="Times New Roman" w:eastAsia="Times New Roman" w:hint="default"/>
                <w:sz w:val="18"/>
                <w:szCs w:val="18"/>
              </w:rPr>
              <w:t>Transon</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Bumindo</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
                <w:sz w:val="18"/>
                <w:szCs w:val="18"/>
              </w:rPr>
              <w:t>Resources</w:t>
            </w:r>
            <w:r>
              <w:rPr>
                <w:rFonts w:ascii="宋体" w:hAnsi="宋体" w:cs="宋体" w:eastAsia="宋体" w:hint="default"/>
                <w:spacing w:val="-4"/>
                <w:sz w:val="18"/>
                <w:szCs w:val="18"/>
              </w:rPr>
              <w:t>（恒顺印尼资源</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53,445,553.67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内部往来</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36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140,945,553.67</w:t>
            </w:r>
          </w:p>
        </w:tc>
        <w:tc>
          <w:tcPr>
            <w:tcW w:w="1913" w:type="dxa"/>
            <w:tcBorders>
              <w:top w:val="single" w:sz="4" w:space="0" w:color="000000"/>
              <w:left w:val="single" w:sz="4" w:space="0" w:color="000000"/>
              <w:bottom w:val="single" w:sz="4" w:space="0" w:color="000000"/>
              <w:right w:val="single" w:sz="13" w:space="0" w:color="D2D2D2"/>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pStyle w:val="BodyText"/>
        <w:spacing w:line="240" w:lineRule="auto" w:before="49"/>
        <w:ind w:right="-20"/>
        <w:jc w:val="left"/>
      </w:pPr>
      <w:r>
        <w:rPr/>
        <w:t>组合中，按账龄分析法计提坏账准备的其他应收款：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403"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38,265,175.35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1,913,258.77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38,265,175.35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1,913,258.77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900,944.20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180,188.84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219,437.50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219,037.50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99.82%</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218,637.50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218,637.50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39,385,557.05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2,312,485.11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5.87%</w:t>
            </w:r>
          </w:p>
        </w:tc>
      </w:tr>
    </w:tbl>
    <w:p>
      <w:pPr>
        <w:pStyle w:val="BodyText"/>
        <w:spacing w:line="360" w:lineRule="auto" w:before="49"/>
        <w:ind w:right="5274"/>
        <w:jc w:val="left"/>
      </w:pPr>
      <w:r>
        <w:rPr/>
        <w:t>确定该组合依据的说明： 组合中，采用余额百分比法计提坏账准备的其他应收款：</w:t>
      </w:r>
    </w:p>
    <w:p>
      <w:pPr>
        <w:pStyle w:val="BodyText"/>
        <w:spacing w:line="340" w:lineRule="auto" w:before="25"/>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1"/>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35"/>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35"/>
        <w:jc w:val="left"/>
      </w:pPr>
      <w:r>
        <w:rPr/>
        <w:t>本期计提坏账准备金额</w:t>
      </w:r>
      <w:r>
        <w:rPr>
          <w:spacing w:val="-46"/>
        </w:rPr>
        <w:t> </w:t>
      </w:r>
      <w:r>
        <w:rPr>
          <w:rFonts w:ascii="Times New Roman" w:hAnsi="Times New Roman" w:cs="Times New Roman" w:eastAsia="Times New Roman" w:hint="default"/>
        </w:rPr>
        <w:t>2,156,007.09</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21,583.42 </w:t>
      </w:r>
      <w:r>
        <w:rPr/>
        <w:t>元。</w:t>
      </w:r>
    </w:p>
    <w:p>
      <w:pPr>
        <w:spacing w:line="240" w:lineRule="auto" w:before="2"/>
        <w:rPr>
          <w:rFonts w:ascii="宋体" w:hAnsi="宋体" w:cs="宋体" w:eastAsia="宋体" w:hint="default"/>
          <w:sz w:val="26"/>
          <w:szCs w:val="26"/>
        </w:rPr>
      </w:pPr>
    </w:p>
    <w:p>
      <w:pPr>
        <w:pStyle w:val="Heading3"/>
        <w:spacing w:line="240" w:lineRule="auto"/>
        <w:ind w:right="135"/>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代扣代缴个人所得税</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37,938,321.25</w:t>
            </w:r>
          </w:p>
        </w:tc>
        <w:tc>
          <w:tcPr>
            <w:tcW w:w="31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1,092,758.00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1,294,589.00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225,275.35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188,304.70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281,520.45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198,620.45</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141,845,553.67</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9,516,036.54</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181,383,428.72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11,197,550.69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35"/>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337"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14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Heng Shun</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pacing w:val="-3"/>
                <w:sz w:val="18"/>
                <w:szCs w:val="18"/>
              </w:rPr>
              <w:t>Tian</w:t>
            </w:r>
            <w:r>
              <w:rPr>
                <w:rFonts w:ascii="Times New Roman" w:hAnsi="Times New Roman" w:cs="Times New Roman" w:eastAsia="Times New Roman" w:hint="default"/>
                <w:sz w:val="18"/>
                <w:szCs w:val="18"/>
              </w:rPr>
              <w:t> Cheng EPC Pte.</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Ltd.</w:t>
            </w:r>
            <w:r>
              <w:rPr>
                <w:rFonts w:ascii="Times New Roman" w:hAnsi="Times New Roman" w:cs="Times New Roman" w:eastAsia="Times New Roman" w:hint="default"/>
                <w:sz w:val="18"/>
                <w:szCs w:val="18"/>
              </w:rPr>
              <w:t> (</w:t>
            </w:r>
            <w:r>
              <w:rPr>
                <w:rFonts w:ascii="宋体" w:hAnsi="宋体" w:cs="宋体" w:eastAsia="宋体" w:hint="default"/>
                <w:sz w:val="18"/>
                <w:szCs w:val="18"/>
              </w:rPr>
              <w:t>恒顺新加坡天成工 程总承包有限公司</w:t>
            </w:r>
            <w:r>
              <w:rPr>
                <w:rFonts w:ascii="Times New Roman" w:hAnsi="Times New Roman" w:cs="Times New Roman" w:eastAsia="Times New Roman" w:hint="default"/>
                <w:sz w:val="18"/>
                <w:szCs w:val="18"/>
              </w:rPr>
              <w:t>)</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87,500,000.00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48.24%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91"/>
              <w:ind w:left="24" w:right="21"/>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PT. </w:t>
            </w:r>
            <w:r>
              <w:rPr>
                <w:rFonts w:ascii="Times New Roman" w:hAnsi="Times New Roman" w:cs="Times New Roman" w:eastAsia="Times New Roman" w:hint="default"/>
                <w:sz w:val="18"/>
                <w:szCs w:val="18"/>
              </w:rPr>
              <w:t>Transon</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Bumindo</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Resources</w:t>
            </w:r>
            <w:r>
              <w:rPr>
                <w:rFonts w:ascii="宋体" w:hAnsi="宋体" w:cs="宋体" w:eastAsia="宋体" w:hint="default"/>
                <w:spacing w:val="-1"/>
                <w:sz w:val="18"/>
                <w:szCs w:val="18"/>
              </w:rPr>
              <w:t>（恒顺印尼</w:t>
            </w:r>
            <w:r>
              <w:rPr>
                <w:rFonts w:ascii="宋体" w:hAnsi="宋体" w:cs="宋体" w:eastAsia="宋体" w:hint="default"/>
                <w:sz w:val="18"/>
                <w:szCs w:val="18"/>
              </w:rPr>
              <w:t> 资源有限公司）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53,445,553.67</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29.47%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代扣代缴个人所得税</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代扣代缴个人所得 税</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37,938,321.25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20.92%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1,896,916.06</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青岛恒顺众昇进出口 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北京东方广场有限公 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759,320.00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151,864.00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180,543,194.92</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99.55%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2,048,780.06</w:t>
            </w:r>
          </w:p>
        </w:tc>
      </w:tr>
    </w:tbl>
    <w:p>
      <w:pPr>
        <w:pStyle w:val="BodyText"/>
        <w:spacing w:line="240" w:lineRule="auto" w:before="49"/>
        <w:ind w:right="135"/>
        <w:jc w:val="left"/>
      </w:pPr>
      <w:r>
        <w:rPr/>
        <w:t>其他说明：</w:t>
      </w:r>
    </w:p>
    <w:p>
      <w:pPr>
        <w:pStyle w:val="BodyText"/>
        <w:spacing w:line="240" w:lineRule="auto" w:before="115"/>
        <w:ind w:right="135"/>
        <w:jc w:val="left"/>
      </w:pPr>
      <w:r>
        <w:rPr/>
        <w:t>①其他应收款中无应收持公司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）以上表决权股份的股东单位欠款。</w:t>
      </w:r>
    </w:p>
    <w:p>
      <w:pPr>
        <w:pStyle w:val="BodyText"/>
        <w:spacing w:line="240" w:lineRule="auto" w:before="63"/>
        <w:ind w:right="135"/>
        <w:jc w:val="left"/>
      </w:pPr>
      <w:r>
        <w:rPr/>
        <w:t>②报告期内公司无实际核销的其他应收款。</w:t>
      </w:r>
    </w:p>
    <w:p>
      <w:pPr>
        <w:pStyle w:val="BodyText"/>
        <w:spacing w:line="240" w:lineRule="auto" w:before="76"/>
        <w:ind w:right="135"/>
        <w:jc w:val="left"/>
      </w:pPr>
      <w:r>
        <w:rPr/>
        <w:t>③报告期内公司无终止确认的其他应收款。</w:t>
      </w:r>
    </w:p>
    <w:p>
      <w:pPr>
        <w:pStyle w:val="BodyText"/>
        <w:spacing w:line="240" w:lineRule="auto" w:before="76"/>
        <w:ind w:right="135"/>
        <w:jc w:val="left"/>
      </w:pPr>
      <w:r>
        <w:rPr/>
        <w:t>④报告期内公司无以其他应收款为标的进行证券化的交易情况。</w:t>
      </w:r>
    </w:p>
    <w:p>
      <w:pPr>
        <w:pStyle w:val="BodyText"/>
        <w:spacing w:line="240" w:lineRule="auto" w:before="76"/>
        <w:ind w:right="135"/>
        <w:jc w:val="left"/>
      </w:pPr>
      <w:r>
        <w:rPr/>
        <w:t>⑤报告期内公司无转移其他应收款且继续涉入形成的资产、负债。</w:t>
      </w:r>
    </w:p>
    <w:p>
      <w:pPr>
        <w:spacing w:line="240" w:lineRule="auto" w:before="0"/>
        <w:rPr>
          <w:rFonts w:ascii="宋体" w:hAnsi="宋体" w:cs="宋体" w:eastAsia="宋体" w:hint="default"/>
          <w:sz w:val="18"/>
          <w:szCs w:val="18"/>
        </w:rPr>
      </w:pPr>
    </w:p>
    <w:p>
      <w:pPr>
        <w:pStyle w:val="Heading3"/>
        <w:spacing w:line="240" w:lineRule="auto" w:before="120"/>
        <w:ind w:right="135"/>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07"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1,176,861,182.70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center"/>
              <w:rPr>
                <w:rFonts w:ascii="Times New Roman" w:hAnsi="Times New Roman" w:cs="Times New Roman" w:eastAsia="Times New Roman" w:hint="default"/>
                <w:sz w:val="18"/>
                <w:szCs w:val="18"/>
              </w:rPr>
            </w:pPr>
            <w:r>
              <w:rPr>
                <w:rFonts w:ascii="Times New Roman"/>
                <w:sz w:val="18"/>
              </w:rPr>
              <w:t>1,176,861,182.70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center"/>
              <w:rPr>
                <w:rFonts w:ascii="Times New Roman" w:hAnsi="Times New Roman" w:cs="Times New Roman" w:eastAsia="Times New Roman" w:hint="default"/>
                <w:sz w:val="18"/>
                <w:szCs w:val="18"/>
              </w:rPr>
            </w:pPr>
            <w:r>
              <w:rPr>
                <w:rFonts w:ascii="Times New Roman"/>
                <w:sz w:val="18"/>
              </w:rPr>
              <w:t>1,142,575,675.04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center"/>
              <w:rPr>
                <w:rFonts w:ascii="Times New Roman" w:hAnsi="Times New Roman" w:cs="Times New Roman" w:eastAsia="Times New Roman" w:hint="default"/>
                <w:sz w:val="18"/>
                <w:szCs w:val="18"/>
              </w:rPr>
            </w:pPr>
            <w:r>
              <w:rPr>
                <w:rFonts w:ascii="Times New Roman"/>
                <w:sz w:val="18"/>
              </w:rPr>
              <w:t>1,142,575,675.04</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1,176,861,182.70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1,176,861,182.70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1,142,575,675.04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1,142,575,675.04</w:t>
            </w:r>
          </w:p>
        </w:tc>
      </w:tr>
    </w:tbl>
    <w:p>
      <w:pPr>
        <w:spacing w:line="240" w:lineRule="auto" w:before="3"/>
        <w:rPr>
          <w:rFonts w:ascii="宋体" w:hAnsi="宋体" w:cs="宋体" w:eastAsia="宋体" w:hint="default"/>
          <w:sz w:val="19"/>
          <w:szCs w:val="19"/>
        </w:rPr>
      </w:pPr>
    </w:p>
    <w:p>
      <w:pPr>
        <w:pStyle w:val="Heading3"/>
        <w:spacing w:line="240" w:lineRule="auto" w:before="36"/>
        <w:ind w:right="135"/>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6"/>
        <w:gridCol w:w="1337"/>
        <w:gridCol w:w="1334"/>
        <w:gridCol w:w="1335"/>
        <w:gridCol w:w="1334"/>
        <w:gridCol w:w="1390"/>
        <w:gridCol w:w="1390"/>
      </w:tblGrid>
      <w:tr>
        <w:trPr>
          <w:trHeight w:val="713" w:hRule="exact"/>
        </w:trPr>
        <w:tc>
          <w:tcPr>
            <w:tcW w:w="1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3" w:hRule="exact"/>
        </w:trPr>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青岛恒川网络科</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20,000,000.00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36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西安恒顺电气科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36"/>
              <w:jc w:val="left"/>
              <w:rPr>
                <w:rFonts w:ascii="Times New Roman" w:hAnsi="Times New Roman" w:cs="Times New Roman" w:eastAsia="Times New Roman" w:hint="default"/>
                <w:sz w:val="18"/>
                <w:szCs w:val="18"/>
              </w:rPr>
            </w:pPr>
            <w:r>
              <w:rPr>
                <w:rFonts w:ascii="Times New Roman"/>
                <w:sz w:val="18"/>
              </w:rPr>
              <w:t>H&amp;Shun International Holdings</w:t>
            </w:r>
            <w:r>
              <w:rPr>
                <w:rFonts w:ascii="Times New Roman"/>
                <w:spacing w:val="-4"/>
                <w:sz w:val="18"/>
              </w:rPr>
              <w:t> </w:t>
            </w:r>
            <w:r>
              <w:rPr>
                <w:rFonts w:ascii="Times New Roman"/>
                <w:sz w:val="18"/>
              </w:rPr>
              <w:t>Pte.Ltd.</w:t>
            </w:r>
          </w:p>
          <w:p>
            <w:pPr>
              <w:pStyle w:val="TableParagraph"/>
              <w:spacing w:line="197" w:lineRule="exact"/>
              <w:ind w:left="24" w:right="-27"/>
              <w:jc w:val="left"/>
              <w:rPr>
                <w:rFonts w:ascii="宋体" w:hAnsi="宋体" w:cs="宋体" w:eastAsia="宋体" w:hint="default"/>
                <w:sz w:val="18"/>
                <w:szCs w:val="18"/>
              </w:rPr>
            </w:pPr>
            <w:r>
              <w:rPr>
                <w:rFonts w:ascii="宋体" w:hAnsi="宋体" w:cs="宋体" w:eastAsia="宋体" w:hint="default"/>
                <w:sz w:val="18"/>
                <w:szCs w:val="18"/>
              </w:rPr>
              <w:t>（恒顺新加坡国</w:t>
            </w:r>
          </w:p>
          <w:p>
            <w:pPr>
              <w:pStyle w:val="TableParagraph"/>
              <w:spacing w:line="240" w:lineRule="auto" w:before="76"/>
              <w:ind w:left="24" w:right="-27"/>
              <w:jc w:val="left"/>
              <w:rPr>
                <w:rFonts w:ascii="宋体" w:hAnsi="宋体" w:cs="宋体" w:eastAsia="宋体" w:hint="default"/>
                <w:sz w:val="18"/>
                <w:szCs w:val="18"/>
              </w:rPr>
            </w:pPr>
            <w:r>
              <w:rPr>
                <w:rFonts w:ascii="宋体" w:hAnsi="宋体" w:cs="宋体" w:eastAsia="宋体" w:hint="default"/>
                <w:sz w:val="18"/>
                <w:szCs w:val="18"/>
              </w:rPr>
              <w:t>际控股有限公司）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722,508,756.09</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19,944.30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722,528,700.39</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青岛恒顺节能科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0"/>
              <w:ind w:left="24" w:right="-2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PT.</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Transon</w:t>
            </w:r>
            <w:r>
              <w:rPr>
                <w:rFonts w:ascii="Times New Roman" w:hAnsi="Times New Roman" w:cs="Times New Roman" w:eastAsia="Times New Roman" w:hint="default"/>
                <w:sz w:val="18"/>
                <w:szCs w:val="18"/>
              </w:rPr>
              <w:t> Bumindo </w:t>
            </w:r>
            <w:r>
              <w:rPr>
                <w:rFonts w:ascii="Times New Roman" w:hAnsi="Times New Roman" w:cs="Times New Roman" w:eastAsia="Times New Roman" w:hint="default"/>
                <w:spacing w:val="-6"/>
                <w:sz w:val="18"/>
                <w:szCs w:val="18"/>
              </w:rPr>
              <w:t>Resources</w:t>
            </w:r>
            <w:r>
              <w:rPr>
                <w:rFonts w:ascii="宋体" w:hAnsi="宋体" w:cs="宋体" w:eastAsia="宋体" w:hint="default"/>
                <w:spacing w:val="-6"/>
                <w:sz w:val="18"/>
                <w:szCs w:val="18"/>
              </w:rPr>
              <w:t>（恒顺印</w:t>
            </w:r>
            <w:r>
              <w:rPr>
                <w:rFonts w:ascii="宋体" w:hAnsi="宋体" w:cs="宋体" w:eastAsia="宋体" w:hint="default"/>
                <w:spacing w:val="-85"/>
                <w:sz w:val="18"/>
                <w:szCs w:val="18"/>
              </w:rPr>
              <w:t> </w:t>
            </w:r>
            <w:r>
              <w:rPr>
                <w:rFonts w:ascii="宋体" w:hAnsi="宋体" w:cs="宋体" w:eastAsia="宋体" w:hint="default"/>
                <w:sz w:val="18"/>
                <w:szCs w:val="18"/>
              </w:rPr>
              <w:t>尼资源有限公司）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320,866,918.95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27,052,510.38</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347,919,429.33</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91"/>
              <w:jc w:val="left"/>
              <w:rPr>
                <w:rFonts w:ascii="宋体" w:hAnsi="宋体" w:cs="宋体" w:eastAsia="宋体" w:hint="default"/>
                <w:sz w:val="18"/>
                <w:szCs w:val="18"/>
              </w:rPr>
            </w:pPr>
            <w:r>
              <w:rPr>
                <w:rFonts w:ascii="Times New Roman" w:hAnsi="Times New Roman" w:cs="Times New Roman" w:eastAsia="Times New Roman" w:hint="default"/>
                <w:sz w:val="18"/>
                <w:szCs w:val="18"/>
              </w:rPr>
              <w:t>Qingdao Hengshun Zhongsheng Group South Africa(PTY).Ltd (</w:t>
            </w:r>
            <w:r>
              <w:rPr>
                <w:rFonts w:ascii="宋体" w:hAnsi="宋体" w:cs="宋体" w:eastAsia="宋体" w:hint="default"/>
                <w:sz w:val="18"/>
                <w:szCs w:val="18"/>
              </w:rPr>
              <w:t>青岛恒顺众昇集</w:t>
            </w:r>
          </w:p>
          <w:p>
            <w:pPr>
              <w:pStyle w:val="TableParagraph"/>
              <w:spacing w:line="240" w:lineRule="auto" w:before="3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团南非有限公司</w:t>
            </w:r>
            <w:r>
              <w:rPr>
                <w:rFonts w:ascii="Times New Roman" w:hAnsi="Times New Roman" w:cs="Times New Roman" w:eastAsia="Times New Roman" w:hint="default"/>
                <w:sz w:val="18"/>
                <w:szCs w:val="18"/>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193,052.98</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2,193,052.98</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青岛恒顺众昇矿 产资源有限公司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青岛恒顺众昇进 出口有限公司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青岛恒顺众昇电 气制造有限公司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73"/>
              <w:jc w:val="left"/>
              <w:rPr>
                <w:rFonts w:ascii="Times New Roman" w:hAnsi="Times New Roman" w:cs="Times New Roman" w:eastAsia="Times New Roman" w:hint="default"/>
                <w:sz w:val="18"/>
                <w:szCs w:val="18"/>
              </w:rPr>
            </w:pPr>
            <w:r>
              <w:rPr>
                <w:rFonts w:ascii="Times New Roman"/>
                <w:sz w:val="18"/>
              </w:rPr>
              <w:t>Hengshun Zhongsheng Group</w:t>
            </w:r>
            <w:r>
              <w:rPr>
                <w:rFonts w:ascii="Times New Roman"/>
                <w:w w:val="99"/>
                <w:sz w:val="18"/>
              </w:rPr>
              <w:t> </w:t>
            </w:r>
            <w:r>
              <w:rPr>
                <w:rFonts w:ascii="Times New Roman"/>
                <w:sz w:val="18"/>
              </w:rPr>
              <w:t>Zimbabwe(Private</w:t>
            </w:r>
          </w:p>
          <w:p>
            <w:pPr>
              <w:pStyle w:val="TableParagraph"/>
              <w:spacing w:line="210"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Limited</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恒顺众</w:t>
            </w:r>
          </w:p>
          <w:p>
            <w:pPr>
              <w:pStyle w:val="TableParagraph"/>
              <w:spacing w:line="316" w:lineRule="auto" w:before="63"/>
              <w:ind w:left="24" w:right="153"/>
              <w:jc w:val="left"/>
              <w:rPr>
                <w:rFonts w:ascii="Times New Roman" w:hAnsi="Times New Roman" w:cs="Times New Roman" w:eastAsia="Times New Roman" w:hint="default"/>
                <w:sz w:val="18"/>
                <w:szCs w:val="18"/>
              </w:rPr>
            </w:pPr>
            <w:r>
              <w:rPr>
                <w:rFonts w:ascii="宋体" w:hAnsi="宋体" w:cs="宋体" w:eastAsia="宋体" w:hint="default"/>
                <w:sz w:val="18"/>
                <w:szCs w:val="18"/>
              </w:rPr>
              <w:t>昇集团津巴布韦 有限公司</w:t>
            </w:r>
            <w:r>
              <w:rPr>
                <w:rFonts w:ascii="Times New Roman" w:hAnsi="Times New Roman" w:cs="Times New Roman" w:eastAsia="Times New Roman" w:hint="default"/>
                <w:sz w:val="18"/>
                <w:szCs w:val="18"/>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北京科程物联网 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新疆清源生物质 能源有限公司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3,220,000.00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青岛恒顺众昇电 力工程技术研究 院</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1449"/>
        <w:gridCol w:w="1337"/>
        <w:gridCol w:w="1334"/>
        <w:gridCol w:w="1335"/>
        <w:gridCol w:w="1334"/>
        <w:gridCol w:w="1390"/>
        <w:gridCol w:w="1390"/>
      </w:tblGrid>
      <w:tr>
        <w:trPr>
          <w:trHeight w:val="404" w:hRule="exact"/>
        </w:trPr>
        <w:tc>
          <w:tcPr>
            <w:tcW w:w="1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1,142,575,675.04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34,285,507.66</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1,176,861,182.70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35"/>
        <w:jc w:val="left"/>
        <w:rPr>
          <w:b w:val="0"/>
          <w:bCs w:val="0"/>
        </w:rPr>
      </w:pPr>
      <w:r>
        <w:rPr/>
        <w:t>（</w:t>
      </w:r>
      <w:r>
        <w:rPr>
          <w:rFonts w:ascii="Times New Roman" w:hAnsi="Times New Roman" w:cs="Times New Roman" w:eastAsia="Times New Roman" w:hint="default"/>
        </w:rPr>
        <w:t>2</w:t>
      </w:r>
      <w:r>
        <w:rPr/>
        <w:t>）其他说明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35"/>
        <w:jc w:val="left"/>
      </w:pPr>
      <w:r>
        <w:rPr/>
        <w:t>报告期长期股权投资未发生减值情况，故未计提减值准备。</w:t>
      </w:r>
    </w:p>
    <w:p>
      <w:pPr>
        <w:spacing w:line="240" w:lineRule="auto" w:before="0"/>
        <w:rPr>
          <w:rFonts w:ascii="宋体" w:hAnsi="宋体" w:cs="宋体" w:eastAsia="宋体" w:hint="default"/>
          <w:sz w:val="18"/>
          <w:szCs w:val="18"/>
        </w:rPr>
      </w:pPr>
    </w:p>
    <w:p>
      <w:pPr>
        <w:pStyle w:val="Heading3"/>
        <w:spacing w:line="240" w:lineRule="auto" w:before="120"/>
        <w:ind w:right="135"/>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972,048,750.53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698,876,337.10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903,991,472.83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516,411,191.39</w:t>
            </w: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363,272.06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2,448,861.91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748,271.36</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972,412,022.59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698,876,337.10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906,440,334.74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517,159,462.75</w:t>
            </w:r>
          </w:p>
        </w:tc>
      </w:tr>
    </w:tbl>
    <w:p>
      <w:pPr>
        <w:pStyle w:val="BodyText"/>
        <w:spacing w:line="240" w:lineRule="auto" w:before="49"/>
        <w:ind w:right="135"/>
        <w:jc w:val="left"/>
      </w:pPr>
      <w:r>
        <w:rPr/>
        <w:t>其他说明：</w:t>
      </w:r>
    </w:p>
    <w:p>
      <w:pPr>
        <w:spacing w:line="240" w:lineRule="auto" w:before="1"/>
        <w:rPr>
          <w:rFonts w:ascii="宋体" w:hAnsi="宋体" w:cs="宋体" w:eastAsia="宋体" w:hint="default"/>
          <w:sz w:val="25"/>
          <w:szCs w:val="25"/>
        </w:rPr>
      </w:pPr>
    </w:p>
    <w:p>
      <w:pPr>
        <w:pStyle w:val="Heading2"/>
        <w:spacing w:line="240" w:lineRule="auto"/>
        <w:ind w:right="135"/>
        <w:jc w:val="left"/>
        <w:rPr>
          <w:b w:val="0"/>
          <w:bCs w:val="0"/>
        </w:rPr>
      </w:pPr>
      <w:r>
        <w:rPr/>
        <w:t>十六、补充资料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35"/>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5,879,911.76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-2,321,638.73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588,511.90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2,969,761.13</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35"/>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2"/>
        <w:gridCol w:w="3095"/>
        <w:gridCol w:w="1901"/>
        <w:gridCol w:w="1901"/>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8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02"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95" w:type="dxa"/>
            <w:vMerge/>
            <w:tcBorders>
              <w:left w:val="single" w:sz="4" w:space="0" w:color="000000"/>
              <w:bottom w:val="nil" w:sz="6" w:space="0" w:color="auto"/>
              <w:right w:val="single" w:sz="4" w:space="0" w:color="000000"/>
            </w:tcBorders>
            <w:shd w:val="clear" w:color="auto" w:fill="D2D2D2"/>
          </w:tcPr>
          <w:p>
            <w:pPr/>
          </w:p>
        </w:tc>
        <w:tc>
          <w:tcPr>
            <w:tcW w:w="19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1" w:type="dxa"/>
            <w:vMerge/>
            <w:tcBorders>
              <w:left w:val="single" w:sz="4" w:space="0" w:color="000000"/>
              <w:bottom w:val="single" w:sz="4" w:space="0" w:color="000000"/>
              <w:right w:val="single" w:sz="4" w:space="0" w:color="000000"/>
            </w:tcBorders>
            <w:shd w:val="clear" w:color="auto" w:fill="D2D2D2"/>
          </w:tcPr>
          <w:p>
            <w:pPr/>
          </w:p>
        </w:tc>
        <w:tc>
          <w:tcPr>
            <w:tcW w:w="190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z w:val="18"/>
              </w:rPr>
              <w:t>19.09%</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0.44</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0.44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3083"/>
        <w:gridCol w:w="1913"/>
        <w:gridCol w:w="1913"/>
      </w:tblGrid>
      <w:tr>
        <w:trPr>
          <w:trHeight w:val="716"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0.43</w:t>
            </w:r>
          </w:p>
        </w:tc>
      </w:tr>
    </w:tbl>
    <w:p>
      <w:pPr>
        <w:spacing w:line="240" w:lineRule="auto" w:before="3"/>
        <w:rPr>
          <w:rFonts w:ascii="宋体" w:hAnsi="宋体" w:cs="宋体" w:eastAsia="宋体" w:hint="default"/>
          <w:b/>
          <w:bCs/>
          <w:sz w:val="19"/>
          <w:szCs w:val="19"/>
        </w:rPr>
      </w:pPr>
    </w:p>
    <w:p>
      <w:pPr>
        <w:pStyle w:val="Heading3"/>
        <w:spacing w:line="240" w:lineRule="auto" w:before="36"/>
        <w:ind w:right="135"/>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35"/>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35"/>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59" w:lineRule="auto"/>
        <w:ind w:right="135"/>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135"/>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5" w:right="135"/>
        <w:jc w:val="left"/>
        <w:rPr>
          <w:b w:val="0"/>
          <w:bCs w:val="0"/>
        </w:rPr>
      </w:pPr>
      <w:bookmarkStart w:name="_bookmark11" w:id="12"/>
      <w:bookmarkEnd w:id="12"/>
      <w:r>
        <w:rPr>
          <w:b w:val="0"/>
          <w:bCs w:val="0"/>
        </w:rPr>
      </w:r>
      <w:r>
        <w:rPr/>
        <w:t>第十二节</w:t>
      </w:r>
      <w:r>
        <w:rPr>
          <w:spacing w:val="-6"/>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135"/>
        <w:jc w:val="left"/>
      </w:pPr>
      <w:r>
        <w:rPr>
          <w:rFonts w:ascii="Times New Roman" w:hAnsi="Times New Roman" w:cs="Times New Roman" w:eastAsia="Times New Roman" w:hint="default"/>
        </w:rPr>
        <w:t>1</w:t>
      </w:r>
      <w:r>
        <w:rPr/>
        <w:t>、公司财务报表</w:t>
      </w:r>
    </w:p>
    <w:p>
      <w:pPr>
        <w:pStyle w:val="BodyText"/>
        <w:spacing w:line="240" w:lineRule="auto" w:before="63"/>
        <w:ind w:right="135"/>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年度审计报告》</w:t>
      </w:r>
    </w:p>
    <w:p>
      <w:pPr>
        <w:pStyle w:val="BodyText"/>
        <w:spacing w:line="240" w:lineRule="auto" w:before="63"/>
        <w:ind w:right="135"/>
        <w:jc w:val="left"/>
      </w:pPr>
      <w:r>
        <w:rPr>
          <w:rFonts w:ascii="Times New Roman" w:hAnsi="Times New Roman" w:cs="Times New Roman" w:eastAsia="Times New Roman" w:hint="default"/>
        </w:rPr>
        <w:t>3</w:t>
      </w:r>
      <w:r>
        <w:rPr/>
        <w:t>、三届董事会第八次会议决议</w:t>
      </w:r>
    </w:p>
    <w:p>
      <w:pPr>
        <w:pStyle w:val="BodyText"/>
        <w:spacing w:line="240" w:lineRule="auto" w:before="63"/>
        <w:ind w:right="135"/>
        <w:jc w:val="left"/>
      </w:pPr>
      <w:r>
        <w:rPr>
          <w:rFonts w:ascii="Times New Roman" w:hAnsi="Times New Roman" w:cs="Times New Roman" w:eastAsia="Times New Roman" w:hint="default"/>
        </w:rPr>
        <w:t>4</w:t>
      </w:r>
      <w:r>
        <w:rPr/>
        <w:t>、三届监事会第七次会议决议</w:t>
      </w:r>
    </w:p>
    <w:p>
      <w:pPr>
        <w:pStyle w:val="BodyText"/>
        <w:spacing w:line="240" w:lineRule="auto" w:before="63"/>
        <w:ind w:right="135"/>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t>年度内部控制自我评价报告</w:t>
      </w:r>
    </w:p>
    <w:p>
      <w:pPr>
        <w:pStyle w:val="BodyText"/>
        <w:spacing w:line="240" w:lineRule="auto" w:before="63"/>
        <w:ind w:right="135"/>
        <w:jc w:val="left"/>
      </w:pPr>
      <w:r>
        <w:rPr>
          <w:rFonts w:ascii="Times New Roman" w:hAnsi="Times New Roman" w:cs="Times New Roman" w:eastAsia="Times New Roman" w:hint="default"/>
        </w:rPr>
        <w:t>6</w:t>
      </w:r>
      <w:r>
        <w:rPr/>
        <w:t>、独立董事对相关事项发表的独立意见</w:t>
      </w:r>
    </w:p>
    <w:p>
      <w:pPr>
        <w:pStyle w:val="BodyText"/>
        <w:spacing w:line="240" w:lineRule="auto" w:before="103"/>
        <w:ind w:right="135"/>
        <w:jc w:val="left"/>
      </w:pPr>
      <w:r>
        <w:rPr>
          <w:rFonts w:ascii="Times New Roman" w:hAnsi="Times New Roman" w:cs="Times New Roman" w:eastAsia="Times New Roman" w:hint="default"/>
        </w:rPr>
        <w:t>7</w:t>
      </w:r>
      <w:r>
        <w:rPr/>
        <w:t>、关于青岛市恒顺众昇集团股份有限公司控股股东及其他关联方占用资金情况的专项说明</w:t>
      </w:r>
    </w:p>
    <w:sectPr>
      <w:pgSz w:w="11910" w:h="16840"/>
      <w:pgMar w:header="745" w:footer="979"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37939pt;width:6.5pt;height:11pt;mso-position-horizontal-relative:page;mso-position-vertical-relative:page;z-index:-81930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8190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57947pt;width:17.3pt;height:11pt;mso-position-horizontal-relative:page;mso-position-vertical-relative:page;z-index:-8190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8190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8192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8192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31</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8192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44</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8192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49</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8191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50</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8191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79</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8191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93</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57947pt;width:15.7pt;height:11pt;mso-position-horizontal-relative:page;mso-position-vertical-relative:page;z-index:-81911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7.070007pt;margin-top:36.265610pt;width:222.75pt;height:11.5pt;mso-position-horizontal-relative:page;mso-position-vertical-relative:page;z-index:-819328" type="#_x0000_t202" filled="false" stroked="false">
          <v:textbox inset="0,0,0,0">
            <w:txbxContent>
              <w:p>
                <w:pPr>
                  <w:pStyle w:val="BodyText"/>
                  <w:spacing w:line="214" w:lineRule="exact"/>
                  <w:ind w:left="20" w:right="0"/>
                  <w:jc w:val="left"/>
                </w:pPr>
                <w:r>
                  <w:rPr/>
                  <w:t>青岛市恒顺众昇集团股份有限公司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0"/>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2241"/>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spacing w:before="24"/>
      <w:ind w:left="506"/>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qdhengshun.com/" TargetMode="External"/><Relationship Id="rId10" Type="http://schemas.openxmlformats.org/officeDocument/2006/relationships/hyperlink" Target="mailto:hengshun@188.com" TargetMode="External"/><Relationship Id="rId11" Type="http://schemas.openxmlformats.org/officeDocument/2006/relationships/hyperlink" Target="mailto:hengshunzqb@188.com" TargetMode="External"/><Relationship Id="rId12" Type="http://schemas.openxmlformats.org/officeDocument/2006/relationships/footer" Target="footer3.xml"/><Relationship Id="rId13" Type="http://schemas.openxmlformats.org/officeDocument/2006/relationships/hyperlink" Target="http://www.cninfo.com.cn/cninfo-new/index" TargetMode="External"/><Relationship Id="rId14" Type="http://schemas.openxmlformats.org/officeDocument/2006/relationships/image" Target="media/image2.png"/><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青岛市恒顺众昇集团股份有限公司</dc:creator>
  <dc:title>青岛市恒顺众昇集团股份有限公司2017年年度报告全文</dc:title>
  <dcterms:created xsi:type="dcterms:W3CDTF">2020-05-03T00:13:52Z</dcterms:created>
  <dcterms:modified xsi:type="dcterms:W3CDTF">2020-05-03T00:13:52Z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2018-04-24T00:00:00Z</vt:filetime>
  </property>
  <property fmtid="{D5CDD505-2E9C-101B-9397-08002B2CF9AE}" pid="3" name="Creator">
    <vt:lpwstr>Microsoft Office Word 2007</vt:lpwstr>
  </property>
  <property fmtid="{D5CDD505-2E9C-101B-9397-08002B2CF9AE}" pid="4" name="LastSaved">
    <vt:filetime>2020-05-02T00:00:00Z</vt:filetime>
  </property>
</Properties>
</file>