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Arial" w:eastAsia="Arial" w:hAnsi="Arial" w:cs="Arial"/>
          <w:color w:val="BE2A2F"/>
          <w:spacing w:val="0"/>
          <w:w w:val="100"/>
          <w:position w:val="0"/>
          <w:sz w:val="32"/>
          <w:szCs w:val="32"/>
        </w:rPr>
        <w:t>E］</w:t>
      </w:r>
      <w:r>
        <w:rPr>
          <w:color w:val="000000"/>
          <w:spacing w:val="0"/>
          <w:w w:val="100"/>
          <w:position w:val="0"/>
        </w:rPr>
        <w:t>青岛中程</w:t>
      </w:r>
      <w:bookmarkEnd w:id="0"/>
      <w:bookmarkEnd w:id="1"/>
      <w:bookmarkEnd w:id="2"/>
    </w:p>
    <w:p>
      <w:pPr>
        <w:pStyle w:val="Style9"/>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 xml:space="preserve">mF </w:t>
      </w:r>
      <w:r>
        <w:rPr>
          <w:rFonts w:ascii="SimHei" w:eastAsia="SimHei" w:hAnsi="SimHei" w:cs="SimHei"/>
          <w:color w:val="CB5056"/>
          <w:spacing w:val="0"/>
          <w:w w:val="100"/>
          <w:position w:val="0"/>
          <w:sz w:val="24"/>
          <w:szCs w:val="24"/>
        </w:rPr>
        <w:t>—股票代码</w:t>
      </w:r>
      <w:r>
        <w:rPr>
          <w:rFonts w:ascii="SimHei" w:eastAsia="SimHei" w:hAnsi="SimHei" w:cs="SimHei"/>
          <w:spacing w:val="0"/>
          <w:w w:val="100"/>
          <w:position w:val="0"/>
          <w:sz w:val="24"/>
          <w:szCs w:val="24"/>
        </w:rPr>
        <w:t>：</w:t>
      </w:r>
      <w:r>
        <w:rPr>
          <w:spacing w:val="0"/>
          <w:w w:val="100"/>
          <w:position w:val="0"/>
        </w:rPr>
        <w:t>300208—</w:t>
      </w:r>
      <w:bookmarkEnd w:id="3"/>
      <w:bookmarkEnd w:id="4"/>
      <w:bookmarkEnd w:id="5"/>
    </w:p>
    <w:p>
      <w:pPr>
        <w:pStyle w:val="Style13"/>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青岛中资中程集团股份有限公司</w:t>
      </w:r>
    </w:p>
    <w:p>
      <w:pPr>
        <w:pStyle w:val="Style15"/>
        <w:keepNext/>
        <w:keepLines/>
        <w:widowControl w:val="0"/>
        <w:shd w:val="clear" w:color="auto" w:fill="auto"/>
        <w:bidi w:val="0"/>
        <w:spacing w:before="0" w:after="60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6"/>
      <w:bookmarkEnd w:id="7"/>
      <w:bookmarkEnd w:id="8"/>
    </w:p>
    <w:p>
      <w:pPr>
        <w:pStyle w:val="Style18"/>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962" w:right="1109" w:bottom="2962"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64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21"/>
        <w:keepNext w:val="0"/>
        <w:keepLines w:val="0"/>
        <w:widowControl w:val="0"/>
        <w:shd w:val="clear" w:color="auto" w:fill="auto"/>
        <w:bidi w:val="0"/>
        <w:spacing w:before="0" w:line="629" w:lineRule="exact"/>
        <w:ind w:left="0" w:right="0"/>
        <w:jc w:val="both"/>
      </w:pPr>
      <w:bookmarkStart w:id="12" w:name="bookmark12"/>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12"/>
    </w:p>
    <w:p>
      <w:pPr>
        <w:pStyle w:val="Style21"/>
        <w:keepNext w:val="0"/>
        <w:keepLines w:val="0"/>
        <w:widowControl w:val="0"/>
        <w:shd w:val="clear" w:color="auto" w:fill="auto"/>
        <w:bidi w:val="0"/>
        <w:spacing w:before="0" w:line="624" w:lineRule="exact"/>
        <w:ind w:left="0" w:right="0"/>
        <w:jc w:val="both"/>
      </w:pPr>
      <w:r>
        <w:rPr>
          <w:color w:val="000000"/>
          <w:spacing w:val="0"/>
          <w:w w:val="100"/>
          <w:position w:val="0"/>
        </w:rPr>
        <w:t>公司负责人李向罡、主管会计工作负责人陈荣东及会计机构负责人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李海峰声明：保证本年度报告中财务报告的真实、准确、完整。</w:t>
      </w:r>
    </w:p>
    <w:p>
      <w:pPr>
        <w:pStyle w:val="Style2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ind w:left="0" w:right="0"/>
        <w:jc w:val="both"/>
      </w:pPr>
      <w:r>
        <w:rPr>
          <w:color w:val="000000"/>
          <w:spacing w:val="0"/>
          <w:w w:val="100"/>
          <w:position w:val="0"/>
        </w:rPr>
        <w:t>公司报告期内业绩下滑主要的原因：</w:t>
      </w:r>
    </w:p>
    <w:p>
      <w:pPr>
        <w:pStyle w:val="Style21"/>
        <w:keepNext w:val="0"/>
        <w:keepLines w:val="0"/>
        <w:widowControl w:val="0"/>
        <w:shd w:val="clear" w:color="auto" w:fill="auto"/>
        <w:bidi w:val="0"/>
        <w:spacing w:before="0"/>
        <w:ind w:left="0" w:right="0"/>
        <w:jc w:val="both"/>
      </w:pPr>
      <w:r>
        <w:rPr>
          <w:color w:val="000000"/>
          <w:spacing w:val="0"/>
          <w:w w:val="100"/>
          <w:position w:val="0"/>
        </w:rPr>
        <w:t>一是因全球新冠疫情原因，公司海外业务在人员组织、物流等方面受到一 定影响，既定的经营计划未能全面完成；二是公司承接的菲律宾风光一体化项 目</w:t>
      </w:r>
      <w:r>
        <w:rPr>
          <w:rFonts w:ascii="Times New Roman" w:eastAsia="Times New Roman" w:hAnsi="Times New Roman" w:cs="Times New Roman"/>
          <w:color w:val="000000"/>
          <w:spacing w:val="0"/>
          <w:w w:val="100"/>
          <w:position w:val="0"/>
          <w:sz w:val="28"/>
          <w:szCs w:val="28"/>
        </w:rPr>
        <w:t>EPC</w:t>
      </w:r>
      <w:r>
        <w:rPr>
          <w:color w:val="000000"/>
          <w:spacing w:val="0"/>
          <w:w w:val="100"/>
          <w:position w:val="0"/>
        </w:rPr>
        <w:t>工程因业主方原因风电项目终止，经多次沟通谈判，公司在充分维护合 法权益的基础上，本着互谅的原则，最终与业主方于</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月签订补充协议， 因利润饶让，导致对本年度收入、利润影响较大；三是公司承接的印尼镍电项 目建设根据业主方需求进行了技术改造调整，使得设备的成本总预算较前期有 所上调，公司根据投入法核算的项目进度随之拉低，对本年度毛利产生一定影 响；四是公司为满足项目建设的资金需求，有息负债总量增加，导致利息费用 大幅增长。</w:t>
      </w:r>
    </w:p>
    <w:p>
      <w:pPr>
        <w:pStyle w:val="Style21"/>
        <w:keepNext w:val="0"/>
        <w:keepLines w:val="0"/>
        <w:widowControl w:val="0"/>
        <w:shd w:val="clear" w:color="auto" w:fill="auto"/>
        <w:bidi w:val="0"/>
        <w:spacing w:before="0" w:line="629" w:lineRule="exact"/>
        <w:ind w:left="0" w:right="0"/>
        <w:jc w:val="both"/>
      </w:pPr>
      <w:r>
        <w:rPr>
          <w:color w:val="000000"/>
          <w:spacing w:val="0"/>
          <w:w w:val="100"/>
          <w:position w:val="0"/>
        </w:rPr>
        <w:t>公司主营业务和核心竞争力未发生重大不利变化，除上述原因导致个别财 务指标发生变化外，不存在其他重大不利变化，亦不存在产能过剩、技术替代 等情况，持续经营能力不存在重大风险。</w:t>
      </w:r>
    </w:p>
    <w:p>
      <w:pPr>
        <w:pStyle w:val="Style21"/>
        <w:keepNext w:val="0"/>
        <w:keepLines w:val="0"/>
        <w:widowControl w:val="0"/>
        <w:shd w:val="clear" w:color="auto" w:fill="auto"/>
        <w:bidi w:val="0"/>
        <w:spacing w:before="0" w:after="0" w:line="625" w:lineRule="exact"/>
        <w:ind w:left="0" w:right="0"/>
        <w:jc w:val="both"/>
      </w:pPr>
      <w:r>
        <w:rPr>
          <w:color w:val="000000"/>
          <w:spacing w:val="0"/>
          <w:w w:val="100"/>
          <w:position w:val="0"/>
        </w:rPr>
        <w:t>下一步公司将多措并举，持续改善盈利能力：一是在疫情得到有效控制的 前提下，加快推进国外项目建设，力争早日达产并收取回款；二是在国内方面， 积极寻找并落地符合青岛市新旧动能转换战略的新兴产业，同时继续做好做大 国际、国内大宗商品贸易业务；三是公司充分发挥城投集团的信用优势，多渠 道、多方式降低融资成本。</w:t>
      </w:r>
    </w:p>
    <w:p>
      <w:pPr>
        <w:pStyle w:val="Style21"/>
        <w:keepNext w:val="0"/>
        <w:keepLines w:val="0"/>
        <w:widowControl w:val="0"/>
        <w:shd w:val="clear" w:color="auto" w:fill="auto"/>
        <w:bidi w:val="0"/>
        <w:spacing w:before="0" w:line="677"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中，详细描述了公司经营中可 能存在的风险及应对措施，敬请投资者关注相关内容。</w:t>
      </w:r>
    </w:p>
    <w:p>
      <w:pPr>
        <w:pStyle w:val="Style21"/>
        <w:keepNext w:val="0"/>
        <w:keepLines w:val="0"/>
        <w:widowControl w:val="0"/>
        <w:shd w:val="clear" w:color="auto" w:fill="auto"/>
        <w:bidi w:val="0"/>
        <w:spacing w:before="0" w:after="0" w:line="625" w:lineRule="exact"/>
        <w:ind w:left="0" w:right="0"/>
        <w:jc w:val="both"/>
        <w:sectPr>
          <w:headerReference w:type="default" r:id="rId7"/>
          <w:footerReference w:type="default" r:id="rId8"/>
          <w:footnotePr>
            <w:pos w:val="pageBottom"/>
            <w:numFmt w:val="decimal"/>
            <w:numRestart w:val="continuous"/>
          </w:footnotePr>
          <w:pgSz w:w="11900" w:h="16840"/>
          <w:pgMar w:top="1287" w:right="1105" w:bottom="1796" w:left="110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3"/>
        <w:keepNext w:val="0"/>
        <w:keepLines w:val="0"/>
        <w:widowControl w:val="0"/>
        <w:shd w:val="clear" w:color="auto" w:fill="auto"/>
        <w:bidi w:val="0"/>
        <w:spacing w:before="1420" w:after="158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6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99"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26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41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47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47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48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543"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62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63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pPr>
      <w:hyperlink w:anchor="bookmark1906"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184</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本公司、公司、青岛中程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青岛中资中程集团股份有限公司董事会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青岛中资中程集团股份有限公司监事会</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《青岛中资中程集团股份有限公司章程》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《创业板上市规则》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青岛国资委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青岛市人民政府国有资产监督管理委员会</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城投集团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青岛城市建设投资（集团）有限责任公司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城投金控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津巴布韦共和国</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南非共和国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菲律宾共和国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新加坡共和国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东加煤矿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青岛中资中程印尼东加煤矿有限公司，</w:t>
            </w:r>
            <w:r>
              <w:rPr>
                <w:rFonts w:ascii="Times New Roman" w:eastAsia="Times New Roman" w:hAnsi="Times New Roman" w:cs="Times New Roman"/>
                <w:color w:val="000000"/>
                <w:spacing w:val="0"/>
                <w:w w:val="100"/>
                <w:position w:val="0"/>
                <w:sz w:val="18"/>
                <w:szCs w:val="18"/>
              </w:rPr>
              <w:t>PT.Integra Prima Coal</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中加煤矿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青岛中资中程印尼中加煤矿有限公司，</w:t>
            </w:r>
            <w:r>
              <w:rPr>
                <w:rFonts w:ascii="Times New Roman" w:eastAsia="Times New Roman" w:hAnsi="Times New Roman" w:cs="Times New Roman"/>
                <w:color w:val="000000"/>
                <w:spacing w:val="0"/>
                <w:w w:val="100"/>
                <w:position w:val="0"/>
                <w:sz w:val="18"/>
                <w:szCs w:val="18"/>
              </w:rPr>
              <w:t>PT. CIS Resources</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青岛中资中程印尼苏岛镍矿有限公司，</w:t>
            </w:r>
            <w:r>
              <w:rPr>
                <w:rFonts w:ascii="Times New Roman" w:eastAsia="Times New Roman" w:hAnsi="Times New Roman" w:cs="Times New Roman"/>
                <w:color w:val="000000"/>
                <w:spacing w:val="0"/>
                <w:w w:val="100"/>
                <w:position w:val="0"/>
                <w:sz w:val="18"/>
                <w:szCs w:val="18"/>
              </w:rPr>
              <w:t>PT. Madani Sejahtera</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青岛中资中程印尼中苏镍矿有限公司，</w:t>
            </w:r>
            <w:r>
              <w:rPr>
                <w:rFonts w:ascii="Times New Roman" w:eastAsia="Times New Roman" w:hAnsi="Times New Roman" w:cs="Times New Roman"/>
                <w:color w:val="000000"/>
                <w:spacing w:val="0"/>
                <w:w w:val="100"/>
                <w:position w:val="0"/>
                <w:sz w:val="18"/>
                <w:szCs w:val="18"/>
              </w:rPr>
              <w:t>PT. Bumi Morowali Utama</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印尼帝汶岛锰矿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CA. Alam jaya</w:t>
            </w:r>
            <w:r>
              <w:rPr>
                <w:color w:val="000000"/>
                <w:spacing w:val="0"/>
                <w:w w:val="100"/>
                <w:position w:val="0"/>
              </w:rPr>
              <w:t>锰矿公司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ELPI</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LOGICS PHILIPPINES,INC</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PT.Artabumi Sentra Industri</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30"/>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sz w:val="24"/>
          <w:szCs w:val="24"/>
        </w:rPr>
        <w:t>一</w:t>
      </w:r>
      <w:bookmarkEnd w:id="22"/>
      <w:r>
        <w:rPr>
          <w:color w:val="000000"/>
          <w:spacing w:val="0"/>
          <w:w w:val="100"/>
          <w:position w:val="0"/>
          <w:sz w:val="24"/>
          <w:szCs w:val="24"/>
        </w:rPr>
        <w:t>、公司信息</w:t>
      </w:r>
      <w:bookmarkEnd w:id="20"/>
      <w:bookmarkEnd w:id="21"/>
      <w:bookmarkEnd w:id="23"/>
      <w:bookmarkEnd w:id="1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Zhongzi Zhongcheng Group Co.,Ltd.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QDZC</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"http://www.qdzzzc.com" </w:instrText>
            </w:r>
            <w:r>
              <w:fldChar w:fldCharType="separate"/>
            </w:r>
            <w:r>
              <w:rPr>
                <w:rFonts w:ascii="Times New Roman" w:eastAsia="Times New Roman" w:hAnsi="Times New Roman" w:cs="Times New Roman"/>
                <w:color w:val="000000"/>
                <w:spacing w:val="0"/>
                <w:w w:val="100"/>
                <w:position w:val="0"/>
                <w:sz w:val="18"/>
                <w:szCs w:val="18"/>
              </w:rPr>
              <w:t>www.qdzzzc.com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qdzhongcheng @qdzzzc .com</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赵子明</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青岛市崂山区秦岭路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号永新国际金融 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0532-68004136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0532-87712839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"mailto:hengshunzqb@188.com" </w:instrText>
            </w:r>
            <w:r>
              <w:fldChar w:fldCharType="separate"/>
            </w:r>
            <w:r>
              <w:rPr>
                <w:rFonts w:ascii="Times New Roman" w:eastAsia="Times New Roman" w:hAnsi="Times New Roman" w:cs="Times New Roman"/>
                <w:color w:val="000000"/>
                <w:spacing w:val="0"/>
                <w:w w:val="100"/>
                <w:position w:val="0"/>
                <w:sz w:val="18"/>
                <w:szCs w:val="18"/>
              </w:rPr>
              <w:t>hengshunzqb@188.com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青岛市崂山区秦岭路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号永新国际金融中心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层青岛中程证券部 办公室</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、其他有关资料</w:t>
      </w:r>
      <w:bookmarkEnd w:id="32"/>
      <w:bookmarkEnd w:id="33"/>
      <w:bookmarkEnd w:id="3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山东省济南市历下区文化东路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号盐业大厦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王伦刚，马春明</w:t>
            </w:r>
          </w:p>
        </w:tc>
      </w:tr>
    </w:tbl>
    <w:p>
      <w:pPr>
        <w:pStyle w:val="Style3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、主要会计数据和财务指标</w:t>
      </w:r>
      <w:bookmarkEnd w:id="36"/>
      <w:bookmarkEnd w:id="37"/>
      <w:bookmarkEnd w:id="3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757,037,879.84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1,299,782,646.77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-408,451,769.43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-259,368,579.84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188,027,560.07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-396,420,080.33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-257,898,943.89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189,678,948.93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88,911,673.10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-848,572,348.39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-625,468,540.07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4,600,691,210.48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5,746,807,951.29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5,088,908,170.43</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1,369,330,997.20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1,868,356,276.84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2,105,756,554.23</w:t>
            </w:r>
          </w:p>
        </w:tc>
      </w:tr>
    </w:tbl>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757,037,879.84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9,582,047.49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35,437,259.46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279,908,291.78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721,600,620.38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六</w:t>
      </w:r>
      <w:bookmarkEnd w:id="42"/>
      <w:r>
        <w:rPr>
          <w:color w:val="000000"/>
          <w:spacing w:val="0"/>
          <w:w w:val="100"/>
          <w:position w:val="0"/>
          <w:sz w:val="24"/>
          <w:szCs w:val="24"/>
        </w:rPr>
        <w:t>、分季度主要财务指标</w:t>
      </w:r>
      <w:bookmarkEnd w:id="40"/>
      <w:bookmarkEnd w:id="41"/>
      <w:bookmarkEnd w:id="43"/>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110,580,335.11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253,169,789.60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180,000,390.50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-254,260,175.94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25,580,442.41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3,221,468.27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-44,001,561.59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-393,252,118.52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25,217,481.54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5,715,409.30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-42,797,159.67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-384,555,811.50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152,608,842.89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-23,180,473.30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-79,037,256.39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38,520,559.90</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七</w:t>
      </w:r>
      <w:bookmarkEnd w:id="46"/>
      <w:r>
        <w:rPr>
          <w:color w:val="000000"/>
          <w:spacing w:val="0"/>
          <w:w w:val="100"/>
          <w:position w:val="0"/>
          <w:sz w:val="24"/>
          <w:szCs w:val="24"/>
        </w:rPr>
        <w:t>、</w:t>
        <w:tab/>
        <w:t>境内外会计准则下会计数据差异</w:t>
      </w:r>
      <w:bookmarkEnd w:id="44"/>
      <w:bookmarkEnd w:id="45"/>
      <w:bookmarkEnd w:id="47"/>
    </w:p>
    <w:p>
      <w:pPr>
        <w:pStyle w:val="Style37"/>
        <w:keepNext/>
        <w:keepLines/>
        <w:widowControl w:val="0"/>
        <w:shd w:val="clear" w:color="auto" w:fill="auto"/>
        <w:tabs>
          <w:tab w:pos="403" w:val="left"/>
        </w:tabs>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八</w:t>
      </w:r>
      <w:bookmarkEnd w:id="58"/>
      <w:r>
        <w:rPr>
          <w:color w:val="000000"/>
          <w:spacing w:val="0"/>
          <w:w w:val="100"/>
          <w:position w:val="0"/>
          <w:sz w:val="24"/>
          <w:szCs w:val="24"/>
        </w:rPr>
        <w:t>、</w:t>
        <w:tab/>
        <w:t>非经常性损益项目及金额</w:t>
      </w:r>
      <w:bookmarkEnd w:id="56"/>
      <w:bookmarkEnd w:id="57"/>
      <w:bookmarkEnd w:id="59"/>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-100,781.77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2,332,645.63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10,477,949.59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931,341.92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192,326.45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98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-15,274,146.14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-9,366,193.02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-5,455,976.25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455,883.60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2,504,983.30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-355,367.32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-12,031,689.10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-1,469,635.95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-1,651,388.86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446"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20" w:after="56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30"/>
        <w:keepNext/>
        <w:keepLines/>
        <w:widowControl w:val="0"/>
        <w:shd w:val="clear" w:color="auto" w:fill="auto"/>
        <w:bidi w:val="0"/>
        <w:spacing w:before="0" w:after="240" w:line="240" w:lineRule="auto"/>
        <w:ind w:left="0" w:right="0" w:firstLine="0"/>
        <w:jc w:val="left"/>
      </w:pPr>
      <w:bookmarkStart w:id="63" w:name="bookmark63"/>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、报告期内公司从事的主要业务</w:t>
      </w:r>
      <w:bookmarkEnd w:id="64"/>
      <w:bookmarkEnd w:id="65"/>
      <w:bookmarkEnd w:id="67"/>
      <w:bookmarkEnd w:id="63"/>
    </w:p>
    <w:p>
      <w:pPr>
        <w:pStyle w:val="Style34"/>
        <w:keepNext w:val="0"/>
        <w:keepLines w:val="0"/>
        <w:widowControl w:val="0"/>
        <w:shd w:val="clear" w:color="auto" w:fill="auto"/>
        <w:tabs>
          <w:tab w:pos="862" w:val="left"/>
        </w:tabs>
        <w:bidi w:val="0"/>
        <w:spacing w:before="0" w:after="0" w:line="313" w:lineRule="exact"/>
        <w:ind w:left="0" w:right="0"/>
        <w:jc w:val="both"/>
      </w:pPr>
      <w:bookmarkStart w:id="68" w:name="bookmark68"/>
      <w:r>
        <w:rPr>
          <w:b/>
          <w:bCs/>
          <w:color w:val="000000"/>
          <w:spacing w:val="0"/>
          <w:w w:val="100"/>
          <w:position w:val="0"/>
        </w:rPr>
        <w:t>（</w:t>
      </w:r>
      <w:bookmarkEnd w:id="68"/>
      <w:r>
        <w:rPr>
          <w:b/>
          <w:bCs/>
          <w:color w:val="000000"/>
          <w:spacing w:val="0"/>
          <w:w w:val="100"/>
          <w:position w:val="0"/>
        </w:rPr>
        <w:t>一）</w:t>
        <w:tab/>
        <w:t>主要业务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报告期内，公司以绿色电网建设、海外工业园区开发运营、国内外贸易经营等为主要业务，继续深耕拓展印尼、菲律宾、 新加坡等“一带一路”沿线国家和国内市场。</w:t>
      </w:r>
    </w:p>
    <w:p>
      <w:pPr>
        <w:pStyle w:val="Style34"/>
        <w:keepNext w:val="0"/>
        <w:keepLines w:val="0"/>
        <w:widowControl w:val="0"/>
        <w:shd w:val="clear" w:color="auto" w:fill="auto"/>
        <w:tabs>
          <w:tab w:pos="862" w:val="left"/>
        </w:tabs>
        <w:bidi w:val="0"/>
        <w:spacing w:before="0" w:after="0" w:line="313" w:lineRule="exact"/>
        <w:ind w:left="0" w:right="0"/>
        <w:jc w:val="both"/>
      </w:pPr>
      <w:bookmarkStart w:id="69" w:name="bookmark69"/>
      <w:r>
        <w:rPr>
          <w:b/>
          <w:bCs/>
          <w:color w:val="000000"/>
          <w:spacing w:val="0"/>
          <w:w w:val="100"/>
          <w:position w:val="0"/>
        </w:rPr>
        <w:t>（</w:t>
      </w:r>
      <w:bookmarkEnd w:id="69"/>
      <w:r>
        <w:rPr>
          <w:b/>
          <w:bCs/>
          <w:color w:val="000000"/>
          <w:spacing w:val="0"/>
          <w:w w:val="100"/>
          <w:position w:val="0"/>
        </w:rPr>
        <w:t>二）</w:t>
        <w:tab/>
        <w:t>经营模式</w:t>
      </w:r>
    </w:p>
    <w:p>
      <w:pPr>
        <w:pStyle w:val="Style34"/>
        <w:keepNext w:val="0"/>
        <w:keepLines w:val="0"/>
        <w:widowControl w:val="0"/>
        <w:shd w:val="clear" w:color="auto" w:fill="auto"/>
        <w:tabs>
          <w:tab w:pos="665" w:val="left"/>
        </w:tabs>
        <w:bidi w:val="0"/>
        <w:spacing w:before="0" w:after="0" w:line="313" w:lineRule="exact"/>
        <w:ind w:left="0" w:right="0"/>
        <w:jc w:val="both"/>
      </w:pPr>
      <w:bookmarkStart w:id="70" w:name="bookmark70"/>
      <w:r>
        <w:rPr>
          <w:rFonts w:ascii="Times New Roman" w:eastAsia="Times New Roman" w:hAnsi="Times New Roman" w:cs="Times New Roman"/>
          <w:b/>
          <w:bCs/>
          <w:color w:val="000000"/>
          <w:spacing w:val="0"/>
          <w:w w:val="100"/>
          <w:position w:val="0"/>
          <w:sz w:val="18"/>
          <w:szCs w:val="18"/>
        </w:rPr>
        <w:t>1</w:t>
      </w:r>
      <w:bookmarkEnd w:id="70"/>
      <w:r>
        <w:rPr>
          <w:b/>
          <w:bCs/>
          <w:color w:val="000000"/>
          <w:spacing w:val="0"/>
          <w:w w:val="100"/>
          <w:position w:val="0"/>
        </w:rPr>
        <w:t>、</w:t>
        <w:tab/>
        <w:t>海外工业园运营模式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公司在海外开发经营工业园，利用公司在当地政府关系、园区运营管理、资本运作等方面的基础优势，通过并购海外当 地土地、矿产资源，取得特许经营权，依托优异的园区自然条件、丰富的矿产资源、成熟的技术工艺和电力建设方面的核心 优势，以智慧园区建设为引领，遵循生态、环保、循环、可持续的园区经营理念，采用矿区、电能、厂房、道路、码头及行 政办公、生活居住等综合配套一体化，基础建设、综合金融、矿产开采、冶炼加工、电力能源、物流仓储、废渣综合利用等 环节全覆盖的园区经营模式，为入园企业提供全方位、全链条的增值服务，同时积极引入战略投资伙伴，最大化提高产品附 加值，为公司未来园区经营打下良好基础。</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在工业园招商入园的建设期，公司可向入园企业以市场公允价格提供冶炼所需成套设备，一方面能拉动国内设备出口， 转出国内优势产能，另一方面能够提高公司主营业务收入；在工业园区的运营期，公司可向入园企业提供冶炼所需的矿产原 料，降低入园企业运输及采购的成本，同时向入园企业提供水、电、物业等服务。经过资源整合，形成工业园上下游互惠共 赢的工业生态。同时公司提供完善的仓储物流服务，整合入园企业资源，降低入园企业相关成本，享受长期进出口物流收益。</w:t>
      </w:r>
    </w:p>
    <w:p>
      <w:pPr>
        <w:pStyle w:val="Style34"/>
        <w:keepNext w:val="0"/>
        <w:keepLines w:val="0"/>
        <w:widowControl w:val="0"/>
        <w:shd w:val="clear" w:color="auto" w:fill="auto"/>
        <w:tabs>
          <w:tab w:pos="679" w:val="left"/>
        </w:tabs>
        <w:bidi w:val="0"/>
        <w:spacing w:before="0" w:after="0" w:line="313" w:lineRule="exact"/>
        <w:ind w:left="0" w:right="0"/>
        <w:jc w:val="left"/>
      </w:pPr>
      <w:bookmarkStart w:id="71" w:name="bookmark71"/>
      <w:r>
        <w:rPr>
          <w:rFonts w:ascii="Times New Roman" w:eastAsia="Times New Roman" w:hAnsi="Times New Roman" w:cs="Times New Roman"/>
          <w:b/>
          <w:bCs/>
          <w:color w:val="000000"/>
          <w:spacing w:val="0"/>
          <w:w w:val="100"/>
          <w:position w:val="0"/>
          <w:sz w:val="18"/>
          <w:szCs w:val="18"/>
        </w:rPr>
        <w:t>2</w:t>
      </w:r>
      <w:bookmarkEnd w:id="71"/>
      <w:r>
        <w:rPr>
          <w:b/>
          <w:bCs/>
          <w:color w:val="000000"/>
          <w:spacing w:val="0"/>
          <w:w w:val="100"/>
          <w:position w:val="0"/>
        </w:rPr>
        <w:t>、</w:t>
        <w:tab/>
        <w:t>海外总承包项目运营模式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在国家“一带一路”倡议及“走出去”大战略的引导下，公司利用自身在电力建设方面的核心优势，在“一带一路”沿 线电力资源匮乏的印尼、菲律宾等国家进行产业布局。首先取得海外当地政府的有力支持，其次根据当地资源储备状况，与 海外有实力的公司进行电力建设项目工程总承包，坚持开拓绿色能源项目，把握价值链中的核心环节，充分拉动成套设备出 口，提高公司主营业务收入。</w:t>
      </w:r>
    </w:p>
    <w:p>
      <w:pPr>
        <w:pStyle w:val="Style34"/>
        <w:keepNext w:val="0"/>
        <w:keepLines w:val="0"/>
        <w:widowControl w:val="0"/>
        <w:shd w:val="clear" w:color="auto" w:fill="auto"/>
        <w:tabs>
          <w:tab w:pos="862" w:val="left"/>
        </w:tabs>
        <w:bidi w:val="0"/>
        <w:spacing w:before="0" w:after="0" w:line="313" w:lineRule="exact"/>
        <w:ind w:left="0" w:right="0"/>
        <w:jc w:val="both"/>
      </w:pPr>
      <w:bookmarkStart w:id="72" w:name="bookmark72"/>
      <w:r>
        <w:rPr>
          <w:b/>
          <w:bCs/>
          <w:color w:val="000000"/>
          <w:spacing w:val="0"/>
          <w:w w:val="100"/>
          <w:position w:val="0"/>
        </w:rPr>
        <w:t>（</w:t>
      </w:r>
      <w:bookmarkEnd w:id="72"/>
      <w:r>
        <w:rPr>
          <w:b/>
          <w:bCs/>
          <w:color w:val="000000"/>
          <w:spacing w:val="0"/>
          <w:w w:val="100"/>
          <w:position w:val="0"/>
        </w:rPr>
        <w:t>三）</w:t>
        <w:tab/>
        <w:t>主要业绩驱动因素</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公司报告期内业绩下滑的主要原因为:一是因全球新冠疫情原因，公司海外业务在人员组织、物流等方面受到一定影响， 既定的经营计划未能全面完成；二是公司承接的菲律宾风光一体化项目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工程因业主方原因风电项目终止，经多次沟通谈 判，公司在充分维护合法权益的基础上，本着互谅的原则，最终与业主方于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月签订补充协议，因利润饶让，导致对 本年度收入、利润影响较大；三是公司承接的印尼镍电项目建设根据业主方需求进行了技术改造调整，使得设备的成本总预 算较前期有所上调，公司根据投入法核算的项目进度随之拉低，对本年度毛利产生一定影响；四是公司为满足项目建设的资 金需求，有息负债总量增加，导致利息费用大幅增长。</w:t>
      </w:r>
    </w:p>
    <w:p>
      <w:pPr>
        <w:pStyle w:val="Style34"/>
        <w:keepNext w:val="0"/>
        <w:keepLines w:val="0"/>
        <w:widowControl w:val="0"/>
        <w:shd w:val="clear" w:color="auto" w:fill="auto"/>
        <w:tabs>
          <w:tab w:pos="862" w:val="left"/>
        </w:tabs>
        <w:bidi w:val="0"/>
        <w:spacing w:before="0" w:after="120" w:line="313" w:lineRule="exact"/>
        <w:ind w:left="0" w:right="0"/>
        <w:jc w:val="both"/>
      </w:pPr>
      <w:bookmarkStart w:id="73" w:name="bookmark73"/>
      <w:r>
        <w:rPr>
          <w:b/>
          <w:bCs/>
          <w:color w:val="000000"/>
          <w:spacing w:val="0"/>
          <w:w w:val="100"/>
          <w:position w:val="0"/>
        </w:rPr>
        <w:t>（</w:t>
      </w:r>
      <w:bookmarkEnd w:id="73"/>
      <w:r>
        <w:rPr>
          <w:b/>
          <w:bCs/>
          <w:color w:val="000000"/>
          <w:spacing w:val="0"/>
          <w:w w:val="100"/>
          <w:position w:val="0"/>
        </w:rPr>
        <w:t>四）</w:t>
        <w:tab/>
        <w:t>公司所属行业发展状况及公司所处的行业地位</w:t>
      </w:r>
    </w:p>
    <w:p>
      <w:pPr>
        <w:pStyle w:val="Style34"/>
        <w:keepNext w:val="0"/>
        <w:keepLines w:val="0"/>
        <w:widowControl w:val="0"/>
        <w:shd w:val="clear" w:color="auto" w:fill="auto"/>
        <w:bidi w:val="0"/>
        <w:spacing w:before="0" w:after="0" w:line="360" w:lineRule="auto"/>
        <w:ind w:left="0" w:right="0"/>
        <w:jc w:val="both"/>
      </w:pPr>
      <w:bookmarkStart w:id="74" w:name="bookmark74"/>
      <w:r>
        <w:rPr>
          <w:rFonts w:ascii="Times New Roman" w:eastAsia="Times New Roman" w:hAnsi="Times New Roman" w:cs="Times New Roman"/>
          <w:b/>
          <w:bCs/>
          <w:color w:val="000000"/>
          <w:spacing w:val="0"/>
          <w:w w:val="100"/>
          <w:position w:val="0"/>
          <w:sz w:val="18"/>
          <w:szCs w:val="18"/>
        </w:rPr>
        <w:t>1</w:t>
      </w:r>
      <w:bookmarkEnd w:id="74"/>
      <w:r>
        <w:rPr>
          <w:b/>
          <w:bCs/>
          <w:color w:val="000000"/>
          <w:spacing w:val="0"/>
          <w:w w:val="100"/>
          <w:position w:val="0"/>
        </w:rPr>
        <w:t>、海外园区建设</w:t>
      </w:r>
    </w:p>
    <w:p>
      <w:pPr>
        <w:pStyle w:val="Style34"/>
        <w:keepNext w:val="0"/>
        <w:keepLines w:val="0"/>
        <w:widowControl w:val="0"/>
        <w:shd w:val="clear" w:color="auto" w:fill="auto"/>
        <w:bidi w:val="0"/>
        <w:spacing w:before="0" w:after="40" w:line="313" w:lineRule="exact"/>
        <w:ind w:left="0" w:right="0"/>
        <w:jc w:val="both"/>
      </w:pPr>
      <w:r>
        <w:rPr>
          <w:color w:val="000000"/>
          <w:spacing w:val="0"/>
          <w:w w:val="100"/>
          <w:position w:val="0"/>
        </w:rPr>
        <w:t>“一带一路”政策推出以来，海外园区建设成为我国与沿线国家间合作的重要内容，企业通过在海外参与建设产业链完 整、配套完善、辐射能力强的加工区、工业园等各类园区，带动我国高端装备、先进技术标准和优势产能向境外转移，扩展 本土企业海外发展空间，同时促进东道国经济增长。“一带一路”沿线大多为发展中国家，工业现代化程度有待提高，为引 进国外资金、技术等资源，通常会为引入的园区建设项目提供相关支持政策。我国在“一带一路”沿线建立的海外园区主要 集中在制造业、能矿资源和农产品加工等领域；与此同时，海外园区项目正向着多元化方向发展，出现了商贸物流园区、科 技合作园等诸多形式。</w:t>
      </w:r>
    </w:p>
    <w:p>
      <w:pPr>
        <w:pStyle w:val="Style34"/>
        <w:keepNext w:val="0"/>
        <w:keepLines w:val="0"/>
        <w:widowControl w:val="0"/>
        <w:shd w:val="clear" w:color="auto" w:fill="auto"/>
        <w:bidi w:val="0"/>
        <w:spacing w:before="0" w:after="140" w:line="307" w:lineRule="exact"/>
        <w:ind w:left="0" w:right="0"/>
        <w:jc w:val="both"/>
      </w:pPr>
      <w:r>
        <w:rPr>
          <w:color w:val="000000"/>
          <w:spacing w:val="0"/>
          <w:w w:val="100"/>
          <w:position w:val="0"/>
        </w:rPr>
        <w:t>公司青岛印尼综合产业园项目作为中印尼双方的重要经贸成果之一，得到了项目所在国高层领导的认可和赞誉。项目受 到了《人民日报》、中央电视台等主流媒体的跟踪报道与高度关注。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年园区被成功纳入</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 xml:space="preserve">家国家级境外经济贸易合作 区名单，也被列为印尼“国家级工业园”，并被印尼投资促进部授予“绿色通道”服务许可。这一项目为带动当地就业及经 </w:t>
      </w:r>
      <w:r>
        <w:rPr>
          <w:color w:val="000000"/>
          <w:spacing w:val="0"/>
          <w:w w:val="100"/>
          <w:position w:val="0"/>
        </w:rPr>
        <w:t>济的发展发挥着重要作用，这也是公司深度融入国家“一带一路”建设的具体举措。</w:t>
      </w:r>
    </w:p>
    <w:p>
      <w:pPr>
        <w:pStyle w:val="Style34"/>
        <w:keepNext w:val="0"/>
        <w:keepLines w:val="0"/>
        <w:widowControl w:val="0"/>
        <w:shd w:val="clear" w:color="auto" w:fill="auto"/>
        <w:bidi w:val="0"/>
        <w:spacing w:before="0" w:after="0" w:line="360" w:lineRule="auto"/>
        <w:ind w:left="0" w:right="0"/>
        <w:jc w:val="left"/>
      </w:pPr>
      <w:bookmarkStart w:id="75" w:name="bookmark75"/>
      <w:r>
        <w:rPr>
          <w:rFonts w:ascii="Times New Roman" w:eastAsia="Times New Roman" w:hAnsi="Times New Roman" w:cs="Times New Roman"/>
          <w:b/>
          <w:bCs/>
          <w:color w:val="000000"/>
          <w:spacing w:val="0"/>
          <w:w w:val="100"/>
          <w:position w:val="0"/>
          <w:sz w:val="18"/>
          <w:szCs w:val="18"/>
        </w:rPr>
        <w:t>2</w:t>
      </w:r>
      <w:bookmarkEnd w:id="75"/>
      <w:r>
        <w:rPr>
          <w:b/>
          <w:bCs/>
          <w:color w:val="000000"/>
          <w:spacing w:val="0"/>
          <w:w w:val="100"/>
          <w:position w:val="0"/>
        </w:rPr>
        <w:t>、海外工程总承包</w:t>
      </w:r>
    </w:p>
    <w:p>
      <w:pPr>
        <w:pStyle w:val="Style34"/>
        <w:keepNext w:val="0"/>
        <w:keepLines w:val="0"/>
        <w:widowControl w:val="0"/>
        <w:shd w:val="clear" w:color="auto" w:fill="auto"/>
        <w:bidi w:val="0"/>
        <w:spacing w:before="0" w:after="40" w:line="312" w:lineRule="exact"/>
        <w:ind w:left="0" w:right="0"/>
        <w:jc w:val="left"/>
      </w:pPr>
      <w:r>
        <w:rPr>
          <w:color w:val="000000"/>
          <w:spacing w:val="0"/>
          <w:w w:val="100"/>
          <w:position w:val="0"/>
        </w:rPr>
        <w:t>通过海外承包工程，可以带动我国技术、劳务、设备及商品等多方面的出口，实现“一带一路”沿线国家共赢发展。</w:t>
      </w:r>
    </w:p>
    <w:p>
      <w:pPr>
        <w:pStyle w:val="Style34"/>
        <w:keepNext w:val="0"/>
        <w:keepLines w:val="0"/>
        <w:widowControl w:val="0"/>
        <w:shd w:val="clear" w:color="auto" w:fill="auto"/>
        <w:bidi w:val="0"/>
        <w:spacing w:before="0" w:after="40" w:line="307" w:lineRule="exact"/>
        <w:ind w:left="0" w:right="0"/>
        <w:jc w:val="left"/>
      </w:pPr>
      <w:r>
        <w:rPr>
          <w:color w:val="000000"/>
          <w:spacing w:val="0"/>
          <w:w w:val="100"/>
          <w:position w:val="0"/>
        </w:rPr>
        <w:t>菲律宾风光一体化项目作为公司在海外承建的第一个绿色新能源项目，也是中国企业在菲律宾最大的风电和光伏总承包 项目。该项目风电部分虽已终止执行，但光伏部分并网发电后，不仅能为公司在菲律宾市场的业务拓展及可持续发展奠定坚 实的基础，也将为“一带一路”沿线国家带去更多的机遇与“绿色”，对公司未来在菲律宾承接同类业务带来示范效应。</w:t>
      </w:r>
    </w:p>
    <w:p>
      <w:pPr>
        <w:pStyle w:val="Style34"/>
        <w:keepNext w:val="0"/>
        <w:keepLines w:val="0"/>
        <w:widowControl w:val="0"/>
        <w:shd w:val="clear" w:color="auto" w:fill="auto"/>
        <w:tabs>
          <w:tab w:pos="921" w:val="left"/>
        </w:tabs>
        <w:bidi w:val="0"/>
        <w:spacing w:before="0" w:after="40" w:line="312" w:lineRule="exact"/>
        <w:ind w:left="0" w:right="0"/>
        <w:jc w:val="left"/>
      </w:pPr>
      <w:bookmarkStart w:id="76" w:name="bookmark76"/>
      <w:r>
        <w:rPr>
          <w:b/>
          <w:bCs/>
          <w:color w:val="000000"/>
          <w:spacing w:val="0"/>
          <w:w w:val="100"/>
          <w:position w:val="0"/>
        </w:rPr>
        <w:t>（</w:t>
      </w:r>
      <w:bookmarkEnd w:id="76"/>
      <w:r>
        <w:rPr>
          <w:b/>
          <w:bCs/>
          <w:color w:val="000000"/>
          <w:spacing w:val="0"/>
          <w:w w:val="100"/>
          <w:position w:val="0"/>
        </w:rPr>
        <w:t>五）</w:t>
        <w:tab/>
        <w:t>行业主管部门在报告期内发布的重要政策及对公司的影响</w:t>
      </w:r>
    </w:p>
    <w:p>
      <w:pPr>
        <w:pStyle w:val="Style34"/>
        <w:keepNext w:val="0"/>
        <w:keepLines w:val="0"/>
        <w:widowControl w:val="0"/>
        <w:shd w:val="clear" w:color="auto" w:fill="auto"/>
        <w:bidi w:val="0"/>
        <w:spacing w:before="0" w:after="40" w:line="312" w:lineRule="exact"/>
        <w:ind w:left="0" w:right="0"/>
        <w:jc w:val="left"/>
      </w:pPr>
      <w:r>
        <w:rPr>
          <w:color w:val="000000"/>
          <w:spacing w:val="0"/>
          <w:w w:val="100"/>
          <w:position w:val="0"/>
        </w:rPr>
        <w:t>报告期内，我国相继发布了《商务部办公厅关于加强境外经贸合作区疫情防控工作的通知》、《商务部办公厅关于请继 续做好对外承包工程领域应对新冠肺炎疫情有关工作的通知》等政策文件，公司根据上述政策文件，密切关注疫情发展和形 势变化，及时梳理及评估疫情持续可能带来的潜在风险，提前制定应对措施，完善应急预案，降低项目风险及损失。</w:t>
      </w:r>
    </w:p>
    <w:p>
      <w:pPr>
        <w:pStyle w:val="Style34"/>
        <w:keepNext w:val="0"/>
        <w:keepLines w:val="0"/>
        <w:widowControl w:val="0"/>
        <w:shd w:val="clear" w:color="auto" w:fill="auto"/>
        <w:tabs>
          <w:tab w:pos="921" w:val="left"/>
        </w:tabs>
        <w:bidi w:val="0"/>
        <w:spacing w:before="0" w:after="40" w:line="312" w:lineRule="exact"/>
        <w:ind w:left="0" w:right="0"/>
        <w:jc w:val="left"/>
      </w:pPr>
      <w:bookmarkStart w:id="77" w:name="bookmark77"/>
      <w:r>
        <w:rPr>
          <w:b/>
          <w:bCs/>
          <w:color w:val="000000"/>
          <w:spacing w:val="0"/>
          <w:w w:val="100"/>
          <w:position w:val="0"/>
        </w:rPr>
        <w:t>（</w:t>
      </w:r>
      <w:bookmarkEnd w:id="77"/>
      <w:r>
        <w:rPr>
          <w:b/>
          <w:bCs/>
          <w:color w:val="000000"/>
          <w:spacing w:val="0"/>
          <w:w w:val="100"/>
          <w:position w:val="0"/>
        </w:rPr>
        <w:t>六）</w:t>
        <w:tab/>
        <w:t>公司的主要行业优势</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公司围绕电力、园区开发为中心向相关产业进行辐射，作为青岛城投集团控股的上市公司，可以充分利用国有企业在资 源、管理、规范化运作等方面的优势，有效解决企业的资金困局，为公司海外项目的发展提供有力的支撑。</w:t>
      </w:r>
    </w:p>
    <w:p>
      <w:pPr>
        <w:pStyle w:val="Style34"/>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号——上市公司从事固体矿产资源相关业务》的披露要求 报告期内，公司未进行矿产勘探活动。</w:t>
      </w:r>
    </w:p>
    <w:p>
      <w:pPr>
        <w:pStyle w:val="Style30"/>
        <w:keepNext/>
        <w:keepLines/>
        <w:widowControl w:val="0"/>
        <w:shd w:val="clear" w:color="auto" w:fill="auto"/>
        <w:bidi w:val="0"/>
        <w:spacing w:before="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、主要资产重大变化情况</w:t>
      </w:r>
      <w:bookmarkEnd w:id="78"/>
      <w:bookmarkEnd w:id="79"/>
      <w:bookmarkEnd w:id="81"/>
    </w:p>
    <w:p>
      <w:pPr>
        <w:pStyle w:val="Style37"/>
        <w:keepNext/>
        <w:keepLines/>
        <w:widowControl w:val="0"/>
        <w:shd w:val="clear" w:color="auto" w:fill="auto"/>
        <w:bidi w:val="0"/>
        <w:spacing w:before="0" w:after="32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、主要资产重大变化情况</w:t>
      </w:r>
      <w:bookmarkEnd w:id="82"/>
      <w:bookmarkEnd w:id="83"/>
      <w:bookmarkEnd w:id="85"/>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报告期期末较期初减少</w:t>
            </w:r>
            <w:r>
              <w:rPr>
                <w:rFonts w:ascii="Times New Roman" w:eastAsia="Times New Roman" w:hAnsi="Times New Roman" w:cs="Times New Roman"/>
                <w:color w:val="000000"/>
                <w:spacing w:val="0"/>
                <w:w w:val="100"/>
                <w:position w:val="0"/>
                <w:sz w:val="18"/>
                <w:szCs w:val="18"/>
              </w:rPr>
              <w:t>32.23%</w:t>
            </w:r>
            <w:r>
              <w:rPr>
                <w:color w:val="000000"/>
                <w:spacing w:val="0"/>
                <w:w w:val="100"/>
                <w:position w:val="0"/>
              </w:rPr>
              <w:t>，主要是本报告期计提股权减值所致。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报告期期末较期初减少</w:t>
            </w:r>
            <w:r>
              <w:rPr>
                <w:rFonts w:ascii="Times New Roman" w:eastAsia="Times New Roman" w:hAnsi="Times New Roman" w:cs="Times New Roman"/>
                <w:color w:val="000000"/>
                <w:spacing w:val="0"/>
                <w:w w:val="100"/>
                <w:position w:val="0"/>
                <w:sz w:val="18"/>
                <w:szCs w:val="18"/>
              </w:rPr>
              <w:t>71.62%</w:t>
            </w:r>
            <w:r>
              <w:rPr>
                <w:color w:val="000000"/>
                <w:spacing w:val="0"/>
                <w:w w:val="100"/>
                <w:position w:val="0"/>
              </w:rPr>
              <w:t>，主要是本报告期偿还到期借款所致。</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报告期期末较期初减少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，主要是本报告期已背书未到期的应收票据减少所致。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报告期期末较期初减少</w:t>
            </w:r>
            <w:r>
              <w:rPr>
                <w:rFonts w:ascii="Times New Roman" w:eastAsia="Times New Roman" w:hAnsi="Times New Roman" w:cs="Times New Roman"/>
                <w:color w:val="000000"/>
                <w:spacing w:val="0"/>
                <w:w w:val="100"/>
                <w:position w:val="0"/>
                <w:sz w:val="18"/>
                <w:szCs w:val="18"/>
              </w:rPr>
              <w:t>48.17%</w:t>
            </w:r>
            <w:r>
              <w:rPr>
                <w:color w:val="000000"/>
                <w:spacing w:val="0"/>
                <w:w w:val="100"/>
                <w:position w:val="0"/>
              </w:rPr>
              <w:t>，主要是本报告期销售货物收到回款所致。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报告期期末较期初增加</w:t>
            </w:r>
            <w:r>
              <w:rPr>
                <w:rFonts w:ascii="Times New Roman" w:eastAsia="Times New Roman" w:hAnsi="Times New Roman" w:cs="Times New Roman"/>
                <w:color w:val="000000"/>
                <w:spacing w:val="0"/>
                <w:w w:val="100"/>
                <w:position w:val="0"/>
                <w:sz w:val="18"/>
                <w:szCs w:val="18"/>
              </w:rPr>
              <w:t>60.97%</w:t>
            </w:r>
            <w:r>
              <w:rPr>
                <w:color w:val="000000"/>
                <w:spacing w:val="0"/>
                <w:w w:val="100"/>
                <w:position w:val="0"/>
              </w:rPr>
              <w:t>，主要是本报告期公司经营亏损计提递延所得税资产 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报告期期末较期初增加</w:t>
            </w:r>
            <w:r>
              <w:rPr>
                <w:rFonts w:ascii="Times New Roman" w:eastAsia="Times New Roman" w:hAnsi="Times New Roman" w:cs="Times New Roman"/>
                <w:color w:val="000000"/>
                <w:spacing w:val="0"/>
                <w:w w:val="100"/>
                <w:position w:val="0"/>
                <w:sz w:val="18"/>
                <w:szCs w:val="18"/>
              </w:rPr>
              <w:t>94.39%</w:t>
            </w:r>
            <w:r>
              <w:rPr>
                <w:color w:val="000000"/>
                <w:spacing w:val="0"/>
                <w:w w:val="100"/>
                <w:position w:val="0"/>
              </w:rPr>
              <w:t>，主要是本报告期预付的在建工程工程款增加所致。</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报告期期末较期初减少</w:t>
            </w:r>
            <w:r>
              <w:rPr>
                <w:rFonts w:ascii="Times New Roman" w:eastAsia="Times New Roman" w:hAnsi="Times New Roman" w:cs="Times New Roman"/>
                <w:color w:val="000000"/>
                <w:spacing w:val="0"/>
                <w:w w:val="100"/>
                <w:position w:val="0"/>
                <w:sz w:val="18"/>
                <w:szCs w:val="18"/>
              </w:rPr>
              <w:t>88.45%</w:t>
            </w:r>
            <w:r>
              <w:rPr>
                <w:color w:val="000000"/>
                <w:spacing w:val="0"/>
                <w:w w:val="100"/>
                <w:position w:val="0"/>
              </w:rPr>
              <w:t>，主要是本报告期公司收到出口退税款重分类减少所 致。</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报告期期末较期初增加</w:t>
            </w:r>
            <w:r>
              <w:rPr>
                <w:rFonts w:ascii="Times New Roman" w:eastAsia="Times New Roman" w:hAnsi="Times New Roman" w:cs="Times New Roman"/>
                <w:color w:val="000000"/>
                <w:spacing w:val="0"/>
                <w:w w:val="100"/>
                <w:position w:val="0"/>
                <w:sz w:val="18"/>
                <w:szCs w:val="18"/>
              </w:rPr>
              <w:t>1671.72%</w:t>
            </w:r>
            <w:r>
              <w:rPr>
                <w:color w:val="000000"/>
                <w:spacing w:val="0"/>
                <w:w w:val="100"/>
                <w:position w:val="0"/>
              </w:rPr>
              <w:t>，主要是本报告期公司与入园企业签订租赁协议， 将出租土地对应的资产转为“投资性房地产”所致。</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、主要境外资产情况</w:t>
      </w:r>
      <w:bookmarkEnd w:id="86"/>
      <w:bookmarkEnd w:id="87"/>
      <w:bookmarkEnd w:id="89"/>
    </w:p>
    <w:p>
      <w:pPr>
        <w:pStyle w:val="Style3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三</w:t>
      </w:r>
      <w:bookmarkEnd w:id="92"/>
      <w:r>
        <w:rPr>
          <w:color w:val="000000"/>
          <w:spacing w:val="0"/>
          <w:w w:val="100"/>
          <w:position w:val="0"/>
          <w:sz w:val="24"/>
          <w:szCs w:val="24"/>
        </w:rPr>
        <w:t>、核心竞争力分析</w:t>
      </w:r>
      <w:bookmarkEnd w:id="90"/>
      <w:bookmarkEnd w:id="91"/>
      <w:bookmarkEnd w:id="93"/>
    </w:p>
    <w:p>
      <w:pPr>
        <w:pStyle w:val="Style34"/>
        <w:keepNext w:val="0"/>
        <w:keepLines w:val="0"/>
        <w:widowControl w:val="0"/>
        <w:shd w:val="clear" w:color="auto" w:fill="auto"/>
        <w:tabs>
          <w:tab w:pos="664" w:val="left"/>
        </w:tabs>
        <w:bidi w:val="0"/>
        <w:spacing w:before="0" w:after="0" w:line="312" w:lineRule="exact"/>
        <w:ind w:left="0" w:right="0"/>
        <w:jc w:val="both"/>
      </w:pPr>
      <w:bookmarkStart w:id="94" w:name="bookmark94"/>
      <w:r>
        <w:rPr>
          <w:rFonts w:ascii="Times New Roman" w:eastAsia="Times New Roman" w:hAnsi="Times New Roman" w:cs="Times New Roman"/>
          <w:b/>
          <w:bCs/>
          <w:color w:val="000000"/>
          <w:spacing w:val="0"/>
          <w:w w:val="100"/>
          <w:position w:val="0"/>
          <w:sz w:val="18"/>
          <w:szCs w:val="18"/>
        </w:rPr>
        <w:t>1</w:t>
      </w:r>
      <w:bookmarkEnd w:id="94"/>
      <w:r>
        <w:rPr>
          <w:b/>
          <w:bCs/>
          <w:color w:val="000000"/>
          <w:spacing w:val="0"/>
          <w:w w:val="100"/>
          <w:position w:val="0"/>
        </w:rPr>
        <w:t>、</w:t>
        <w:tab/>
        <w:t>海外项目运营优势</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公司深耕海外市场多年，在印尼、菲律宾、津巴布韦等国家积累了丰富的海外项目运营经验及政商资源，能够保障拟开 展项目更顺利的取得准入资格。此外，公司目前在印尼加里曼丹省持有的中加煤矿约</w:t>
      </w:r>
      <w:r>
        <w:rPr>
          <w:rFonts w:ascii="Times New Roman" w:eastAsia="Times New Roman" w:hAnsi="Times New Roman" w:cs="Times New Roman"/>
          <w:color w:val="000000"/>
          <w:spacing w:val="0"/>
          <w:w w:val="100"/>
          <w:position w:val="0"/>
          <w:sz w:val="18"/>
          <w:szCs w:val="18"/>
        </w:rPr>
        <w:t>2212</w:t>
      </w:r>
      <w:r>
        <w:rPr>
          <w:color w:val="000000"/>
          <w:spacing w:val="0"/>
          <w:w w:val="100"/>
          <w:position w:val="0"/>
        </w:rPr>
        <w:t>公顷（公司持有</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的股权），持 有的东加煤矿约</w:t>
      </w:r>
      <w:r>
        <w:rPr>
          <w:rFonts w:ascii="Times New Roman" w:eastAsia="Times New Roman" w:hAnsi="Times New Roman" w:cs="Times New Roman"/>
          <w:color w:val="000000"/>
          <w:spacing w:val="0"/>
          <w:w w:val="100"/>
          <w:position w:val="0"/>
          <w:sz w:val="18"/>
          <w:szCs w:val="18"/>
        </w:rPr>
        <w:t>1253</w:t>
      </w:r>
      <w:r>
        <w:rPr>
          <w:color w:val="000000"/>
          <w:spacing w:val="0"/>
          <w:w w:val="100"/>
          <w:position w:val="0"/>
        </w:rPr>
        <w:t>公顷（公司持有</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的股权），在印尼苏拉威西省持有的</w:t>
      </w: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公顷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公司持有</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持有的</w:t>
      </w: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公顷（公司对该镍矿持有</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的收益权）</w:t>
      </w:r>
      <w:r>
        <w:rPr>
          <w:i/>
          <w:iCs/>
          <w:color w:val="000000"/>
          <w:spacing w:val="0"/>
          <w:w w:val="100"/>
          <w:position w:val="0"/>
        </w:rPr>
        <w:t>，</w:t>
      </w:r>
      <w:r>
        <w:rPr>
          <w:color w:val="000000"/>
          <w:spacing w:val="0"/>
          <w:w w:val="100"/>
          <w:position w:val="0"/>
        </w:rPr>
        <w:t>公司取得了上述矿产的探矿权及采矿权。公司收购的印 尼帝汶岛锰矿约</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公顷（公司持有</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日收购完成。矿产资源具有不可再生性的特点，因此， 丰富的矿产资源储量为公司海外项目的建设及运营创立了先发优势、资源优势。</w:t>
      </w:r>
    </w:p>
    <w:p>
      <w:pPr>
        <w:pStyle w:val="Style34"/>
        <w:keepNext w:val="0"/>
        <w:keepLines w:val="0"/>
        <w:widowControl w:val="0"/>
        <w:shd w:val="clear" w:color="auto" w:fill="auto"/>
        <w:tabs>
          <w:tab w:pos="678" w:val="left"/>
        </w:tabs>
        <w:bidi w:val="0"/>
        <w:spacing w:before="0" w:after="0" w:line="360" w:lineRule="auto"/>
        <w:ind w:left="0" w:right="0"/>
        <w:jc w:val="both"/>
      </w:pPr>
      <w:bookmarkStart w:id="95" w:name="bookmark95"/>
      <w:r>
        <w:rPr>
          <w:rFonts w:ascii="Times New Roman" w:eastAsia="Times New Roman" w:hAnsi="Times New Roman" w:cs="Times New Roman"/>
          <w:b/>
          <w:bCs/>
          <w:color w:val="000000"/>
          <w:spacing w:val="0"/>
          <w:w w:val="100"/>
          <w:position w:val="0"/>
          <w:sz w:val="18"/>
          <w:szCs w:val="18"/>
        </w:rPr>
        <w:t>2</w:t>
      </w:r>
      <w:bookmarkEnd w:id="95"/>
      <w:r>
        <w:rPr>
          <w:b/>
          <w:bCs/>
          <w:color w:val="000000"/>
          <w:spacing w:val="0"/>
          <w:w w:val="100"/>
          <w:position w:val="0"/>
        </w:rPr>
        <w:t>、</w:t>
        <w:tab/>
        <w:t>管理体系优势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经过长期的沉淀积累，公司在工程管理、客户管理、供应商管理等方面积累了丰富的经验，建立了严格规范的管理体系， 持续有效地提升公司的市场竞争力和竞争优势。公司自成立以来一直注重管理制度的创新和管理团队的建设，公司的董事会 和管理层成员，普遍具备丰富的行业从业经验或多年财务、管理经验。此外，公司大力推进信息化建设，采用自动化办公管 理系统，提升了公司各部门间对接的工作效率，进一步增强了公司对各个部门业务的管理控制能力。</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公司积极推行“以人为本”的人才发展战略，制定了 “内培外引”的人才梯队建设机制：一方面着力“内培”完善内部 人才培养晋升渠道，使契合公司“企业文化”和“企业价值观”的人才具有清晰明确的成长目标；另一方面充分利用多种渠 道吸引高端人才，不断扩充和培养骨干队伍。为满足快速发展需要，公司不断引进高学历、高素质人才，持续优化人才队伍 的知识结构和年龄结构；建立学习型组织氛围，持续开展内部培训、技能等级认定。目前，公司已形成系统的人才招聘、培 养、晋升等制度，建立了具有充分竞争力的激励机制，聚集了一批技术骨干、操作能手，形成了老中青相结合的年龄结构合 理、知识互补性强、专业突出的人才梯队，为公司建立优秀的管理团队和人才队伍提供了充分保障，为公司的未来发展奠定 了坚实的基础。</w:t>
      </w:r>
    </w:p>
    <w:p>
      <w:pPr>
        <w:pStyle w:val="Style34"/>
        <w:keepNext w:val="0"/>
        <w:keepLines w:val="0"/>
        <w:widowControl w:val="0"/>
        <w:shd w:val="clear" w:color="auto" w:fill="auto"/>
        <w:tabs>
          <w:tab w:pos="678" w:val="left"/>
        </w:tabs>
        <w:bidi w:val="0"/>
        <w:spacing w:before="0" w:after="0" w:line="312" w:lineRule="exact"/>
        <w:ind w:left="0" w:right="0"/>
        <w:jc w:val="both"/>
      </w:pPr>
      <w:bookmarkStart w:id="96" w:name="bookmark96"/>
      <w:r>
        <w:rPr>
          <w:rFonts w:ascii="Times New Roman" w:eastAsia="Times New Roman" w:hAnsi="Times New Roman" w:cs="Times New Roman"/>
          <w:b/>
          <w:bCs/>
          <w:color w:val="000000"/>
          <w:spacing w:val="0"/>
          <w:w w:val="100"/>
          <w:position w:val="0"/>
          <w:sz w:val="18"/>
          <w:szCs w:val="18"/>
        </w:rPr>
        <w:t>3</w:t>
      </w:r>
      <w:bookmarkEnd w:id="96"/>
      <w:r>
        <w:rPr>
          <w:b/>
          <w:bCs/>
          <w:color w:val="000000"/>
          <w:spacing w:val="0"/>
          <w:w w:val="100"/>
          <w:position w:val="0"/>
        </w:rPr>
        <w:t>、</w:t>
        <w:tab/>
        <w:t>技术及人才优势</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公司自设立以来，不断了解市场前沿动态，持续跟踪技术发展方向，先后荣获“工业技术创新奖”、“市级工程技术研 究中心”等称号，奠定了公司的技术基础；获得“市长质量奖”、“先进民营企业称号”、“山东省著名商标”、“青岛市 守合同重信用企业”、“省级管理文明先进单位、“进出口业务先进企业”、“优秀内资企业”、“纳税跨越先进企业”等 称号，为公司建立了良好的品牌声誉。截至本报告期末，公司拥有自主知识产权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余项，包括发明专利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项，实用新型专利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项，涵盖电力设备生产、余热发电、</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冶炼、风力发电及光伏发电等方面的专业技术。</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此外，公司先后引进矿产冶炼、电厂建设工程等专业人才团队，加强产品的技术研发及改进，不断推进产品优化升级。 通过多年的人才经营，公司培养造就了一批在电力设备生产、</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冶炼、绿色电网建设等领域研发的骨干力量，为公司项 目的技术创新打下了坚实的人才基础。</w:t>
      </w:r>
    </w:p>
    <w:p>
      <w:pPr>
        <w:pStyle w:val="Style34"/>
        <w:keepNext w:val="0"/>
        <w:keepLines w:val="0"/>
        <w:widowControl w:val="0"/>
        <w:shd w:val="clear" w:color="auto" w:fill="auto"/>
        <w:tabs>
          <w:tab w:pos="674" w:val="left"/>
        </w:tabs>
        <w:bidi w:val="0"/>
        <w:spacing w:before="0" w:after="0" w:line="312" w:lineRule="exact"/>
        <w:ind w:left="0" w:right="0"/>
        <w:jc w:val="both"/>
      </w:pPr>
      <w:bookmarkStart w:id="97" w:name="bookmark97"/>
      <w:r>
        <w:rPr>
          <w:rFonts w:ascii="Times New Roman" w:eastAsia="Times New Roman" w:hAnsi="Times New Roman" w:cs="Times New Roman"/>
          <w:b/>
          <w:bCs/>
          <w:color w:val="000000"/>
          <w:spacing w:val="0"/>
          <w:w w:val="100"/>
          <w:position w:val="0"/>
          <w:sz w:val="18"/>
          <w:szCs w:val="18"/>
        </w:rPr>
        <w:t>4</w:t>
      </w:r>
      <w:bookmarkEnd w:id="97"/>
      <w:r>
        <w:rPr>
          <w:b/>
          <w:bCs/>
          <w:color w:val="000000"/>
          <w:spacing w:val="0"/>
          <w:w w:val="100"/>
          <w:position w:val="0"/>
        </w:rPr>
        <w:t>、</w:t>
        <w:tab/>
        <w:t>混改融合发展优势</w:t>
      </w:r>
    </w:p>
    <w:p>
      <w:pPr>
        <w:pStyle w:val="Style34"/>
        <w:keepNext w:val="0"/>
        <w:keepLines w:val="0"/>
        <w:widowControl w:val="0"/>
        <w:shd w:val="clear" w:color="auto" w:fill="auto"/>
        <w:bidi w:val="0"/>
        <w:spacing w:before="0" w:after="0" w:line="314" w:lineRule="exact"/>
        <w:ind w:left="0" w:right="0" w:firstLine="300"/>
        <w:jc w:val="both"/>
        <w:sectPr>
          <w:footnotePr>
            <w:pos w:val="pageBottom"/>
            <w:numFmt w:val="decimal"/>
            <w:numRestart w:val="continuous"/>
          </w:footnotePr>
          <w:pgSz w:w="11900" w:h="16840"/>
          <w:pgMar w:top="1383" w:right="1023" w:bottom="1503" w:left="1099" w:header="0" w:footer="3" w:gutter="0"/>
          <w:cols w:space="720"/>
          <w:noEndnote/>
          <w:rtlGutter w:val="0"/>
          <w:docGrid w:linePitch="360"/>
        </w:sectPr>
      </w:pPr>
      <w:r>
        <w:rPr>
          <w:color w:val="000000"/>
          <w:spacing w:val="0"/>
          <w:w w:val="100"/>
          <w:position w:val="0"/>
        </w:rPr>
        <w:t>目前，青岛城投金控是公司最大单一表决权股东，公司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的混改融合发展模式，充分利用了青岛城投集团作 为国有企业在资源、管理、规范化运作等方面的优势，有效解决了企业的资金困局，为公司海外项目的发展提供了有力的支 撑。未来，双方还会继续加快在价值观、战略布局、内外部管理等层面的全面深度融合，将城投集团的平台资源和管理优势 与青岛中程的海外园区开发建设经验等有机结合，推动企业快速发展。</w:t>
      </w:r>
    </w:p>
    <w:p>
      <w:pPr>
        <w:pStyle w:val="Style15"/>
        <w:keepNext/>
        <w:keepLines/>
        <w:widowControl w:val="0"/>
        <w:shd w:val="clear" w:color="auto" w:fill="auto"/>
        <w:bidi w:val="0"/>
        <w:spacing w:before="600" w:after="540" w:line="240" w:lineRule="auto"/>
        <w:ind w:left="0" w:right="0" w:firstLine="0"/>
        <w:jc w:val="center"/>
      </w:pPr>
      <w:bookmarkStart w:id="100" w:name="bookmark100"/>
      <w:bookmarkStart w:id="98" w:name="bookmark98"/>
      <w:bookmarkStart w:id="99" w:name="bookmark99"/>
      <w:r>
        <w:rPr>
          <w:color w:val="000000"/>
          <w:spacing w:val="0"/>
          <w:w w:val="100"/>
          <w:position w:val="0"/>
        </w:rPr>
        <w:t>第四节经营情况讨论与分析</w:t>
      </w:r>
      <w:bookmarkEnd w:id="100"/>
      <w:bookmarkEnd w:id="98"/>
      <w:bookmarkEnd w:id="99"/>
    </w:p>
    <w:p>
      <w:pPr>
        <w:pStyle w:val="Style30"/>
        <w:keepNext/>
        <w:keepLines/>
        <w:widowControl w:val="0"/>
        <w:shd w:val="clear" w:color="auto" w:fill="auto"/>
        <w:bidi w:val="0"/>
        <w:spacing w:before="0" w:after="240" w:line="240" w:lineRule="auto"/>
        <w:ind w:left="0" w:right="0" w:firstLine="0"/>
        <w:jc w:val="left"/>
      </w:pPr>
      <w:bookmarkStart w:id="101" w:name="bookmark101"/>
      <w:bookmarkStart w:id="102" w:name="bookmark102"/>
      <w:bookmarkStart w:id="103" w:name="bookmark103"/>
      <w:bookmarkStart w:id="104" w:name="bookmark104"/>
      <w:bookmarkStart w:id="105" w:name="bookmark105"/>
      <w:r>
        <w:rPr>
          <w:color w:val="000000"/>
          <w:spacing w:val="0"/>
          <w:w w:val="100"/>
          <w:position w:val="0"/>
          <w:sz w:val="24"/>
          <w:szCs w:val="24"/>
        </w:rPr>
        <w:t>一</w:t>
      </w:r>
      <w:bookmarkEnd w:id="104"/>
      <w:r>
        <w:rPr>
          <w:color w:val="000000"/>
          <w:spacing w:val="0"/>
          <w:w w:val="100"/>
          <w:position w:val="0"/>
          <w:sz w:val="24"/>
          <w:szCs w:val="24"/>
        </w:rPr>
        <w:t>、概述</w:t>
      </w:r>
      <w:bookmarkEnd w:id="102"/>
      <w:bookmarkEnd w:id="103"/>
      <w:bookmarkEnd w:id="105"/>
      <w:bookmarkEnd w:id="101"/>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报告期内，公司围绕年度经营计划，以规范化国有控股上市公司治理为引领，坚持国内海外业务双轮驱动战略，进一步 理顺组织管理架构，加强公司内部管理，积极做好疫情防控工作。在海外继续推进重点项目建设，推动技术改造；在国内优 化股权投资结构，处置低效资产，加大融资力度，强化回款，努力实现开源节流；同时进一步寻找工业园区投资开发与运营、 特种有色金属矿产开发及产业链整合等业务的拓展机会，挖掘增长动能，在资本市场塑造经营规范、前景良好，具有投资价 值的企业形象。</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受国内外新型冠状病毒肺炎疫情的影响，公司海外</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项目进度有所放缓，同时由于公司战略转型及项目资源优化整合 的需要，包括终止菲律宾风电项目、印尼镍电项目技术改造等因素，导致本年度营业收入、利润均出现下滑。</w:t>
      </w:r>
    </w:p>
    <w:p>
      <w:pPr>
        <w:pStyle w:val="Style34"/>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28,949.03</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61.76%</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53,898.58</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26.63%</w:t>
      </w:r>
      <w:r>
        <w:rPr>
          <w:color w:val="000000"/>
          <w:spacing w:val="0"/>
          <w:w w:val="100"/>
          <w:position w:val="0"/>
        </w:rPr>
        <w:t>, 实现营业利润</w:t>
      </w:r>
      <w:r>
        <w:rPr>
          <w:rFonts w:ascii="Times New Roman" w:eastAsia="Times New Roman" w:hAnsi="Times New Roman" w:cs="Times New Roman"/>
          <w:color w:val="000000"/>
          <w:spacing w:val="0"/>
          <w:w w:val="100"/>
          <w:position w:val="0"/>
          <w:sz w:val="18"/>
          <w:szCs w:val="18"/>
        </w:rPr>
        <w:t>-48,586.71</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33.04%</w:t>
      </w:r>
      <w:r>
        <w:rPr>
          <w:color w:val="000000"/>
          <w:spacing w:val="0"/>
          <w:w w:val="100"/>
          <w:position w:val="0"/>
        </w:rPr>
        <w:t>，实现归属于母公司股东的净利润</w:t>
      </w:r>
      <w:r>
        <w:rPr>
          <w:rFonts w:ascii="Times New Roman" w:eastAsia="Times New Roman" w:hAnsi="Times New Roman" w:cs="Times New Roman"/>
          <w:color w:val="000000"/>
          <w:spacing w:val="0"/>
          <w:w w:val="100"/>
          <w:position w:val="0"/>
          <w:sz w:val="18"/>
          <w:szCs w:val="18"/>
        </w:rPr>
        <w:t>-40,845.18</w:t>
      </w:r>
      <w:r>
        <w:rPr>
          <w:color w:val="000000"/>
          <w:spacing w:val="0"/>
          <w:w w:val="100"/>
          <w:position w:val="0"/>
        </w:rPr>
        <w:t xml:space="preserve">万元，比上年同期下降 </w:t>
      </w:r>
      <w:r>
        <w:rPr>
          <w:rFonts w:ascii="Times New Roman" w:eastAsia="Times New Roman" w:hAnsi="Times New Roman" w:cs="Times New Roman"/>
          <w:color w:val="000000"/>
          <w:spacing w:val="0"/>
          <w:w w:val="100"/>
          <w:position w:val="0"/>
          <w:sz w:val="18"/>
          <w:szCs w:val="18"/>
        </w:rPr>
        <w:t>57.48%</w:t>
      </w:r>
      <w:r>
        <w:rPr>
          <w:color w:val="000000"/>
          <w:spacing w:val="0"/>
          <w:w w:val="100"/>
          <w:position w:val="0"/>
        </w:rPr>
        <w:t>。菲律宾风电项目终止，因利润饶让，对本年度收入、利润影响较大；印尼镍电项目建设根据业主方需求进行了技 术改造调整，使得设备的成本总预算较前期有所上调，公司根据投入法核算的项目进度随之拉低，对本年度毛利产生一定影 响；海外项目的施工业务产值同比下降，贡献毛利同比降低；贸易业务规模受疫情影响同比下降，并受制于业务毛利较低等 因素实现净利润较少。</w:t>
      </w:r>
    </w:p>
    <w:p>
      <w:pPr>
        <w:pStyle w:val="Style34"/>
        <w:keepNext w:val="0"/>
        <w:keepLines w:val="0"/>
        <w:widowControl w:val="0"/>
        <w:shd w:val="clear" w:color="auto" w:fill="auto"/>
        <w:bidi w:val="0"/>
        <w:spacing w:before="0" w:after="40" w:line="314" w:lineRule="exact"/>
        <w:ind w:left="0" w:right="0"/>
        <w:jc w:val="both"/>
      </w:pPr>
      <w:r>
        <w:rPr>
          <w:color w:val="000000"/>
          <w:spacing w:val="0"/>
          <w:w w:val="100"/>
          <w:position w:val="0"/>
        </w:rPr>
        <w:t>报告期内，公司完成的重点工作如下：</w:t>
      </w:r>
    </w:p>
    <w:p>
      <w:pPr>
        <w:pStyle w:val="Style34"/>
        <w:keepNext w:val="0"/>
        <w:keepLines w:val="0"/>
        <w:widowControl w:val="0"/>
        <w:shd w:val="clear" w:color="auto" w:fill="auto"/>
        <w:tabs>
          <w:tab w:pos="664" w:val="left"/>
        </w:tabs>
        <w:bidi w:val="0"/>
        <w:spacing w:before="0" w:after="40" w:line="314" w:lineRule="exact"/>
        <w:ind w:left="0" w:right="0"/>
        <w:jc w:val="both"/>
      </w:pPr>
      <w:bookmarkStart w:id="106" w:name="bookmark106"/>
      <w:r>
        <w:rPr>
          <w:rFonts w:ascii="Times New Roman" w:eastAsia="Times New Roman" w:hAnsi="Times New Roman" w:cs="Times New Roman"/>
          <w:b/>
          <w:bCs/>
          <w:color w:val="000000"/>
          <w:spacing w:val="0"/>
          <w:w w:val="100"/>
          <w:position w:val="0"/>
          <w:sz w:val="18"/>
          <w:szCs w:val="18"/>
        </w:rPr>
        <w:t>1</w:t>
      </w:r>
      <w:bookmarkEnd w:id="106"/>
      <w:r>
        <w:rPr>
          <w:b/>
          <w:bCs/>
          <w:color w:val="000000"/>
          <w:spacing w:val="0"/>
          <w:w w:val="100"/>
          <w:position w:val="0"/>
        </w:rPr>
        <w:t>、</w:t>
        <w:tab/>
        <w:t>积极推进青岛印尼综合产业园建设</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报告期内，为应对新冠肺炎疫情的风险，园区现场指挥部在公司的统筹指导下，积极响应、迅速行动、坚定信心、精准 施策，全面开展疫情防控工作，并积极联系落实新冠疫苗接种渠道，累计完成新冠疫苗接种共</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人次，最大限度降低疫情 对项目建设的影响；同时根据园区和入园项目建设进展情况，公司选派精干管理团队进驻园区，进一步完善优化园区管理与 运营模式；同时，建立健全现场指挥部制度、流程体系，不断推进现场指挥部工作科学化、制度化、规范化。</w:t>
      </w:r>
    </w:p>
    <w:p>
      <w:pPr>
        <w:pStyle w:val="Style34"/>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年，虽受疫情影响，公司仍有序推进园区各项工作。其中园区服务方面，根据园区不断完善的服务内容及业主方的 诉求，公司与业主方新签《入园企业协议书》，进一步细化了服务内容，明确了收费标准；项目方面，</w:t>
      </w: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燃煤电厂工 程总承包项目，设备成套合同完工进度为</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，施工总承包合同完工进度为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冶炼项目一期（</w:t>
      </w:r>
      <w:r>
        <w:rPr>
          <w:rFonts w:ascii="Times New Roman" w:eastAsia="Times New Roman" w:hAnsi="Times New Roman" w:cs="Times New Roman"/>
          <w:color w:val="000000"/>
          <w:spacing w:val="0"/>
          <w:w w:val="100"/>
          <w:position w:val="0"/>
          <w:sz w:val="18"/>
          <w:szCs w:val="18"/>
        </w:rPr>
        <w:t>4*33MVA</w:t>
      </w:r>
      <w:r>
        <w:rPr>
          <w:color w:val="000000"/>
          <w:spacing w:val="0"/>
          <w:w w:val="100"/>
          <w:position w:val="0"/>
        </w:rPr>
        <w:t>镍铁矿热 炉）工程总承包项目，设备成套合同完工进度为</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，施工总承包合同完工进度为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p>
      <w:pPr>
        <w:pStyle w:val="Style34"/>
        <w:keepNext w:val="0"/>
        <w:keepLines w:val="0"/>
        <w:widowControl w:val="0"/>
        <w:shd w:val="clear" w:color="auto" w:fill="auto"/>
        <w:tabs>
          <w:tab w:pos="674" w:val="left"/>
        </w:tabs>
        <w:bidi w:val="0"/>
        <w:spacing w:before="0" w:after="40" w:line="314" w:lineRule="exact"/>
        <w:ind w:left="0" w:right="0"/>
        <w:jc w:val="both"/>
      </w:pPr>
      <w:bookmarkStart w:id="107" w:name="bookmark107"/>
      <w:r>
        <w:rPr>
          <w:rFonts w:ascii="Times New Roman" w:eastAsia="Times New Roman" w:hAnsi="Times New Roman" w:cs="Times New Roman"/>
          <w:b/>
          <w:bCs/>
          <w:color w:val="000000"/>
          <w:spacing w:val="0"/>
          <w:w w:val="100"/>
          <w:position w:val="0"/>
          <w:sz w:val="18"/>
          <w:szCs w:val="18"/>
        </w:rPr>
        <w:t>2</w:t>
      </w:r>
      <w:bookmarkEnd w:id="107"/>
      <w:r>
        <w:rPr>
          <w:b/>
          <w:bCs/>
          <w:color w:val="000000"/>
          <w:spacing w:val="0"/>
          <w:w w:val="100"/>
          <w:position w:val="0"/>
        </w:rPr>
        <w:t>、</w:t>
        <w:tab/>
        <w:t>终止菲律宾风电项目，防控项目风险</w:t>
      </w:r>
    </w:p>
    <w:p>
      <w:pPr>
        <w:pStyle w:val="Style34"/>
        <w:keepNext w:val="0"/>
        <w:keepLines w:val="0"/>
        <w:widowControl w:val="0"/>
        <w:shd w:val="clear" w:color="auto" w:fill="auto"/>
        <w:bidi w:val="0"/>
        <w:spacing w:before="0" w:after="40" w:line="314" w:lineRule="exact"/>
        <w:ind w:left="0" w:right="0"/>
        <w:jc w:val="both"/>
      </w:pPr>
      <w:r>
        <w:rPr>
          <w:color w:val="000000"/>
          <w:spacing w:val="0"/>
          <w:w w:val="100"/>
          <w:position w:val="0"/>
        </w:rPr>
        <w:t>报告期内，受新冠肺炎疫情影响，菲律宾对中国公民实施入境限制。公司承接的菲律宾</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132MW</w:t>
      </w:r>
      <w:r>
        <w:rPr>
          <w:color w:val="000000"/>
          <w:spacing w:val="0"/>
          <w:w w:val="100"/>
          <w:position w:val="0"/>
        </w:rPr>
        <w:t>风电</w:t>
      </w:r>
      <w:r>
        <w:rPr>
          <w:rFonts w:ascii="Times New Roman" w:eastAsia="Times New Roman" w:hAnsi="Times New Roman" w:cs="Times New Roman"/>
          <w:color w:val="000000"/>
          <w:spacing w:val="0"/>
          <w:w w:val="100"/>
          <w:position w:val="0"/>
          <w:sz w:val="18"/>
          <w:szCs w:val="18"/>
        </w:rPr>
        <w:t xml:space="preserve">+100MW </w:t>
      </w:r>
      <w:r>
        <w:rPr>
          <w:color w:val="000000"/>
          <w:spacing w:val="0"/>
          <w:w w:val="100"/>
          <w:position w:val="0"/>
        </w:rPr>
        <w:t>太阳能发电风光一体化项目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总承包工程，光伏项目部分，对侧变电站接入间隔建设施工进展放缓，同时国内设备的调试 人员无法前往菲律宾进行整体调试，导致光伏项目未能实现并网发电；风电项目部分，公司及公司新加坡全资子公司</w:t>
      </w: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日签订了《菲律宾帕苏金（</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兆瓦）风电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兆瓦）太阳能发 电的风光一体化项目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总承包合同补充协议》，三方确认风电项目终止执行，并就合同结算币种、风电设备处理、风电项 目结算等事宜达成一致。</w:t>
      </w:r>
    </w:p>
    <w:p>
      <w:pPr>
        <w:pStyle w:val="Style34"/>
        <w:keepNext w:val="0"/>
        <w:keepLines w:val="0"/>
        <w:widowControl w:val="0"/>
        <w:shd w:val="clear" w:color="auto" w:fill="auto"/>
        <w:tabs>
          <w:tab w:pos="678" w:val="left"/>
        </w:tabs>
        <w:bidi w:val="0"/>
        <w:spacing w:before="0" w:after="40" w:line="314" w:lineRule="exact"/>
        <w:ind w:left="0" w:right="0"/>
        <w:jc w:val="both"/>
      </w:pPr>
      <w:bookmarkStart w:id="108" w:name="bookmark108"/>
      <w:r>
        <w:rPr>
          <w:rFonts w:ascii="Times New Roman" w:eastAsia="Times New Roman" w:hAnsi="Times New Roman" w:cs="Times New Roman"/>
          <w:b/>
          <w:bCs/>
          <w:color w:val="000000"/>
          <w:spacing w:val="0"/>
          <w:w w:val="100"/>
          <w:position w:val="0"/>
          <w:sz w:val="18"/>
          <w:szCs w:val="18"/>
        </w:rPr>
        <w:t>3</w:t>
      </w:r>
      <w:bookmarkEnd w:id="108"/>
      <w:r>
        <w:rPr>
          <w:b/>
          <w:bCs/>
          <w:color w:val="000000"/>
          <w:spacing w:val="0"/>
          <w:w w:val="100"/>
          <w:position w:val="0"/>
        </w:rPr>
        <w:t>、</w:t>
        <w:tab/>
        <w:t>稳步开展国内贸易业务</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报告期内，受新冠肺炎疫情影响，公司子公司青岛中资中程国际贸易有限责任公司国内贸易业务规模与去年同期相比有 所下降，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年度，其实现营业收入</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亿元，毛利</w:t>
      </w:r>
      <w:r>
        <w:rPr>
          <w:rFonts w:ascii="Times New Roman" w:eastAsia="Times New Roman" w:hAnsi="Times New Roman" w:cs="Times New Roman"/>
          <w:color w:val="000000"/>
          <w:spacing w:val="0"/>
          <w:w w:val="100"/>
          <w:position w:val="0"/>
          <w:sz w:val="18"/>
          <w:szCs w:val="18"/>
        </w:rPr>
        <w:t>1,262</w:t>
      </w:r>
      <w:r>
        <w:rPr>
          <w:color w:val="000000"/>
          <w:spacing w:val="0"/>
          <w:w w:val="100"/>
          <w:position w:val="0"/>
        </w:rPr>
        <w:t>万元，净利</w:t>
      </w:r>
      <w:r>
        <w:rPr>
          <w:rFonts w:ascii="Times New Roman" w:eastAsia="Times New Roman" w:hAnsi="Times New Roman" w:cs="Times New Roman"/>
          <w:color w:val="000000"/>
          <w:spacing w:val="0"/>
          <w:w w:val="100"/>
          <w:position w:val="0"/>
          <w:sz w:val="18"/>
          <w:szCs w:val="18"/>
        </w:rPr>
        <w:t>1,230</w:t>
      </w:r>
      <w:r>
        <w:rPr>
          <w:color w:val="000000"/>
          <w:spacing w:val="0"/>
          <w:w w:val="100"/>
          <w:position w:val="0"/>
        </w:rPr>
        <w:t>万元。作为公司贸易领域的业务主体，青岛中资中 程国际贸易有限责任公司积极开拓国内市场，有效降低业务资金成本，是公司创收创利的产业板块之一。</w:t>
      </w:r>
    </w:p>
    <w:p>
      <w:pPr>
        <w:pStyle w:val="Style34"/>
        <w:keepNext w:val="0"/>
        <w:keepLines w:val="0"/>
        <w:widowControl w:val="0"/>
        <w:shd w:val="clear" w:color="auto" w:fill="auto"/>
        <w:tabs>
          <w:tab w:pos="678" w:val="left"/>
        </w:tabs>
        <w:bidi w:val="0"/>
        <w:spacing w:before="0" w:after="40" w:line="314" w:lineRule="exact"/>
        <w:ind w:left="0" w:right="0"/>
        <w:jc w:val="both"/>
      </w:pPr>
      <w:bookmarkStart w:id="109" w:name="bookmark109"/>
      <w:r>
        <w:rPr>
          <w:rFonts w:ascii="Times New Roman" w:eastAsia="Times New Roman" w:hAnsi="Times New Roman" w:cs="Times New Roman"/>
          <w:b/>
          <w:bCs/>
          <w:color w:val="000000"/>
          <w:spacing w:val="0"/>
          <w:w w:val="100"/>
          <w:position w:val="0"/>
          <w:sz w:val="18"/>
          <w:szCs w:val="18"/>
        </w:rPr>
        <w:t>4</w:t>
      </w:r>
      <w:bookmarkEnd w:id="109"/>
      <w:r>
        <w:rPr>
          <w:b/>
          <w:bCs/>
          <w:color w:val="000000"/>
          <w:spacing w:val="0"/>
          <w:w w:val="100"/>
          <w:position w:val="0"/>
        </w:rPr>
        <w:t>、</w:t>
        <w:tab/>
        <w:t>优化股权投资结构，处置低效资产</w:t>
      </w:r>
    </w:p>
    <w:p>
      <w:pPr>
        <w:pStyle w:val="Style34"/>
        <w:keepNext w:val="0"/>
        <w:keepLines w:val="0"/>
        <w:widowControl w:val="0"/>
        <w:shd w:val="clear" w:color="auto" w:fill="auto"/>
        <w:bidi w:val="0"/>
        <w:spacing w:before="0" w:after="140" w:line="302" w:lineRule="exact"/>
        <w:ind w:left="0" w:right="0"/>
        <w:jc w:val="both"/>
      </w:pPr>
      <w:r>
        <w:rPr>
          <w:color w:val="000000"/>
          <w:spacing w:val="0"/>
          <w:w w:val="100"/>
          <w:position w:val="0"/>
        </w:rPr>
        <w:t>报告期内，公司全面梳理、盘点现有资产和对外投资情况及下属分子公司的经营状况，对未开展实际业务或业绩亏损的 分子公司进行清理，完成了全资子公司西安恒顺电气科技有限公司的注销清算，另有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家全资或控股子公司的注销清算或股 </w:t>
      </w:r>
      <w:r>
        <w:rPr>
          <w:color w:val="000000"/>
          <w:spacing w:val="0"/>
          <w:w w:val="100"/>
          <w:position w:val="0"/>
        </w:rPr>
        <w:t>权处置工作正在推进中。完成后能够进一步优化公司的投资结构，整合公司资产，大幅节约公司管理成本。</w:t>
      </w:r>
    </w:p>
    <w:p>
      <w:pPr>
        <w:pStyle w:val="Style34"/>
        <w:keepNext w:val="0"/>
        <w:keepLines w:val="0"/>
        <w:widowControl w:val="0"/>
        <w:shd w:val="clear" w:color="auto" w:fill="auto"/>
        <w:tabs>
          <w:tab w:pos="734" w:val="left"/>
        </w:tabs>
        <w:bidi w:val="0"/>
        <w:spacing w:before="0" w:after="0" w:line="389" w:lineRule="auto"/>
        <w:ind w:left="0" w:right="0"/>
        <w:jc w:val="both"/>
      </w:pPr>
      <w:bookmarkStart w:id="110" w:name="bookmark110"/>
      <w:r>
        <w:rPr>
          <w:rFonts w:ascii="Times New Roman" w:eastAsia="Times New Roman" w:hAnsi="Times New Roman" w:cs="Times New Roman"/>
          <w:b/>
          <w:bCs/>
          <w:color w:val="000000"/>
          <w:spacing w:val="0"/>
          <w:w w:val="100"/>
          <w:position w:val="0"/>
          <w:sz w:val="18"/>
          <w:szCs w:val="18"/>
        </w:rPr>
        <w:t>5</w:t>
      </w:r>
      <w:bookmarkEnd w:id="110"/>
      <w:r>
        <w:rPr>
          <w:b/>
          <w:bCs/>
          <w:color w:val="000000"/>
          <w:spacing w:val="0"/>
          <w:w w:val="100"/>
          <w:position w:val="0"/>
        </w:rPr>
        <w:t>、</w:t>
        <w:tab/>
        <w:t>调整理顺公司组织管理架构，着力提升内部管理</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报告期内，公司根据战略规划，进一步优化组织管理架构，并组织开展了岗位竞聘，通过完善管控模式，理顺母子公司 管理体系，修订完善了各项管理制度，不断强化各部门及分子公司的管理职能和各经营板块的经营责任。</w:t>
      </w:r>
    </w:p>
    <w:p>
      <w:pPr>
        <w:pStyle w:val="Style34"/>
        <w:keepNext w:val="0"/>
        <w:keepLines w:val="0"/>
        <w:widowControl w:val="0"/>
        <w:shd w:val="clear" w:color="auto" w:fill="auto"/>
        <w:tabs>
          <w:tab w:pos="734" w:val="left"/>
        </w:tabs>
        <w:bidi w:val="0"/>
        <w:spacing w:before="0" w:after="0" w:line="389" w:lineRule="auto"/>
        <w:ind w:left="0" w:right="0"/>
        <w:jc w:val="both"/>
      </w:pPr>
      <w:bookmarkStart w:id="111" w:name="bookmark111"/>
      <w:r>
        <w:rPr>
          <w:rFonts w:ascii="Times New Roman" w:eastAsia="Times New Roman" w:hAnsi="Times New Roman" w:cs="Times New Roman"/>
          <w:b/>
          <w:bCs/>
          <w:color w:val="000000"/>
          <w:spacing w:val="0"/>
          <w:w w:val="100"/>
          <w:position w:val="0"/>
          <w:sz w:val="18"/>
          <w:szCs w:val="18"/>
        </w:rPr>
        <w:t>6</w:t>
      </w:r>
      <w:bookmarkEnd w:id="111"/>
      <w:r>
        <w:rPr>
          <w:b/>
          <w:bCs/>
          <w:color w:val="000000"/>
          <w:spacing w:val="0"/>
          <w:w w:val="100"/>
          <w:position w:val="0"/>
        </w:rPr>
        <w:t>、</w:t>
        <w:tab/>
        <w:t>完善资金管理体系，降低财务费用</w:t>
      </w:r>
    </w:p>
    <w:p>
      <w:pPr>
        <w:pStyle w:val="Style3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年公司进一步规范和完善融资管理工作，加强融资管理力度，合理确定融资规模和融资结构，选择恰当的融资方式， 增加多家金融及非金融机构报价比价条款，优化融资报价流程，提高资金收益、降低融资成本。同时，明确融资业务各环节 的审批、执行与相关会计记录的权责关系，严格控制财务风险；各分子公司融资业务集中由公司统一管理，降低财务费用， 保障公司整体经营活动所需资金的平稳和高效运转。</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号——上市公司从事固体矿产资源相关业务》的披露要求 公司仅持有矿产，报告期内未开展矿产开采、勘测、销售等相关业务。</w:t>
      </w:r>
    </w:p>
    <w:p>
      <w:pPr>
        <w:pStyle w:val="Style3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号——上市公司从事光伏产业链相关业务》的披露要求： 公司是承接光伏项目工程的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总承包商，报告期内未开展光伏产业链核心产品的研发、生产及销售。</w:t>
      </w:r>
    </w:p>
    <w:p>
      <w:pPr>
        <w:pStyle w:val="Style30"/>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4"/>
          <w:szCs w:val="24"/>
        </w:rPr>
        <w:t>二</w:t>
      </w:r>
      <w:bookmarkEnd w:id="114"/>
      <w:r>
        <w:rPr>
          <w:color w:val="000000"/>
          <w:spacing w:val="0"/>
          <w:w w:val="100"/>
          <w:position w:val="0"/>
          <w:sz w:val="24"/>
          <w:szCs w:val="24"/>
        </w:rPr>
        <w:t>、主营业务分析</w:t>
      </w:r>
      <w:bookmarkEnd w:id="112"/>
      <w:bookmarkEnd w:id="113"/>
      <w:bookmarkEnd w:id="115"/>
    </w:p>
    <w:p>
      <w:pPr>
        <w:pStyle w:val="Style37"/>
        <w:keepNext/>
        <w:keepLines/>
        <w:widowControl w:val="0"/>
        <w:shd w:val="clear" w:color="auto" w:fill="auto"/>
        <w:tabs>
          <w:tab w:pos="368" w:val="left"/>
        </w:tabs>
        <w:bidi w:val="0"/>
        <w:spacing w:before="0" w:after="22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概述</w:t>
      </w:r>
      <w:bookmarkEnd w:id="116"/>
      <w:bookmarkEnd w:id="117"/>
      <w:bookmarkEnd w:id="119"/>
    </w:p>
    <w:p>
      <w:pPr>
        <w:pStyle w:val="Style34"/>
        <w:keepNext w:val="0"/>
        <w:keepLines w:val="0"/>
        <w:widowControl w:val="0"/>
        <w:shd w:val="clear" w:color="auto" w:fill="auto"/>
        <w:bidi w:val="0"/>
        <w:spacing w:before="0" w:after="380" w:line="335" w:lineRule="exact"/>
        <w:ind w:left="0" w:right="0" w:firstLine="0"/>
        <w:jc w:val="left"/>
      </w:pPr>
      <w:r>
        <w:rPr>
          <w:color w:val="000000"/>
          <w:spacing w:val="0"/>
          <w:w w:val="100"/>
          <w:position w:val="0"/>
        </w:rPr>
        <w:t>参见“经营情况讨论与分析”中的“一、概述”相关内容。</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2</w:t>
      </w:r>
      <w:bookmarkEnd w:id="122"/>
      <w:r>
        <w:rPr>
          <w:color w:val="000000"/>
          <w:spacing w:val="0"/>
          <w:w w:val="100"/>
          <w:position w:val="0"/>
        </w:rPr>
        <w:t>、</w:t>
        <w:tab/>
        <w:t>收入与成本</w:t>
      </w:r>
      <w:bookmarkEnd w:id="120"/>
      <w:bookmarkEnd w:id="121"/>
      <w:bookmarkEnd w:id="123"/>
    </w:p>
    <w:p>
      <w:pPr>
        <w:pStyle w:val="Style37"/>
        <w:keepNext/>
        <w:keepLines/>
        <w:widowControl w:val="0"/>
        <w:shd w:val="clear" w:color="auto" w:fill="auto"/>
        <w:bidi w:val="0"/>
        <w:spacing w:before="0" w:after="220" w:line="240" w:lineRule="auto"/>
        <w:ind w:left="0" w:right="0" w:firstLine="0"/>
        <w:jc w:val="left"/>
      </w:pPr>
      <w:bookmarkStart w:id="120" w:name="bookmark120"/>
      <w:bookmarkStart w:id="121" w:name="bookmark121"/>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0"/>
      <w:bookmarkEnd w:id="121"/>
      <w:bookmarkEnd w:id="125"/>
    </w:p>
    <w:p>
      <w:pPr>
        <w:pStyle w:val="Style34"/>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号——上市公司从事光伏产业链相关业务》的披露要求： 营业收入整体情况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757,037,879.84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r>
      <w:tr>
        <w:trPr>
          <w:trHeight w:val="39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10,185,840.69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41,768,769.53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74,550,918.16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-273,819,626.38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30,942,687.16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826,410.00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1,610,638.85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240,025.65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94,610,987.50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115.46%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35,701,507.12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2,876,193.37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2,792,021.15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497,670,038.64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其他电子产品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1,586,206.96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6,705,854.12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7,931,236.81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44,245,283.17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10,185,840.69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30,942,687.16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光伏设备集成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9,002,029.96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1,174,366.26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风电设备集成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-251,341,991.68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-10,413,980.65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27,562,697.70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20,703,085.52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45,813,854.20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1,610,638.85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240,025.65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94,610,987.50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35,701,507.12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2,876,193.37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2,792,021.15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497,670,038.64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其他电子产品销售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1,586,206.96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6,705,854.12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7,931,236.81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44,245,283.17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389,192,945.38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546,752,829.23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-99,702,606.11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210,285,050.61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w:t>
            </w:r>
          </w:p>
        </w:tc>
      </w:tr>
    </w:tbl>
    <w:p>
      <w:pPr>
        <w:widowControl w:val="0"/>
        <w:spacing w:after="319" w:line="1" w:lineRule="exact"/>
      </w:pPr>
    </w:p>
    <w:p>
      <w:pPr>
        <w:pStyle w:val="Style37"/>
        <w:keepNext/>
        <w:keepLines/>
        <w:widowControl w:val="0"/>
        <w:numPr>
          <w:ilvl w:val="0"/>
          <w:numId w:val="1"/>
        </w:numPr>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6"/>
      <w:bookmarkEnd w:id="127"/>
      <w:bookmarkEnd w:id="12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41,768,769.53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18,285,828.11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-273,819,626.38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-15,990,648.17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25,708,546.34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1,265,721.26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175,339,413.42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329,305,648.71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44,245,283.17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3,220,152.60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25,708,546.34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风电设备集成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-251,341,991.68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-25,190,648.17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1,265,721.26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175,339,413.42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329,305,648.71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44,245,283.17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3,220,152.60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389,192,945.38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333,240,925.09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-99,702,606.11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205,744,849.82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318.93%</w:t>
            </w:r>
          </w:p>
        </w:tc>
      </w:tr>
    </w:tbl>
    <w:p>
      <w:pPr>
        <w:pStyle w:val="Style34"/>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0"/>
      <w:bookmarkEnd w:id="131"/>
      <w:bookmarkEnd w:id="133"/>
    </w:p>
    <w:p>
      <w:pPr>
        <w:pStyle w:val="Style34"/>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30,942,687.16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4,965.16%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94,610,987.5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497,670,038.64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r>
    </w:tbl>
    <w:p>
      <w:pPr>
        <w:pStyle w:val="Style3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334" w:val="left"/>
        </w:tabs>
        <w:bidi w:val="0"/>
        <w:spacing w:before="0" w:after="0" w:line="312" w:lineRule="exact"/>
        <w:ind w:left="0" w:right="0" w:firstLine="0"/>
        <w:jc w:val="both"/>
      </w:pPr>
      <w:bookmarkStart w:id="134" w:name="bookmark134"/>
      <w:r>
        <w:rPr>
          <w:rFonts w:ascii="Times New Roman" w:eastAsia="Times New Roman" w:hAnsi="Times New Roman" w:cs="Times New Roman"/>
          <w:color w:val="000000"/>
          <w:spacing w:val="0"/>
          <w:w w:val="100"/>
          <w:position w:val="0"/>
          <w:sz w:val="18"/>
          <w:szCs w:val="18"/>
        </w:rPr>
        <w:t>1</w:t>
      </w:r>
      <w:bookmarkEnd w:id="134"/>
      <w:r>
        <w:rPr>
          <w:color w:val="000000"/>
          <w:spacing w:val="0"/>
          <w:w w:val="100"/>
          <w:position w:val="0"/>
        </w:rPr>
        <w:t>、</w:t>
        <w:tab/>
        <w:t>机械成套装备较去年减少主要因为项目进行技术改造调整，导致设备成本总预算较前期有所上调，使得部分收入冲回。</w:t>
      </w:r>
    </w:p>
    <w:p>
      <w:pPr>
        <w:pStyle w:val="Style34"/>
        <w:keepNext w:val="0"/>
        <w:keepLines w:val="0"/>
        <w:widowControl w:val="0"/>
        <w:shd w:val="clear" w:color="auto" w:fill="auto"/>
        <w:tabs>
          <w:tab w:pos="354" w:val="left"/>
        </w:tabs>
        <w:bidi w:val="0"/>
        <w:spacing w:before="0" w:after="0" w:line="312" w:lineRule="exact"/>
        <w:ind w:left="0" w:right="0" w:firstLine="0"/>
        <w:jc w:val="both"/>
      </w:pPr>
      <w:bookmarkStart w:id="135" w:name="bookmark135"/>
      <w:r>
        <w:rPr>
          <w:rFonts w:ascii="Times New Roman" w:eastAsia="Times New Roman" w:hAnsi="Times New Roman" w:cs="Times New Roman"/>
          <w:color w:val="000000"/>
          <w:spacing w:val="0"/>
          <w:w w:val="100"/>
          <w:position w:val="0"/>
          <w:sz w:val="18"/>
          <w:szCs w:val="18"/>
        </w:rPr>
        <w:t>2</w:t>
      </w:r>
      <w:bookmarkEnd w:id="135"/>
      <w:r>
        <w:rPr>
          <w:color w:val="000000"/>
          <w:spacing w:val="0"/>
          <w:w w:val="100"/>
          <w:position w:val="0"/>
        </w:rPr>
        <w:t>、</w:t>
        <w:tab/>
        <w:t>土地出租较去年增加主要因为新增租赁合同。</w:t>
      </w:r>
    </w:p>
    <w:p>
      <w:pPr>
        <w:pStyle w:val="Style34"/>
        <w:keepNext w:val="0"/>
        <w:keepLines w:val="0"/>
        <w:widowControl w:val="0"/>
        <w:shd w:val="clear" w:color="auto" w:fill="auto"/>
        <w:tabs>
          <w:tab w:pos="354" w:val="left"/>
        </w:tabs>
        <w:bidi w:val="0"/>
        <w:spacing w:before="0" w:after="380" w:line="312" w:lineRule="exact"/>
        <w:ind w:left="0" w:right="0" w:firstLine="0"/>
        <w:jc w:val="both"/>
      </w:pPr>
      <w:bookmarkStart w:id="136" w:name="bookmark136"/>
      <w:r>
        <w:rPr>
          <w:rFonts w:ascii="Times New Roman" w:eastAsia="Times New Roman" w:hAnsi="Times New Roman" w:cs="Times New Roman"/>
          <w:color w:val="000000"/>
          <w:spacing w:val="0"/>
          <w:w w:val="100"/>
          <w:position w:val="0"/>
          <w:sz w:val="18"/>
          <w:szCs w:val="18"/>
        </w:rPr>
        <w:t>3</w:t>
      </w:r>
      <w:bookmarkEnd w:id="136"/>
      <w:r>
        <w:rPr>
          <w:color w:val="000000"/>
          <w:spacing w:val="0"/>
          <w:w w:val="100"/>
          <w:position w:val="0"/>
        </w:rPr>
        <w:t>、</w:t>
        <w:tab/>
        <w:t>建造业务较上年增加主要因为工程进度加快。</w:t>
      </w:r>
    </w:p>
    <w:p>
      <w:pPr>
        <w:pStyle w:val="Style37"/>
        <w:keepNext/>
        <w:keepLines/>
        <w:widowControl w:val="0"/>
        <w:shd w:val="clear" w:color="auto" w:fill="auto"/>
        <w:bidi w:val="0"/>
        <w:spacing w:before="0" w:after="38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7"/>
      <w:bookmarkEnd w:id="138"/>
      <w:bookmarkEnd w:id="140"/>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特种冶炼设备成套合同》，合同额为</w:t>
      </w:r>
      <w:r>
        <w:rPr>
          <w:rFonts w:ascii="Times New Roman" w:eastAsia="Times New Roman" w:hAnsi="Times New Roman" w:cs="Times New Roman"/>
          <w:color w:val="000000"/>
          <w:spacing w:val="0"/>
          <w:w w:val="100"/>
          <w:position w:val="0"/>
          <w:sz w:val="18"/>
          <w:szCs w:val="18"/>
        </w:rPr>
        <w:t>7,985</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 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特种冶炼设备成套合同变更协议》，合同由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特种镍铁冶炼生产线变更为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条，合同金额变更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92,814</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特种冶炼设备成套合同补充协议》，合同额为</w:t>
      </w:r>
      <w:r>
        <w:rPr>
          <w:rFonts w:ascii="Times New Roman" w:eastAsia="Times New Roman" w:hAnsi="Times New Roman" w:cs="Times New Roman"/>
          <w:color w:val="000000"/>
          <w:spacing w:val="0"/>
          <w:w w:val="100"/>
          <w:position w:val="0"/>
          <w:sz w:val="18"/>
          <w:szCs w:val="18"/>
        </w:rPr>
        <w:t>11,230</w:t>
      </w:r>
      <w:r>
        <w:rPr>
          <w:color w:val="000000"/>
          <w:spacing w:val="0"/>
          <w:w w:val="100"/>
          <w:position w:val="0"/>
        </w:rPr>
        <w:t>万元 人民币；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签订了《青岛印尼综合产业园</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一期新增特种冶炼设备（工艺变更）补充合同》， 合同额为</w:t>
      </w:r>
      <w:r>
        <w:rPr>
          <w:rFonts w:ascii="Times New Roman" w:eastAsia="Times New Roman" w:hAnsi="Times New Roman" w:cs="Times New Roman"/>
          <w:color w:val="000000"/>
          <w:spacing w:val="0"/>
          <w:w w:val="100"/>
          <w:position w:val="0"/>
          <w:sz w:val="18"/>
          <w:szCs w:val="18"/>
        </w:rPr>
        <w:t>6,311.7</w:t>
      </w:r>
      <w:r>
        <w:rPr>
          <w:color w:val="000000"/>
          <w:spacing w:val="0"/>
          <w:w w:val="100"/>
          <w:position w:val="0"/>
        </w:rPr>
        <w:t xml:space="preserve">万元人民币。目前该项目进度正常推进，公司会按客户要求陆续交货。截至本报告期末，本项目共确认收入 </w:t>
      </w:r>
      <w:r>
        <w:rPr>
          <w:rFonts w:ascii="Times New Roman" w:eastAsia="Times New Roman" w:hAnsi="Times New Roman" w:cs="Times New Roman"/>
          <w:color w:val="000000"/>
          <w:spacing w:val="0"/>
          <w:w w:val="100"/>
          <w:position w:val="0"/>
          <w:sz w:val="18"/>
          <w:szCs w:val="18"/>
        </w:rPr>
        <w:t>66,818.6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w:t>
      </w:r>
    </w:p>
    <w:p>
      <w:pPr>
        <w:pStyle w:val="Style34"/>
        <w:keepNext w:val="0"/>
        <w:keepLines w:val="0"/>
        <w:widowControl w:val="0"/>
        <w:numPr>
          <w:ilvl w:val="0"/>
          <w:numId w:val="3"/>
        </w:numPr>
        <w:shd w:val="clear" w:color="auto" w:fill="auto"/>
        <w:tabs>
          <w:tab w:pos="668" w:val="left"/>
        </w:tabs>
        <w:bidi w:val="0"/>
        <w:spacing w:before="0" w:after="0" w:line="313" w:lineRule="exact"/>
        <w:ind w:left="0" w:right="0"/>
        <w:jc w:val="both"/>
      </w:pPr>
      <w:bookmarkStart w:id="141" w:name="bookmark141"/>
      <w:bookmarkEnd w:id="141"/>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 xml:space="preserve">PT.Pembangkit Sumber Daya Indonesia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“PSDI”</w:t>
      </w:r>
      <w:r>
        <w:rPr>
          <w:color w:val="000000"/>
          <w:spacing w:val="0"/>
          <w:w w:val="100"/>
          <w:position w:val="0"/>
        </w:rPr>
        <w:t>）</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 xml:space="preserve">PSDI2*65MW </w:t>
      </w:r>
      <w:r>
        <w:rPr>
          <w:color w:val="000000"/>
          <w:spacing w:val="0"/>
          <w:w w:val="100"/>
          <w:position w:val="0"/>
        </w:rPr>
        <w:t>燃煤电厂设备成套合同》，合同额为</w:t>
      </w:r>
      <w:r>
        <w:rPr>
          <w:rFonts w:ascii="Times New Roman" w:eastAsia="Times New Roman" w:hAnsi="Times New Roman" w:cs="Times New Roman"/>
          <w:color w:val="000000"/>
          <w:spacing w:val="0"/>
          <w:w w:val="100"/>
          <w:position w:val="0"/>
          <w:sz w:val="18"/>
          <w:szCs w:val="18"/>
        </w:rPr>
        <w:t>76,112,274</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PSDI</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PSDI2*65MW</w:t>
      </w:r>
      <w:r>
        <w:rPr>
          <w:color w:val="000000"/>
          <w:spacing w:val="0"/>
          <w:w w:val="100"/>
          <w:position w:val="0"/>
        </w:rPr>
        <w:t>燃煤 电厂补充设备合同（一）》，合同额为</w:t>
      </w:r>
      <w:r>
        <w:rPr>
          <w:rFonts w:ascii="Times New Roman" w:eastAsia="Times New Roman" w:hAnsi="Times New Roman" w:cs="Times New Roman"/>
          <w:color w:val="000000"/>
          <w:spacing w:val="0"/>
          <w:w w:val="100"/>
          <w:position w:val="0"/>
          <w:sz w:val="18"/>
          <w:szCs w:val="18"/>
        </w:rPr>
        <w:t>1,704.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月，该项目已由</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承接。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 了《青岛印尼综合产业园</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X65MW</w:t>
      </w:r>
      <w:r>
        <w:rPr>
          <w:color w:val="000000"/>
          <w:spacing w:val="0"/>
          <w:w w:val="100"/>
          <w:position w:val="0"/>
        </w:rPr>
        <w:t>燃煤电厂新增设备（扩容）补充合同》，合同额为</w:t>
      </w:r>
      <w:r>
        <w:rPr>
          <w:rFonts w:ascii="Times New Roman" w:eastAsia="Times New Roman" w:hAnsi="Times New Roman" w:cs="Times New Roman"/>
          <w:color w:val="000000"/>
          <w:spacing w:val="0"/>
          <w:w w:val="100"/>
          <w:position w:val="0"/>
          <w:sz w:val="18"/>
          <w:szCs w:val="18"/>
        </w:rPr>
        <w:t>4,459</w:t>
      </w:r>
      <w:r>
        <w:rPr>
          <w:color w:val="000000"/>
          <w:spacing w:val="0"/>
          <w:w w:val="100"/>
          <w:position w:val="0"/>
        </w:rPr>
        <w:t>万元人民币。目前该项目进度正 常推进，公司会按客户要求陆续交货。截至本报告期末，本项目共确认收入</w:t>
      </w:r>
      <w:r>
        <w:rPr>
          <w:rFonts w:ascii="Times New Roman" w:eastAsia="Times New Roman" w:hAnsi="Times New Roman" w:cs="Times New Roman"/>
          <w:color w:val="000000"/>
          <w:spacing w:val="0"/>
          <w:w w:val="100"/>
          <w:position w:val="0"/>
          <w:sz w:val="18"/>
          <w:szCs w:val="18"/>
        </w:rPr>
        <w:t>55,650.67</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p>
    <w:p>
      <w:pPr>
        <w:pStyle w:val="Style34"/>
        <w:keepNext w:val="0"/>
        <w:keepLines w:val="0"/>
        <w:widowControl w:val="0"/>
        <w:numPr>
          <w:ilvl w:val="0"/>
          <w:numId w:val="3"/>
        </w:numPr>
        <w:shd w:val="clear" w:color="auto" w:fill="auto"/>
        <w:tabs>
          <w:tab w:pos="678" w:val="left"/>
        </w:tabs>
        <w:bidi w:val="0"/>
        <w:spacing w:before="0" w:after="40" w:line="313" w:lineRule="exact"/>
        <w:ind w:left="0" w:right="0"/>
        <w:jc w:val="both"/>
      </w:pPr>
      <w:bookmarkStart w:id="142" w:name="bookmark142"/>
      <w:bookmarkEnd w:id="142"/>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月份，公司与菲律宾</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公司签订了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Engineering, Procurement,andConstruction （EPC） Contract for a Pasuquin Wind （132MW）-Solar （100MW） Hybrid Project, Philippines</w:t>
      </w:r>
      <w:r>
        <w:rPr>
          <w:color w:val="000000"/>
          <w:spacing w:val="0"/>
          <w:w w:val="100"/>
          <w:position w:val="0"/>
        </w:rPr>
        <w:t>》，</w:t>
      </w:r>
      <w:r>
        <w:rPr>
          <w:color w:val="000000"/>
          <w:spacing w:val="0"/>
          <w:w w:val="100"/>
          <w:position w:val="0"/>
        </w:rPr>
        <w:t>公司承接位于菲律宾</w:t>
      </w:r>
      <w:r>
        <w:rPr>
          <w:rFonts w:ascii="Times New Roman" w:eastAsia="Times New Roman" w:hAnsi="Times New Roman" w:cs="Times New Roman"/>
          <w:color w:val="000000"/>
          <w:spacing w:val="0"/>
          <w:w w:val="100"/>
          <w:position w:val="0"/>
          <w:sz w:val="18"/>
          <w:szCs w:val="18"/>
        </w:rPr>
        <w:t xml:space="preserve">IIocos Norte </w:t>
      </w:r>
      <w:r>
        <w:rPr>
          <w:color w:val="000000"/>
          <w:spacing w:val="0"/>
          <w:w w:val="100"/>
          <w:position w:val="0"/>
        </w:rPr>
        <w:t xml:space="preserve">省 </w:t>
      </w:r>
      <w:r>
        <w:rPr>
          <w:rFonts w:ascii="Times New Roman" w:eastAsia="Times New Roman" w:hAnsi="Times New Roman" w:cs="Times New Roman"/>
          <w:color w:val="000000"/>
          <w:spacing w:val="0"/>
          <w:w w:val="100"/>
          <w:position w:val="0"/>
          <w:sz w:val="18"/>
          <w:szCs w:val="18"/>
        </w:rPr>
        <w:t xml:space="preserve">Pasuquin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 xml:space="preserve">Burgos </w:t>
      </w:r>
      <w:r>
        <w:rPr>
          <w:color w:val="000000"/>
          <w:spacing w:val="0"/>
          <w:w w:val="100"/>
          <w:position w:val="0"/>
        </w:rPr>
        <w:t xml:space="preserve">地区的 </w:t>
      </w:r>
      <w:r>
        <w:rPr>
          <w:rFonts w:ascii="Times New Roman" w:eastAsia="Times New Roman" w:hAnsi="Times New Roman" w:cs="Times New Roman"/>
          <w:color w:val="000000"/>
          <w:spacing w:val="0"/>
          <w:w w:val="100"/>
          <w:position w:val="0"/>
          <w:sz w:val="18"/>
          <w:szCs w:val="18"/>
        </w:rPr>
        <w:t>132MW</w:t>
      </w:r>
      <w:r>
        <w:rPr>
          <w:color w:val="000000"/>
          <w:spacing w:val="0"/>
          <w:w w:val="100"/>
          <w:position w:val="0"/>
        </w:rPr>
        <w:t>风电</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太阳能发电的风光一体化项目，合同金额为</w:t>
      </w:r>
      <w:r>
        <w:rPr>
          <w:rFonts w:ascii="Times New Roman" w:eastAsia="Times New Roman" w:hAnsi="Times New Roman" w:cs="Times New Roman"/>
          <w:color w:val="000000"/>
          <w:spacing w:val="0"/>
          <w:w w:val="100"/>
          <w:position w:val="0"/>
          <w:sz w:val="18"/>
          <w:szCs w:val="18"/>
        </w:rPr>
        <w:t>43,778</w:t>
      </w:r>
      <w:r>
        <w:rPr>
          <w:color w:val="000000"/>
          <w:spacing w:val="0"/>
          <w:w w:val="100"/>
          <w:position w:val="0"/>
        </w:rPr>
        <w:t xml:space="preserve">万美元。截至本报告期末，光伏项目共确认收入 </w:t>
      </w:r>
      <w:r>
        <w:rPr>
          <w:rFonts w:ascii="Times New Roman" w:eastAsia="Times New Roman" w:hAnsi="Times New Roman" w:cs="Times New Roman"/>
          <w:color w:val="000000"/>
          <w:spacing w:val="0"/>
          <w:w w:val="100"/>
          <w:position w:val="0"/>
          <w:sz w:val="18"/>
          <w:szCs w:val="18"/>
        </w:rPr>
        <w:t>118,260.47</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。根据合同约定，双方尚未结算。若菲律宾疫情能够缓解，预计可在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个月内完成光伏项目 的并网发电工作。光伏项目并网发电后公司将按照合同约定与客户进行结算并要求其回款。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公司签 订了《菲律宾帕苏金（</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兆瓦）风电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兆瓦）太阳能发电的风光一体化项目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总承包合同补充协议》，三方确认风 电项目终止执行，并就合同结算币种、风电设备处理、风电项目结算等事宜达成一致。</w:t>
      </w:r>
    </w:p>
    <w:p>
      <w:pPr>
        <w:pStyle w:val="Style34"/>
        <w:keepNext w:val="0"/>
        <w:keepLines w:val="0"/>
        <w:widowControl w:val="0"/>
        <w:numPr>
          <w:ilvl w:val="0"/>
          <w:numId w:val="3"/>
        </w:numPr>
        <w:shd w:val="clear" w:color="auto" w:fill="auto"/>
        <w:tabs>
          <w:tab w:pos="668" w:val="left"/>
        </w:tabs>
        <w:bidi w:val="0"/>
        <w:spacing w:before="0" w:after="120" w:line="312" w:lineRule="exact"/>
        <w:ind w:left="0" w:right="0"/>
        <w:jc w:val="both"/>
      </w:pPr>
      <w:bookmarkStart w:id="143" w:name="bookmark143"/>
      <w:bookmarkEnd w:id="143"/>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一期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4*33MVA</w:t>
      </w:r>
      <w:r>
        <w:rPr>
          <w:color w:val="000000"/>
          <w:spacing w:val="0"/>
          <w:w w:val="100"/>
          <w:position w:val="0"/>
        </w:rPr>
        <w:t>镍铁矿热炉）项目施工总承包合同协议书》</w:t>
      </w:r>
      <w:r>
        <w:rPr>
          <w:i/>
          <w:iCs/>
          <w:color w:val="000000"/>
          <w:spacing w:val="0"/>
          <w:w w:val="100"/>
          <w:position w:val="0"/>
        </w:rPr>
        <w:t xml:space="preserve">， </w:t>
      </w:r>
      <w:r>
        <w:rPr>
          <w:color w:val="000000"/>
          <w:spacing w:val="0"/>
          <w:w w:val="100"/>
          <w:position w:val="0"/>
        </w:rPr>
        <w:t>合同金额为</w:t>
      </w:r>
      <w:r>
        <w:rPr>
          <w:rFonts w:ascii="Times New Roman" w:eastAsia="Times New Roman" w:hAnsi="Times New Roman" w:cs="Times New Roman"/>
          <w:color w:val="000000"/>
          <w:spacing w:val="0"/>
          <w:w w:val="100"/>
          <w:position w:val="0"/>
          <w:sz w:val="18"/>
          <w:szCs w:val="18"/>
        </w:rPr>
        <w:t>48,628.68</w:t>
      </w:r>
      <w:r>
        <w:rPr>
          <w:color w:val="000000"/>
          <w:spacing w:val="0"/>
          <w:w w:val="100"/>
          <w:position w:val="0"/>
        </w:rPr>
        <w:t>万元人民币。截至本报告期末，本项目累计确认收入</w:t>
      </w:r>
      <w:r>
        <w:rPr>
          <w:rFonts w:ascii="Times New Roman" w:eastAsia="Times New Roman" w:hAnsi="Times New Roman" w:cs="Times New Roman"/>
          <w:color w:val="000000"/>
          <w:spacing w:val="0"/>
          <w:w w:val="100"/>
          <w:position w:val="0"/>
          <w:sz w:val="18"/>
          <w:szCs w:val="18"/>
        </w:rPr>
        <w:t>7,684.18</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p>
      <w:pPr>
        <w:pStyle w:val="Style34"/>
        <w:keepNext w:val="0"/>
        <w:keepLines w:val="0"/>
        <w:widowControl w:val="0"/>
        <w:numPr>
          <w:ilvl w:val="0"/>
          <w:numId w:val="3"/>
        </w:numPr>
        <w:shd w:val="clear" w:color="auto" w:fill="auto"/>
        <w:tabs>
          <w:tab w:pos="668" w:val="left"/>
        </w:tabs>
        <w:bidi w:val="0"/>
        <w:spacing w:before="0" w:after="360" w:line="312" w:lineRule="exact"/>
        <w:ind w:left="0" w:right="0"/>
        <w:jc w:val="both"/>
      </w:pPr>
      <w:bookmarkStart w:id="144" w:name="bookmark144"/>
      <w:bookmarkEnd w:id="144"/>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PSDI</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PSDI2*65MW</w:t>
      </w:r>
      <w:r>
        <w:rPr>
          <w:color w:val="000000"/>
          <w:spacing w:val="0"/>
          <w:w w:val="100"/>
          <w:position w:val="0"/>
        </w:rPr>
        <w:t>燃煤电厂项目施工总承包合同协议书》，合同额为</w:t>
      </w:r>
      <w:r>
        <w:rPr>
          <w:rFonts w:ascii="Times New Roman" w:eastAsia="Times New Roman" w:hAnsi="Times New Roman" w:cs="Times New Roman"/>
          <w:color w:val="000000"/>
          <w:spacing w:val="0"/>
          <w:w w:val="100"/>
          <w:position w:val="0"/>
          <w:sz w:val="18"/>
          <w:szCs w:val="18"/>
        </w:rPr>
        <w:t xml:space="preserve">58,450 </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月，该项目已由</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承接。截至本报告期末，本项目累计确认收入</w:t>
      </w:r>
      <w:r>
        <w:rPr>
          <w:rFonts w:ascii="Times New Roman" w:eastAsia="Times New Roman" w:hAnsi="Times New Roman" w:cs="Times New Roman"/>
          <w:color w:val="000000"/>
          <w:spacing w:val="0"/>
          <w:w w:val="100"/>
          <w:position w:val="0"/>
          <w:sz w:val="18"/>
          <w:szCs w:val="18"/>
        </w:rPr>
        <w:t>26,177.02</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p>
      <w:pPr>
        <w:pStyle w:val="Style37"/>
        <w:keepNext/>
        <w:keepLines/>
        <w:widowControl w:val="0"/>
        <w:shd w:val="clear" w:color="auto" w:fill="auto"/>
        <w:bidi w:val="0"/>
        <w:spacing w:before="0" w:after="2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5"/>
      <w:bookmarkEnd w:id="146"/>
      <w:bookmarkEnd w:id="148"/>
    </w:p>
    <w:p>
      <w:pPr>
        <w:pStyle w:val="Style3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输配电及控制设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8,879,310.35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5,994,641.55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46,376,221.20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19,713,904.79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8,729,061.12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-10,412,376.59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19,078,547.17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1,018,868.40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1,965,100.37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5,221,544.74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23,119,818.93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37,341,313.11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3,577,564.08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30,703,022.24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-22,846,602.02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-2,344,046.15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1,018,868.40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715,123.78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2,057,608.47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摊销费用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1,265,721.26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204,602.78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1,078,868.86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建造成本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175,339,413.42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77,779,338.33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6,408,816.98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329,305,648.71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480,262,824.20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其他电子产品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1,366,418.40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7,138,113.13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3,220,152.60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光伏行业直接材料与风电行业直接材料于本年度发生部分退货，导致当期成本减少。</w:t>
      </w:r>
    </w:p>
    <w:p>
      <w:pPr>
        <w:pStyle w:val="Style37"/>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9"/>
      <w:bookmarkEnd w:id="150"/>
      <w:bookmarkEnd w:id="152"/>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781"/>
        <w:gridCol w:w="4618"/>
        <w:gridCol w:w="1536"/>
        <w:gridCol w:w="869"/>
        <w:gridCol w:w="874"/>
      </w:tblGrid>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泰安中乾矿业有限公司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西安恒顺电气科技有限公司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清算关停</w:t>
            </w:r>
          </w:p>
        </w:tc>
      </w:tr>
    </w:tbl>
    <w:p>
      <w:pPr>
        <w:widowControl w:val="0"/>
        <w:spacing w:after="31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3"/>
      <w:bookmarkEnd w:id="154"/>
      <w:bookmarkEnd w:id="156"/>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7"/>
      <w:bookmarkEnd w:id="158"/>
      <w:bookmarkEnd w:id="160"/>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457,078,174.99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青岛虎森科技发展有限公司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277,873,098.95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PT.Artabumi Sentra Industri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95,099,328.93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37,248,921.81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山东泰山钢铁集团有限公司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34,892,840.27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青岛青建物流集团有限公司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11,963,985.03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457,078,174.99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157.89%</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本报告期因风电项目终止执行冲回部分收入，导致风电项目客户销售额占比为负，使得前五大客户占年度销售额比例超过</w:t>
      </w:r>
    </w:p>
    <w:p>
      <w:pPr>
        <w:pStyle w:val="Style45"/>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353,649,793.34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山东钢铁集团永锋淄博有限公司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210,669,237.91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PT.MCC20 Indonesia Construction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44,981,390.75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PT.Indonesia Anhui Energy Construction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39,460,591.80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青岛中海信达国际贸易有限公司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32,742,260.59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济南翰盈通国际贸易有限公司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25,796,312.29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353,649,793.34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、费用</w:t>
      </w:r>
      <w:bookmarkEnd w:id="161"/>
      <w:bookmarkEnd w:id="162"/>
      <w:bookmarkEnd w:id="16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8,379,640.25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6,242,311.95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主要是本报告期发生的港杂费较上 年同期增加所致。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80,160,483.40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101,735,782.56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145,041,520.42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85,457,688.57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主要是本报告期经营性融资增加导 致利息支出增加所致。</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4,618,344.70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8,760,242.72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主要是本报告期研发减少所致。</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4</w:t>
      </w:r>
      <w:bookmarkEnd w:id="167"/>
      <w:r>
        <w:rPr>
          <w:color w:val="000000"/>
          <w:spacing w:val="0"/>
          <w:w w:val="100"/>
          <w:position w:val="0"/>
        </w:rPr>
        <w:t>、研发投入</w:t>
      </w:r>
      <w:bookmarkEnd w:id="165"/>
      <w:bookmarkEnd w:id="166"/>
      <w:bookmarkEnd w:id="168"/>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jc w:val="left"/>
      </w:pPr>
      <w:r>
        <w:rPr>
          <w:color w:val="000000"/>
          <w:spacing w:val="0"/>
          <w:w w:val="100"/>
          <w:position w:val="0"/>
        </w:rPr>
        <w:t>报告期内公司研发支出</w:t>
      </w:r>
      <w:r>
        <w:rPr>
          <w:rFonts w:ascii="Times New Roman" w:eastAsia="Times New Roman" w:hAnsi="Times New Roman" w:cs="Times New Roman"/>
          <w:color w:val="000000"/>
          <w:spacing w:val="0"/>
          <w:w w:val="100"/>
          <w:position w:val="0"/>
          <w:sz w:val="18"/>
          <w:szCs w:val="18"/>
        </w:rPr>
        <w:t>461.83</w:t>
      </w:r>
      <w:r>
        <w:rPr>
          <w:color w:val="000000"/>
          <w:spacing w:val="0"/>
          <w:w w:val="100"/>
          <w:position w:val="0"/>
        </w:rPr>
        <w:t>万元，占报告期内营业收入的比重为</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。因公司经营定位调整，拟逐步转为管理型公 司，原有的国内工业生产业务近年陆续停产，公司于报告期内自动放弃高新技术企业资格。</w:t>
      </w:r>
    </w:p>
    <w:p>
      <w:pPr>
        <w:pStyle w:val="Style34"/>
        <w:keepNext w:val="0"/>
        <w:keepLines w:val="0"/>
        <w:widowControl w:val="0"/>
        <w:shd w:val="clear" w:color="auto" w:fill="auto"/>
        <w:bidi w:val="0"/>
        <w:spacing w:before="0" w:after="80" w:line="322"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4,618,344.70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8,760,242.72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30,221,317.53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5</w:t>
      </w:r>
      <w:bookmarkEnd w:id="171"/>
      <w:r>
        <w:rPr>
          <w:color w:val="000000"/>
          <w:spacing w:val="0"/>
          <w:w w:val="100"/>
          <w:position w:val="0"/>
        </w:rPr>
        <w:t>、现金流</w:t>
      </w:r>
      <w:bookmarkEnd w:id="169"/>
      <w:bookmarkEnd w:id="170"/>
      <w:bookmarkEnd w:id="17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1,205,049,006.31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615,087,316.87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1,116,137,333.21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1,463,659,665.26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88,911,673.10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-848,572,348.39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26,596,888.69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92,178,956.38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69,640,120.17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-65,582,067.69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-69,640,120.17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1,256,242,726.94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3,339,757,815.15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1,612,024,688.40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2,156,265,555.64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w:t>
            </w:r>
          </w:p>
        </w:tc>
      </w:tr>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-355,781,961.46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1,183,492,259.51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-333,760,715.57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269,682,221.12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-223.76%</w:t>
            </w:r>
          </w:p>
        </w:tc>
      </w:tr>
    </w:tbl>
    <w:p>
      <w:pPr>
        <w:pStyle w:val="Style3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numPr>
          <w:ilvl w:val="0"/>
          <w:numId w:val="5"/>
        </w:numPr>
        <w:shd w:val="clear" w:color="auto" w:fill="auto"/>
        <w:tabs>
          <w:tab w:pos="402" w:val="left"/>
        </w:tabs>
        <w:bidi w:val="0"/>
        <w:spacing w:before="0" w:after="0" w:line="322" w:lineRule="exact"/>
        <w:ind w:left="0" w:right="0" w:firstLine="0"/>
        <w:jc w:val="left"/>
      </w:pPr>
      <w:bookmarkStart w:id="173" w:name="bookmark173"/>
      <w:bookmarkEnd w:id="173"/>
      <w:r>
        <w:rPr>
          <w:color w:val="000000"/>
          <w:spacing w:val="0"/>
          <w:w w:val="100"/>
          <w:position w:val="0"/>
        </w:rPr>
        <w:t>经营活动产生的现金流净额：本报告期金额较上年同期金额增加</w:t>
      </w:r>
      <w:r>
        <w:rPr>
          <w:rFonts w:ascii="Times New Roman" w:eastAsia="Times New Roman" w:hAnsi="Times New Roman" w:cs="Times New Roman"/>
          <w:color w:val="000000"/>
          <w:spacing w:val="0"/>
          <w:w w:val="100"/>
          <w:position w:val="0"/>
          <w:sz w:val="18"/>
          <w:szCs w:val="18"/>
        </w:rPr>
        <w:t>110.48%</w:t>
      </w:r>
      <w:r>
        <w:rPr>
          <w:color w:val="000000"/>
          <w:spacing w:val="0"/>
          <w:w w:val="100"/>
          <w:position w:val="0"/>
        </w:rPr>
        <w:t>,主要原因是本报告期收回销售货款及收到出口 退税款所致。</w:t>
      </w:r>
    </w:p>
    <w:p>
      <w:pPr>
        <w:pStyle w:val="Style34"/>
        <w:keepNext w:val="0"/>
        <w:keepLines w:val="0"/>
        <w:widowControl w:val="0"/>
        <w:numPr>
          <w:ilvl w:val="0"/>
          <w:numId w:val="5"/>
        </w:numPr>
        <w:shd w:val="clear" w:color="auto" w:fill="auto"/>
        <w:tabs>
          <w:tab w:pos="402" w:val="left"/>
        </w:tabs>
        <w:bidi w:val="0"/>
        <w:spacing w:before="0" w:after="0" w:line="326" w:lineRule="exact"/>
        <w:ind w:left="0" w:right="0" w:firstLine="0"/>
        <w:jc w:val="left"/>
      </w:pPr>
      <w:bookmarkStart w:id="174" w:name="bookmark174"/>
      <w:bookmarkEnd w:id="174"/>
      <w:r>
        <w:rPr>
          <w:color w:val="000000"/>
          <w:spacing w:val="0"/>
          <w:w w:val="100"/>
          <w:position w:val="0"/>
        </w:rPr>
        <w:t>筹资活动产生的现金流净额：本报告期金额较上年同期金额减少</w:t>
      </w:r>
      <w:r>
        <w:rPr>
          <w:rFonts w:ascii="Times New Roman" w:eastAsia="Times New Roman" w:hAnsi="Times New Roman" w:cs="Times New Roman"/>
          <w:color w:val="000000"/>
          <w:spacing w:val="0"/>
          <w:w w:val="100"/>
          <w:position w:val="0"/>
          <w:sz w:val="18"/>
          <w:szCs w:val="18"/>
        </w:rPr>
        <w:t>130.06%</w:t>
      </w:r>
      <w:r>
        <w:rPr>
          <w:color w:val="000000"/>
          <w:spacing w:val="0"/>
          <w:w w:val="100"/>
          <w:position w:val="0"/>
        </w:rPr>
        <w:t>,主要原因是本报告期收到的短期筹资较上年减 少所致。</w:t>
      </w:r>
    </w:p>
    <w:p>
      <w:pPr>
        <w:pStyle w:val="Style34"/>
        <w:keepNext w:val="0"/>
        <w:keepLines w:val="0"/>
        <w:widowControl w:val="0"/>
        <w:numPr>
          <w:ilvl w:val="0"/>
          <w:numId w:val="5"/>
        </w:numPr>
        <w:shd w:val="clear" w:color="auto" w:fill="auto"/>
        <w:tabs>
          <w:tab w:pos="402" w:val="left"/>
        </w:tabs>
        <w:bidi w:val="0"/>
        <w:spacing w:before="0" w:after="0" w:line="322" w:lineRule="exact"/>
        <w:ind w:left="0" w:right="0" w:firstLine="0"/>
        <w:jc w:val="left"/>
      </w:pPr>
      <w:bookmarkStart w:id="175" w:name="bookmark175"/>
      <w:bookmarkEnd w:id="175"/>
      <w:r>
        <w:rPr>
          <w:color w:val="000000"/>
          <w:spacing w:val="0"/>
          <w:w w:val="100"/>
          <w:position w:val="0"/>
        </w:rPr>
        <w:t>现金及现金等价物净增加额：本报告期金额较上年同期金额减少</w:t>
      </w:r>
      <w:r>
        <w:rPr>
          <w:rFonts w:ascii="Times New Roman" w:eastAsia="Times New Roman" w:hAnsi="Times New Roman" w:cs="Times New Roman"/>
          <w:color w:val="000000"/>
          <w:spacing w:val="0"/>
          <w:w w:val="100"/>
          <w:position w:val="0"/>
          <w:sz w:val="18"/>
          <w:szCs w:val="18"/>
        </w:rPr>
        <w:t>223.76%</w:t>
      </w:r>
      <w:r>
        <w:rPr>
          <w:color w:val="000000"/>
          <w:spacing w:val="0"/>
          <w:w w:val="100"/>
          <w:position w:val="0"/>
        </w:rPr>
        <w:t>,主要原因是本报告期收到的短期筹资较上年减 少所致。</w:t>
      </w:r>
    </w:p>
    <w:p>
      <w:pPr>
        <w:pStyle w:val="Style3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4"/>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三</w:t>
      </w:r>
      <w:bookmarkEnd w:id="178"/>
      <w:r>
        <w:rPr>
          <w:color w:val="000000"/>
          <w:spacing w:val="0"/>
          <w:w w:val="100"/>
          <w:position w:val="0"/>
          <w:sz w:val="24"/>
          <w:szCs w:val="24"/>
        </w:rPr>
        <w:t>、</w:t>
        <w:tab/>
        <w:t>非主营业务情况</w:t>
      </w:r>
      <w:bookmarkEnd w:id="176"/>
      <w:bookmarkEnd w:id="177"/>
      <w:bookmarkEnd w:id="179"/>
    </w:p>
    <w:p>
      <w:pPr>
        <w:pStyle w:val="Style34"/>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sz w:val="24"/>
          <w:szCs w:val="24"/>
        </w:rPr>
        <w:t>四</w:t>
      </w:r>
      <w:bookmarkEnd w:id="182"/>
      <w:r>
        <w:rPr>
          <w:color w:val="000000"/>
          <w:spacing w:val="0"/>
          <w:w w:val="100"/>
          <w:position w:val="0"/>
          <w:sz w:val="24"/>
          <w:szCs w:val="24"/>
        </w:rPr>
        <w:t>、</w:t>
        <w:tab/>
        <w:t>资产及负债状况分析</w:t>
      </w:r>
      <w:bookmarkEnd w:id="180"/>
      <w:bookmarkEnd w:id="181"/>
      <w:bookmarkEnd w:id="183"/>
    </w:p>
    <w:p>
      <w:pPr>
        <w:pStyle w:val="Style37"/>
        <w:keepNext/>
        <w:keepLines/>
        <w:widowControl w:val="0"/>
        <w:shd w:val="clear" w:color="auto" w:fill="auto"/>
        <w:bidi w:val="0"/>
        <w:spacing w:before="0" w:after="24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、资产构成重大变动情况</w:t>
      </w:r>
      <w:bookmarkEnd w:id="184"/>
      <w:bookmarkEnd w:id="185"/>
      <w:bookmarkEnd w:id="187"/>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137,752,644.98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485,463,809.94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468,802,899.16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904,501,409.24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171,716,848.07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213,147,698.72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3,353,979.34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26,877,756.19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104,590,473.46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122,101,079.30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455,985,520.74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1,127,994,510.40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523,051,034.60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532,276,223.76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2,218,592,985.77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2,280,320,186.54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、以公允价值计量的资产和负债</w:t>
      </w:r>
      <w:bookmarkEnd w:id="188"/>
      <w:bookmarkEnd w:id="189"/>
      <w:bookmarkEnd w:id="191"/>
    </w:p>
    <w:p>
      <w:pPr>
        <w:pStyle w:val="Style34"/>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、截至报告期末的资产权利受限情况</w:t>
      </w:r>
      <w:bookmarkEnd w:id="192"/>
      <w:bookmarkEnd w:id="193"/>
      <w:bookmarkEnd w:id="195"/>
    </w:p>
    <w:tbl>
      <w:tblPr>
        <w:tblOverlap w:val="never"/>
        <w:jc w:val="center"/>
        <w:tblLayout w:type="fixed"/>
      </w:tblPr>
      <w:tblGrid>
        <w:gridCol w:w="1872"/>
        <w:gridCol w:w="3989"/>
        <w:gridCol w:w="381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27,197,433.13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票据保证金及冻结资金</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27,197,433.13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五</w:t>
      </w:r>
      <w:bookmarkEnd w:id="198"/>
      <w:r>
        <w:rPr>
          <w:color w:val="000000"/>
          <w:spacing w:val="0"/>
          <w:w w:val="100"/>
          <w:position w:val="0"/>
          <w:sz w:val="24"/>
          <w:szCs w:val="24"/>
        </w:rPr>
        <w:t>、投资状况分析</w:t>
      </w:r>
      <w:bookmarkEnd w:id="196"/>
      <w:bookmarkEnd w:id="197"/>
      <w:bookmarkEnd w:id="199"/>
    </w:p>
    <w:p>
      <w:pPr>
        <w:pStyle w:val="Style37"/>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、总体情况</w:t>
      </w:r>
      <w:bookmarkEnd w:id="200"/>
      <w:bookmarkEnd w:id="201"/>
      <w:bookmarkEnd w:id="203"/>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274,229,299.30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报告期内获取的重大的股权投资情况</w:t>
      </w:r>
      <w:bookmarkEnd w:id="204"/>
      <w:bookmarkEnd w:id="205"/>
      <w:bookmarkEnd w:id="207"/>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t>报告期内正在进行的重大的非股权投资情况</w:t>
      </w:r>
      <w:bookmarkEnd w:id="208"/>
      <w:bookmarkEnd w:id="209"/>
      <w:bookmarkEnd w:id="21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4</w:t>
      </w:r>
      <w:bookmarkEnd w:id="214"/>
      <w:r>
        <w:rPr>
          <w:color w:val="000000"/>
          <w:spacing w:val="0"/>
          <w:w w:val="100"/>
          <w:position w:val="0"/>
        </w:rPr>
        <w:t>、</w:t>
        <w:tab/>
        <w:t>以公允价值计量的金融资产</w:t>
      </w:r>
      <w:bookmarkEnd w:id="212"/>
      <w:bookmarkEnd w:id="213"/>
      <w:bookmarkEnd w:id="21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w:t>
        <w:tab/>
        <w:t>募集资金使用情况</w:t>
      </w:r>
      <w:bookmarkEnd w:id="216"/>
      <w:bookmarkEnd w:id="217"/>
      <w:bookmarkEnd w:id="219"/>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30"/>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六</w:t>
      </w:r>
      <w:bookmarkEnd w:id="222"/>
      <w:r>
        <w:rPr>
          <w:color w:val="000000"/>
          <w:spacing w:val="0"/>
          <w:w w:val="100"/>
          <w:position w:val="0"/>
          <w:sz w:val="24"/>
          <w:szCs w:val="24"/>
        </w:rPr>
        <w:t>、重大资产和股权出售</w:t>
      </w:r>
      <w:bookmarkEnd w:id="220"/>
      <w:bookmarkEnd w:id="221"/>
      <w:bookmarkEnd w:id="223"/>
    </w:p>
    <w:p>
      <w:pPr>
        <w:pStyle w:val="Style37"/>
        <w:keepNext/>
        <w:keepLines/>
        <w:widowControl w:val="0"/>
        <w:shd w:val="clear" w:color="auto" w:fill="auto"/>
        <w:tabs>
          <w:tab w:pos="36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出售重大资产情况</w:t>
      </w:r>
      <w:bookmarkEnd w:id="224"/>
      <w:bookmarkEnd w:id="225"/>
      <w:bookmarkEnd w:id="227"/>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378"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出售重大股权情况</w:t>
      </w:r>
      <w:bookmarkEnd w:id="228"/>
      <w:bookmarkEnd w:id="229"/>
      <w:bookmarkEnd w:id="231"/>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七</w:t>
      </w:r>
      <w:bookmarkEnd w:id="234"/>
      <w:r>
        <w:rPr>
          <w:color w:val="000000"/>
          <w:spacing w:val="0"/>
          <w:w w:val="100"/>
          <w:position w:val="0"/>
          <w:sz w:val="24"/>
          <w:szCs w:val="24"/>
        </w:rPr>
        <w:t>、主要控股参股公司分析</w:t>
      </w:r>
      <w:bookmarkEnd w:id="232"/>
      <w:bookmarkEnd w:id="233"/>
      <w:bookmarkEnd w:id="235"/>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8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Tian Cheng EPC Pte. Ltd.</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（青岛中资 中程新加坡 天成工程总 承包有限公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煤炭贸 易</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342.19</w:t>
            </w:r>
            <w:r>
              <w:rPr>
                <w:color w:val="000000"/>
                <w:spacing w:val="0"/>
                <w:w w:val="100"/>
                <w:position w:val="0"/>
              </w:rPr>
              <w:t>万美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544,159,958.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208,873,394.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-777,452,140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-201,098,747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-166,899,255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交建城投控 股（山东）有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建筑工程、 市政园林工 程、金融服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 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49,413,849.6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42,577,796.0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45,185,522.6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36,376,401.0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30,108,365.9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Mining </w:t>
            </w:r>
            <w:r>
              <w:rPr>
                <w:color w:val="000000"/>
                <w:spacing w:val="0"/>
                <w:w w:val="100"/>
                <w:position w:val="0"/>
              </w:rPr>
              <w:t>（青岛 中资中程印 尼兄弟矿业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采矿及其他 挖掘服务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29,692,320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2,986,134.24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133,278.51</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Resources</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（青岛中资 中程印尼资 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1,099,260,23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910,926,836.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247,376,838.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118,646,237.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96,293,301.2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青岛中资中 程国际贸易 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93,877,660.0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79,114,458.3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341,500,672.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16,411,014.2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12,305,328.2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 Morowali</w:t>
            </w:r>
          </w:p>
          <w:p>
            <w:pPr>
              <w:pStyle w:val="Style27"/>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 中资中程印 尼中苏镍矿 有限公司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100,155,464,</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印尼盾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40,230,827.7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26,336,204.4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-3,193,801.6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-2,491,254.1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青岛中资中程高新技术产业发展有限公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西安恒顺电气科技有限公司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30"/>
        <w:keepNext/>
        <w:keepLines/>
        <w:widowControl w:val="0"/>
        <w:shd w:val="clear" w:color="auto" w:fill="auto"/>
        <w:tabs>
          <w:tab w:pos="482"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w:t>
        <w:tab/>
        <w:t>公司控制的结构化主体情况</w:t>
      </w:r>
      <w:bookmarkEnd w:id="236"/>
      <w:bookmarkEnd w:id="237"/>
      <w:bookmarkEnd w:id="239"/>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2" w:val="left"/>
        </w:tabs>
        <w:bidi w:val="0"/>
        <w:spacing w:before="0" w:after="26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九</w:t>
      </w:r>
      <w:bookmarkEnd w:id="242"/>
      <w:r>
        <w:rPr>
          <w:color w:val="000000"/>
          <w:spacing w:val="0"/>
          <w:w w:val="100"/>
          <w:position w:val="0"/>
          <w:sz w:val="24"/>
          <w:szCs w:val="24"/>
        </w:rPr>
        <w:t>、</w:t>
        <w:tab/>
        <w:t>公司未来发展的展望</w:t>
      </w:r>
      <w:bookmarkEnd w:id="240"/>
      <w:bookmarkEnd w:id="241"/>
      <w:bookmarkEnd w:id="243"/>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下述公司战略、经营计划、经营目标并不代表上市公司对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年度的盈利预测，能否实现取决于市场状况变化、经营团 队的努力程度等多种因素，存在很大的不确定性，请投资者特别注意。</w:t>
      </w:r>
    </w:p>
    <w:p>
      <w:pPr>
        <w:pStyle w:val="Style34"/>
        <w:keepNext w:val="0"/>
        <w:keepLines w:val="0"/>
        <w:widowControl w:val="0"/>
        <w:shd w:val="clear" w:color="auto" w:fill="auto"/>
        <w:tabs>
          <w:tab w:pos="856" w:val="left"/>
        </w:tabs>
        <w:bidi w:val="0"/>
        <w:spacing w:before="0" w:after="0" w:line="314" w:lineRule="exact"/>
        <w:ind w:left="0" w:right="0" w:firstLine="360"/>
        <w:jc w:val="both"/>
      </w:pPr>
      <w:bookmarkStart w:id="244" w:name="bookmark244"/>
      <w:r>
        <w:rPr>
          <w:b/>
          <w:bCs/>
          <w:color w:val="000000"/>
          <w:spacing w:val="0"/>
          <w:w w:val="100"/>
          <w:position w:val="0"/>
        </w:rPr>
        <w:t>（</w:t>
      </w:r>
      <w:bookmarkEnd w:id="244"/>
      <w:r>
        <w:rPr>
          <w:b/>
          <w:bCs/>
          <w:color w:val="000000"/>
          <w:spacing w:val="0"/>
          <w:w w:val="100"/>
          <w:position w:val="0"/>
        </w:rPr>
        <w:t>一）</w:t>
        <w:tab/>
        <w:t>行业格局和趋势</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纵观目前的宏观经济形势和产业发展格局，中国经济长期向好的基本面没有改变。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年，尽管面对新冠肺炎疫情爆发、 世界经济衰退等情况冲击，中国仍然在全球主要经济体中实现经济正增长。随着区域全面经济伙伴关系协定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RCEP</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正式签 署，全球最具发展潜力的自贸区诞生，其多数成员国也是“一带一路”的重要节点国家，平台将不断释放红利，促进成员国 协同发展、互利共赢，提升区域内经济发展规模。公司的海外业务仍处于“一带一路”倡议的重要战略机遇期，随着海内外 疫情形势缓解，公司青岛印尼综合产业园建设进程将持续加快推进。只要坚持战略转型，挖掘增长动能，公司必将在“一带 一路”的建设中兑现红利。公司将充分把握机遇，合理利用国内外两个市场、两种资源，实现资源高效配置和市场深度融合， 并继续加强主业优势，在此基础上充分结合公司内部及外部环境进行市场分析，明确公司核心竞争力及可持续发展能力，合 理拓展公司发展空间和领域。</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公司会在保持上市公司独立性的前提下，加强与青岛城投集团在战略布局、内部管理、企业文化等层面的融合，将青岛 城投集团的资源优势和管理优势与公司的海外园区开发建设经验等有机结合，推动企业快速发展，实现公司效益稳步攀升、 企业资产保值增值。</w:t>
      </w:r>
    </w:p>
    <w:p>
      <w:pPr>
        <w:pStyle w:val="Style34"/>
        <w:keepNext w:val="0"/>
        <w:keepLines w:val="0"/>
        <w:widowControl w:val="0"/>
        <w:shd w:val="clear" w:color="auto" w:fill="auto"/>
        <w:tabs>
          <w:tab w:pos="856" w:val="left"/>
        </w:tabs>
        <w:bidi w:val="0"/>
        <w:spacing w:before="0" w:after="0" w:line="314" w:lineRule="exact"/>
        <w:ind w:left="0" w:right="0" w:firstLine="360"/>
        <w:jc w:val="both"/>
      </w:pPr>
      <w:bookmarkStart w:id="245" w:name="bookmark245"/>
      <w:r>
        <w:rPr>
          <w:b/>
          <w:bCs/>
          <w:color w:val="000000"/>
          <w:spacing w:val="0"/>
          <w:w w:val="100"/>
          <w:position w:val="0"/>
        </w:rPr>
        <w:t>（</w:t>
      </w:r>
      <w:bookmarkEnd w:id="245"/>
      <w:r>
        <w:rPr>
          <w:b/>
          <w:bCs/>
          <w:color w:val="000000"/>
          <w:spacing w:val="0"/>
          <w:w w:val="100"/>
          <w:position w:val="0"/>
        </w:rPr>
        <w:t>二）</w:t>
        <w:tab/>
        <w:t>公司发展战略</w:t>
      </w:r>
    </w:p>
    <w:p>
      <w:pPr>
        <w:pStyle w:val="Style34"/>
        <w:keepNext w:val="0"/>
        <w:keepLines w:val="0"/>
        <w:widowControl w:val="0"/>
        <w:shd w:val="clear" w:color="auto" w:fill="auto"/>
        <w:bidi w:val="0"/>
        <w:spacing w:before="0" w:after="0" w:line="346" w:lineRule="exact"/>
        <w:ind w:left="0" w:right="0" w:firstLine="360"/>
        <w:jc w:val="both"/>
      </w:pPr>
      <w:r>
        <w:rPr>
          <w:color w:val="000000"/>
          <w:spacing w:val="0"/>
          <w:w w:val="100"/>
          <w:position w:val="0"/>
        </w:rPr>
        <w:t>公司以“国内外双轮驱动”战略为指引，以创造利润为核心任务，坚定不移的推进海外项目建设，深化多元业务布局， 加强内部管理和风险管控，在资本市场塑造特色鲜明、主业突出、价值凸显的企业形象。</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海外方面，全力推进青岛印尼综合产业园建设，确保入园企业镍电项目一期按期交付；菲律宾光伏项目按期交付并网发 电；加大招商引资力度，积极为印尼园区引入战略投资及优质项目，推动项目落地。</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国内方面，深度链接国内金融投资、贸易、工程建设、产业园项目等领域的相关业务，探索在符合国家产业发展方向的 高新技术、新兴行业领域进行布局，抓住新旧动能转换期机遇，重点关注高收益、高技术、高成长性项目，为公司发展做好 战略储备。</w:t>
      </w:r>
    </w:p>
    <w:p>
      <w:pPr>
        <w:pStyle w:val="Style34"/>
        <w:keepNext w:val="0"/>
        <w:keepLines w:val="0"/>
        <w:widowControl w:val="0"/>
        <w:shd w:val="clear" w:color="auto" w:fill="auto"/>
        <w:tabs>
          <w:tab w:pos="856" w:val="left"/>
        </w:tabs>
        <w:bidi w:val="0"/>
        <w:spacing w:before="0" w:after="0" w:line="319" w:lineRule="exact"/>
        <w:ind w:left="0" w:right="0" w:firstLine="360"/>
        <w:jc w:val="both"/>
      </w:pPr>
      <w:bookmarkStart w:id="246" w:name="bookmark246"/>
      <w:r>
        <w:rPr>
          <w:b/>
          <w:bCs/>
          <w:color w:val="000000"/>
          <w:spacing w:val="0"/>
          <w:w w:val="100"/>
          <w:position w:val="0"/>
        </w:rPr>
        <w:t>（</w:t>
      </w:r>
      <w:bookmarkEnd w:id="246"/>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34"/>
        <w:keepNext w:val="0"/>
        <w:keepLines w:val="0"/>
        <w:widowControl w:val="0"/>
        <w:shd w:val="clear" w:color="auto" w:fill="auto"/>
        <w:bidi w:val="0"/>
        <w:spacing w:before="0" w:after="120" w:line="319"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年，公司将全力推动重点项目建设，确保项目按期交付；积极优化战略投资结构，有效提高资金利用效率；狠抓内 部管理提升，实现组织变革和流程再造落地；以管理促发展、以发展促转型，努力推动公司经营业绩提升；同时积极寻找新 业务，开拓新的业绩增长点，整合利用国内国外两种资源，力争形成主业突出、产业多元的创新格局。</w:t>
      </w:r>
    </w:p>
    <w:p>
      <w:pPr>
        <w:pStyle w:val="Style34"/>
        <w:keepNext w:val="0"/>
        <w:keepLines w:val="0"/>
        <w:widowControl w:val="0"/>
        <w:shd w:val="clear" w:color="auto" w:fill="auto"/>
        <w:tabs>
          <w:tab w:pos="627" w:val="left"/>
        </w:tabs>
        <w:bidi w:val="0"/>
        <w:spacing w:before="0" w:after="0" w:line="312" w:lineRule="exact"/>
        <w:ind w:left="0" w:right="0" w:firstLine="320"/>
        <w:jc w:val="both"/>
      </w:pPr>
      <w:bookmarkStart w:id="247" w:name="bookmark247"/>
      <w:r>
        <w:rPr>
          <w:rFonts w:ascii="Times New Roman" w:eastAsia="Times New Roman" w:hAnsi="Times New Roman" w:cs="Times New Roman"/>
          <w:b/>
          <w:bCs/>
          <w:color w:val="000000"/>
          <w:spacing w:val="0"/>
          <w:w w:val="100"/>
          <w:position w:val="0"/>
          <w:sz w:val="18"/>
          <w:szCs w:val="18"/>
        </w:rPr>
        <w:t>1</w:t>
      </w:r>
      <w:bookmarkEnd w:id="247"/>
      <w:r>
        <w:rPr>
          <w:b/>
          <w:bCs/>
          <w:color w:val="000000"/>
          <w:spacing w:val="0"/>
          <w:w w:val="100"/>
          <w:position w:val="0"/>
        </w:rPr>
        <w:t>、</w:t>
        <w:tab/>
        <w:t>持续推进海外项目建设</w:t>
      </w:r>
    </w:p>
    <w:p>
      <w:pPr>
        <w:pStyle w:val="Style34"/>
        <w:keepNext w:val="0"/>
        <w:keepLines w:val="0"/>
        <w:widowControl w:val="0"/>
        <w:numPr>
          <w:ilvl w:val="0"/>
          <w:numId w:val="7"/>
        </w:numPr>
        <w:shd w:val="clear" w:color="auto" w:fill="auto"/>
        <w:tabs>
          <w:tab w:pos="708" w:val="left"/>
        </w:tabs>
        <w:bidi w:val="0"/>
        <w:spacing w:before="0" w:after="0" w:line="312" w:lineRule="exact"/>
        <w:ind w:left="0" w:right="0" w:firstLine="320"/>
        <w:jc w:val="both"/>
      </w:pPr>
      <w:bookmarkStart w:id="248" w:name="bookmark248"/>
      <w:bookmarkEnd w:id="248"/>
      <w:r>
        <w:rPr>
          <w:color w:val="000000"/>
          <w:spacing w:val="0"/>
          <w:w w:val="100"/>
          <w:position w:val="0"/>
        </w:rPr>
        <w:t>确保印尼园区入园企业镍电项目一期按期交付</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公司青岛印尼综合产业园紧紧围绕工期目标开展工作，加强统筹调度，确保入园企业镍电项目一期工程按期点火投产， 配套项目按计划同步完成；完成镍电项目二期的工程可行性研究报告；物资供应严格执行物资采购专项计划，确保按计划完 成设备物资采购、发运、收货和安装调试工作；进一步加强现场施工管理，要求各参建单位严格按施工进度计划组织施工， 保证施工质量；继续狠抓疫情防控不放松，积极落实防护措施，进一步提高各参建单位人员的防护意识，做好疫情督导检查， 确保疫情防控管理到位。</w:t>
      </w:r>
    </w:p>
    <w:p>
      <w:pPr>
        <w:pStyle w:val="Style34"/>
        <w:keepNext w:val="0"/>
        <w:keepLines w:val="0"/>
        <w:widowControl w:val="0"/>
        <w:numPr>
          <w:ilvl w:val="0"/>
          <w:numId w:val="7"/>
        </w:numPr>
        <w:shd w:val="clear" w:color="auto" w:fill="auto"/>
        <w:tabs>
          <w:tab w:pos="708" w:val="left"/>
        </w:tabs>
        <w:bidi w:val="0"/>
        <w:spacing w:before="0" w:after="0" w:line="312" w:lineRule="exact"/>
        <w:ind w:left="0" w:right="0" w:firstLine="320"/>
        <w:jc w:val="both"/>
      </w:pPr>
      <w:bookmarkStart w:id="249" w:name="bookmark249"/>
      <w:bookmarkEnd w:id="249"/>
      <w:r>
        <w:rPr>
          <w:color w:val="000000"/>
          <w:spacing w:val="0"/>
          <w:w w:val="100"/>
          <w:position w:val="0"/>
        </w:rPr>
        <w:t>克服疫情影响，争取实现菲律宾光伏项目整体交付</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公司承接的菲律宾风光一体化项目，光伏项目部分，若菲律宾疫情能够缓解，解除对中国公民的入境限制、人员往来管 控后，结合对侧变电站接入间隔的建设周期和其余调试工作，公司预计可在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个月内完成光伏项目的并网发电工作。光伏项 目并网发电后，公司将按照合同约定与</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进行结算并要求其回款；风电项目部分，公司将按照补充协议的约定，协助</w:t>
      </w:r>
      <w:r>
        <w:rPr>
          <w:rFonts w:ascii="Times New Roman" w:eastAsia="Times New Roman" w:hAnsi="Times New Roman" w:cs="Times New Roman"/>
          <w:color w:val="000000"/>
          <w:spacing w:val="0"/>
          <w:w w:val="100"/>
          <w:position w:val="0"/>
          <w:sz w:val="18"/>
          <w:szCs w:val="18"/>
        </w:rPr>
        <w:t xml:space="preserve">ELPI </w:t>
      </w:r>
      <w:r>
        <w:rPr>
          <w:color w:val="000000"/>
          <w:spacing w:val="0"/>
          <w:w w:val="100"/>
          <w:position w:val="0"/>
        </w:rPr>
        <w:t>处理风电设备调换或改装等事宜并敦促</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依约按时回款。</w:t>
      </w:r>
    </w:p>
    <w:p>
      <w:pPr>
        <w:pStyle w:val="Style34"/>
        <w:keepNext w:val="0"/>
        <w:keepLines w:val="0"/>
        <w:widowControl w:val="0"/>
        <w:shd w:val="clear" w:color="auto" w:fill="auto"/>
        <w:tabs>
          <w:tab w:pos="681" w:val="left"/>
        </w:tabs>
        <w:bidi w:val="0"/>
        <w:spacing w:before="0" w:after="0" w:line="312" w:lineRule="exact"/>
        <w:ind w:left="0" w:right="0"/>
        <w:jc w:val="both"/>
      </w:pPr>
      <w:bookmarkStart w:id="250" w:name="bookmark250"/>
      <w:r>
        <w:rPr>
          <w:rFonts w:ascii="Times New Roman" w:eastAsia="Times New Roman" w:hAnsi="Times New Roman" w:cs="Times New Roman"/>
          <w:b/>
          <w:bCs/>
          <w:color w:val="000000"/>
          <w:spacing w:val="0"/>
          <w:w w:val="100"/>
          <w:position w:val="0"/>
          <w:sz w:val="18"/>
          <w:szCs w:val="18"/>
        </w:rPr>
        <w:t>2</w:t>
      </w:r>
      <w:bookmarkEnd w:id="250"/>
      <w:r>
        <w:rPr>
          <w:b/>
          <w:bCs/>
          <w:color w:val="000000"/>
          <w:spacing w:val="0"/>
          <w:w w:val="100"/>
          <w:position w:val="0"/>
        </w:rPr>
        <w:t>、</w:t>
        <w:tab/>
        <w:t>保持国内贸易业务的稳定运营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公司子公司贸易业务，要在保持现运营项目正常实施的情况下，继续筛选高收益项目，拓展、储备和推进新的项目落地， 进一步提高盈利水平；进一步完善业务管控流程及相关控制制度，确保风控措施能够有效防范业务风险；同时，加强对关联 行业的分析和研究，提前预判行业趋势和价格走势，降低运营风险。</w:t>
      </w:r>
    </w:p>
    <w:p>
      <w:pPr>
        <w:pStyle w:val="Style34"/>
        <w:keepNext w:val="0"/>
        <w:keepLines w:val="0"/>
        <w:widowControl w:val="0"/>
        <w:shd w:val="clear" w:color="auto" w:fill="auto"/>
        <w:tabs>
          <w:tab w:pos="681" w:val="left"/>
        </w:tabs>
        <w:bidi w:val="0"/>
        <w:spacing w:before="0" w:after="0" w:line="312" w:lineRule="exact"/>
        <w:ind w:left="0" w:right="0"/>
        <w:jc w:val="both"/>
      </w:pPr>
      <w:bookmarkStart w:id="251" w:name="bookmark251"/>
      <w:r>
        <w:rPr>
          <w:rFonts w:ascii="Times New Roman" w:eastAsia="Times New Roman" w:hAnsi="Times New Roman" w:cs="Times New Roman"/>
          <w:b/>
          <w:bCs/>
          <w:color w:val="000000"/>
          <w:spacing w:val="0"/>
          <w:w w:val="100"/>
          <w:position w:val="0"/>
          <w:sz w:val="18"/>
          <w:szCs w:val="18"/>
        </w:rPr>
        <w:t>3</w:t>
      </w:r>
      <w:bookmarkEnd w:id="251"/>
      <w:r>
        <w:rPr>
          <w:b/>
          <w:bCs/>
          <w:color w:val="000000"/>
          <w:spacing w:val="0"/>
          <w:w w:val="100"/>
          <w:position w:val="0"/>
        </w:rPr>
        <w:t>、</w:t>
        <w:tab/>
        <w:t>积极寻找新业务，开拓新的业绩增长点</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公司将依托青岛城投集团的平台优势和资源优势，积极寻找符合青岛市新旧动能转换战略的新兴产业并争取落地，打造 新的业绩增长点；同时整合利用国内国外两个市场、两种资源，聚焦与主业相关的上下游产业发展机会，不断挖掘增长动能， 提升公司经营收入，形成主业突出、产业多元的格局。</w:t>
      </w:r>
    </w:p>
    <w:p>
      <w:pPr>
        <w:pStyle w:val="Style34"/>
        <w:keepNext w:val="0"/>
        <w:keepLines w:val="0"/>
        <w:widowControl w:val="0"/>
        <w:shd w:val="clear" w:color="auto" w:fill="auto"/>
        <w:tabs>
          <w:tab w:pos="681" w:val="left"/>
        </w:tabs>
        <w:bidi w:val="0"/>
        <w:spacing w:before="0" w:after="0" w:line="312" w:lineRule="exact"/>
        <w:ind w:left="0" w:right="0"/>
        <w:jc w:val="both"/>
      </w:pPr>
      <w:bookmarkStart w:id="252" w:name="bookmark252"/>
      <w:r>
        <w:rPr>
          <w:rFonts w:ascii="Times New Roman" w:eastAsia="Times New Roman" w:hAnsi="Times New Roman" w:cs="Times New Roman"/>
          <w:b/>
          <w:bCs/>
          <w:color w:val="000000"/>
          <w:spacing w:val="0"/>
          <w:w w:val="100"/>
          <w:position w:val="0"/>
          <w:sz w:val="18"/>
          <w:szCs w:val="18"/>
        </w:rPr>
        <w:t>4</w:t>
      </w:r>
      <w:bookmarkEnd w:id="252"/>
      <w:r>
        <w:rPr>
          <w:b/>
          <w:bCs/>
          <w:color w:val="000000"/>
          <w:spacing w:val="0"/>
          <w:w w:val="100"/>
          <w:position w:val="0"/>
        </w:rPr>
        <w:t>、</w:t>
        <w:tab/>
        <w:t>推进组织结构优化落地</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公司在保证独立性和符合国资监管要求的前提下，将继续调整优化以三会一层治理结构为基础的组织架构，进一步完善 制度流程，强化风险防范；其次，全面提升企业基础管理水平与资源整合能力，使管理职能深度服务于企业经营与项目建设； 再次，结合组织架构调整，建立相匹配的绩效考核管理体系，提升人才素质能力，并探索通过多元化的激励方式，建立起个 人成长与企业发展的联动体系，充分激发内部活力，实现充分发挥人才价值和提升公司经济效益的双赢局面。</w:t>
      </w:r>
    </w:p>
    <w:p>
      <w:pPr>
        <w:pStyle w:val="Style34"/>
        <w:keepNext w:val="0"/>
        <w:keepLines w:val="0"/>
        <w:widowControl w:val="0"/>
        <w:numPr>
          <w:ilvl w:val="0"/>
          <w:numId w:val="9"/>
        </w:numPr>
        <w:shd w:val="clear" w:color="auto" w:fill="auto"/>
        <w:bidi w:val="0"/>
        <w:spacing w:before="0" w:after="0" w:line="312" w:lineRule="exact"/>
        <w:ind w:left="0" w:right="0" w:firstLine="320"/>
        <w:jc w:val="both"/>
      </w:pPr>
      <w:bookmarkStart w:id="253" w:name="bookmark253"/>
      <w:bookmarkEnd w:id="253"/>
      <w:r>
        <w:rPr>
          <w:b/>
          <w:bCs/>
          <w:color w:val="000000"/>
          <w:spacing w:val="0"/>
          <w:w w:val="100"/>
          <w:position w:val="0"/>
        </w:rPr>
        <w:t>存在的风险及应对措施</w:t>
      </w:r>
    </w:p>
    <w:p>
      <w:pPr>
        <w:pStyle w:val="Style34"/>
        <w:keepNext w:val="0"/>
        <w:keepLines w:val="0"/>
        <w:widowControl w:val="0"/>
        <w:shd w:val="clear" w:color="auto" w:fill="auto"/>
        <w:tabs>
          <w:tab w:pos="627" w:val="left"/>
        </w:tabs>
        <w:bidi w:val="0"/>
        <w:spacing w:before="0" w:after="0" w:line="312" w:lineRule="exact"/>
        <w:ind w:left="0" w:right="0" w:firstLine="320"/>
        <w:jc w:val="both"/>
      </w:pPr>
      <w:bookmarkStart w:id="254" w:name="bookmark254"/>
      <w:r>
        <w:rPr>
          <w:rFonts w:ascii="Times New Roman" w:eastAsia="Times New Roman" w:hAnsi="Times New Roman" w:cs="Times New Roman"/>
          <w:b/>
          <w:bCs/>
          <w:color w:val="000000"/>
          <w:spacing w:val="0"/>
          <w:w w:val="100"/>
          <w:position w:val="0"/>
          <w:sz w:val="18"/>
          <w:szCs w:val="18"/>
        </w:rPr>
        <w:t>1</w:t>
      </w:r>
      <w:bookmarkEnd w:id="254"/>
      <w:r>
        <w:rPr>
          <w:b/>
          <w:bCs/>
          <w:color w:val="000000"/>
          <w:spacing w:val="0"/>
          <w:w w:val="100"/>
          <w:position w:val="0"/>
        </w:rPr>
        <w:t>、</w:t>
        <w:tab/>
        <w:t>国外疫情发展的风险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新型冠状病毒肺炎疫情尚在全球持续，对全球性经济造成了较大冲击，这也给公司在海外的经营发展带来巨大风险，特 别是对于出口型企业与国际</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业务来说，市场规模与信心均面临萎缩。同时各国政府的疫情防控政策及入境禁令及也随着 疫情的变化而不断调整，势必加剧逆全球化趋势的进一步发展。公司海外项目受中方工作人员缺口问题与可预见的国内进口 物资受阻等情况影响，项目进度将会出现延期风险。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针对以上风险，公司将根据国内外经济、政治环境的变化，不断调整并优化组织架构设置、人力资源策略、业务制度流 程、企业价值观等经营管理策略；同时公司将疫情风险防控作为持续性议题保持关注，并带领各分子公司紧跟政策导向，根 据各国政府的要求，全面配合防控防疫工作，在杜绝防疫隐患与管理风险的前提下，适时适量增加当地人员的招聘数量。</w:t>
      </w:r>
    </w:p>
    <w:p>
      <w:pPr>
        <w:pStyle w:val="Style34"/>
        <w:keepNext w:val="0"/>
        <w:keepLines w:val="0"/>
        <w:widowControl w:val="0"/>
        <w:shd w:val="clear" w:color="auto" w:fill="auto"/>
        <w:tabs>
          <w:tab w:pos="627" w:val="left"/>
        </w:tabs>
        <w:bidi w:val="0"/>
        <w:spacing w:before="0" w:after="0" w:line="312" w:lineRule="exact"/>
        <w:ind w:left="0" w:right="0" w:firstLine="320"/>
        <w:jc w:val="both"/>
      </w:pPr>
      <w:bookmarkStart w:id="255" w:name="bookmark255"/>
      <w:r>
        <w:rPr>
          <w:rFonts w:ascii="Times New Roman" w:eastAsia="Times New Roman" w:hAnsi="Times New Roman" w:cs="Times New Roman"/>
          <w:b/>
          <w:bCs/>
          <w:color w:val="000000"/>
          <w:spacing w:val="0"/>
          <w:w w:val="100"/>
          <w:position w:val="0"/>
          <w:sz w:val="18"/>
          <w:szCs w:val="18"/>
        </w:rPr>
        <w:t>2</w:t>
      </w:r>
      <w:bookmarkEnd w:id="255"/>
      <w:r>
        <w:rPr>
          <w:b/>
          <w:bCs/>
          <w:color w:val="000000"/>
          <w:spacing w:val="0"/>
          <w:w w:val="100"/>
          <w:position w:val="0"/>
        </w:rPr>
        <w:t>、</w:t>
        <w:tab/>
        <w:t>海外投资政治环境的风险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目前，海外业务已成为公司收入的重要来源。公司在海外投资的项目主要在印尼、菲律宾、津巴布韦等国家，上述地区 属于发展中国家，政治环境较为复杂，市场开放有限，对外投资存在限制，公司仍可能面临上述国家政策的变化带来的不利 影响。随着公司海外业务的不断开拓，因海外业务所在国政治经济格局变化引发的风险可能性在上升，公司与海外业主方、 合作方可能发生的商业争端风险也在不断增加。</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针对以上风险，公司与上述国家的政府部门及我国驻外大使馆保持积极良好的沟通，在印尼是印尼政府重点关注支持的 企业，被印尼投资促进部授予“绿色通道”服务许可；在菲律宾，公司项目合作对象为菲律宾较有影响力的企业，为公司在 上述国家开展投资项目提供了保障；在津巴布韦，公司出资成立“津巴布韦政府总统奖学金”，培养留学生来华学习，具有 良好的政治基础。</w:t>
      </w:r>
    </w:p>
    <w:p>
      <w:pPr>
        <w:pStyle w:val="Style34"/>
        <w:keepNext w:val="0"/>
        <w:keepLines w:val="0"/>
        <w:widowControl w:val="0"/>
        <w:shd w:val="clear" w:color="auto" w:fill="auto"/>
        <w:tabs>
          <w:tab w:pos="627" w:val="left"/>
        </w:tabs>
        <w:bidi w:val="0"/>
        <w:spacing w:before="0" w:after="0" w:line="312" w:lineRule="exact"/>
        <w:ind w:left="0" w:right="0" w:firstLine="320"/>
        <w:jc w:val="both"/>
      </w:pPr>
      <w:bookmarkStart w:id="256" w:name="bookmark256"/>
      <w:r>
        <w:rPr>
          <w:rFonts w:ascii="Times New Roman" w:eastAsia="Times New Roman" w:hAnsi="Times New Roman" w:cs="Times New Roman"/>
          <w:b/>
          <w:bCs/>
          <w:color w:val="000000"/>
          <w:spacing w:val="0"/>
          <w:w w:val="100"/>
          <w:position w:val="0"/>
          <w:sz w:val="18"/>
          <w:szCs w:val="18"/>
        </w:rPr>
        <w:t>3</w:t>
      </w:r>
      <w:bookmarkEnd w:id="256"/>
      <w:r>
        <w:rPr>
          <w:b/>
          <w:bCs/>
          <w:color w:val="000000"/>
          <w:spacing w:val="0"/>
          <w:w w:val="100"/>
          <w:position w:val="0"/>
        </w:rPr>
        <w:t>、</w:t>
        <w:tab/>
        <w:t>公司管理的风险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随着公司集团化进程的推进，公司资产规模不断扩张，在战略规划、组织设计、经营管理、资源整合、市场开拓、内部 控制、机制建立等方面对公司的管理层提出了更高的要求。同时公司的管理半径过大，以及在并购海外公司后的业务整合、 人员整合、文化整合等方面也面临相应的风险。</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针对以上风险，公司已不断完善组织结构、加强人才队伍建设和管理制度建设。为了完善自身的管理体系和提升管理能 力，公司建立了规范的法人治理结构以及经营管理制度；同时公司紧紧围绕董事会制定的战略方针，不断创新管理机制，做 好绩效考核，形成公司特有的且适合公司的经营管理经验，应对公司扩张带来的管理风险。为不断吸引新的技术、管理人才 加盟，增强公司的技术实力、提升公司的管理水平，公司制定了有竞争力的薪酬体系和职业发展规划，并对核心技术和管理 人员进行激励，同时与核心人员签订了保密协议，对竞业禁止义务和责任等进行了明确约定，尽可能降低或消除核心人员流 失及由此带来的技术扩散风险、经营管理风险。对于海外收购的企业，以尊重当地文化为主旨，互相融合，逐步消除因文化 差异存在的障碍。</w:t>
      </w:r>
    </w:p>
    <w:p>
      <w:pPr>
        <w:pStyle w:val="Style34"/>
        <w:keepNext w:val="0"/>
        <w:keepLines w:val="0"/>
        <w:widowControl w:val="0"/>
        <w:shd w:val="clear" w:color="auto" w:fill="auto"/>
        <w:tabs>
          <w:tab w:pos="690" w:val="left"/>
        </w:tabs>
        <w:bidi w:val="0"/>
        <w:spacing w:before="0" w:after="0" w:line="360" w:lineRule="auto"/>
        <w:ind w:left="0" w:right="0"/>
        <w:jc w:val="both"/>
      </w:pPr>
      <w:bookmarkStart w:id="257" w:name="bookmark257"/>
      <w:r>
        <w:rPr>
          <w:rFonts w:ascii="Times New Roman" w:eastAsia="Times New Roman" w:hAnsi="Times New Roman" w:cs="Times New Roman"/>
          <w:b/>
          <w:bCs/>
          <w:color w:val="000000"/>
          <w:spacing w:val="0"/>
          <w:w w:val="100"/>
          <w:position w:val="0"/>
          <w:sz w:val="18"/>
          <w:szCs w:val="18"/>
        </w:rPr>
        <w:t>4</w:t>
      </w:r>
      <w:bookmarkEnd w:id="257"/>
      <w:r>
        <w:rPr>
          <w:b/>
          <w:bCs/>
          <w:color w:val="000000"/>
          <w:spacing w:val="0"/>
          <w:w w:val="100"/>
          <w:position w:val="0"/>
        </w:rPr>
        <w:t>、</w:t>
        <w:tab/>
        <w:t>投资项目实施的风险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公司在海外投资及拟收购的项目，虽然在前期已请相关专业机构进行了充分论证，并经过了董事会及股东会的审议研究, 但由于在项目实施及营运过程中可能会由于市场的变化、政策的调整、投资地人文环境的不适应、市场拓展不力、人力资源 的不足等问题，存在投资项目时间进度不能按照计划进行或项目收益无法达到预期的风险。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公司持有的</w:t>
      </w: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w:t>
      </w: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镍矿对应的无形资产价值分别为</w:t>
      </w:r>
      <w:r>
        <w:rPr>
          <w:rFonts w:ascii="Times New Roman" w:eastAsia="Times New Roman" w:hAnsi="Times New Roman" w:cs="Times New Roman"/>
          <w:color w:val="000000"/>
          <w:spacing w:val="0"/>
          <w:w w:val="100"/>
          <w:position w:val="0"/>
          <w:sz w:val="18"/>
          <w:szCs w:val="18"/>
        </w:rPr>
        <w:t>4,906.00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5,992.94</w:t>
      </w:r>
      <w:r>
        <w:rPr>
          <w:color w:val="000000"/>
          <w:spacing w:val="0"/>
          <w:w w:val="100"/>
          <w:position w:val="0"/>
        </w:rPr>
        <w:t>万元。因印尼工业园内的</w:t>
      </w: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镍铁冶炼项目未投产运营，我公司亦未对矿区进行全面详勘，具体矿产储量尚存在一定不确定性。</w:t>
      </w:r>
    </w:p>
    <w:p>
      <w:pPr>
        <w:pStyle w:val="Style34"/>
        <w:keepNext w:val="0"/>
        <w:keepLines w:val="0"/>
        <w:widowControl w:val="0"/>
        <w:shd w:val="clear" w:color="auto" w:fill="auto"/>
        <w:bidi w:val="0"/>
        <w:spacing w:before="0" w:after="140" w:line="314" w:lineRule="exact"/>
        <w:ind w:left="0" w:right="0" w:firstLine="300"/>
        <w:jc w:val="both"/>
      </w:pPr>
      <w:r>
        <w:rPr>
          <w:color w:val="000000"/>
          <w:spacing w:val="0"/>
          <w:w w:val="100"/>
          <w:position w:val="0"/>
        </w:rPr>
        <w:t>针对以上风险，公司会对各项目的进展情况及时跟踪，及时处理项目实施过程中出现的问题，尽可能使项目时间按计划 进度进行。积极开展融资，进一步开拓思路，通过寻求有资金实力的合作伙伴、争取资本市场直接融资等方式，解决项目资 金需求、降低财务成本。在矿产开发方面，未来公司将对所持煤矿、镍矿逐步开展开采、销售，进一步开发矿产相关业务。</w:t>
      </w:r>
    </w:p>
    <w:p>
      <w:pPr>
        <w:pStyle w:val="Style34"/>
        <w:keepNext w:val="0"/>
        <w:keepLines w:val="0"/>
        <w:widowControl w:val="0"/>
        <w:shd w:val="clear" w:color="auto" w:fill="auto"/>
        <w:tabs>
          <w:tab w:pos="690" w:val="left"/>
        </w:tabs>
        <w:bidi w:val="0"/>
        <w:spacing w:before="0" w:after="0" w:line="360" w:lineRule="auto"/>
        <w:ind w:left="0" w:right="0"/>
        <w:jc w:val="both"/>
      </w:pPr>
      <w:bookmarkStart w:id="258" w:name="bookmark258"/>
      <w:r>
        <w:rPr>
          <w:rFonts w:ascii="Times New Roman" w:eastAsia="Times New Roman" w:hAnsi="Times New Roman" w:cs="Times New Roman"/>
          <w:b/>
          <w:bCs/>
          <w:color w:val="000000"/>
          <w:spacing w:val="0"/>
          <w:w w:val="100"/>
          <w:position w:val="0"/>
          <w:sz w:val="18"/>
          <w:szCs w:val="18"/>
        </w:rPr>
        <w:t>5</w:t>
      </w:r>
      <w:bookmarkEnd w:id="258"/>
      <w:r>
        <w:rPr>
          <w:b/>
          <w:bCs/>
          <w:color w:val="000000"/>
          <w:spacing w:val="0"/>
          <w:w w:val="100"/>
          <w:position w:val="0"/>
        </w:rPr>
        <w:t>、</w:t>
        <w:tab/>
        <w:t>海外投资法律方面的风险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公司海外项目所分布国家在执法环境等方面与国内存在一定差异，境内、外法律法规的不一致性给公司的海外业务合同 的签订、履行、争议的解决等环节都带来了风险。</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针对以上风险，公司充分利用国际经济活动中的法律和规则，通过以下几种方式规避法律风险：选择与经验更丰富、管 理上更成熟的中国公司进行合作，弱化外部因素影响；完善海外业务的合同内容，锁定适用的法律法规，依靠双方的合同约 定，调整与合作企业的关系，依据合同追究对方违约责任，维护自身合法权益；积极与熟悉中外双重法律体系、提供跨境法 律服务的当地律所或在当地有分支机构的国内知名律所建立合作关系。</w:t>
      </w:r>
    </w:p>
    <w:p>
      <w:pPr>
        <w:pStyle w:val="Style34"/>
        <w:keepNext w:val="0"/>
        <w:keepLines w:val="0"/>
        <w:widowControl w:val="0"/>
        <w:shd w:val="clear" w:color="auto" w:fill="auto"/>
        <w:tabs>
          <w:tab w:pos="690" w:val="left"/>
        </w:tabs>
        <w:bidi w:val="0"/>
        <w:spacing w:before="0" w:after="0" w:line="360" w:lineRule="auto"/>
        <w:ind w:left="0" w:right="0"/>
        <w:jc w:val="both"/>
      </w:pPr>
      <w:bookmarkStart w:id="259" w:name="bookmark259"/>
      <w:r>
        <w:rPr>
          <w:rFonts w:ascii="Times New Roman" w:eastAsia="Times New Roman" w:hAnsi="Times New Roman" w:cs="Times New Roman"/>
          <w:b/>
          <w:bCs/>
          <w:color w:val="000000"/>
          <w:spacing w:val="0"/>
          <w:w w:val="100"/>
          <w:position w:val="0"/>
          <w:sz w:val="18"/>
          <w:szCs w:val="18"/>
        </w:rPr>
        <w:t>6</w:t>
      </w:r>
      <w:bookmarkEnd w:id="259"/>
      <w:r>
        <w:rPr>
          <w:b/>
          <w:bCs/>
          <w:color w:val="000000"/>
          <w:spacing w:val="0"/>
          <w:w w:val="100"/>
          <w:position w:val="0"/>
        </w:rPr>
        <w:t>、</w:t>
        <w:tab/>
        <w:t>汇率变动的风险</w:t>
      </w:r>
    </w:p>
    <w:p>
      <w:pPr>
        <w:pStyle w:val="Style34"/>
        <w:keepNext w:val="0"/>
        <w:keepLines w:val="0"/>
        <w:widowControl w:val="0"/>
        <w:shd w:val="clear" w:color="auto" w:fill="auto"/>
        <w:bidi w:val="0"/>
        <w:spacing w:before="0" w:after="360" w:line="322" w:lineRule="exact"/>
        <w:ind w:left="0" w:right="0"/>
        <w:jc w:val="both"/>
      </w:pPr>
      <w:r>
        <w:rPr>
          <w:color w:val="000000"/>
          <w:spacing w:val="0"/>
          <w:w w:val="100"/>
          <w:position w:val="0"/>
        </w:rPr>
        <w:t>公司签署的海外合作项目，存在一定的汇率波动风险。针对以上风险，公司会持续加强对国际形势和汇率波动的分析与 研究，尽可能的将外币收入与外币支出进行匹配，最大限度的防范和降低汇率波动风险。</w:t>
      </w:r>
    </w:p>
    <w:p>
      <w:pPr>
        <w:pStyle w:val="Style30"/>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r>
        <w:rPr>
          <w:color w:val="000000"/>
          <w:spacing w:val="0"/>
          <w:w w:val="100"/>
          <w:position w:val="0"/>
          <w:sz w:val="24"/>
          <w:szCs w:val="24"/>
        </w:rPr>
        <w:t>十、接待调研、沟通、采访等活动登记表</w:t>
      </w:r>
      <w:bookmarkEnd w:id="260"/>
      <w:bookmarkEnd w:id="261"/>
      <w:bookmarkEnd w:id="262"/>
    </w:p>
    <w:p>
      <w:pPr>
        <w:pStyle w:val="Style37"/>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260" w:line="314" w:lineRule="exact"/>
        <w:ind w:left="0" w:right="0" w:firstLine="0"/>
        <w:jc w:val="left"/>
        <w:sectPr>
          <w:footnotePr>
            <w:pos w:val="pageBottom"/>
            <w:numFmt w:val="decimal"/>
            <w:numRestart w:val="continuous"/>
          </w:footnotePr>
          <w:pgSz w:w="11900" w:h="16840"/>
          <w:pgMar w:top="1364" w:right="1055" w:bottom="1455" w:left="1072" w:header="0" w:footer="3" w:gutter="0"/>
          <w:cols w:space="720"/>
          <w:noEndnote/>
          <w:rtlGutter w:val="0"/>
          <w:docGrid w:linePitch="360"/>
        </w:sectPr>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480" w:after="54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30"/>
        <w:keepNext/>
        <w:keepLines/>
        <w:widowControl w:val="0"/>
        <w:shd w:val="clear" w:color="auto" w:fill="auto"/>
        <w:bidi w:val="0"/>
        <w:spacing w:before="0" w:after="260" w:line="240" w:lineRule="auto"/>
        <w:ind w:left="0" w:right="0" w:firstLine="0"/>
        <w:jc w:val="left"/>
      </w:pPr>
      <w:bookmarkStart w:id="270" w:name="bookmark270"/>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、公司普通股利润分配及资本公积金转增股本情况</w:t>
      </w:r>
      <w:bookmarkEnd w:id="271"/>
      <w:bookmarkEnd w:id="272"/>
      <w:bookmarkEnd w:id="274"/>
      <w:bookmarkEnd w:id="270"/>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4"/>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本年度利润分配及资本公积金转增股本情况</w:t>
      </w:r>
    </w:p>
    <w:p>
      <w:pPr>
        <w:pStyle w:val="Style3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60" w:line="312" w:lineRule="exact"/>
        <w:ind w:left="0" w:right="0" w:firstLine="0"/>
        <w:jc w:val="center"/>
      </w:pPr>
      <w:r>
        <w:rPr>
          <w:color w:val="000000"/>
          <w:spacing w:val="0"/>
          <w:w w:val="100"/>
          <w:position w:val="0"/>
        </w:rPr>
        <w:t>本次现金分红情况</w:t>
      </w:r>
    </w:p>
    <w:p>
      <w:pPr>
        <w:pStyle w:val="Style3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60" w:line="312" w:lineRule="exact"/>
        <w:ind w:left="0" w:right="0" w:firstLine="0"/>
        <w:jc w:val="center"/>
      </w:pPr>
      <w:r>
        <w:rPr>
          <w:color w:val="000000"/>
          <w:spacing w:val="0"/>
          <w:w w:val="100"/>
          <w:position w:val="0"/>
        </w:rPr>
        <w:t>利润分配或资本公积金转增预案的详细情况说明</w:t>
      </w:r>
    </w:p>
    <w:p>
      <w:pPr>
        <w:pStyle w:val="Style3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年度计划不派发现金红利，不送红股，不以公积金转增股本。</w:t>
      </w:r>
    </w:p>
    <w:p>
      <w:pPr>
        <w:pStyle w:val="Style34"/>
        <w:keepNext w:val="0"/>
        <w:keepLines w:val="0"/>
        <w:widowControl w:val="0"/>
        <w:shd w:val="clear" w:color="auto" w:fill="auto"/>
        <w:bidi w:val="0"/>
        <w:spacing w:before="0" w:after="60" w:line="312" w:lineRule="exact"/>
        <w:ind w:left="0" w:right="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bidi w:val="0"/>
        <w:spacing w:before="0" w:after="60" w:line="312" w:lineRule="exact"/>
        <w:ind w:left="0" w:right="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日召开的第三届董事会第十八次会议审议，公司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年度利润分配方案实 施时股权登记日的总股本扣除第三届董事会第十次会议决议应回购注销的</w:t>
      </w:r>
      <w:r>
        <w:rPr>
          <w:rFonts w:ascii="Times New Roman" w:eastAsia="Times New Roman" w:hAnsi="Times New Roman" w:cs="Times New Roman"/>
          <w:color w:val="000000"/>
          <w:spacing w:val="0"/>
          <w:w w:val="100"/>
          <w:position w:val="0"/>
          <w:sz w:val="18"/>
          <w:szCs w:val="18"/>
        </w:rPr>
        <w:t>16,050,000</w:t>
      </w:r>
      <w:r>
        <w:rPr>
          <w:color w:val="000000"/>
          <w:spacing w:val="0"/>
          <w:w w:val="100"/>
          <w:position w:val="0"/>
        </w:rPr>
        <w:t>股股权激励限售股为基数，向全体股东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。该利润分配方案经公司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日对外披露了《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年度权益分派实施公告》，本次权益分派的股权登记日为：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日，该利润分配方案已实施完毕。</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296"/>
        <w:gridCol w:w="1094"/>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-408,451,769.43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-259,368,579.84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22,484,250.00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188,027,560.07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2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w:t>
        <w:tab/>
        <w:t>承诺事项履行情况</w:t>
      </w:r>
      <w:bookmarkEnd w:id="275"/>
      <w:bookmarkEnd w:id="276"/>
      <w:bookmarkEnd w:id="278"/>
    </w:p>
    <w:p>
      <w:pPr>
        <w:pStyle w:val="Style37"/>
        <w:keepNext/>
        <w:keepLines/>
        <w:widowControl w:val="0"/>
        <w:shd w:val="clear" w:color="auto" w:fill="auto"/>
        <w:tabs>
          <w:tab w:pos="433" w:val="left"/>
        </w:tabs>
        <w:bidi w:val="0"/>
        <w:spacing w:before="0" w:line="326"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w:t>
        <w:tab/>
        <w:t>公司实际控制人、股东、关联方、收购人以及公司等承诺相关方在报告期内履行完毕及截至报告期末 尚未履行完毕的承诺事项</w:t>
      </w:r>
      <w:bookmarkEnd w:id="279"/>
      <w:bookmarkEnd w:id="280"/>
      <w:bookmarkEnd w:id="282"/>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37"/>
        <w:keepNext/>
        <w:keepLines/>
        <w:widowControl w:val="0"/>
        <w:shd w:val="clear" w:color="auto" w:fill="auto"/>
        <w:tabs>
          <w:tab w:pos="433" w:val="left"/>
        </w:tabs>
        <w:bidi w:val="0"/>
        <w:spacing w:before="0" w:line="317"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w:t>
        <w:tab/>
        <w:t>公司资产或项目存在盈利预测，且报告期仍处在盈利预测期间，公司就资产或项目达到原盈利预测及 其原因做出说明</w:t>
      </w:r>
      <w:bookmarkEnd w:id="283"/>
      <w:bookmarkEnd w:id="284"/>
      <w:bookmarkEnd w:id="286"/>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三</w:t>
      </w:r>
      <w:bookmarkEnd w:id="289"/>
      <w:r>
        <w:rPr>
          <w:color w:val="000000"/>
          <w:spacing w:val="0"/>
          <w:w w:val="100"/>
          <w:position w:val="0"/>
          <w:sz w:val="24"/>
          <w:szCs w:val="24"/>
        </w:rPr>
        <w:t>、</w:t>
        <w:tab/>
        <w:t>控股股东及其关联方对上市公司的非经营性占用资金情况</w:t>
      </w:r>
      <w:bookmarkEnd w:id="287"/>
      <w:bookmarkEnd w:id="288"/>
      <w:bookmarkEnd w:id="290"/>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22"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1"/>
      <w:bookmarkEnd w:id="292"/>
      <w:bookmarkEnd w:id="294"/>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5"/>
      <w:bookmarkEnd w:id="296"/>
      <w:bookmarkEnd w:id="298"/>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w:t>
        <w:tab/>
        <w:t>董事会关于报告期会计政策、会计估计变更或重大会计差错更正的说明</w:t>
      </w:r>
      <w:bookmarkEnd w:id="299"/>
      <w:bookmarkEnd w:id="300"/>
      <w:bookmarkEnd w:id="302"/>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七</w:t>
      </w:r>
      <w:bookmarkEnd w:id="305"/>
      <w:r>
        <w:rPr>
          <w:color w:val="000000"/>
          <w:spacing w:val="0"/>
          <w:w w:val="100"/>
          <w:position w:val="0"/>
          <w:sz w:val="24"/>
          <w:szCs w:val="24"/>
        </w:rPr>
        <w:t>、与上年度财务报告相比，合并报表范围发生变化的情况说明</w:t>
      </w:r>
      <w:bookmarkEnd w:id="303"/>
      <w:bookmarkEnd w:id="304"/>
      <w:bookmarkEnd w:id="306"/>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81"/>
        <w:gridCol w:w="4618"/>
        <w:gridCol w:w="1541"/>
        <w:gridCol w:w="864"/>
        <w:gridCol w:w="874"/>
      </w:tblGrid>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泰安中乾矿业有限公司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西安恒顺电气科技有限公司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清算关停</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八</w:t>
      </w:r>
      <w:bookmarkEnd w:id="309"/>
      <w:r>
        <w:rPr>
          <w:color w:val="000000"/>
          <w:spacing w:val="0"/>
          <w:w w:val="100"/>
          <w:position w:val="0"/>
          <w:sz w:val="24"/>
          <w:szCs w:val="24"/>
        </w:rPr>
        <w:t>、聘任、解聘会计师事务所情况</w:t>
      </w:r>
      <w:bookmarkEnd w:id="307"/>
      <w:bookmarkEnd w:id="308"/>
      <w:bookmarkEnd w:id="310"/>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王伦刚、马春明</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王伦刚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年、马春明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、年度报告披露后面临退市情况</w:t>
      </w:r>
      <w:bookmarkEnd w:id="311"/>
      <w:bookmarkEnd w:id="312"/>
      <w:bookmarkEnd w:id="314"/>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315" w:name="bookmark315"/>
      <w:bookmarkStart w:id="316" w:name="bookmark316"/>
      <w:bookmarkStart w:id="317" w:name="bookmark317"/>
      <w:r>
        <w:rPr>
          <w:color w:val="000000"/>
          <w:spacing w:val="0"/>
          <w:w w:val="100"/>
          <w:position w:val="0"/>
          <w:sz w:val="24"/>
          <w:szCs w:val="24"/>
        </w:rPr>
        <w:t>十、破产重整相关事项</w:t>
      </w:r>
      <w:bookmarkEnd w:id="315"/>
      <w:bookmarkEnd w:id="316"/>
      <w:bookmarkEnd w:id="317"/>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30"/>
        <w:keepNext/>
        <w:keepLines/>
        <w:widowControl w:val="0"/>
        <w:shd w:val="clear" w:color="auto" w:fill="auto"/>
        <w:bidi w:val="0"/>
        <w:spacing w:before="0" w:line="240" w:lineRule="auto"/>
        <w:ind w:left="0" w:right="0" w:firstLine="0"/>
        <w:jc w:val="both"/>
      </w:pPr>
      <w:bookmarkStart w:id="318" w:name="bookmark318"/>
      <w:bookmarkStart w:id="319" w:name="bookmark319"/>
      <w:bookmarkStart w:id="320" w:name="bookmark320"/>
      <w:r>
        <w:rPr>
          <w:color w:val="000000"/>
          <w:spacing w:val="0"/>
          <w:w w:val="100"/>
          <w:position w:val="0"/>
          <w:sz w:val="24"/>
          <w:szCs w:val="24"/>
        </w:rPr>
        <w:t>十一、重大诉讼、仲裁事项</w:t>
      </w:r>
      <w:bookmarkEnd w:id="318"/>
      <w:bookmarkEnd w:id="319"/>
      <w:bookmarkEnd w:id="32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413"/>
        <w:gridCol w:w="706"/>
        <w:gridCol w:w="854"/>
        <w:gridCol w:w="1699"/>
        <w:gridCol w:w="1133"/>
        <w:gridCol w:w="850"/>
        <w:gridCol w:w="427"/>
        <w:gridCol w:w="509"/>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涉案金 额（万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 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 索引</w:t>
            </w:r>
          </w:p>
        </w:tc>
      </w:tr>
      <w:tr>
        <w:trPr>
          <w:trHeight w:val="3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公司诉云南海俊商贸有限公司（下称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云南 海俊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买卖合同纠纷案：【诉状事实】因菲 律宾</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光伏项目需要，公司与被告云南 海俊签订《货物采购合同》，购买被告</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万套光伏支架预埋件，总价款</w:t>
            </w:r>
            <w:r>
              <w:rPr>
                <w:rFonts w:ascii="Times New Roman" w:eastAsia="Times New Roman" w:hAnsi="Times New Roman" w:cs="Times New Roman"/>
                <w:color w:val="000000"/>
                <w:spacing w:val="0"/>
                <w:w w:val="100"/>
                <w:position w:val="0"/>
                <w:sz w:val="18"/>
                <w:szCs w:val="18"/>
              </w:rPr>
              <w:t>184.14</w:t>
            </w:r>
            <w:r>
              <w:rPr>
                <w:color w:val="000000"/>
                <w:spacing w:val="0"/>
                <w:w w:val="100"/>
                <w:position w:val="0"/>
              </w:rPr>
              <w:t>万元, 公司已付全款，但被告货物全部未进行热镀 锌防腐处理致无法使用。【诉讼请求】【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依法确认被告未镀锌构成严重违约，并向原 告支付违约金</w:t>
            </w:r>
            <w:r>
              <w:rPr>
                <w:rFonts w:ascii="Times New Roman" w:eastAsia="Times New Roman" w:hAnsi="Times New Roman" w:cs="Times New Roman"/>
                <w:color w:val="000000"/>
                <w:spacing w:val="0"/>
                <w:w w:val="100"/>
                <w:position w:val="0"/>
                <w:sz w:val="18"/>
                <w:szCs w:val="18"/>
              </w:rPr>
              <w:t>36.828</w:t>
            </w:r>
            <w:r>
              <w:rPr>
                <w:color w:val="000000"/>
                <w:spacing w:val="0"/>
                <w:w w:val="100"/>
                <w:position w:val="0"/>
              </w:rPr>
              <w:t>万元（其他损失待查 明后追加诉请，并保留另行起诉权利），赔 偿原告律师费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】本案诉讼费、保 全费由被告承担。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日本 案正式立案。法院于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日开 庭审理后，于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日作出一审 判决。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一审判决：被 告于判决生 效后十日内 向原告支付 违约金</w:t>
            </w:r>
            <w:r>
              <w:rPr>
                <w:rFonts w:ascii="Times New Roman" w:eastAsia="Times New Roman" w:hAnsi="Times New Roman" w:cs="Times New Roman"/>
                <w:color w:val="000000"/>
                <w:spacing w:val="0"/>
                <w:w w:val="100"/>
                <w:position w:val="0"/>
                <w:sz w:val="18"/>
                <w:szCs w:val="18"/>
              </w:rPr>
              <w:t xml:space="preserve">36.828 </w:t>
            </w:r>
            <w:r>
              <w:rPr>
                <w:color w:val="000000"/>
                <w:spacing w:val="0"/>
                <w:w w:val="100"/>
                <w:position w:val="0"/>
              </w:rPr>
              <w:t>万元并赔偿 原告律师费 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被告尚未 履行一审 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山东宝元泵业有限公司诉公司买卖合同纠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13"/>
        <w:gridCol w:w="706"/>
        <w:gridCol w:w="854"/>
        <w:gridCol w:w="1699"/>
        <w:gridCol w:w="1133"/>
        <w:gridCol w:w="850"/>
        <w:gridCol w:w="427"/>
        <w:gridCol w:w="509"/>
      </w:tblGrid>
      <w:tr>
        <w:trPr>
          <w:trHeight w:val="286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纷案：【诉状事实】公司与山东硕博泵业有 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山东硕博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签订买卖合同， 原告主张山东硕博因欠原告货款，故将其对 被告债权中的</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万元转让给原告，被告未 向原告支付上述款项。【诉讼请求】【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 告支付原告货款</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被告赔偿原 告经济损失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】诉讼费用由被告负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日收到法院送达的 应诉材料。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日，公司提起管 辖权异议以及财产保 全复议申请，管辖权 异议经一审、二审法 院审理，均裁定将本 案移送青岛市城阳区 人民法院审理。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山西冶金岩土工程勘察有限公司诉新疆清 源生物质能源有限公司（下称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新疆清源公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合同纠纷案：【诉状事实】</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年原 被告双方签订工程施工合同，工程总造价 </w:t>
            </w:r>
            <w:r>
              <w:rPr>
                <w:rFonts w:ascii="Times New Roman" w:eastAsia="Times New Roman" w:hAnsi="Times New Roman" w:cs="Times New Roman"/>
                <w:color w:val="000000"/>
                <w:spacing w:val="0"/>
                <w:w w:val="100"/>
                <w:position w:val="0"/>
                <w:sz w:val="18"/>
                <w:szCs w:val="18"/>
              </w:rPr>
              <w:t>171.008</w:t>
            </w:r>
            <w:r>
              <w:rPr>
                <w:color w:val="000000"/>
                <w:spacing w:val="0"/>
                <w:w w:val="100"/>
                <w:position w:val="0"/>
              </w:rPr>
              <w:t>万元。原告称，被告已支付工程款 共计</w:t>
            </w:r>
            <w:r>
              <w:rPr>
                <w:rFonts w:ascii="Times New Roman" w:eastAsia="Times New Roman" w:hAnsi="Times New Roman" w:cs="Times New Roman"/>
                <w:color w:val="000000"/>
                <w:spacing w:val="0"/>
                <w:w w:val="100"/>
                <w:position w:val="0"/>
                <w:sz w:val="18"/>
                <w:szCs w:val="18"/>
              </w:rPr>
              <w:t>53.435</w:t>
            </w:r>
            <w:r>
              <w:rPr>
                <w:color w:val="000000"/>
                <w:spacing w:val="0"/>
                <w:w w:val="100"/>
                <w:position w:val="0"/>
              </w:rPr>
              <w:t>万元，仍欠原告</w:t>
            </w:r>
            <w:r>
              <w:rPr>
                <w:rFonts w:ascii="Times New Roman" w:eastAsia="Times New Roman" w:hAnsi="Times New Roman" w:cs="Times New Roman"/>
                <w:color w:val="000000"/>
                <w:spacing w:val="0"/>
                <w:w w:val="100"/>
                <w:position w:val="0"/>
                <w:sz w:val="18"/>
                <w:szCs w:val="18"/>
              </w:rPr>
              <w:t>117.573</w:t>
            </w:r>
            <w:r>
              <w:rPr>
                <w:color w:val="000000"/>
                <w:spacing w:val="0"/>
                <w:w w:val="100"/>
                <w:position w:val="0"/>
              </w:rPr>
              <w:t>万元未 支付。【诉讼请求】【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】请求判令被告支付 原告工程款</w:t>
            </w:r>
            <w:r>
              <w:rPr>
                <w:rFonts w:ascii="Times New Roman" w:eastAsia="Times New Roman" w:hAnsi="Times New Roman" w:cs="Times New Roman"/>
                <w:color w:val="000000"/>
                <w:spacing w:val="0"/>
                <w:w w:val="100"/>
                <w:position w:val="0"/>
                <w:sz w:val="18"/>
                <w:szCs w:val="18"/>
              </w:rPr>
              <w:t>117.573</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9.376</w:t>
            </w:r>
            <w:r>
              <w:rPr>
                <w:color w:val="000000"/>
                <w:spacing w:val="0"/>
                <w:w w:val="100"/>
                <w:position w:val="0"/>
              </w:rPr>
              <w:t>万元， 共计</w:t>
            </w:r>
            <w:r>
              <w:rPr>
                <w:rFonts w:ascii="Times New Roman" w:eastAsia="Times New Roman" w:hAnsi="Times New Roman" w:cs="Times New Roman"/>
                <w:color w:val="000000"/>
                <w:spacing w:val="0"/>
                <w:w w:val="100"/>
                <w:position w:val="0"/>
                <w:sz w:val="18"/>
                <w:szCs w:val="18"/>
              </w:rPr>
              <w:t>126.949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】被告承担本案诉讼 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新疆清源公司于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日收到应诉 通知后，已支付工程 进度款</w:t>
            </w:r>
            <w:r>
              <w:rPr>
                <w:rFonts w:ascii="Times New Roman" w:eastAsia="Times New Roman" w:hAnsi="Times New Roman" w:cs="Times New Roman"/>
                <w:color w:val="000000"/>
                <w:spacing w:val="0"/>
                <w:w w:val="100"/>
                <w:position w:val="0"/>
                <w:sz w:val="18"/>
                <w:szCs w:val="18"/>
              </w:rPr>
              <w:t>61.26</w:t>
            </w:r>
            <w:r>
              <w:rPr>
                <w:color w:val="000000"/>
                <w:spacing w:val="0"/>
                <w:w w:val="100"/>
                <w:position w:val="0"/>
              </w:rPr>
              <w:t>万元。 一审已开庭。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翼城县晋通矿冶机械制造有限公司（下称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晋通矿冶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）诉公司承揽合同纠纷案：【诉状 事实】【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年，公司与晋通 矿冶针对高炉项目签订《安装承揽合同》和</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《高炉及余热电站项目包装劳务合同》，总 制作加工款</w:t>
            </w:r>
            <w:r>
              <w:rPr>
                <w:rFonts w:ascii="Times New Roman" w:eastAsia="Times New Roman" w:hAnsi="Times New Roman" w:cs="Times New Roman"/>
                <w:color w:val="000000"/>
                <w:spacing w:val="0"/>
                <w:w w:val="100"/>
                <w:position w:val="0"/>
                <w:sz w:val="18"/>
                <w:szCs w:val="18"/>
              </w:rPr>
              <w:t>1621.55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】晋通矿冶称 其已完成设备制作、包装，但截至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月，公司共欠其</w:t>
            </w:r>
            <w:r>
              <w:rPr>
                <w:rFonts w:ascii="Times New Roman" w:eastAsia="Times New Roman" w:hAnsi="Times New Roman" w:cs="Times New Roman"/>
                <w:color w:val="000000"/>
                <w:spacing w:val="0"/>
                <w:w w:val="100"/>
                <w:position w:val="0"/>
                <w:sz w:val="18"/>
                <w:szCs w:val="18"/>
              </w:rPr>
              <w:t>231.15</w:t>
            </w:r>
            <w:r>
              <w:rPr>
                <w:color w:val="000000"/>
                <w:spacing w:val="0"/>
                <w:w w:val="100"/>
                <w:position w:val="0"/>
              </w:rPr>
              <w:t>万元。【诉讼请求】</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】被告给付原告制作加工款</w:t>
            </w:r>
            <w:r>
              <w:rPr>
                <w:rFonts w:ascii="Times New Roman" w:eastAsia="Times New Roman" w:hAnsi="Times New Roman" w:cs="Times New Roman"/>
                <w:color w:val="000000"/>
                <w:spacing w:val="0"/>
                <w:w w:val="100"/>
                <w:position w:val="0"/>
                <w:sz w:val="18"/>
                <w:szCs w:val="18"/>
              </w:rPr>
              <w:t>231.15</w:t>
            </w:r>
            <w:r>
              <w:rPr>
                <w:color w:val="000000"/>
                <w:spacing w:val="0"/>
                <w:w w:val="100"/>
                <w:position w:val="0"/>
              </w:rPr>
              <w:t xml:space="preserve">万元 及利息，赔偿因违约给原告造成的损失暂定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】被告承担诉讼费、保全费。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日，二审开庭审理。</w:t>
            </w:r>
          </w:p>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日，公司提交撤诉申 请书。法院于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日作出准予撤 诉裁定书。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公司已撤回 上诉。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已按照一 审判决书 履行完 毕，向对 方支付 </w:t>
            </w:r>
            <w:r>
              <w:rPr>
                <w:rFonts w:ascii="Times New Roman" w:eastAsia="Times New Roman" w:hAnsi="Times New Roman" w:cs="Times New Roman"/>
                <w:color w:val="000000"/>
                <w:spacing w:val="0"/>
                <w:w w:val="100"/>
                <w:position w:val="0"/>
                <w:sz w:val="18"/>
                <w:szCs w:val="18"/>
              </w:rPr>
              <w:t xml:space="preserve">254.737 </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投资者诉公司证券虚假陈述责任纠纷案：本 案系投资者以公司信息披露违规给其造成 投资损失为由而起诉主张赔偿，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年共 有</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名投资者立案。原告基本诉讼请求 为：判令公司赔偿经济损失并承担诉讼费。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形成预计 负债</w:t>
            </w:r>
            <w:r>
              <w:rPr>
                <w:rFonts w:ascii="Times New Roman" w:eastAsia="Times New Roman" w:hAnsi="Times New Roman" w:cs="Times New Roman"/>
                <w:color w:val="000000"/>
                <w:spacing w:val="0"/>
                <w:w w:val="100"/>
                <w:position w:val="0"/>
                <w:sz w:val="18"/>
                <w:szCs w:val="18"/>
              </w:rPr>
              <w:t xml:space="preserve">87.46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年共有</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 xml:space="preserve">名投 资者提起诉讼，其中 </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起已结案，其余 案件正在审理中。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年本案 共处理完成 </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名投资者 的赔偿事宜， 其中</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名投 资者公司不 承担赔偿责 任，其余</w:t>
            </w:r>
            <w:r>
              <w:rPr>
                <w:rFonts w:ascii="Times New Roman" w:eastAsia="Times New Roman" w:hAnsi="Times New Roman" w:cs="Times New Roman"/>
                <w:color w:val="000000"/>
                <w:spacing w:val="0"/>
                <w:w w:val="100"/>
                <w:position w:val="0"/>
                <w:sz w:val="18"/>
                <w:szCs w:val="18"/>
              </w:rPr>
              <w:t xml:space="preserve">180 </w:t>
            </w:r>
            <w:r>
              <w:rPr>
                <w:color w:val="000000"/>
                <w:spacing w:val="0"/>
                <w:w w:val="100"/>
                <w:position w:val="0"/>
              </w:rPr>
              <w:t xml:space="preserve">人（均由法院 组织调解结 案）赔偿金额 合计 </w:t>
            </w:r>
            <w:r>
              <w:rPr>
                <w:rFonts w:ascii="Times New Roman" w:eastAsia="Times New Roman" w:hAnsi="Times New Roman" w:cs="Times New Roman"/>
                <w:color w:val="000000"/>
                <w:spacing w:val="0"/>
                <w:w w:val="100"/>
                <w:position w:val="0"/>
                <w:sz w:val="18"/>
                <w:szCs w:val="18"/>
              </w:rPr>
              <w:t xml:space="preserve">1479.62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已审结案 件已履行 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413"/>
        <w:gridCol w:w="706"/>
        <w:gridCol w:w="854"/>
        <w:gridCol w:w="1699"/>
        <w:gridCol w:w="1133"/>
        <w:gridCol w:w="850"/>
        <w:gridCol w:w="427"/>
        <w:gridCol w:w="509"/>
      </w:tblGrid>
      <w:tr>
        <w:trPr>
          <w:trHeight w:val="60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中国电建集团江西省电力建设有限公司（下 称''江西电建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诉公司</w:t>
            </w:r>
            <w:r>
              <w:rPr>
                <w:rFonts w:ascii="Times New Roman" w:eastAsia="Times New Roman" w:hAnsi="Times New Roman" w:cs="Times New Roman"/>
                <w:color w:val="000000"/>
                <w:spacing w:val="0"/>
                <w:w w:val="100"/>
                <w:position w:val="0"/>
                <w:sz w:val="18"/>
                <w:szCs w:val="18"/>
              </w:rPr>
              <w:t>/ASI</w:t>
            </w:r>
            <w:r>
              <w:rPr>
                <w:color w:val="000000"/>
                <w:spacing w:val="0"/>
                <w:w w:val="100"/>
                <w:position w:val="0"/>
              </w:rPr>
              <w:t>施工合同纠纷 案:</w:t>
            </w:r>
            <w:r>
              <w:rPr>
                <w:color w:val="000000"/>
                <w:spacing w:val="0"/>
                <w:w w:val="100"/>
                <w:position w:val="0"/>
              </w:rPr>
              <w:t>［</w:t>
            </w:r>
            <w:r>
              <w:rPr>
                <w:color w:val="000000"/>
                <w:spacing w:val="0"/>
                <w:w w:val="100"/>
                <w:position w:val="0"/>
              </w:rPr>
              <w:t>诉状事实】</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ASI</w:t>
            </w:r>
            <w:r>
              <w:rPr>
                <w:color w:val="000000"/>
                <w:spacing w:val="0"/>
                <w:w w:val="100"/>
                <w:position w:val="0"/>
              </w:rPr>
              <w:t>公司与 江西电建签订《印尼苏拉威西莫罗瓦利高炉 冶炼厂余热电站（</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机组）安装工程施工 合同书》，江西电建主张被告尚有</w:t>
            </w:r>
            <w:r>
              <w:rPr>
                <w:rFonts w:ascii="Times New Roman" w:eastAsia="Times New Roman" w:hAnsi="Times New Roman" w:cs="Times New Roman"/>
                <w:color w:val="000000"/>
                <w:spacing w:val="0"/>
                <w:w w:val="100"/>
                <w:position w:val="0"/>
                <w:sz w:val="18"/>
                <w:szCs w:val="18"/>
              </w:rPr>
              <w:t>298.09</w:t>
            </w:r>
            <w:r>
              <w:rPr>
                <w:color w:val="000000"/>
                <w:spacing w:val="0"/>
                <w:w w:val="100"/>
                <w:position w:val="0"/>
              </w:rPr>
              <w:t>万 元工程款未支付；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月，双方签订 《印尼苏拉威西莫罗瓦利高炉冶炼厂余热</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电站（</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机组）安装工程施工合同书》， 江西电建主张被告尚有</w:t>
            </w:r>
            <w:r>
              <w:rPr>
                <w:rFonts w:ascii="Times New Roman" w:eastAsia="Times New Roman" w:hAnsi="Times New Roman" w:cs="Times New Roman"/>
                <w:color w:val="000000"/>
                <w:spacing w:val="0"/>
                <w:w w:val="100"/>
                <w:position w:val="0"/>
                <w:sz w:val="18"/>
                <w:szCs w:val="18"/>
              </w:rPr>
              <w:t>225.2</w:t>
            </w:r>
            <w:r>
              <w:rPr>
                <w:color w:val="000000"/>
                <w:spacing w:val="0"/>
                <w:w w:val="100"/>
                <w:position w:val="0"/>
              </w:rPr>
              <w:t>万元工程款未 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】以上共</w:t>
            </w:r>
            <w:r>
              <w:rPr>
                <w:rFonts w:ascii="Times New Roman" w:eastAsia="Times New Roman" w:hAnsi="Times New Roman" w:cs="Times New Roman"/>
                <w:color w:val="000000"/>
                <w:spacing w:val="0"/>
                <w:w w:val="100"/>
                <w:position w:val="0"/>
                <w:sz w:val="18"/>
                <w:szCs w:val="18"/>
              </w:rPr>
              <w:t>523.29</w:t>
            </w:r>
            <w:r>
              <w:rPr>
                <w:color w:val="000000"/>
                <w:spacing w:val="0"/>
                <w:w w:val="100"/>
                <w:position w:val="0"/>
              </w:rPr>
              <w:t>万元，扣除油费、 医疗费等，尚欠</w:t>
            </w:r>
            <w:r>
              <w:rPr>
                <w:rFonts w:ascii="Times New Roman" w:eastAsia="Times New Roman" w:hAnsi="Times New Roman" w:cs="Times New Roman"/>
                <w:color w:val="000000"/>
                <w:spacing w:val="0"/>
                <w:w w:val="100"/>
                <w:position w:val="0"/>
                <w:sz w:val="18"/>
                <w:szCs w:val="18"/>
              </w:rPr>
              <w:t>514.053</w:t>
            </w:r>
            <w:r>
              <w:rPr>
                <w:color w:val="000000"/>
                <w:spacing w:val="0"/>
                <w:w w:val="100"/>
                <w:position w:val="0"/>
              </w:rPr>
              <w:t>万元。【诉讼请求】</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】解除合同；【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被告向原告支付工程 款</w:t>
            </w:r>
            <w:r>
              <w:rPr>
                <w:rFonts w:ascii="Times New Roman" w:eastAsia="Times New Roman" w:hAnsi="Times New Roman" w:cs="Times New Roman"/>
                <w:color w:val="000000"/>
                <w:spacing w:val="0"/>
                <w:w w:val="100"/>
                <w:position w:val="0"/>
                <w:sz w:val="18"/>
                <w:szCs w:val="18"/>
              </w:rPr>
              <w:t>514.053</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60.651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 告向原告返还剩余安装工器具或赔偿剩余 安装工器具对应价值</w:t>
            </w:r>
            <w:r>
              <w:rPr>
                <w:rFonts w:ascii="Times New Roman" w:eastAsia="Times New Roman" w:hAnsi="Times New Roman" w:cs="Times New Roman"/>
                <w:color w:val="000000"/>
                <w:spacing w:val="0"/>
                <w:w w:val="100"/>
                <w:position w:val="0"/>
                <w:sz w:val="18"/>
                <w:szCs w:val="18"/>
              </w:rPr>
              <w:t>37.03</w:t>
            </w:r>
            <w:r>
              <w:rPr>
                <w:color w:val="000000"/>
                <w:spacing w:val="0"/>
                <w:w w:val="100"/>
                <w:position w:val="0"/>
              </w:rPr>
              <w:t>万元、人员设备 退场费用</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万元、已完工程照管费用</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万元、预期利润损失</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】被告承 担全部诉讼费用。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月立 案受理，第一次开庭</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十二、处罚及整改情况</w:t>
      </w:r>
      <w:bookmarkEnd w:id="321"/>
      <w:bookmarkEnd w:id="322"/>
      <w:bookmarkEnd w:id="323"/>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30"/>
        <w:keepNext/>
        <w:keepLines/>
        <w:widowControl w:val="0"/>
        <w:shd w:val="clear" w:color="auto" w:fill="auto"/>
        <w:bidi w:val="0"/>
        <w:spacing w:before="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十三、公司及其控股股东、实际控制人的诚信状况</w:t>
      </w:r>
      <w:bookmarkEnd w:id="324"/>
      <w:bookmarkEnd w:id="325"/>
      <w:bookmarkEnd w:id="326"/>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十四、公司股权激励计划、员工持股计划或其他员工激励措施的实施情况</w:t>
      </w:r>
      <w:bookmarkEnd w:id="327"/>
      <w:bookmarkEnd w:id="328"/>
      <w:bookmarkEnd w:id="329"/>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line="240" w:lineRule="auto"/>
        <w:ind w:left="0" w:right="0" w:firstLine="0"/>
        <w:jc w:val="both"/>
      </w:pPr>
      <w:bookmarkStart w:id="330" w:name="bookmark330"/>
      <w:bookmarkStart w:id="331" w:name="bookmark331"/>
      <w:bookmarkStart w:id="332" w:name="bookmark332"/>
      <w:r>
        <w:rPr>
          <w:color w:val="000000"/>
          <w:spacing w:val="0"/>
          <w:w w:val="100"/>
          <w:position w:val="0"/>
          <w:sz w:val="24"/>
          <w:szCs w:val="24"/>
        </w:rPr>
        <w:t>十五、重大关联交易</w:t>
      </w:r>
      <w:bookmarkEnd w:id="330"/>
      <w:bookmarkEnd w:id="331"/>
      <w:bookmarkEnd w:id="332"/>
    </w:p>
    <w:p>
      <w:pPr>
        <w:pStyle w:val="Style37"/>
        <w:keepNext/>
        <w:keepLines/>
        <w:widowControl w:val="0"/>
        <w:shd w:val="clear" w:color="auto" w:fill="auto"/>
        <w:tabs>
          <w:tab w:pos="368" w:val="left"/>
        </w:tabs>
        <w:bidi w:val="0"/>
        <w:spacing w:before="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w:t>
        <w:tab/>
        <w:t>与日常经营相关的关联交易</w:t>
      </w:r>
      <w:bookmarkEnd w:id="333"/>
      <w:bookmarkEnd w:id="334"/>
      <w:bookmarkEnd w:id="336"/>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资产或股权收购、出售发生的关联交易</w:t>
      </w:r>
      <w:bookmarkEnd w:id="337"/>
      <w:bookmarkEnd w:id="338"/>
      <w:bookmarkEnd w:id="340"/>
    </w:p>
    <w:p>
      <w:pPr>
        <w:pStyle w:val="Style3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公司报告期未发生资产或股权收购、出售的关联交易。</w:t>
      </w:r>
    </w:p>
    <w:p>
      <w:pPr>
        <w:pStyle w:val="Style37"/>
        <w:keepNext/>
        <w:keepLines/>
        <w:widowControl w:val="0"/>
        <w:shd w:val="clear" w:color="auto" w:fill="auto"/>
        <w:tabs>
          <w:tab w:pos="362"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共同对外投资的关联交易</w:t>
      </w:r>
      <w:bookmarkEnd w:id="341"/>
      <w:bookmarkEnd w:id="342"/>
      <w:bookmarkEnd w:id="34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62" w:val="left"/>
        </w:tabs>
        <w:bidi w:val="0"/>
        <w:spacing w:before="0" w:after="3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关联债权债务往来</w:t>
      </w:r>
      <w:bookmarkEnd w:id="345"/>
      <w:bookmarkEnd w:id="346"/>
      <w:bookmarkEnd w:id="34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期初余额</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本期利息</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 控股集团有限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日常经营借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青岛城泰国际</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受同一间接 控股法人控 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、其他重大关联交易</w:t>
      </w:r>
      <w:bookmarkEnd w:id="349"/>
      <w:bookmarkEnd w:id="350"/>
      <w:bookmarkEnd w:id="352"/>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890" w:val="left"/>
        </w:tabs>
        <w:bidi w:val="0"/>
        <w:spacing w:before="0" w:after="0" w:line="313" w:lineRule="exact"/>
        <w:ind w:left="0" w:right="0"/>
        <w:jc w:val="left"/>
      </w:pPr>
      <w:bookmarkStart w:id="353" w:name="bookmark353"/>
      <w:r>
        <w:rPr>
          <w:color w:val="000000"/>
          <w:spacing w:val="0"/>
          <w:w w:val="100"/>
          <w:position w:val="0"/>
          <w:sz w:val="22"/>
          <w:szCs w:val="22"/>
        </w:rPr>
        <w:t>（</w:t>
      </w:r>
      <w:bookmarkEnd w:id="353"/>
      <w:r>
        <w:rPr>
          <w:rFonts w:ascii="Tahoma" w:eastAsia="Tahoma" w:hAnsi="Tahoma" w:cs="Tahoma"/>
          <w:color w:val="000000"/>
          <w:spacing w:val="0"/>
          <w:w w:val="100"/>
          <w:position w:val="0"/>
          <w:sz w:val="18"/>
          <w:szCs w:val="18"/>
        </w:rPr>
        <w:t>1</w:t>
      </w:r>
      <w:r>
        <w:rPr>
          <w:color w:val="000000"/>
          <w:spacing w:val="0"/>
          <w:w w:val="100"/>
          <w:position w:val="0"/>
          <w:sz w:val="22"/>
          <w:szCs w:val="22"/>
        </w:rPr>
        <w:t>）</w:t>
      </w:r>
      <w:r>
        <w:rPr>
          <w:rFonts w:ascii="Tahoma" w:eastAsia="Tahoma" w:hAnsi="Tahoma" w:cs="Tahoma"/>
          <w:color w:val="000000"/>
          <w:spacing w:val="0"/>
          <w:w w:val="100"/>
          <w:position w:val="0"/>
          <w:sz w:val="18"/>
          <w:szCs w:val="18"/>
        </w:rPr>
        <w:tab/>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日召开第三届董事会第二十四次会议，审议通过了《关于向关联方申请借款暨关联交易的议案》，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年度拟向城投金控及其受同一控股股东控制的关联公司申请借款累计不超过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亿元，借款利率为</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年（依据 实际借款发生当日贷款基准利率为基础协商确定），计息方式按照借款实际使用天数计息。借款在上述额度内，可循环使用， 借款期限不超过一年。该议案已经公司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年新冠肺炎疫情对公司生产经营的影响，城投金控为了支持公司发展，提高公司资金使用效率，降低公司融资 成本，于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日与公司及公司全资子公司青岛中资中程实业有限公司签订了关于下调公司借款利率的《补充协议》， 协议约定：公司及公司全资子公司青岛中资中程实业有限公司与城投金控于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年签订且合同到期日为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年内的《资金借 款合同》，自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日起，借款年利率由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年度内，公司及公司全资子公司青岛中资中程实业有 限公司向城投金控申请的借款，借款年利率均按照</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执行。</w:t>
      </w:r>
    </w:p>
    <w:p>
      <w:pPr>
        <w:pStyle w:val="Style34"/>
        <w:keepNext w:val="0"/>
        <w:keepLines w:val="0"/>
        <w:widowControl w:val="0"/>
        <w:shd w:val="clear" w:color="auto" w:fill="auto"/>
        <w:tabs>
          <w:tab w:pos="885" w:val="left"/>
        </w:tabs>
        <w:bidi w:val="0"/>
        <w:spacing w:before="0" w:after="0" w:line="313" w:lineRule="exact"/>
        <w:ind w:left="0" w:right="0"/>
        <w:jc w:val="left"/>
      </w:pPr>
      <w:bookmarkStart w:id="354" w:name="bookmark354"/>
      <w:r>
        <w:rPr>
          <w:color w:val="000000"/>
          <w:spacing w:val="0"/>
          <w:w w:val="100"/>
          <w:position w:val="0"/>
          <w:sz w:val="22"/>
          <w:szCs w:val="22"/>
        </w:rPr>
        <w:t>（</w:t>
      </w:r>
      <w:bookmarkEnd w:id="354"/>
      <w:r>
        <w:rPr>
          <w:rFonts w:ascii="Tahoma" w:eastAsia="Tahoma" w:hAnsi="Tahoma" w:cs="Tahoma"/>
          <w:color w:val="000000"/>
          <w:spacing w:val="0"/>
          <w:w w:val="100"/>
          <w:position w:val="0"/>
          <w:sz w:val="18"/>
          <w:szCs w:val="18"/>
        </w:rPr>
        <w:t>2</w:t>
      </w:r>
      <w:r>
        <w:rPr>
          <w:color w:val="000000"/>
          <w:spacing w:val="0"/>
          <w:w w:val="100"/>
          <w:position w:val="0"/>
          <w:sz w:val="22"/>
          <w:szCs w:val="22"/>
        </w:rPr>
        <w:t>）</w:t>
      </w:r>
      <w:r>
        <w:rPr>
          <w:rFonts w:ascii="Tahoma" w:eastAsia="Tahoma" w:hAnsi="Tahoma" w:cs="Tahoma"/>
          <w:color w:val="000000"/>
          <w:spacing w:val="0"/>
          <w:w w:val="100"/>
          <w:position w:val="0"/>
          <w:sz w:val="18"/>
          <w:szCs w:val="18"/>
        </w:rPr>
        <w:tab/>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日召开第三届董事会第二十八次会议，审议通过了《关于公司、全资子公司与关联方签订合 同暨关联交易的议案》，公司及公司全资子公司</w:t>
      </w:r>
      <w:r>
        <w:rPr>
          <w:rFonts w:ascii="Times New Roman" w:eastAsia="Times New Roman" w:hAnsi="Times New Roman" w:cs="Times New Roman"/>
          <w:color w:val="000000"/>
          <w:spacing w:val="0"/>
          <w:w w:val="100"/>
          <w:position w:val="0"/>
          <w:sz w:val="18"/>
          <w:szCs w:val="18"/>
        </w:rPr>
        <w:t>PT.Transon Bumindo Resources</w:t>
      </w:r>
      <w:r>
        <w:rPr>
          <w:color w:val="000000"/>
          <w:spacing w:val="0"/>
          <w:w w:val="100"/>
          <w:position w:val="0"/>
        </w:rPr>
        <w:t>与入园企业</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签订《入园企业协书》</w:t>
      </w:r>
      <w:r>
        <w:rPr>
          <w:i/>
          <w:iCs/>
          <w:color w:val="000000"/>
          <w:spacing w:val="0"/>
          <w:w w:val="100"/>
          <w:position w:val="0"/>
        </w:rPr>
        <w:t>，</w:t>
      </w:r>
      <w:r>
        <w:rPr>
          <w:color w:val="000000"/>
          <w:spacing w:val="0"/>
          <w:w w:val="100"/>
          <w:position w:val="0"/>
        </w:rPr>
        <w:t>以进 一步细化服务内容，明确收费标准；另与青岛城泰国际贸易有限公司、</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镍电一期及</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*65MW</w:t>
      </w:r>
      <w:r>
        <w:rPr>
          <w:color w:val="000000"/>
          <w:spacing w:val="0"/>
          <w:w w:val="100"/>
          <w:position w:val="0"/>
        </w:rPr>
        <w:t>燃煤电厂项目设 备、工程相关合同共计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份，以满足入园企业项目扩容增产和工艺改进需求。该议案已经公司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 议通过。</w:t>
      </w:r>
    </w:p>
    <w:p>
      <w:pPr>
        <w:pStyle w:val="Style34"/>
        <w:keepNext w:val="0"/>
        <w:keepLines w:val="0"/>
        <w:widowControl w:val="0"/>
        <w:shd w:val="clear" w:color="auto" w:fill="auto"/>
        <w:tabs>
          <w:tab w:pos="885" w:val="left"/>
        </w:tabs>
        <w:bidi w:val="0"/>
        <w:spacing w:before="0" w:after="200" w:line="341" w:lineRule="exact"/>
        <w:ind w:left="0" w:right="0"/>
        <w:jc w:val="left"/>
      </w:pPr>
      <w:bookmarkStart w:id="355" w:name="bookmark355"/>
      <w:r>
        <w:rPr>
          <w:color w:val="000000"/>
          <w:spacing w:val="0"/>
          <w:w w:val="100"/>
          <w:position w:val="0"/>
          <w:sz w:val="22"/>
          <w:szCs w:val="22"/>
        </w:rPr>
        <w:t>（</w:t>
      </w:r>
      <w:bookmarkEnd w:id="355"/>
      <w:r>
        <w:rPr>
          <w:rFonts w:ascii="Tahoma" w:eastAsia="Tahoma" w:hAnsi="Tahoma" w:cs="Tahoma"/>
          <w:color w:val="000000"/>
          <w:spacing w:val="0"/>
          <w:w w:val="100"/>
          <w:position w:val="0"/>
          <w:sz w:val="18"/>
          <w:szCs w:val="18"/>
        </w:rPr>
        <w:t>3</w:t>
      </w:r>
      <w:r>
        <w:rPr>
          <w:color w:val="000000"/>
          <w:spacing w:val="0"/>
          <w:w w:val="100"/>
          <w:position w:val="0"/>
          <w:sz w:val="22"/>
          <w:szCs w:val="22"/>
        </w:rPr>
        <w:t>）</w:t>
      </w:r>
      <w:r>
        <w:rPr>
          <w:rFonts w:ascii="Tahoma" w:eastAsia="Tahoma" w:hAnsi="Tahoma" w:cs="Tahoma"/>
          <w:color w:val="000000"/>
          <w:spacing w:val="0"/>
          <w:w w:val="100"/>
          <w:position w:val="0"/>
          <w:sz w:val="18"/>
          <w:szCs w:val="18"/>
        </w:rPr>
        <w:tab/>
      </w:r>
      <w:r>
        <w:rPr>
          <w:color w:val="000000"/>
          <w:spacing w:val="0"/>
          <w:w w:val="100"/>
          <w:position w:val="0"/>
        </w:rPr>
        <w:t>报告期内，公司与关联方</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发生关联交易额</w:t>
      </w:r>
      <w:r>
        <w:rPr>
          <w:rFonts w:ascii="Times New Roman" w:eastAsia="Times New Roman" w:hAnsi="Times New Roman" w:cs="Times New Roman"/>
          <w:color w:val="000000"/>
          <w:spacing w:val="0"/>
          <w:w w:val="100"/>
          <w:position w:val="0"/>
          <w:sz w:val="18"/>
          <w:szCs w:val="18"/>
        </w:rPr>
        <w:t>3,724.89</w:t>
      </w:r>
      <w:r>
        <w:rPr>
          <w:color w:val="000000"/>
          <w:spacing w:val="0"/>
          <w:w w:val="100"/>
          <w:position w:val="0"/>
        </w:rPr>
        <w:t>万元，其中机械成套装备相关交易</w:t>
      </w:r>
      <w:r>
        <w:rPr>
          <w:rFonts w:ascii="Times New Roman" w:eastAsia="Times New Roman" w:hAnsi="Times New Roman" w:cs="Times New Roman"/>
          <w:color w:val="000000"/>
          <w:spacing w:val="0"/>
          <w:w w:val="100"/>
          <w:position w:val="0"/>
          <w:sz w:val="18"/>
          <w:szCs w:val="18"/>
        </w:rPr>
        <w:t>-11,502.86</w:t>
      </w:r>
      <w:r>
        <w:rPr>
          <w:color w:val="000000"/>
          <w:spacing w:val="0"/>
          <w:w w:val="100"/>
          <w:position w:val="0"/>
        </w:rPr>
        <w:t>万元，建造业 务相关交易</w:t>
      </w:r>
      <w:r>
        <w:rPr>
          <w:rFonts w:ascii="Times New Roman" w:eastAsia="Times New Roman" w:hAnsi="Times New Roman" w:cs="Times New Roman"/>
          <w:color w:val="000000"/>
          <w:spacing w:val="0"/>
          <w:w w:val="100"/>
          <w:position w:val="0"/>
          <w:sz w:val="18"/>
          <w:szCs w:val="18"/>
        </w:rPr>
        <w:t>10,964.78</w:t>
      </w:r>
      <w:r>
        <w:rPr>
          <w:color w:val="000000"/>
          <w:spacing w:val="0"/>
          <w:w w:val="100"/>
          <w:position w:val="0"/>
        </w:rPr>
        <w:t>万元，土地出租业务相关交易</w:t>
      </w:r>
      <w:r>
        <w:rPr>
          <w:rFonts w:ascii="Times New Roman" w:eastAsia="Times New Roman" w:hAnsi="Times New Roman" w:cs="Times New Roman"/>
          <w:color w:val="000000"/>
          <w:spacing w:val="0"/>
          <w:w w:val="100"/>
          <w:position w:val="0"/>
          <w:sz w:val="18"/>
          <w:szCs w:val="18"/>
        </w:rPr>
        <w:t>4,105.46</w:t>
      </w:r>
      <w:r>
        <w:rPr>
          <w:color w:val="000000"/>
          <w:spacing w:val="0"/>
          <w:w w:val="100"/>
          <w:position w:val="0"/>
        </w:rPr>
        <w:t>万元，物业服务相关交易</w:t>
      </w:r>
      <w:r>
        <w:rPr>
          <w:rFonts w:ascii="Times New Roman" w:eastAsia="Times New Roman" w:hAnsi="Times New Roman" w:cs="Times New Roman"/>
          <w:color w:val="000000"/>
          <w:spacing w:val="0"/>
          <w:w w:val="100"/>
          <w:position w:val="0"/>
          <w:sz w:val="18"/>
          <w:szCs w:val="18"/>
        </w:rPr>
        <w:t>151.23</w:t>
      </w:r>
      <w:r>
        <w:rPr>
          <w:color w:val="000000"/>
          <w:spacing w:val="0"/>
          <w:w w:val="100"/>
          <w:position w:val="0"/>
        </w:rPr>
        <w:t>万元，代理服务相关交易</w:t>
      </w:r>
      <w:r>
        <w:rPr>
          <w:rFonts w:ascii="Times New Roman" w:eastAsia="Times New Roman" w:hAnsi="Times New Roman" w:cs="Times New Roman"/>
          <w:color w:val="000000"/>
          <w:spacing w:val="0"/>
          <w:w w:val="100"/>
          <w:position w:val="0"/>
          <w:sz w:val="18"/>
          <w:szCs w:val="18"/>
        </w:rPr>
        <w:t>6.28</w:t>
      </w:r>
      <w:r>
        <w:rPr>
          <w:color w:val="000000"/>
          <w:spacing w:val="0"/>
          <w:w w:val="100"/>
          <w:position w:val="0"/>
        </w:rPr>
        <w:t>万元。 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《关于向关联方申请借款暨关联交易的公 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《关于公司、全资子公司与关联方签订合同 暨关联交易的公告》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十六、重大合同及其履行情况</w:t>
      </w:r>
      <w:bookmarkEnd w:id="356"/>
      <w:bookmarkEnd w:id="357"/>
      <w:bookmarkEnd w:id="358"/>
    </w:p>
    <w:p>
      <w:pPr>
        <w:pStyle w:val="Style37"/>
        <w:keepNext/>
        <w:keepLines/>
        <w:widowControl w:val="0"/>
        <w:shd w:val="clear" w:color="auto" w:fill="auto"/>
        <w:tabs>
          <w:tab w:pos="368"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w:t>
        <w:tab/>
        <w:t>托管、承包、租赁事项情况</w:t>
      </w:r>
      <w:bookmarkEnd w:id="359"/>
      <w:bookmarkEnd w:id="360"/>
      <w:bookmarkEnd w:id="362"/>
    </w:p>
    <w:p>
      <w:pPr>
        <w:pStyle w:val="Style37"/>
        <w:keepNext/>
        <w:keepLines/>
        <w:widowControl w:val="0"/>
        <w:shd w:val="clear" w:color="auto" w:fill="auto"/>
        <w:tabs>
          <w:tab w:pos="493" w:val="left"/>
        </w:tabs>
        <w:bidi w:val="0"/>
        <w:spacing w:before="0" w:after="380" w:line="240" w:lineRule="auto"/>
        <w:ind w:left="0" w:right="0" w:firstLine="0"/>
        <w:jc w:val="left"/>
      </w:pPr>
      <w:bookmarkStart w:id="359" w:name="bookmark359"/>
      <w:bookmarkStart w:id="360" w:name="bookmark360"/>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9"/>
      <w:bookmarkEnd w:id="360"/>
      <w:bookmarkEnd w:id="36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5"/>
      <w:bookmarkEnd w:id="366"/>
      <w:bookmarkEnd w:id="36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9"/>
      <w:bookmarkEnd w:id="370"/>
      <w:bookmarkEnd w:id="372"/>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重大担保</w:t>
      </w:r>
      <w:bookmarkEnd w:id="373"/>
      <w:bookmarkEnd w:id="374"/>
      <w:bookmarkEnd w:id="37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日常经营重大合同</w:t>
      </w:r>
      <w:bookmarkEnd w:id="377"/>
      <w:bookmarkEnd w:id="378"/>
      <w:bookmarkEnd w:id="38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影响重大合 同履行的各 项条件是否 发生重大变</w:t>
            </w:r>
          </w:p>
          <w:p>
            <w:pPr>
              <w:pStyle w:val="Style27"/>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是否存在合 同无法履行 的重大风险</w:t>
            </w:r>
          </w:p>
        </w:tc>
      </w:tr>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 程集团股份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1,103,557,00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-170,125,058.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668,186,119.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580,398,741.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486,286,800.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57,118,025.9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76,841,760.6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19,588,800.0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（青岛中资 中程印尼资 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 程集团股份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651,543,670.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55,096,470.4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556,506,691.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329,987,512.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0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（青岛中资 中程印尼资 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584,500,000.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52,529,726.7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261,770,165.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6,058,158.75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Tian Cheng EPC Pte. Ltd.</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（青岛中资 中程新加坡 天成工程总 承包有限公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LOGICS</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PHILIPPINE</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S,INC </w:t>
            </w:r>
            <w:r>
              <w:rPr>
                <w:color w:val="000000"/>
                <w:spacing w:val="0"/>
                <w:w w:val="100"/>
                <w:position w:val="0"/>
              </w:rPr>
              <w:t>（光伏</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1,238,390,00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41,768,769.5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1,182,604,71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、委托他人进行现金资产管理情况</w:t>
      </w:r>
      <w:bookmarkEnd w:id="381"/>
      <w:bookmarkEnd w:id="382"/>
      <w:bookmarkEnd w:id="384"/>
    </w:p>
    <w:p>
      <w:pPr>
        <w:pStyle w:val="Style37"/>
        <w:keepNext/>
        <w:keepLines/>
        <w:widowControl w:val="0"/>
        <w:shd w:val="clear" w:color="auto" w:fill="auto"/>
        <w:bidi w:val="0"/>
        <w:spacing w:before="0" w:after="340" w:line="240" w:lineRule="auto"/>
        <w:ind w:left="0" w:right="0" w:firstLine="0"/>
        <w:jc w:val="left"/>
      </w:pPr>
      <w:bookmarkStart w:id="381" w:name="bookmark381"/>
      <w:bookmarkStart w:id="382" w:name="bookmark382"/>
      <w:bookmarkStart w:id="385" w:name="bookmark385"/>
      <w:bookmarkStart w:id="386" w:name="bookmark386"/>
      <w:r>
        <w:rPr>
          <w:rFonts w:ascii="Times New Roman" w:eastAsia="Times New Roman" w:hAnsi="Times New Roman" w:cs="Times New Roman"/>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1"/>
      <w:bookmarkEnd w:id="382"/>
      <w:bookmarkEnd w:id="38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7"/>
      <w:bookmarkEnd w:id="388"/>
      <w:bookmarkEnd w:id="39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5</w:t>
      </w:r>
      <w:bookmarkEnd w:id="393"/>
      <w:r>
        <w:rPr>
          <w:color w:val="000000"/>
          <w:spacing w:val="0"/>
          <w:w w:val="100"/>
          <w:position w:val="0"/>
        </w:rPr>
        <w:t>、其他重大合同</w:t>
      </w:r>
      <w:bookmarkEnd w:id="391"/>
      <w:bookmarkEnd w:id="392"/>
      <w:bookmarkEnd w:id="39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十七、社会责任情况</w:t>
      </w:r>
      <w:bookmarkEnd w:id="395"/>
      <w:bookmarkEnd w:id="396"/>
      <w:bookmarkEnd w:id="397"/>
    </w:p>
    <w:p>
      <w:pPr>
        <w:pStyle w:val="Style37"/>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、履行社会责任情况</w:t>
      </w:r>
      <w:bookmarkEnd w:id="398"/>
      <w:bookmarkEnd w:id="399"/>
      <w:bookmarkEnd w:id="40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356" w:val="left"/>
        </w:tabs>
        <w:bidi w:val="0"/>
        <w:spacing w:before="0" w:after="2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履行精准扶贫社会责任情况</w:t>
      </w:r>
      <w:bookmarkEnd w:id="402"/>
      <w:bookmarkEnd w:id="403"/>
      <w:bookmarkEnd w:id="405"/>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356" w:val="left"/>
        </w:tabs>
        <w:bidi w:val="0"/>
        <w:spacing w:before="0" w:after="2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环境保护相关的情况</w:t>
      </w:r>
      <w:bookmarkEnd w:id="406"/>
      <w:bookmarkEnd w:id="407"/>
      <w:bookmarkEnd w:id="409"/>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公司及子公司不属于环境保护部门公布的重点排污单位，取得上海质量体系审核中心颁发的《环境管理体系认证证书》。</w:t>
      </w:r>
    </w:p>
    <w:p>
      <w:pPr>
        <w:pStyle w:val="Style30"/>
        <w:keepNext/>
        <w:keepLines/>
        <w:widowControl w:val="0"/>
        <w:shd w:val="clear" w:color="auto" w:fill="auto"/>
        <w:bidi w:val="0"/>
        <w:spacing w:before="0" w:after="260" w:line="240" w:lineRule="auto"/>
        <w:ind w:left="0" w:right="0" w:firstLine="0"/>
        <w:jc w:val="both"/>
      </w:pPr>
      <w:bookmarkStart w:id="410" w:name="bookmark410"/>
      <w:bookmarkStart w:id="411" w:name="bookmark411"/>
      <w:bookmarkStart w:id="412" w:name="bookmark412"/>
      <w:r>
        <w:rPr>
          <w:color w:val="000000"/>
          <w:spacing w:val="0"/>
          <w:w w:val="100"/>
          <w:position w:val="0"/>
          <w:sz w:val="24"/>
          <w:szCs w:val="24"/>
        </w:rPr>
        <w:t>十八、其他重大事项的说明</w:t>
      </w:r>
      <w:bookmarkEnd w:id="410"/>
      <w:bookmarkEnd w:id="411"/>
      <w:bookmarkEnd w:id="412"/>
    </w:p>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702" w:val="left"/>
        </w:tabs>
        <w:bidi w:val="0"/>
        <w:spacing w:before="0" w:after="0" w:line="312" w:lineRule="exact"/>
        <w:ind w:left="0" w:right="0" w:firstLine="400"/>
        <w:jc w:val="both"/>
      </w:pPr>
      <w:bookmarkStart w:id="413" w:name="bookmark413"/>
      <w:r>
        <w:rPr>
          <w:rFonts w:ascii="Times New Roman" w:eastAsia="Times New Roman" w:hAnsi="Times New Roman" w:cs="Times New Roman"/>
          <w:color w:val="000000"/>
          <w:spacing w:val="0"/>
          <w:w w:val="100"/>
          <w:position w:val="0"/>
          <w:sz w:val="18"/>
          <w:szCs w:val="18"/>
        </w:rPr>
        <w:t>1</w:t>
      </w:r>
      <w:bookmarkEnd w:id="4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日，公司与非洲煤业有限公司签订了《关于公司收购宝巴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Baobab</w:t>
      </w:r>
      <w:r>
        <w:rPr>
          <w:color w:val="000000"/>
          <w:spacing w:val="0"/>
          <w:w w:val="100"/>
          <w:position w:val="0"/>
        </w:rPr>
        <w:t>）</w:t>
      </w:r>
      <w:r>
        <w:rPr>
          <w:color w:val="000000"/>
          <w:spacing w:val="0"/>
          <w:w w:val="100"/>
          <w:position w:val="0"/>
        </w:rPr>
        <w:t>开采和勘探（控股）有限公司部 分股权提案的谅解备忘录》（以下简称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框架协议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），公司拟斥资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亿美元收购非洲煤业有限公司的下属子公司宝巴</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Baobab</w:t>
      </w:r>
      <w:r>
        <w:rPr>
          <w:color w:val="000000"/>
          <w:spacing w:val="0"/>
          <w:w w:val="100"/>
          <w:position w:val="0"/>
        </w:rPr>
        <w:t>）</w:t>
      </w:r>
      <w:r>
        <w:rPr>
          <w:color w:val="000000"/>
          <w:spacing w:val="0"/>
          <w:w w:val="100"/>
          <w:position w:val="0"/>
        </w:rPr>
        <w:t>开采和勘探（控股）有限公司</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股份及相应债权（以下简称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重大资产重组事项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）。自筹划该重大资产重组事 项以来，公司严格按照相关法律法规要求，积极组织相关各方推进本次交易工作，与交易对方进行了反复探讨和沟通。</w:t>
      </w:r>
    </w:p>
    <w:p>
      <w:pPr>
        <w:pStyle w:val="Style34"/>
        <w:keepNext w:val="0"/>
        <w:keepLines w:val="0"/>
        <w:widowControl w:val="0"/>
        <w:shd w:val="clear" w:color="auto" w:fill="auto"/>
        <w:bidi w:val="0"/>
        <w:spacing w:before="0" w:after="0" w:line="312" w:lineRule="exact"/>
        <w:ind w:left="0" w:right="0" w:firstLine="400"/>
        <w:jc w:val="both"/>
      </w:pPr>
      <w:r>
        <w:rPr>
          <w:color w:val="000000"/>
          <w:spacing w:val="0"/>
          <w:w w:val="100"/>
          <w:position w:val="0"/>
        </w:rPr>
        <w:t>由于交易各方未能就正式协议中的交易对价、业绩承诺等核心条款达成一致，为切实维护公司及全体股东利益，经审 慎研究，认真听取各方意见并与交易对方协商一致，公司决定终止筹划该重大资产重组事项。该重大资产重组事项尚处在筹 划阶段，参与交易各方未就具体方案最终达成正式协议，公司与交易对方在框架协议项下均无违约情形，框架协议及该重大 资产重组事项终止后，各方之间互不承担违约责任，亦不存在任何争议、纠纷或潜在的争议、纠纷。公司目前各项业务经营 情况正常，终止该重大资产重组事项不会对公司经营业绩和财务状况产生不利影响。公司已于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 （</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）披露了《关于终止筹划重大资产重组事项的公告》（公告编号：</w:t>
      </w:r>
      <w:r>
        <w:rPr>
          <w:rFonts w:ascii="Times New Roman" w:eastAsia="Times New Roman" w:hAnsi="Times New Roman" w:cs="Times New Roman"/>
          <w:color w:val="000000"/>
          <w:spacing w:val="0"/>
          <w:w w:val="100"/>
          <w:position w:val="0"/>
          <w:sz w:val="18"/>
          <w:szCs w:val="18"/>
        </w:rPr>
        <w:t>2020-021</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p>
      <w:pPr>
        <w:pStyle w:val="Style45"/>
        <w:keepNext w:val="0"/>
        <w:keepLines w:val="0"/>
        <w:widowControl w:val="0"/>
        <w:shd w:val="clear" w:color="auto" w:fill="auto"/>
        <w:bidi w:val="0"/>
        <w:spacing w:before="0" w:after="0" w:line="312" w:lineRule="exact"/>
        <w:ind w:left="0" w:right="0" w:firstLine="400"/>
        <w:jc w:val="both"/>
        <w:rPr>
          <w:sz w:val="17"/>
          <w:szCs w:val="17"/>
        </w:rPr>
      </w:pPr>
      <w:bookmarkStart w:id="414" w:name="bookmark414"/>
      <w:r>
        <w:rPr>
          <w:color w:val="000000"/>
          <w:spacing w:val="0"/>
          <w:w w:val="100"/>
          <w:position w:val="0"/>
          <w:sz w:val="18"/>
          <w:szCs w:val="18"/>
        </w:rPr>
        <w:t>2</w:t>
      </w:r>
      <w:bookmarkEnd w:id="414"/>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日，公司与</w:t>
      </w:r>
      <w:r>
        <w:rPr>
          <w:color w:val="000000"/>
          <w:spacing w:val="0"/>
          <w:w w:val="100"/>
          <w:position w:val="0"/>
          <w:sz w:val="18"/>
          <w:szCs w:val="18"/>
        </w:rPr>
        <w:t>ELP</w:t>
      </w:r>
      <w:r>
        <w:rPr>
          <w:color w:val="000000"/>
          <w:spacing w:val="0"/>
          <w:w w:val="100"/>
          <w:position w:val="0"/>
          <w:sz w:val="18"/>
          <w:szCs w:val="18"/>
        </w:rPr>
        <w:t>I</w:t>
      </w:r>
      <w:r>
        <w:rPr>
          <w:rFonts w:ascii="SimSun" w:eastAsia="SimSun" w:hAnsi="SimSun" w:cs="SimSun"/>
          <w:color w:val="000000"/>
          <w:spacing w:val="0"/>
          <w:w w:val="100"/>
          <w:position w:val="0"/>
          <w:sz w:val="17"/>
          <w:szCs w:val="17"/>
        </w:rPr>
        <w:t>签订了</w:t>
      </w:r>
      <w:r>
        <w:rPr>
          <w:rFonts w:ascii="SimSun" w:eastAsia="SimSun" w:hAnsi="SimSun" w:cs="SimSun"/>
          <w:color w:val="000000"/>
          <w:spacing w:val="0"/>
          <w:w w:val="100"/>
          <w:position w:val="0"/>
          <w:sz w:val="17"/>
          <w:szCs w:val="17"/>
        </w:rPr>
        <w:t>《</w:t>
      </w:r>
      <w:r>
        <w:rPr>
          <w:color w:val="000000"/>
          <w:spacing w:val="0"/>
          <w:w w:val="100"/>
          <w:position w:val="0"/>
          <w:sz w:val="18"/>
          <w:szCs w:val="18"/>
        </w:rPr>
        <w:t>Engineering, Procurement and Construction （EPC</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Contract for Pasuquin Wind Power （132MW） </w:t>
      </w:r>
      <w:r>
        <w:rPr>
          <w:color w:val="000000"/>
          <w:spacing w:val="0"/>
          <w:w w:val="100"/>
          <w:position w:val="0"/>
          <w:sz w:val="18"/>
          <w:szCs w:val="18"/>
        </w:rPr>
        <w:t xml:space="preserve">- </w:t>
      </w:r>
      <w:r>
        <w:rPr>
          <w:color w:val="000000"/>
          <w:spacing w:val="0"/>
          <w:w w:val="100"/>
          <w:position w:val="0"/>
          <w:sz w:val="18"/>
          <w:szCs w:val="18"/>
        </w:rPr>
        <w:t>Solar Energy （100MW） Hybrid Project</w:t>
      </w:r>
      <w:r>
        <w:rPr>
          <w:rFonts w:ascii="SimSun" w:eastAsia="SimSun" w:hAnsi="SimSun" w:cs="SimSun"/>
          <w:color w:val="000000"/>
          <w:spacing w:val="0"/>
          <w:w w:val="100"/>
          <w:position w:val="0"/>
          <w:sz w:val="17"/>
          <w:szCs w:val="17"/>
        </w:rPr>
        <w:t>，</w:t>
      </w:r>
      <w:r>
        <w:rPr>
          <w:color w:val="000000"/>
          <w:spacing w:val="0"/>
          <w:w w:val="100"/>
          <w:position w:val="0"/>
          <w:sz w:val="18"/>
          <w:szCs w:val="18"/>
        </w:rPr>
        <w:t>the Philippines 3nd Modification Agreement</w:t>
      </w:r>
      <w:r>
        <w:rPr>
          <w:rFonts w:ascii="SimSun" w:eastAsia="SimSun" w:hAnsi="SimSun" w:cs="SimSun"/>
          <w:color w:val="000000"/>
          <w:spacing w:val="0"/>
          <w:w w:val="100"/>
          <w:position w:val="0"/>
          <w:sz w:val="17"/>
          <w:szCs w:val="17"/>
        </w:rPr>
        <w:t>》。双方通过友好协商，同意明 确工程实施过程中发生的费用及工期等事宜的责任主体，以确保</w:t>
      </w:r>
      <w:r>
        <w:rPr>
          <w:color w:val="000000"/>
          <w:spacing w:val="0"/>
          <w:w w:val="100"/>
          <w:position w:val="0"/>
          <w:sz w:val="18"/>
          <w:szCs w:val="18"/>
        </w:rPr>
        <w:t>EPC</w:t>
      </w:r>
      <w:r>
        <w:rPr>
          <w:rFonts w:ascii="SimSun" w:eastAsia="SimSun" w:hAnsi="SimSun" w:cs="SimSun"/>
          <w:color w:val="000000"/>
          <w:spacing w:val="0"/>
          <w:w w:val="100"/>
          <w:position w:val="0"/>
          <w:sz w:val="17"/>
          <w:szCs w:val="17"/>
        </w:rPr>
        <w:t>合同继续顺利执行。公司已于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日在巨潮资讯 网（</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）披露了《关于重大合同的进展公告》（公告编号：</w:t>
      </w:r>
      <w:r>
        <w:rPr>
          <w:color w:val="000000"/>
          <w:spacing w:val="0"/>
          <w:w w:val="100"/>
          <w:position w:val="0"/>
          <w:sz w:val="18"/>
          <w:szCs w:val="18"/>
        </w:rPr>
        <w:t>2020-007</w:t>
      </w:r>
      <w:r>
        <w:rPr>
          <w:rFonts w:ascii="SimSun" w:eastAsia="SimSun" w:hAnsi="SimSun" w:cs="SimSun"/>
          <w:color w:val="000000"/>
          <w:spacing w:val="0"/>
          <w:w w:val="100"/>
          <w:position w:val="0"/>
          <w:sz w:val="17"/>
          <w:szCs w:val="17"/>
        </w:rPr>
        <w:t>）。</w:t>
      </w:r>
    </w:p>
    <w:p>
      <w:pPr>
        <w:pStyle w:val="Style34"/>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未能完成风电项目重新选址，公司自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月份起就菲律宾风电项目终止事宜与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进行多次沟通谈判，并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日签订《菲律宾帕苏金（</w:t>
      </w:r>
      <w:r>
        <w:rPr>
          <w:rFonts w:ascii="Times New Roman" w:eastAsia="Times New Roman" w:hAnsi="Times New Roman" w:cs="Times New Roman"/>
          <w:color w:val="000000"/>
          <w:spacing w:val="0"/>
          <w:w w:val="100"/>
          <w:position w:val="0"/>
          <w:sz w:val="18"/>
          <w:szCs w:val="18"/>
        </w:rPr>
        <w:t>13 2</w:t>
      </w:r>
      <w:r>
        <w:rPr>
          <w:color w:val="000000"/>
          <w:spacing w:val="0"/>
          <w:w w:val="100"/>
          <w:position w:val="0"/>
        </w:rPr>
        <w:t>兆瓦）风电</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兆瓦）太阳能发电的风光一体化项目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总承包合同补充协议》， 三方确认风电项目终止执行，并就合同结算币种、风电设备处理、风电项目结算等事宜达成一致。公司已于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）披露了《关于菲律宾风光一体化项目的进展暨签订补充协议的公告》（公告编号：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十九、公司子公司重大事项</w:t>
      </w:r>
    </w:p>
    <w:p>
      <w:pPr>
        <w:pStyle w:val="Style34"/>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after="540" w:line="240" w:lineRule="auto"/>
        <w:ind w:left="0" w:right="0" w:firstLine="0"/>
        <w:jc w:val="center"/>
      </w:pPr>
      <w:bookmarkStart w:id="415" w:name="bookmark415"/>
      <w:bookmarkStart w:id="416" w:name="bookmark416"/>
      <w:bookmarkStart w:id="417" w:name="bookmark417"/>
      <w:r>
        <w:rPr>
          <w:color w:val="000000"/>
          <w:spacing w:val="0"/>
          <w:w w:val="100"/>
          <w:position w:val="0"/>
        </w:rPr>
        <w:t>第六节股份变动及股东情况</w:t>
      </w:r>
      <w:bookmarkEnd w:id="415"/>
      <w:bookmarkEnd w:id="416"/>
      <w:bookmarkEnd w:id="417"/>
    </w:p>
    <w:p>
      <w:pPr>
        <w:pStyle w:val="Style30"/>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bookmarkStart w:id="422" w:name="bookmark422"/>
      <w:r>
        <w:rPr>
          <w:color w:val="000000"/>
          <w:spacing w:val="0"/>
          <w:w w:val="100"/>
          <w:position w:val="0"/>
          <w:sz w:val="24"/>
          <w:szCs w:val="24"/>
        </w:rPr>
        <w:t>一</w:t>
      </w:r>
      <w:bookmarkEnd w:id="421"/>
      <w:r>
        <w:rPr>
          <w:color w:val="000000"/>
          <w:spacing w:val="0"/>
          <w:w w:val="100"/>
          <w:position w:val="0"/>
          <w:sz w:val="24"/>
          <w:szCs w:val="24"/>
        </w:rPr>
        <w:t>、股份变动情况</w:t>
      </w:r>
      <w:bookmarkEnd w:id="419"/>
      <w:bookmarkEnd w:id="420"/>
      <w:bookmarkEnd w:id="422"/>
      <w:bookmarkEnd w:id="418"/>
    </w:p>
    <w:p>
      <w:pPr>
        <w:pStyle w:val="Style37"/>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、股份变动情况</w:t>
      </w:r>
      <w:bookmarkEnd w:id="423"/>
      <w:bookmarkEnd w:id="424"/>
      <w:bookmarkEnd w:id="4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826"/>
        <w:gridCol w:w="662"/>
        <w:gridCol w:w="566"/>
        <w:gridCol w:w="710"/>
        <w:gridCol w:w="989"/>
        <w:gridCol w:w="994"/>
        <w:gridCol w:w="994"/>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发行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109,682,424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109,682,424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109,682,424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639,792,576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687,394,322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639,792,576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687,394,322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749,475,000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749,475,000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详情请参考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：限售股份变动情况。</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、限售股份变动情况</w:t>
      </w:r>
      <w:bookmarkEnd w:id="427"/>
      <w:bookmarkEnd w:id="428"/>
      <w:bookmarkEnd w:id="43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994"/>
        <w:gridCol w:w="989"/>
        <w:gridCol w:w="994"/>
        <w:gridCol w:w="1138"/>
        <w:gridCol w:w="989"/>
        <w:gridCol w:w="3624"/>
      </w:tblGrid>
      <w:tr>
        <w:trPr>
          <w:trHeight w:val="7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期初限售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期末限售</w:t>
            </w:r>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46,083,971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46,083,971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日任期届满，六个月后股份全 部解除锁定。</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莫柏欣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日任期届满，六个月后股份全 部解除锁定。</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57,727,593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57,727,593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4,279,735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4,279,735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袁瑞峰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109,682,424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52,725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47,654,471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sz w:val="24"/>
          <w:szCs w:val="24"/>
        </w:rPr>
        <w:t>二</w:t>
      </w:r>
      <w:bookmarkEnd w:id="433"/>
      <w:r>
        <w:rPr>
          <w:color w:val="000000"/>
          <w:spacing w:val="0"/>
          <w:w w:val="100"/>
          <w:position w:val="0"/>
          <w:sz w:val="24"/>
          <w:szCs w:val="24"/>
        </w:rPr>
        <w:t>、证券发行与上市情况</w:t>
      </w:r>
      <w:bookmarkEnd w:id="431"/>
      <w:bookmarkEnd w:id="432"/>
      <w:bookmarkEnd w:id="434"/>
    </w:p>
    <w:p>
      <w:pPr>
        <w:pStyle w:val="Style37"/>
        <w:keepNext/>
        <w:keepLines/>
        <w:widowControl w:val="0"/>
        <w:shd w:val="clear" w:color="auto" w:fill="auto"/>
        <w:tabs>
          <w:tab w:pos="368" w:val="left"/>
        </w:tabs>
        <w:bidi w:val="0"/>
        <w:spacing w:before="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w:t>
        <w:tab/>
        <w:t>报告期内证券发行（不含优先股）情况</w:t>
      </w:r>
      <w:bookmarkEnd w:id="435"/>
      <w:bookmarkEnd w:id="436"/>
      <w:bookmarkEnd w:id="438"/>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w:t>
        <w:tab/>
        <w:t>公司股份总数及股东结构的变动、公司资产和负债结构的变动情况说明</w:t>
      </w:r>
      <w:bookmarkEnd w:id="439"/>
      <w:bookmarkEnd w:id="440"/>
      <w:bookmarkEnd w:id="442"/>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w:t>
        <w:tab/>
        <w:t>现存的内部职工股情况</w:t>
      </w:r>
      <w:bookmarkEnd w:id="443"/>
      <w:bookmarkEnd w:id="444"/>
      <w:bookmarkEnd w:id="446"/>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三</w:t>
      </w:r>
      <w:bookmarkEnd w:id="449"/>
      <w:r>
        <w:rPr>
          <w:color w:val="000000"/>
          <w:spacing w:val="0"/>
          <w:w w:val="100"/>
          <w:position w:val="0"/>
          <w:sz w:val="24"/>
          <w:szCs w:val="24"/>
        </w:rPr>
        <w:t>、股东和实际控制人情况</w:t>
      </w:r>
      <w:bookmarkEnd w:id="447"/>
      <w:bookmarkEnd w:id="448"/>
      <w:bookmarkEnd w:id="450"/>
    </w:p>
    <w:p>
      <w:pPr>
        <w:pStyle w:val="Style37"/>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、公司股东数量及持股情况</w:t>
      </w:r>
      <w:bookmarkEnd w:id="451"/>
      <w:bookmarkEnd w:id="452"/>
      <w:bookmarkEnd w:id="45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782"/>
        <w:gridCol w:w="144"/>
        <w:gridCol w:w="994"/>
        <w:gridCol w:w="206"/>
        <w:gridCol w:w="643"/>
        <w:gridCol w:w="283"/>
        <w:gridCol w:w="850"/>
        <w:gridCol w:w="850"/>
        <w:gridCol w:w="144"/>
        <w:gridCol w:w="418"/>
        <w:gridCol w:w="432"/>
        <w:gridCol w:w="1133"/>
        <w:gridCol w:w="432"/>
        <w:gridCol w:w="134"/>
        <w:gridCol w:w="931"/>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47,942</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报告期末表决权恢复 的优先股股东总数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年度报告披露日前上一 月末表决权恢复的优先 股股东总数</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3"/>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715"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166,315,691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166,315,691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77,870,000</w:t>
            </w:r>
          </w:p>
        </w:tc>
      </w:tr>
      <w:tr>
        <w:trPr>
          <w:trHeight w:val="403"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78,572,882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78,572,882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78,500,000</w:t>
            </w:r>
          </w:p>
        </w:tc>
      </w:tr>
      <w:tr>
        <w:trPr>
          <w:trHeight w:val="403"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76,970,124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57,727,593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19,242,531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76,962,600</w:t>
            </w:r>
          </w:p>
        </w:tc>
      </w:tr>
      <w:tr>
        <w:trPr>
          <w:trHeight w:val="715"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青岛程远投资管理有限公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58,526,809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58,526,809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7.09%</w:t>
            </w:r>
          </w:p>
        </w:tc>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53,123,814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53,123,814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52,973,190</w:t>
            </w:r>
          </w:p>
        </w:tc>
      </w:tr>
      <w:tr>
        <w:trPr>
          <w:trHeight w:val="403" w:hRule="exact"/>
        </w:trPr>
        <w:tc>
          <w:tcPr>
            <w:gridSpan w:val="3"/>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53,123,814</w:t>
            </w:r>
          </w:p>
        </w:tc>
      </w:tr>
      <w:tr>
        <w:trPr>
          <w:trHeight w:val="1027"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宁波梅山保税港区荟金投 资管理有限公司一荟金</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27,020,305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27,020,305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宁波梅山保税港区荟金投 资管理有限公司一荟金</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15,440,300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-974,800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吕剑锋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5,749,875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1,470,140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2,523,203</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2,523,203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tc>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75"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上述股东中,青岛程远投资管理有限公司为青岛城投金融控股集团有限公司的全资 子公司，双方为一致行动关系；贾全臣与贾玉兰是兄妹关系，贾全臣与贾晓钰是父 子关系，贾玉兰与戴一鸣是母子关系；宁波梅山保税港区荟金投资管理有限公司一 荟金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号私募证券投资基金与宁波梅山保税港区荟金投资管理有限公司一荟金</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号私募证券投资基金为一致行动关系。除上述情况外，公司未知其他前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之间是否存在关联关系，也未知是否属于《上市公司收购管理办法》规定的一致行 动人。</w:t>
            </w:r>
          </w:p>
        </w:tc>
      </w:tr>
      <w:tr>
        <w:trPr>
          <w:trHeight w:val="408"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w:t>
            </w:r>
          </w:p>
        </w:tc>
        <w:tc>
          <w:tcPr>
            <w:gridSpan w:val="1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3269"/>
        <w:gridCol w:w="3970"/>
        <w:gridCol w:w="1282"/>
        <w:gridCol w:w="1066"/>
      </w:tblGrid>
      <w:tr>
        <w:trPr>
          <w:trHeight w:val="365"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决权情况的说明</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166,315,691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166,315,691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戴一鸣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78,572,882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78,572,882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青岛程远投资管理有限公司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58,526,809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58,526,809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贾全臣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53,123,814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53,123,814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宁波梅山保税港区荟金投资管理有限公 司一荟金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27,020,305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27,020,305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19,242,531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19,242,531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宁波梅山保税港区荟金投资管理有限公 司一荟金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15,440,300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15,440,300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吕剑锋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20" w:right="0" w:firstLine="0"/>
              <w:jc w:val="lef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刘英姿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20" w:right="0" w:firstLine="0"/>
              <w:jc w:val="left"/>
              <w:rPr>
                <w:sz w:val="18"/>
                <w:szCs w:val="18"/>
              </w:rPr>
            </w:pPr>
            <w:r>
              <w:rPr>
                <w:rFonts w:ascii="Times New Roman" w:eastAsia="Times New Roman" w:hAnsi="Times New Roman" w:cs="Times New Roman"/>
                <w:color w:val="000000"/>
                <w:spacing w:val="0"/>
                <w:w w:val="100"/>
                <w:position w:val="0"/>
                <w:sz w:val="18"/>
                <w:szCs w:val="18"/>
              </w:rPr>
              <w:t>2,523,203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2,523,203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王菊芬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20" w:right="0" w:firstLine="0"/>
              <w:jc w:val="left"/>
              <w:rPr>
                <w:sz w:val="18"/>
                <w:szCs w:val="18"/>
              </w:rPr>
            </w:pPr>
            <w:r>
              <w:rPr>
                <w:rFonts w:ascii="Times New Roman" w:eastAsia="Times New Roman" w:hAnsi="Times New Roman" w:cs="Times New Roman"/>
                <w:color w:val="000000"/>
                <w:spacing w:val="0"/>
                <w:w w:val="100"/>
                <w:position w:val="0"/>
                <w:sz w:val="18"/>
                <w:szCs w:val="18"/>
              </w:rPr>
              <w:t>1,820,700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1,820,700</w:t>
            </w:r>
          </w:p>
        </w:tc>
      </w:tr>
      <w:tr>
        <w:trPr>
          <w:trHeight w:val="196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间关联关系或一致行动的说明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上述股东中，青岛程远投资管理有限公司为青岛城投金融控股集团有限公司的全 资子公司，双方为一致行动关系；贾全臣与贾晓钰是父子关系，贾全臣与戴一鸣 是舅甥关系；宁波梅山保税港区荟金投资管理有限公司一荟金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 基金与宁波梅山保税港区荟金投资管理有限公司一荟金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 为一致行动关系。公司未知其他前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 系，也未知是否属于《上市公司收购管理办法》规定的一致行动人。</w:t>
            </w:r>
          </w:p>
        </w:tc>
      </w:tr>
      <w:tr>
        <w:trPr>
          <w:trHeight w:val="46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74" w:val="left"/>
              </w:tabs>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公司股东宁波梅山保税港区荟金投资管理有限公司一荟金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 基金除通过普通证券账户持有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股外，还通过东兴证券股份有限公司客户信用交 易担保证券账户持有</w:t>
            </w:r>
            <w:r>
              <w:rPr>
                <w:rFonts w:ascii="Times New Roman" w:eastAsia="Times New Roman" w:hAnsi="Times New Roman" w:cs="Times New Roman"/>
                <w:color w:val="000000"/>
                <w:spacing w:val="0"/>
                <w:w w:val="100"/>
                <w:position w:val="0"/>
                <w:sz w:val="18"/>
                <w:szCs w:val="18"/>
              </w:rPr>
              <w:t>27,020,305</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27,020,305</w:t>
            </w:r>
            <w:r>
              <w:rPr>
                <w:color w:val="000000"/>
                <w:spacing w:val="0"/>
                <w:w w:val="100"/>
                <w:position w:val="0"/>
              </w:rPr>
              <w:t>股；</w:t>
            </w:r>
          </w:p>
          <w:p>
            <w:pPr>
              <w:pStyle w:val="Style27"/>
              <w:keepNext w:val="0"/>
              <w:keepLines w:val="0"/>
              <w:widowControl w:val="0"/>
              <w:shd w:val="clear" w:color="auto" w:fill="auto"/>
              <w:tabs>
                <w:tab w:pos="283"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公司股东宁波梅山保税港区荟金投资管理有限公司一荟金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 基金除通过普通证券账户持有</w:t>
            </w:r>
            <w:r>
              <w:rPr>
                <w:rFonts w:ascii="Times New Roman" w:eastAsia="Times New Roman" w:hAnsi="Times New Roman" w:cs="Times New Roman"/>
                <w:color w:val="000000"/>
                <w:spacing w:val="0"/>
                <w:w w:val="100"/>
                <w:position w:val="0"/>
                <w:sz w:val="18"/>
                <w:szCs w:val="18"/>
              </w:rPr>
              <w:t>5,061,800</w:t>
            </w:r>
            <w:r>
              <w:rPr>
                <w:color w:val="000000"/>
                <w:spacing w:val="0"/>
                <w:w w:val="100"/>
                <w:position w:val="0"/>
              </w:rPr>
              <w:t>股外，还通过东兴证券股份有限公司客 户信用交易担保证券账户持有</w:t>
            </w:r>
            <w:r>
              <w:rPr>
                <w:rFonts w:ascii="Times New Roman" w:eastAsia="Times New Roman" w:hAnsi="Times New Roman" w:cs="Times New Roman"/>
                <w:color w:val="000000"/>
                <w:spacing w:val="0"/>
                <w:w w:val="100"/>
                <w:position w:val="0"/>
                <w:sz w:val="18"/>
                <w:szCs w:val="18"/>
              </w:rPr>
              <w:t>10,378,500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15,440,300</w:t>
            </w:r>
            <w:r>
              <w:rPr>
                <w:color w:val="000000"/>
                <w:spacing w:val="0"/>
                <w:w w:val="100"/>
                <w:position w:val="0"/>
              </w:rPr>
              <w:t>股；</w:t>
            </w:r>
          </w:p>
          <w:p>
            <w:pPr>
              <w:pStyle w:val="Style27"/>
              <w:keepNext w:val="0"/>
              <w:keepLines w:val="0"/>
              <w:widowControl w:val="0"/>
              <w:shd w:val="clear" w:color="auto" w:fill="auto"/>
              <w:tabs>
                <w:tab w:pos="25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公司股东吕剑锋除通过普通证券账户持有</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股外，还通过中国银河证 券股份有限公司客户信用交易担保证券账户持有</w:t>
            </w:r>
            <w:r>
              <w:rPr>
                <w:rFonts w:ascii="Times New Roman" w:eastAsia="Times New Roman" w:hAnsi="Times New Roman" w:cs="Times New Roman"/>
                <w:color w:val="000000"/>
                <w:spacing w:val="0"/>
                <w:w w:val="100"/>
                <w:position w:val="0"/>
                <w:sz w:val="18"/>
                <w:szCs w:val="18"/>
              </w:rPr>
              <w:t>3,600,000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 xml:space="preserve">6,600,000 </w:t>
            </w:r>
            <w:r>
              <w:rPr>
                <w:color w:val="000000"/>
                <w:spacing w:val="0"/>
                <w:w w:val="100"/>
                <w:position w:val="0"/>
              </w:rPr>
              <w:t>股；</w:t>
            </w:r>
          </w:p>
          <w:p>
            <w:pPr>
              <w:pStyle w:val="Style27"/>
              <w:keepNext w:val="0"/>
              <w:keepLines w:val="0"/>
              <w:widowControl w:val="0"/>
              <w:shd w:val="clear" w:color="auto" w:fill="auto"/>
              <w:tabs>
                <w:tab w:pos="259" w:val="left"/>
              </w:tabs>
              <w:bidi w:val="0"/>
              <w:spacing w:before="0" w:after="4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公司股东贾玉兰除通过普通证券账户持有</w:t>
            </w:r>
            <w:r>
              <w:rPr>
                <w:rFonts w:ascii="Times New Roman" w:eastAsia="Times New Roman" w:hAnsi="Times New Roman" w:cs="Times New Roman"/>
                <w:color w:val="000000"/>
                <w:spacing w:val="0"/>
                <w:w w:val="100"/>
                <w:position w:val="0"/>
                <w:sz w:val="18"/>
                <w:szCs w:val="18"/>
              </w:rPr>
              <w:t>5,706,314</w:t>
            </w:r>
            <w:r>
              <w:rPr>
                <w:color w:val="000000"/>
                <w:spacing w:val="0"/>
                <w:w w:val="100"/>
                <w:position w:val="0"/>
              </w:rPr>
              <w:t>股外，还通过招商证券股 份有限公司客户信用交易担保证券账户持有</w:t>
            </w:r>
            <w:r>
              <w:rPr>
                <w:rFonts w:ascii="Times New Roman" w:eastAsia="Times New Roman" w:hAnsi="Times New Roman" w:cs="Times New Roman"/>
                <w:color w:val="000000"/>
                <w:spacing w:val="0"/>
                <w:w w:val="100"/>
                <w:position w:val="0"/>
                <w:sz w:val="18"/>
                <w:szCs w:val="18"/>
              </w:rPr>
              <w:t>43,561</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 xml:space="preserve">5,749,875 </w:t>
            </w:r>
            <w:r>
              <w:rPr>
                <w:color w:val="000000"/>
                <w:spacing w:val="0"/>
                <w:w w:val="100"/>
                <w:position w:val="0"/>
              </w:rPr>
              <w:t>股；</w:t>
            </w:r>
          </w:p>
          <w:p>
            <w:pPr>
              <w:pStyle w:val="Style27"/>
              <w:keepNext w:val="0"/>
              <w:keepLines w:val="0"/>
              <w:widowControl w:val="0"/>
              <w:shd w:val="clear" w:color="auto" w:fill="auto"/>
              <w:tabs>
                <w:tab w:pos="27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公司股东刘英姿除通过普通证券账户持有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股外，还通过申万宏源证券有限 公司客户信用交易担保证券账户持有</w:t>
            </w:r>
            <w:r>
              <w:rPr>
                <w:rFonts w:ascii="Times New Roman" w:eastAsia="Times New Roman" w:hAnsi="Times New Roman" w:cs="Times New Roman"/>
                <w:color w:val="000000"/>
                <w:spacing w:val="0"/>
                <w:w w:val="100"/>
                <w:position w:val="0"/>
                <w:sz w:val="18"/>
                <w:szCs w:val="18"/>
              </w:rPr>
              <w:t>2,523,203</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2,523,203</w:t>
            </w:r>
            <w:r>
              <w:rPr>
                <w:color w:val="000000"/>
                <w:spacing w:val="0"/>
                <w:w w:val="100"/>
                <w:position w:val="0"/>
              </w:rPr>
              <w:t>股。</w:t>
            </w:r>
          </w:p>
        </w:tc>
      </w:tr>
    </w:tbl>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7"/>
        <w:keepNext/>
        <w:keepLines/>
        <w:widowControl w:val="0"/>
        <w:shd w:val="clear" w:color="auto" w:fill="auto"/>
        <w:bidi w:val="0"/>
        <w:spacing w:before="0" w:after="3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、公司控股股东情况</w:t>
      </w:r>
      <w:bookmarkEnd w:id="455"/>
      <w:bookmarkEnd w:id="456"/>
      <w:bookmarkEnd w:id="458"/>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控股股东性质：地方国有控股</w:t>
      </w:r>
    </w:p>
    <w:p>
      <w:pPr>
        <w:pStyle w:val="Style34"/>
        <w:keepNext w:val="0"/>
        <w:keepLines w:val="0"/>
        <w:widowControl w:val="0"/>
        <w:shd w:val="clear" w:color="auto" w:fill="auto"/>
        <w:bidi w:val="0"/>
        <w:spacing w:before="0" w:after="260" w:line="240" w:lineRule="auto"/>
        <w:ind w:left="0" w:right="0" w:firstLine="0"/>
        <w:jc w:val="both"/>
      </w:pPr>
      <w:r>
        <w:rPr>
          <w:color w:val="000000"/>
          <w:spacing w:val="0"/>
          <w:w w:val="100"/>
          <w:position w:val="0"/>
        </w:rPr>
        <w:t>控股股东类型：法人</w:t>
      </w:r>
    </w:p>
    <w:p>
      <w:pPr>
        <w:widowControl w:val="0"/>
        <w:spacing w:after="12612" w:line="1" w:lineRule="exact"/>
      </w:pPr>
      <w:r>
        <mc:AlternateContent>
          <mc:Choice Requires="wps">
            <w:drawing>
              <wp:anchor distT="0" distB="0" distL="0" distR="0" simplePos="0" relativeHeight="62914698" behindDoc="1" locked="0" layoutInCell="1" allowOverlap="1">
                <wp:simplePos x="0" y="0"/>
                <wp:positionH relativeFrom="page">
                  <wp:posOffset>759460</wp:posOffset>
                </wp:positionH>
                <wp:positionV relativeFrom="paragraph">
                  <wp:posOffset>38100</wp:posOffset>
                </wp:positionV>
                <wp:extent cx="713105" cy="146050"/>
                <wp:wrapNone/>
                <wp:docPr id="11" name="Shape 11"/>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xbxContent>
                      </wps:txbx>
                      <wps:bodyPr wrap="none" lIns="0" tIns="0" rIns="0" bIns="0">
                        <a:noAutoFit/>
                      </wps:bodyPr>
                    </wps:wsp>
                  </a:graphicData>
                </a:graphic>
              </wp:anchor>
            </w:drawing>
          </mc:Choice>
          <mc:Fallback>
            <w:pict>
              <v:shape id="_x0000_s1037" type="#_x0000_t202" style="position:absolute;margin-left:59.800000000000004pt;margin-top:3.pt;width:56.149999999999999pt;height:11.5pt;z-index:-18874405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1597660</wp:posOffset>
                </wp:positionH>
                <wp:positionV relativeFrom="paragraph">
                  <wp:posOffset>38100</wp:posOffset>
                </wp:positionV>
                <wp:extent cx="1200785" cy="158750"/>
                <wp:wrapNone/>
                <wp:docPr id="13" name="Shape 13"/>
                <a:graphic xmlns:a="http://schemas.openxmlformats.org/drawingml/2006/main">
                  <a:graphicData uri="http://schemas.microsoft.com/office/word/2010/wordprocessingShape">
                    <wps:wsp>
                      <wps:cNvSpPr txBox="1"/>
                      <wps:spPr>
                        <a:xfrm>
                          <a:ext cx="1200785"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xbxContent>
                      </wps:txbx>
                      <wps:bodyPr wrap="none" lIns="0" tIns="0" rIns="0" bIns="0">
                        <a:noAutoFit/>
                      </wps:bodyPr>
                    </wps:wsp>
                  </a:graphicData>
                </a:graphic>
              </wp:anchor>
            </w:drawing>
          </mc:Choice>
          <mc:Fallback>
            <w:pict>
              <v:shape id="_x0000_s1039" type="#_x0000_t202" style="position:absolute;margin-left:125.8pt;margin-top:3.pt;width:94.549999999999997pt;height:12.5pt;z-index:-18874405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3128010</wp:posOffset>
                </wp:positionH>
                <wp:positionV relativeFrom="paragraph">
                  <wp:posOffset>38100</wp:posOffset>
                </wp:positionV>
                <wp:extent cx="481330" cy="149225"/>
                <wp:wrapNone/>
                <wp:docPr id="15" name="Shape 1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xbxContent>
                      </wps:txbx>
                      <wps:bodyPr wrap="none" lIns="0" tIns="0" rIns="0" bIns="0">
                        <a:noAutoFit/>
                      </wps:bodyPr>
                    </wps:wsp>
                  </a:graphicData>
                </a:graphic>
              </wp:anchor>
            </w:drawing>
          </mc:Choice>
          <mc:Fallback>
            <w:pict>
              <v:shape id="_x0000_s1041" type="#_x0000_t202" style="position:absolute;margin-left:246.30000000000001pt;margin-top:3.pt;width:37.899999999999999pt;height:11.75pt;z-index:-18874405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4048125</wp:posOffset>
                </wp:positionH>
                <wp:positionV relativeFrom="paragraph">
                  <wp:posOffset>38100</wp:posOffset>
                </wp:positionV>
                <wp:extent cx="709930" cy="146050"/>
                <wp:wrapNone/>
                <wp:docPr id="17" name="Shape 17"/>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xbxContent>
                      </wps:txbx>
                      <wps:bodyPr wrap="none" lIns="0" tIns="0" rIns="0" bIns="0">
                        <a:noAutoFit/>
                      </wps:bodyPr>
                    </wps:wsp>
                  </a:graphicData>
                </a:graphic>
              </wp:anchor>
            </w:drawing>
          </mc:Choice>
          <mc:Fallback>
            <w:pict>
              <v:shape id="_x0000_s1043" type="#_x0000_t202" style="position:absolute;margin-left:318.75pt;margin-top:3.pt;width:55.899999999999999pt;height:11.5pt;z-index:-18874404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5511165</wp:posOffset>
                </wp:positionH>
                <wp:positionV relativeFrom="paragraph">
                  <wp:posOffset>38100</wp:posOffset>
                </wp:positionV>
                <wp:extent cx="709930" cy="143510"/>
                <wp:wrapNone/>
                <wp:docPr id="19" name="Shape 19"/>
                <a:graphic xmlns:a="http://schemas.openxmlformats.org/drawingml/2006/main">
                  <a:graphicData uri="http://schemas.microsoft.com/office/word/2010/wordprocessingShape">
                    <wps:wsp>
                      <wps:cNvSpPr txBox="1"/>
                      <wps:spPr>
                        <a:xfrm>
                          <a:ext cx="70993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xbxContent>
                      </wps:txbx>
                      <wps:bodyPr wrap="none" lIns="0" tIns="0" rIns="0" bIns="0">
                        <a:noAutoFit/>
                      </wps:bodyPr>
                    </wps:wsp>
                  </a:graphicData>
                </a:graphic>
              </wp:anchor>
            </w:drawing>
          </mc:Choice>
          <mc:Fallback>
            <w:pict>
              <v:shape id="_x0000_s1045" type="#_x0000_t202" style="position:absolute;margin-left:433.94999999999999pt;margin-top:3.pt;width:55.899999999999999pt;height:11.300000000000001pt;z-index:-18874404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716915</wp:posOffset>
                </wp:positionH>
                <wp:positionV relativeFrom="paragraph">
                  <wp:posOffset>431165</wp:posOffset>
                </wp:positionV>
                <wp:extent cx="709930" cy="603250"/>
                <wp:wrapNone/>
                <wp:docPr id="21" name="Shape 21"/>
                <a:graphic xmlns:a="http://schemas.openxmlformats.org/drawingml/2006/main">
                  <a:graphicData uri="http://schemas.microsoft.com/office/word/2010/wordprocessingShape">
                    <wps:wsp>
                      <wps:cNvSpPr txBox="1"/>
                      <wps:spPr>
                        <a:xfrm>
                          <a:ext cx="709930" cy="603250"/>
                        </a:xfrm>
                        <a:prstGeom prst="rect"/>
                        <a:noFill/>
                      </wps:spPr>
                      <wps:txbx>
                        <w:txbxContent>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青岛城投金融 控股集团有限 公司</w:t>
                            </w:r>
                          </w:p>
                        </w:txbxContent>
                      </wps:txbx>
                      <wps:bodyPr lIns="0" tIns="0" rIns="0" bIns="0">
                        <a:noAutoFit/>
                      </wps:bodyPr>
                    </wps:wsp>
                  </a:graphicData>
                </a:graphic>
              </wp:anchor>
            </w:drawing>
          </mc:Choice>
          <mc:Fallback>
            <w:pict>
              <v:shape id="_x0000_s1047" type="#_x0000_t202" style="position:absolute;margin-left:56.450000000000003pt;margin-top:33.950000000000003pt;width:55.899999999999999pt;height:47.5pt;z-index:-18874404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青岛城投金融 控股集团有限 公司</w:t>
                      </w:r>
                    </w:p>
                  </w:txbxContent>
                </v:textbox>
                <w10:wrap anchorx="page"/>
              </v:shape>
            </w:pict>
          </mc:Fallback>
        </mc:AlternateContent>
      </w:r>
      <w:r>
        <mc:AlternateContent>
          <mc:Choice Requires="wps">
            <w:drawing>
              <wp:anchor distT="0" distB="0" distL="0" distR="0" simplePos="0" relativeHeight="62914710" behindDoc="1" locked="0" layoutInCell="1" allowOverlap="1">
                <wp:simplePos x="0" y="0"/>
                <wp:positionH relativeFrom="page">
                  <wp:posOffset>1527810</wp:posOffset>
                </wp:positionH>
                <wp:positionV relativeFrom="paragraph">
                  <wp:posOffset>690245</wp:posOffset>
                </wp:positionV>
                <wp:extent cx="368935" cy="149225"/>
                <wp:wrapNone/>
                <wp:docPr id="23" name="Shape 23"/>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xbxContent>
                      </wps:txbx>
                      <wps:bodyPr wrap="none" lIns="0" tIns="0" rIns="0" bIns="0">
                        <a:noAutoFit/>
                      </wps:bodyPr>
                    </wps:wsp>
                  </a:graphicData>
                </a:graphic>
              </wp:anchor>
            </w:drawing>
          </mc:Choice>
          <mc:Fallback>
            <w:pict>
              <v:shape id="_x0000_s1049" type="#_x0000_t202" style="position:absolute;margin-left:120.3pt;margin-top:54.350000000000001pt;width:29.050000000000001pt;height:11.75pt;z-index:-18874404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xbxContent>
                </v:textbox>
                <w10:wrap anchorx="page"/>
              </v:shape>
            </w:pict>
          </mc:Fallback>
        </mc:AlternateContent>
      </w:r>
      <w:r>
        <mc:AlternateContent>
          <mc:Choice Requires="wps">
            <w:drawing>
              <wp:anchor distT="0" distB="0" distL="0" distR="0" simplePos="0" relativeHeight="62914712" behindDoc="1" locked="0" layoutInCell="1" allowOverlap="1">
                <wp:simplePos x="0" y="0"/>
                <wp:positionH relativeFrom="page">
                  <wp:posOffset>2871470</wp:posOffset>
                </wp:positionH>
                <wp:positionV relativeFrom="paragraph">
                  <wp:posOffset>690245</wp:posOffset>
                </wp:positionV>
                <wp:extent cx="975360" cy="149225"/>
                <wp:wrapNone/>
                <wp:docPr id="25" name="Shape 25"/>
                <a:graphic xmlns:a="http://schemas.openxmlformats.org/drawingml/2006/main">
                  <a:graphicData uri="http://schemas.microsoft.com/office/word/2010/wordprocessingShape">
                    <wps:wsp>
                      <wps:cNvSpPr txBox="1"/>
                      <wps:spPr>
                        <a:xfrm>
                          <a:ext cx="975360" cy="14922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051" type="#_x0000_t202" style="position:absolute;margin-left:226.09999999999999pt;margin-top:54.350000000000001pt;width:76.799999999999997pt;height:11.75pt;z-index:-188744041;mso-wrap-distance-left:0;mso-wrap-distance-right:0;mso-position-horizontal-relative:page" wrapcoords="0 0"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xbxContent>
                </v:textbox>
                <w10:wrap anchorx="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3868420</wp:posOffset>
                </wp:positionH>
                <wp:positionV relativeFrom="paragraph">
                  <wp:posOffset>696595</wp:posOffset>
                </wp:positionV>
                <wp:extent cx="1054735" cy="143510"/>
                <wp:wrapNone/>
                <wp:docPr id="27" name="Shape 27"/>
                <a:graphic xmlns:a="http://schemas.openxmlformats.org/drawingml/2006/main">
                  <a:graphicData uri="http://schemas.microsoft.com/office/word/2010/wordprocessingShape">
                    <wps:wsp>
                      <wps:cNvSpPr txBox="1"/>
                      <wps:spPr>
                        <a:xfrm>
                          <a:ext cx="1054735"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913702123215149854</w:t>
                            </w:r>
                          </w:p>
                        </w:txbxContent>
                      </wps:txbx>
                      <wps:bodyPr wrap="none" lIns="0" tIns="0" rIns="0" bIns="0">
                        <a:noAutoFit/>
                      </wps:bodyPr>
                    </wps:wsp>
                  </a:graphicData>
                </a:graphic>
              </wp:anchor>
            </w:drawing>
          </mc:Choice>
          <mc:Fallback>
            <w:pict>
              <v:shape id="_x0000_s1053" type="#_x0000_t202" style="position:absolute;margin-left:304.60000000000002pt;margin-top:54.850000000000001pt;width:83.049999999999997pt;height:11.300000000000001pt;z-index:-188744039;mso-wrap-distance-left:0;mso-wrap-distance-right:0;mso-position-horizontal-relative:page" wrapcoords="0 0"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913702123215149854</w:t>
                      </w:r>
                    </w:p>
                  </w:txbxContent>
                </v:textbox>
                <w10:wrap anchorx="page"/>
              </v:shape>
            </w:pict>
          </mc:Fallback>
        </mc:AlternateContent>
      </w:r>
      <w:r>
        <mc:AlternateContent>
          <mc:Choice Requires="wps">
            <w:drawing>
              <wp:anchor distT="0" distB="0" distL="0" distR="0" simplePos="0" relativeHeight="62914716" behindDoc="1" locked="0" layoutInCell="1" allowOverlap="1">
                <wp:simplePos x="0" y="0"/>
                <wp:positionH relativeFrom="page">
                  <wp:posOffset>4944110</wp:posOffset>
                </wp:positionH>
                <wp:positionV relativeFrom="paragraph">
                  <wp:posOffset>233045</wp:posOffset>
                </wp:positionV>
                <wp:extent cx="1837690" cy="996950"/>
                <wp:wrapNone/>
                <wp:docPr id="29" name="Shape 29"/>
                <a:graphic xmlns:a="http://schemas.openxmlformats.org/drawingml/2006/main">
                  <a:graphicData uri="http://schemas.microsoft.com/office/word/2010/wordprocessingShape">
                    <wps:wsp>
                      <wps:cNvSpPr txBox="1"/>
                      <wps:spPr>
                        <a:xfrm>
                          <a:ext cx="1837690" cy="996950"/>
                        </a:xfrm>
                        <a:prstGeom prst="rect"/>
                        <a:noFill/>
                      </wps:spPr>
                      <wps:txbx>
                        <w:txbxContent>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金融及金融服务性机构的投资与运 营、资产管理与基金管理、股权投资 及资本运营、证券与基金投资、投资 策划与咨询服务。经政府及有关监管 机构批准的其他资产投资与运营。</w:t>
                            </w:r>
                          </w:p>
                        </w:txbxContent>
                      </wps:txbx>
                      <wps:bodyPr lIns="0" tIns="0" rIns="0" bIns="0">
                        <a:noAutoFit/>
                      </wps:bodyPr>
                    </wps:wsp>
                  </a:graphicData>
                </a:graphic>
              </wp:anchor>
            </w:drawing>
          </mc:Choice>
          <mc:Fallback>
            <w:pict>
              <v:shape id="_x0000_s1055" type="#_x0000_t202" style="position:absolute;margin-left:389.30000000000001pt;margin-top:18.350000000000001pt;width:144.70000000000002pt;height:78.5pt;z-index:-18874403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金融及金融服务性机构的投资与运 营、资产管理与基金管理、股权投资 及资本运营、证券与基金投资、投资 策划与咨询服务。经政府及有关监管 机构批准的其他资产投资与运营。</w:t>
                      </w:r>
                    </w:p>
                  </w:txbxContent>
                </v:textbox>
                <w10:wrap anchorx="page"/>
              </v:shape>
            </w:pict>
          </mc:Fallback>
        </mc:AlternateContent>
      </w:r>
      <w:r>
        <mc:AlternateContent>
          <mc:Choice Requires="wps">
            <w:drawing>
              <wp:anchor distT="0" distB="0" distL="0" distR="0" simplePos="0" relativeHeight="62914718" behindDoc="1" locked="0" layoutInCell="1" allowOverlap="1">
                <wp:simplePos x="0" y="0"/>
                <wp:positionH relativeFrom="page">
                  <wp:posOffset>1533525</wp:posOffset>
                </wp:positionH>
                <wp:positionV relativeFrom="paragraph">
                  <wp:posOffset>1348740</wp:posOffset>
                </wp:positionV>
                <wp:extent cx="167640" cy="143510"/>
                <wp:wrapNone/>
                <wp:docPr id="31" name="Shape 31"/>
                <a:graphic xmlns:a="http://schemas.openxmlformats.org/drawingml/2006/main">
                  <a:graphicData uri="http://schemas.microsoft.com/office/word/2010/wordprocessingShape">
                    <wps:wsp>
                      <wps:cNvSpPr txBox="1"/>
                      <wps:spPr>
                        <a:xfrm>
                          <a:ext cx="16764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xbxContent>
                      </wps:txbx>
                      <wps:bodyPr wrap="none" lIns="0" tIns="0" rIns="0" bIns="0">
                        <a:noAutoFit/>
                      </wps:bodyPr>
                    </wps:wsp>
                  </a:graphicData>
                </a:graphic>
              </wp:anchor>
            </w:drawing>
          </mc:Choice>
          <mc:Fallback>
            <w:pict>
              <v:shape id="_x0000_s1057" type="#_x0000_t202" style="position:absolute;margin-left:120.75pt;margin-top:106.2pt;width:13.200000000000001pt;height:11.300000000000001pt;z-index:-18874403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20" behindDoc="1" locked="0" layoutInCell="1" allowOverlap="1">
                <wp:simplePos x="0" y="0"/>
                <wp:positionH relativeFrom="page">
                  <wp:posOffset>1704340</wp:posOffset>
                </wp:positionH>
                <wp:positionV relativeFrom="paragraph">
                  <wp:posOffset>1339850</wp:posOffset>
                </wp:positionV>
                <wp:extent cx="4203065" cy="152400"/>
                <wp:wrapNone/>
                <wp:docPr id="33" name="Shape 33"/>
                <a:graphic xmlns:a="http://schemas.openxmlformats.org/drawingml/2006/main">
                  <a:graphicData uri="http://schemas.microsoft.com/office/word/2010/wordprocessingShape">
                    <wps:wsp>
                      <wps:cNvSpPr txBox="1"/>
                      <wps:spPr>
                        <a:xfrm>
                          <a:ext cx="420306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持有澳柯玛股份有限公司（股票简称：澳柯玛，股票代码：</w:t>
                            </w:r>
                            <w:r>
                              <w:rPr>
                                <w:rFonts w:ascii="Times New Roman" w:eastAsia="Times New Roman" w:hAnsi="Times New Roman" w:cs="Times New Roman"/>
                                <w:color w:val="000000"/>
                                <w:spacing w:val="0"/>
                                <w:w w:val="100"/>
                                <w:position w:val="0"/>
                                <w:sz w:val="18"/>
                                <w:szCs w:val="18"/>
                              </w:rPr>
                              <w:t>600336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的股权;</w:t>
                            </w:r>
                          </w:p>
                        </w:txbxContent>
                      </wps:txbx>
                      <wps:bodyPr wrap="none" lIns="0" tIns="0" rIns="0" bIns="0">
                        <a:noAutoFit/>
                      </wps:bodyPr>
                    </wps:wsp>
                  </a:graphicData>
                </a:graphic>
              </wp:anchor>
            </w:drawing>
          </mc:Choice>
          <mc:Fallback>
            <w:pict>
              <v:shape id="_x0000_s1059" type="#_x0000_t202" style="position:absolute;margin-left:134.19999999999999pt;margin-top:105.5pt;width:330.94999999999999pt;height:12.pt;z-index:-18874403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持有澳柯玛股份有限公司（股票简称：澳柯玛，股票代码：</w:t>
                      </w:r>
                      <w:r>
                        <w:rPr>
                          <w:rFonts w:ascii="Times New Roman" w:eastAsia="Times New Roman" w:hAnsi="Times New Roman" w:cs="Times New Roman"/>
                          <w:color w:val="000000"/>
                          <w:spacing w:val="0"/>
                          <w:w w:val="100"/>
                          <w:position w:val="0"/>
                          <w:sz w:val="18"/>
                          <w:szCs w:val="18"/>
                        </w:rPr>
                        <w:t>600336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22" behindDoc="1" locked="0" layoutInCell="1" allowOverlap="1">
                <wp:simplePos x="0" y="0"/>
                <wp:positionH relativeFrom="page">
                  <wp:posOffset>1521460</wp:posOffset>
                </wp:positionH>
                <wp:positionV relativeFrom="paragraph">
                  <wp:posOffset>1568450</wp:posOffset>
                </wp:positionV>
                <wp:extent cx="179705" cy="143510"/>
                <wp:wrapNone/>
                <wp:docPr id="35" name="Shape 35"/>
                <a:graphic xmlns:a="http://schemas.openxmlformats.org/drawingml/2006/main">
                  <a:graphicData uri="http://schemas.microsoft.com/office/word/2010/wordprocessingShape">
                    <wps:wsp>
                      <wps:cNvSpPr txBox="1"/>
                      <wps:spPr>
                        <a:xfrm>
                          <a:ext cx="17970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xbxContent>
                      </wps:txbx>
                      <wps:bodyPr wrap="none" lIns="0" tIns="0" rIns="0" bIns="0">
                        <a:noAutoFit/>
                      </wps:bodyPr>
                    </wps:wsp>
                  </a:graphicData>
                </a:graphic>
              </wp:anchor>
            </w:drawing>
          </mc:Choice>
          <mc:Fallback>
            <w:pict>
              <v:shape id="_x0000_s1061" type="#_x0000_t202" style="position:absolute;margin-left:119.8pt;margin-top:123.5pt;width:14.15pt;height:11.300000000000001pt;z-index:-18874403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24" behindDoc="1" locked="0" layoutInCell="1" allowOverlap="1">
                <wp:simplePos x="0" y="0"/>
                <wp:positionH relativeFrom="page">
                  <wp:posOffset>1704340</wp:posOffset>
                </wp:positionH>
                <wp:positionV relativeFrom="paragraph">
                  <wp:posOffset>1562100</wp:posOffset>
                </wp:positionV>
                <wp:extent cx="4660265" cy="152400"/>
                <wp:wrapNone/>
                <wp:docPr id="37" name="Shape 37"/>
                <a:graphic xmlns:a="http://schemas.openxmlformats.org/drawingml/2006/main">
                  <a:graphicData uri="http://schemas.microsoft.com/office/word/2010/wordprocessingShape">
                    <wps:wsp>
                      <wps:cNvSpPr txBox="1"/>
                      <wps:spPr>
                        <a:xfrm>
                          <a:ext cx="466026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持有北京千方科技股份有限公司（股票简称：千方科技，股票代码：</w:t>
                            </w:r>
                            <w:r>
                              <w:rPr>
                                <w:rFonts w:ascii="Times New Roman" w:eastAsia="Times New Roman" w:hAnsi="Times New Roman" w:cs="Times New Roman"/>
                                <w:color w:val="000000"/>
                                <w:spacing w:val="0"/>
                                <w:w w:val="100"/>
                                <w:position w:val="0"/>
                                <w:sz w:val="18"/>
                                <w:szCs w:val="18"/>
                              </w:rPr>
                              <w:t>002373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的股权;</w:t>
                            </w:r>
                          </w:p>
                        </w:txbxContent>
                      </wps:txbx>
                      <wps:bodyPr wrap="none" lIns="0" tIns="0" rIns="0" bIns="0">
                        <a:noAutoFit/>
                      </wps:bodyPr>
                    </wps:wsp>
                  </a:graphicData>
                </a:graphic>
              </wp:anchor>
            </w:drawing>
          </mc:Choice>
          <mc:Fallback>
            <w:pict>
              <v:shape id="_x0000_s1063" type="#_x0000_t202" style="position:absolute;margin-left:134.19999999999999pt;margin-top:123.pt;width:366.94999999999999pt;height:12.pt;z-index:-18874402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持有北京千方科技股份有限公司（股票简称：千方科技，股票代码：</w:t>
                      </w:r>
                      <w:r>
                        <w:rPr>
                          <w:rFonts w:ascii="Times New Roman" w:eastAsia="Times New Roman" w:hAnsi="Times New Roman" w:cs="Times New Roman"/>
                          <w:color w:val="000000"/>
                          <w:spacing w:val="0"/>
                          <w:w w:val="100"/>
                          <w:position w:val="0"/>
                          <w:sz w:val="18"/>
                          <w:szCs w:val="18"/>
                        </w:rPr>
                        <w:t>002373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26" behindDoc="1" locked="0" layoutInCell="1" allowOverlap="1">
                <wp:simplePos x="0" y="0"/>
                <wp:positionH relativeFrom="page">
                  <wp:posOffset>1527810</wp:posOffset>
                </wp:positionH>
                <wp:positionV relativeFrom="paragraph">
                  <wp:posOffset>1793875</wp:posOffset>
                </wp:positionV>
                <wp:extent cx="173990" cy="143510"/>
                <wp:wrapNone/>
                <wp:docPr id="39" name="Shape 39"/>
                <a:graphic xmlns:a="http://schemas.openxmlformats.org/drawingml/2006/main">
                  <a:graphicData uri="http://schemas.microsoft.com/office/word/2010/wordprocessingShape">
                    <wps:wsp>
                      <wps:cNvSpPr txBox="1"/>
                      <wps:spPr>
                        <a:xfrm>
                          <a:ext cx="17399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xbxContent>
                      </wps:txbx>
                      <wps:bodyPr wrap="none" lIns="0" tIns="0" rIns="0" bIns="0">
                        <a:noAutoFit/>
                      </wps:bodyPr>
                    </wps:wsp>
                  </a:graphicData>
                </a:graphic>
              </wp:anchor>
            </w:drawing>
          </mc:Choice>
          <mc:Fallback>
            <w:pict>
              <v:shape id="_x0000_s1065" type="#_x0000_t202" style="position:absolute;margin-left:120.3pt;margin-top:141.25pt;width:13.700000000000001pt;height:11.300000000000001pt;z-index:-18874402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28" behindDoc="1" locked="0" layoutInCell="1" allowOverlap="1">
                <wp:simplePos x="0" y="0"/>
                <wp:positionH relativeFrom="page">
                  <wp:posOffset>1704340</wp:posOffset>
                </wp:positionH>
                <wp:positionV relativeFrom="paragraph">
                  <wp:posOffset>1787525</wp:posOffset>
                </wp:positionV>
                <wp:extent cx="4602480" cy="152400"/>
                <wp:wrapNone/>
                <wp:docPr id="41" name="Shape 41"/>
                <a:graphic xmlns:a="http://schemas.openxmlformats.org/drawingml/2006/main">
                  <a:graphicData uri="http://schemas.microsoft.com/office/word/2010/wordprocessingShape">
                    <wps:wsp>
                      <wps:cNvSpPr txBox="1"/>
                      <wps:spPr>
                        <a:xfrm>
                          <a:ext cx="460248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持有宋城演艺发展股份有限公司（股票简称：宋城演艺，股票代码：</w:t>
                            </w:r>
                            <w:r>
                              <w:rPr>
                                <w:rFonts w:ascii="Times New Roman" w:eastAsia="Times New Roman" w:hAnsi="Times New Roman" w:cs="Times New Roman"/>
                                <w:color w:val="000000"/>
                                <w:spacing w:val="0"/>
                                <w:w w:val="100"/>
                                <w:position w:val="0"/>
                                <w:sz w:val="18"/>
                                <w:szCs w:val="18"/>
                              </w:rPr>
                              <w:t>300144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的股权;</w:t>
                            </w:r>
                          </w:p>
                        </w:txbxContent>
                      </wps:txbx>
                      <wps:bodyPr wrap="none" lIns="0" tIns="0" rIns="0" bIns="0">
                        <a:noAutoFit/>
                      </wps:bodyPr>
                    </wps:wsp>
                  </a:graphicData>
                </a:graphic>
              </wp:anchor>
            </w:drawing>
          </mc:Choice>
          <mc:Fallback>
            <w:pict>
              <v:shape id="_x0000_s1067" type="#_x0000_t202" style="position:absolute;margin-left:134.19999999999999pt;margin-top:140.75pt;width:362.40000000000003pt;height:12.pt;z-index:-18874402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持有宋城演艺发展股份有限公司（股票简称：宋城演艺，股票代码：</w:t>
                      </w:r>
                      <w:r>
                        <w:rPr>
                          <w:rFonts w:ascii="Times New Roman" w:eastAsia="Times New Roman" w:hAnsi="Times New Roman" w:cs="Times New Roman"/>
                          <w:color w:val="000000"/>
                          <w:spacing w:val="0"/>
                          <w:w w:val="100"/>
                          <w:position w:val="0"/>
                          <w:sz w:val="18"/>
                          <w:szCs w:val="18"/>
                        </w:rPr>
                        <w:t>300144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30" behindDoc="1" locked="0" layoutInCell="1" allowOverlap="1">
                <wp:simplePos x="0" y="0"/>
                <wp:positionH relativeFrom="page">
                  <wp:posOffset>1521460</wp:posOffset>
                </wp:positionH>
                <wp:positionV relativeFrom="paragraph">
                  <wp:posOffset>2016125</wp:posOffset>
                </wp:positionV>
                <wp:extent cx="179705" cy="143510"/>
                <wp:wrapNone/>
                <wp:docPr id="43" name="Shape 43"/>
                <a:graphic xmlns:a="http://schemas.openxmlformats.org/drawingml/2006/main">
                  <a:graphicData uri="http://schemas.microsoft.com/office/word/2010/wordprocessingShape">
                    <wps:wsp>
                      <wps:cNvSpPr txBox="1"/>
                      <wps:spPr>
                        <a:xfrm>
                          <a:ext cx="17970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xbxContent>
                      </wps:txbx>
                      <wps:bodyPr wrap="none" lIns="0" tIns="0" rIns="0" bIns="0">
                        <a:noAutoFit/>
                      </wps:bodyPr>
                    </wps:wsp>
                  </a:graphicData>
                </a:graphic>
              </wp:anchor>
            </w:drawing>
          </mc:Choice>
          <mc:Fallback>
            <w:pict>
              <v:shape id="_x0000_s1069" type="#_x0000_t202" style="position:absolute;margin-left:119.8pt;margin-top:158.75pt;width:14.15pt;height:11.300000000000001pt;z-index:-18874402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32" behindDoc="1" locked="0" layoutInCell="1" allowOverlap="1">
                <wp:simplePos x="0" y="0"/>
                <wp:positionH relativeFrom="page">
                  <wp:posOffset>1704340</wp:posOffset>
                </wp:positionH>
                <wp:positionV relativeFrom="paragraph">
                  <wp:posOffset>2010410</wp:posOffset>
                </wp:positionV>
                <wp:extent cx="4431665" cy="152400"/>
                <wp:wrapNone/>
                <wp:docPr id="45" name="Shape 45"/>
                <a:graphic xmlns:a="http://schemas.openxmlformats.org/drawingml/2006/main">
                  <a:graphicData uri="http://schemas.microsoft.com/office/word/2010/wordprocessingShape">
                    <wps:wsp>
                      <wps:cNvSpPr txBox="1"/>
                      <wps:spPr>
                        <a:xfrm>
                          <a:ext cx="443166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持有苏宁环球股份有限公司（股票简称：苏宁环球，股票代码：</w:t>
                            </w:r>
                            <w:r>
                              <w:rPr>
                                <w:rFonts w:ascii="Times New Roman" w:eastAsia="Times New Roman" w:hAnsi="Times New Roman" w:cs="Times New Roman"/>
                                <w:color w:val="000000"/>
                                <w:spacing w:val="0"/>
                                <w:w w:val="100"/>
                                <w:position w:val="0"/>
                                <w:sz w:val="18"/>
                                <w:szCs w:val="18"/>
                              </w:rPr>
                              <w:t>000718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的股权;</w:t>
                            </w:r>
                          </w:p>
                        </w:txbxContent>
                      </wps:txbx>
                      <wps:bodyPr wrap="none" lIns="0" tIns="0" rIns="0" bIns="0">
                        <a:noAutoFit/>
                      </wps:bodyPr>
                    </wps:wsp>
                  </a:graphicData>
                </a:graphic>
              </wp:anchor>
            </w:drawing>
          </mc:Choice>
          <mc:Fallback>
            <w:pict>
              <v:shape id="_x0000_s1071" type="#_x0000_t202" style="position:absolute;margin-left:134.19999999999999pt;margin-top:158.30000000000001pt;width:348.94999999999999pt;height:12.pt;z-index:-18874402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持有苏宁环球股份有限公司（股票简称：苏宁环球，股票代码：</w:t>
                      </w:r>
                      <w:r>
                        <w:rPr>
                          <w:rFonts w:ascii="Times New Roman" w:eastAsia="Times New Roman" w:hAnsi="Times New Roman" w:cs="Times New Roman"/>
                          <w:color w:val="000000"/>
                          <w:spacing w:val="0"/>
                          <w:w w:val="100"/>
                          <w:position w:val="0"/>
                          <w:sz w:val="18"/>
                          <w:szCs w:val="18"/>
                        </w:rPr>
                        <w:t>000718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34" behindDoc="1" locked="0" layoutInCell="1" allowOverlap="1">
                <wp:simplePos x="0" y="0"/>
                <wp:positionH relativeFrom="page">
                  <wp:posOffset>1527810</wp:posOffset>
                </wp:positionH>
                <wp:positionV relativeFrom="paragraph">
                  <wp:posOffset>2239010</wp:posOffset>
                </wp:positionV>
                <wp:extent cx="173990" cy="143510"/>
                <wp:wrapNone/>
                <wp:docPr id="47" name="Shape 47"/>
                <a:graphic xmlns:a="http://schemas.openxmlformats.org/drawingml/2006/main">
                  <a:graphicData uri="http://schemas.microsoft.com/office/word/2010/wordprocessingShape">
                    <wps:wsp>
                      <wps:cNvSpPr txBox="1"/>
                      <wps:spPr>
                        <a:xfrm>
                          <a:ext cx="17399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xbxContent>
                      </wps:txbx>
                      <wps:bodyPr wrap="none" lIns="0" tIns="0" rIns="0" bIns="0">
                        <a:noAutoFit/>
                      </wps:bodyPr>
                    </wps:wsp>
                  </a:graphicData>
                </a:graphic>
              </wp:anchor>
            </w:drawing>
          </mc:Choice>
          <mc:Fallback>
            <w:pict>
              <v:shape id="_x0000_s1073" type="#_x0000_t202" style="position:absolute;margin-left:120.3pt;margin-top:176.30000000000001pt;width:13.700000000000001pt;height:11.300000000000001pt;z-index:-18874401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36" behindDoc="1" locked="0" layoutInCell="1" allowOverlap="1">
                <wp:simplePos x="0" y="0"/>
                <wp:positionH relativeFrom="page">
                  <wp:posOffset>1704340</wp:posOffset>
                </wp:positionH>
                <wp:positionV relativeFrom="paragraph">
                  <wp:posOffset>2232660</wp:posOffset>
                </wp:positionV>
                <wp:extent cx="4602480" cy="152400"/>
                <wp:wrapNone/>
                <wp:docPr id="49" name="Shape 49"/>
                <a:graphic xmlns:a="http://schemas.openxmlformats.org/drawingml/2006/main">
                  <a:graphicData uri="http://schemas.microsoft.com/office/word/2010/wordprocessingShape">
                    <wps:wsp>
                      <wps:cNvSpPr txBox="1"/>
                      <wps:spPr>
                        <a:xfrm>
                          <a:ext cx="460248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持有神州高铁技术股份有限公司（股票简称：神州高铁，股票代码：</w:t>
                            </w:r>
                            <w:r>
                              <w:rPr>
                                <w:rFonts w:ascii="Times New Roman" w:eastAsia="Times New Roman" w:hAnsi="Times New Roman" w:cs="Times New Roman"/>
                                <w:color w:val="000000"/>
                                <w:spacing w:val="0"/>
                                <w:w w:val="100"/>
                                <w:position w:val="0"/>
                                <w:sz w:val="18"/>
                                <w:szCs w:val="18"/>
                              </w:rPr>
                              <w:t>000008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的股权;</w:t>
                            </w:r>
                          </w:p>
                        </w:txbxContent>
                      </wps:txbx>
                      <wps:bodyPr wrap="none" lIns="0" tIns="0" rIns="0" bIns="0">
                        <a:noAutoFit/>
                      </wps:bodyPr>
                    </wps:wsp>
                  </a:graphicData>
                </a:graphic>
              </wp:anchor>
            </w:drawing>
          </mc:Choice>
          <mc:Fallback>
            <w:pict>
              <v:shape id="_x0000_s1075" type="#_x0000_t202" style="position:absolute;margin-left:134.19999999999999pt;margin-top:175.80000000000001pt;width:362.40000000000003pt;height:12.pt;z-index:-18874401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持有神州高铁技术股份有限公司（股票简称：神州高铁，股票代码：</w:t>
                      </w:r>
                      <w:r>
                        <w:rPr>
                          <w:rFonts w:ascii="Times New Roman" w:eastAsia="Times New Roman" w:hAnsi="Times New Roman" w:cs="Times New Roman"/>
                          <w:color w:val="000000"/>
                          <w:spacing w:val="0"/>
                          <w:w w:val="100"/>
                          <w:position w:val="0"/>
                          <w:sz w:val="18"/>
                          <w:szCs w:val="18"/>
                        </w:rPr>
                        <w:t>000008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38" behindDoc="1" locked="0" layoutInCell="1" allowOverlap="1">
                <wp:simplePos x="0" y="0"/>
                <wp:positionH relativeFrom="page">
                  <wp:posOffset>1524635</wp:posOffset>
                </wp:positionH>
                <wp:positionV relativeFrom="paragraph">
                  <wp:posOffset>2464435</wp:posOffset>
                </wp:positionV>
                <wp:extent cx="176530" cy="143510"/>
                <wp:wrapNone/>
                <wp:docPr id="51" name="Shape 51"/>
                <a:graphic xmlns:a="http://schemas.openxmlformats.org/drawingml/2006/main">
                  <a:graphicData uri="http://schemas.microsoft.com/office/word/2010/wordprocessingShape">
                    <wps:wsp>
                      <wps:cNvSpPr txBox="1"/>
                      <wps:spPr>
                        <a:xfrm>
                          <a:ext cx="17653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xbxContent>
                      </wps:txbx>
                      <wps:bodyPr wrap="none" lIns="0" tIns="0" rIns="0" bIns="0">
                        <a:noAutoFit/>
                      </wps:bodyPr>
                    </wps:wsp>
                  </a:graphicData>
                </a:graphic>
              </wp:anchor>
            </w:drawing>
          </mc:Choice>
          <mc:Fallback>
            <w:pict>
              <v:shape id="_x0000_s1077" type="#_x0000_t202" style="position:absolute;margin-left:120.05pt;margin-top:194.05000000000001pt;width:13.9pt;height:11.300000000000001pt;z-index:-18874401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40" behindDoc="1" locked="0" layoutInCell="1" allowOverlap="1">
                <wp:simplePos x="0" y="0"/>
                <wp:positionH relativeFrom="page">
                  <wp:posOffset>1704340</wp:posOffset>
                </wp:positionH>
                <wp:positionV relativeFrom="paragraph">
                  <wp:posOffset>2458085</wp:posOffset>
                </wp:positionV>
                <wp:extent cx="4660265" cy="152400"/>
                <wp:wrapNone/>
                <wp:docPr id="53" name="Shape 53"/>
                <a:graphic xmlns:a="http://schemas.openxmlformats.org/drawingml/2006/main">
                  <a:graphicData uri="http://schemas.microsoft.com/office/word/2010/wordprocessingShape">
                    <wps:wsp>
                      <wps:cNvSpPr txBox="1"/>
                      <wps:spPr>
                        <a:xfrm>
                          <a:ext cx="466026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持有北京掌趣科技股份有限公司（股票简称：掌趣科技，股票代码：</w:t>
                            </w:r>
                            <w:r>
                              <w:rPr>
                                <w:rFonts w:ascii="Times New Roman" w:eastAsia="Times New Roman" w:hAnsi="Times New Roman" w:cs="Times New Roman"/>
                                <w:color w:val="000000"/>
                                <w:spacing w:val="0"/>
                                <w:w w:val="100"/>
                                <w:position w:val="0"/>
                                <w:sz w:val="18"/>
                                <w:szCs w:val="18"/>
                              </w:rPr>
                              <w:t>300315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的股权;</w:t>
                            </w:r>
                          </w:p>
                        </w:txbxContent>
                      </wps:txbx>
                      <wps:bodyPr wrap="none" lIns="0" tIns="0" rIns="0" bIns="0">
                        <a:noAutoFit/>
                      </wps:bodyPr>
                    </wps:wsp>
                  </a:graphicData>
                </a:graphic>
              </wp:anchor>
            </w:drawing>
          </mc:Choice>
          <mc:Fallback>
            <w:pict>
              <v:shape id="_x0000_s1079" type="#_x0000_t202" style="position:absolute;margin-left:134.19999999999999pt;margin-top:193.55000000000001pt;width:366.94999999999999pt;height:12.pt;z-index:-18874401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持有北京掌趣科技股份有限公司（股票简称：掌趣科技，股票代码：</w:t>
                      </w:r>
                      <w:r>
                        <w:rPr>
                          <w:rFonts w:ascii="Times New Roman" w:eastAsia="Times New Roman" w:hAnsi="Times New Roman" w:cs="Times New Roman"/>
                          <w:color w:val="000000"/>
                          <w:spacing w:val="0"/>
                          <w:w w:val="100"/>
                          <w:position w:val="0"/>
                          <w:sz w:val="18"/>
                          <w:szCs w:val="18"/>
                        </w:rPr>
                        <w:t>300315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42" behindDoc="1" locked="0" layoutInCell="1" allowOverlap="1">
                <wp:simplePos x="0" y="0"/>
                <wp:positionH relativeFrom="page">
                  <wp:posOffset>1524635</wp:posOffset>
                </wp:positionH>
                <wp:positionV relativeFrom="paragraph">
                  <wp:posOffset>2686685</wp:posOffset>
                </wp:positionV>
                <wp:extent cx="176530" cy="143510"/>
                <wp:wrapNone/>
                <wp:docPr id="55" name="Shape 55"/>
                <a:graphic xmlns:a="http://schemas.openxmlformats.org/drawingml/2006/main">
                  <a:graphicData uri="http://schemas.microsoft.com/office/word/2010/wordprocessingShape">
                    <wps:wsp>
                      <wps:cNvSpPr txBox="1"/>
                      <wps:spPr>
                        <a:xfrm>
                          <a:ext cx="17653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xbxContent>
                      </wps:txbx>
                      <wps:bodyPr wrap="none" lIns="0" tIns="0" rIns="0" bIns="0">
                        <a:noAutoFit/>
                      </wps:bodyPr>
                    </wps:wsp>
                  </a:graphicData>
                </a:graphic>
              </wp:anchor>
            </w:drawing>
          </mc:Choice>
          <mc:Fallback>
            <w:pict>
              <v:shape id="_x0000_s1081" type="#_x0000_t202" style="position:absolute;margin-left:120.05pt;margin-top:211.55000000000001pt;width:13.9pt;height:11.300000000000001pt;z-index:-18874401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44" behindDoc="1" locked="0" layoutInCell="1" allowOverlap="1">
                <wp:simplePos x="0" y="0"/>
                <wp:positionH relativeFrom="page">
                  <wp:posOffset>1704340</wp:posOffset>
                </wp:positionH>
                <wp:positionV relativeFrom="paragraph">
                  <wp:posOffset>2680970</wp:posOffset>
                </wp:positionV>
                <wp:extent cx="4431665" cy="152400"/>
                <wp:wrapNone/>
                <wp:docPr id="57" name="Shape 57"/>
                <a:graphic xmlns:a="http://schemas.openxmlformats.org/drawingml/2006/main">
                  <a:graphicData uri="http://schemas.microsoft.com/office/word/2010/wordprocessingShape">
                    <wps:wsp>
                      <wps:cNvSpPr txBox="1"/>
                      <wps:spPr>
                        <a:xfrm>
                          <a:ext cx="443166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持有东吴证券股份有限公司（股票简称：东吴证券，股票代码：</w:t>
                            </w:r>
                            <w:r>
                              <w:rPr>
                                <w:rFonts w:ascii="Times New Roman" w:eastAsia="Times New Roman" w:hAnsi="Times New Roman" w:cs="Times New Roman"/>
                                <w:color w:val="000000"/>
                                <w:spacing w:val="0"/>
                                <w:w w:val="100"/>
                                <w:position w:val="0"/>
                                <w:sz w:val="18"/>
                                <w:szCs w:val="18"/>
                              </w:rPr>
                              <w:t>601555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0.64%</w:t>
                            </w:r>
                            <w:r>
                              <w:rPr>
                                <w:color w:val="000000"/>
                                <w:spacing w:val="0"/>
                                <w:w w:val="100"/>
                                <w:position w:val="0"/>
                              </w:rPr>
                              <w:t>的股权;</w:t>
                            </w:r>
                          </w:p>
                        </w:txbxContent>
                      </wps:txbx>
                      <wps:bodyPr wrap="none" lIns="0" tIns="0" rIns="0" bIns="0">
                        <a:noAutoFit/>
                      </wps:bodyPr>
                    </wps:wsp>
                  </a:graphicData>
                </a:graphic>
              </wp:anchor>
            </w:drawing>
          </mc:Choice>
          <mc:Fallback>
            <w:pict>
              <v:shape id="_x0000_s1083" type="#_x0000_t202" style="position:absolute;margin-left:134.19999999999999pt;margin-top:211.09999999999999pt;width:348.94999999999999pt;height:12.pt;z-index:-18874400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持有东吴证券股份有限公司（股票简称：东吴证券，股票代码：</w:t>
                      </w:r>
                      <w:r>
                        <w:rPr>
                          <w:rFonts w:ascii="Times New Roman" w:eastAsia="Times New Roman" w:hAnsi="Times New Roman" w:cs="Times New Roman"/>
                          <w:color w:val="000000"/>
                          <w:spacing w:val="0"/>
                          <w:w w:val="100"/>
                          <w:position w:val="0"/>
                          <w:sz w:val="18"/>
                          <w:szCs w:val="18"/>
                        </w:rPr>
                        <w:t>601555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0.64%</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46" behindDoc="1" locked="0" layoutInCell="1" allowOverlap="1">
                <wp:simplePos x="0" y="0"/>
                <wp:positionH relativeFrom="page">
                  <wp:posOffset>1527810</wp:posOffset>
                </wp:positionH>
                <wp:positionV relativeFrom="paragraph">
                  <wp:posOffset>2909570</wp:posOffset>
                </wp:positionV>
                <wp:extent cx="173990" cy="143510"/>
                <wp:wrapNone/>
                <wp:docPr id="59" name="Shape 59"/>
                <a:graphic xmlns:a="http://schemas.openxmlformats.org/drawingml/2006/main">
                  <a:graphicData uri="http://schemas.microsoft.com/office/word/2010/wordprocessingShape">
                    <wps:wsp>
                      <wps:cNvSpPr txBox="1"/>
                      <wps:spPr>
                        <a:xfrm>
                          <a:ext cx="17399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wps:txbx>
                      <wps:bodyPr wrap="none" lIns="0" tIns="0" rIns="0" bIns="0">
                        <a:noAutoFit/>
                      </wps:bodyPr>
                    </wps:wsp>
                  </a:graphicData>
                </a:graphic>
              </wp:anchor>
            </w:drawing>
          </mc:Choice>
          <mc:Fallback>
            <w:pict>
              <v:shape id="_x0000_s1085" type="#_x0000_t202" style="position:absolute;margin-left:120.3pt;margin-top:229.09999999999999pt;width:13.700000000000001pt;height:11.300000000000001pt;z-index:-18874400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48" behindDoc="1" locked="0" layoutInCell="1" allowOverlap="1">
                <wp:simplePos x="0" y="0"/>
                <wp:positionH relativeFrom="page">
                  <wp:posOffset>1704340</wp:posOffset>
                </wp:positionH>
                <wp:positionV relativeFrom="paragraph">
                  <wp:posOffset>2900045</wp:posOffset>
                </wp:positionV>
                <wp:extent cx="4660265" cy="152400"/>
                <wp:wrapNone/>
                <wp:docPr id="61" name="Shape 61"/>
                <a:graphic xmlns:a="http://schemas.openxmlformats.org/drawingml/2006/main">
                  <a:graphicData uri="http://schemas.microsoft.com/office/word/2010/wordprocessingShape">
                    <wps:wsp>
                      <wps:cNvSpPr txBox="1"/>
                      <wps:spPr>
                        <a:xfrm>
                          <a:ext cx="466026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持有华夏幸福基业股份有限公司（股票简称：华夏幸福，股票代码：</w:t>
                            </w:r>
                            <w:r>
                              <w:rPr>
                                <w:rFonts w:ascii="Times New Roman" w:eastAsia="Times New Roman" w:hAnsi="Times New Roman" w:cs="Times New Roman"/>
                                <w:color w:val="000000"/>
                                <w:spacing w:val="0"/>
                                <w:w w:val="100"/>
                                <w:position w:val="0"/>
                                <w:sz w:val="18"/>
                                <w:szCs w:val="18"/>
                              </w:rPr>
                              <w:t>600340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0.77%</w:t>
                            </w:r>
                            <w:r>
                              <w:rPr>
                                <w:color w:val="000000"/>
                                <w:spacing w:val="0"/>
                                <w:w w:val="100"/>
                                <w:position w:val="0"/>
                              </w:rPr>
                              <w:t>的股权;</w:t>
                            </w:r>
                          </w:p>
                        </w:txbxContent>
                      </wps:txbx>
                      <wps:bodyPr wrap="none" lIns="0" tIns="0" rIns="0" bIns="0">
                        <a:noAutoFit/>
                      </wps:bodyPr>
                    </wps:wsp>
                  </a:graphicData>
                </a:graphic>
              </wp:anchor>
            </w:drawing>
          </mc:Choice>
          <mc:Fallback>
            <w:pict>
              <v:shape id="_x0000_s1087" type="#_x0000_t202" style="position:absolute;margin-left:134.19999999999999pt;margin-top:228.34999999999999pt;width:366.94999999999999pt;height:12.pt;z-index:-18874400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持有华夏幸福基业股份有限公司（股票简称：华夏幸福，股票代码：</w:t>
                      </w:r>
                      <w:r>
                        <w:rPr>
                          <w:rFonts w:ascii="Times New Roman" w:eastAsia="Times New Roman" w:hAnsi="Times New Roman" w:cs="Times New Roman"/>
                          <w:color w:val="000000"/>
                          <w:spacing w:val="0"/>
                          <w:w w:val="100"/>
                          <w:position w:val="0"/>
                          <w:sz w:val="18"/>
                          <w:szCs w:val="18"/>
                        </w:rPr>
                        <w:t>600340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0.77%</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50" behindDoc="1" locked="0" layoutInCell="1" allowOverlap="1">
                <wp:simplePos x="0" y="0"/>
                <wp:positionH relativeFrom="page">
                  <wp:posOffset>1527810</wp:posOffset>
                </wp:positionH>
                <wp:positionV relativeFrom="paragraph">
                  <wp:posOffset>3134995</wp:posOffset>
                </wp:positionV>
                <wp:extent cx="173990" cy="143510"/>
                <wp:wrapNone/>
                <wp:docPr id="63" name="Shape 63"/>
                <a:graphic xmlns:a="http://schemas.openxmlformats.org/drawingml/2006/main">
                  <a:graphicData uri="http://schemas.microsoft.com/office/word/2010/wordprocessingShape">
                    <wps:wsp>
                      <wps:cNvSpPr txBox="1"/>
                      <wps:spPr>
                        <a:xfrm>
                          <a:ext cx="17399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xbxContent>
                      </wps:txbx>
                      <wps:bodyPr wrap="none" lIns="0" tIns="0" rIns="0" bIns="0">
                        <a:noAutoFit/>
                      </wps:bodyPr>
                    </wps:wsp>
                  </a:graphicData>
                </a:graphic>
              </wp:anchor>
            </w:drawing>
          </mc:Choice>
          <mc:Fallback>
            <w:pict>
              <v:shape id="_x0000_s1089" type="#_x0000_t202" style="position:absolute;margin-left:120.3pt;margin-top:246.84999999999999pt;width:13.700000000000001pt;height:11.300000000000001pt;z-index:-18874400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52" behindDoc="1" locked="0" layoutInCell="1" allowOverlap="1">
                <wp:simplePos x="0" y="0"/>
                <wp:positionH relativeFrom="page">
                  <wp:posOffset>1704340</wp:posOffset>
                </wp:positionH>
                <wp:positionV relativeFrom="paragraph">
                  <wp:posOffset>3128645</wp:posOffset>
                </wp:positionV>
                <wp:extent cx="4489450" cy="152400"/>
                <wp:wrapNone/>
                <wp:docPr id="65" name="Shape 65"/>
                <a:graphic xmlns:a="http://schemas.openxmlformats.org/drawingml/2006/main">
                  <a:graphicData uri="http://schemas.microsoft.com/office/word/2010/wordprocessingShape">
                    <wps:wsp>
                      <wps:cNvSpPr txBox="1"/>
                      <wps:spPr>
                        <a:xfrm>
                          <a:ext cx="448945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持有嘉事堂药业股份有限公司（股票简称：嘉事堂，股票代码：</w:t>
                            </w:r>
                            <w:r>
                              <w:rPr>
                                <w:rFonts w:ascii="Times New Roman" w:eastAsia="Times New Roman" w:hAnsi="Times New Roman" w:cs="Times New Roman"/>
                                <w:color w:val="000000"/>
                                <w:spacing w:val="0"/>
                                <w:w w:val="100"/>
                                <w:position w:val="0"/>
                                <w:sz w:val="18"/>
                                <w:szCs w:val="18"/>
                              </w:rPr>
                              <w:t>002462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的股权;</w:t>
                            </w:r>
                          </w:p>
                        </w:txbxContent>
                      </wps:txbx>
                      <wps:bodyPr wrap="none" lIns="0" tIns="0" rIns="0" bIns="0">
                        <a:noAutoFit/>
                      </wps:bodyPr>
                    </wps:wsp>
                  </a:graphicData>
                </a:graphic>
              </wp:anchor>
            </w:drawing>
          </mc:Choice>
          <mc:Fallback>
            <w:pict>
              <v:shape id="_x0000_s1091" type="#_x0000_t202" style="position:absolute;margin-left:134.19999999999999pt;margin-top:246.34999999999999pt;width:353.5pt;height:12.pt;z-index:-18874400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持有嘉事堂药业股份有限公司（股票简称：嘉事堂，股票代码：</w:t>
                      </w:r>
                      <w:r>
                        <w:rPr>
                          <w:rFonts w:ascii="Times New Roman" w:eastAsia="Times New Roman" w:hAnsi="Times New Roman" w:cs="Times New Roman"/>
                          <w:color w:val="000000"/>
                          <w:spacing w:val="0"/>
                          <w:w w:val="100"/>
                          <w:position w:val="0"/>
                          <w:sz w:val="18"/>
                          <w:szCs w:val="18"/>
                        </w:rPr>
                        <w:t>002462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54" behindDoc="1" locked="0" layoutInCell="1" allowOverlap="1">
                <wp:simplePos x="0" y="0"/>
                <wp:positionH relativeFrom="page">
                  <wp:posOffset>1533525</wp:posOffset>
                </wp:positionH>
                <wp:positionV relativeFrom="paragraph">
                  <wp:posOffset>3357245</wp:posOffset>
                </wp:positionV>
                <wp:extent cx="219710" cy="143510"/>
                <wp:wrapNone/>
                <wp:docPr id="67" name="Shape 67"/>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xbxContent>
                      </wps:txbx>
                      <wps:bodyPr wrap="none" lIns="0" tIns="0" rIns="0" bIns="0">
                        <a:noAutoFit/>
                      </wps:bodyPr>
                    </wps:wsp>
                  </a:graphicData>
                </a:graphic>
              </wp:anchor>
            </w:drawing>
          </mc:Choice>
          <mc:Fallback>
            <w:pict>
              <v:shape id="_x0000_s1093" type="#_x0000_t202" style="position:absolute;margin-left:120.75pt;margin-top:264.35000000000002pt;width:17.300000000000001pt;height:11.300000000000001pt;z-index:-18874399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56" behindDoc="1" locked="0" layoutInCell="1" allowOverlap="1">
                <wp:simplePos x="0" y="0"/>
                <wp:positionH relativeFrom="page">
                  <wp:posOffset>1762125</wp:posOffset>
                </wp:positionH>
                <wp:positionV relativeFrom="paragraph">
                  <wp:posOffset>3351530</wp:posOffset>
                </wp:positionV>
                <wp:extent cx="4885690" cy="152400"/>
                <wp:wrapNone/>
                <wp:docPr id="69" name="Shape 69"/>
                <a:graphic xmlns:a="http://schemas.openxmlformats.org/drawingml/2006/main">
                  <a:graphicData uri="http://schemas.microsoft.com/office/word/2010/wordprocessingShape">
                    <wps:wsp>
                      <wps:cNvSpPr txBox="1"/>
                      <wps:spPr>
                        <a:xfrm>
                          <a:ext cx="48856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持有北京中科金财科技股份有限公司（股票简称：中科金财，股票代码：</w:t>
                            </w:r>
                            <w:r>
                              <w:rPr>
                                <w:rFonts w:ascii="Times New Roman" w:eastAsia="Times New Roman" w:hAnsi="Times New Roman" w:cs="Times New Roman"/>
                                <w:color w:val="000000"/>
                                <w:spacing w:val="0"/>
                                <w:w w:val="100"/>
                                <w:position w:val="0"/>
                                <w:sz w:val="18"/>
                                <w:szCs w:val="18"/>
                              </w:rPr>
                              <w:t>002657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的股权;</w:t>
                            </w:r>
                          </w:p>
                        </w:txbxContent>
                      </wps:txbx>
                      <wps:bodyPr wrap="none" lIns="0" tIns="0" rIns="0" bIns="0">
                        <a:noAutoFit/>
                      </wps:bodyPr>
                    </wps:wsp>
                  </a:graphicData>
                </a:graphic>
              </wp:anchor>
            </w:drawing>
          </mc:Choice>
          <mc:Fallback>
            <w:pict>
              <v:shape id="_x0000_s1095" type="#_x0000_t202" style="position:absolute;margin-left:138.75pt;margin-top:263.89999999999998pt;width:384.69999999999999pt;height:12.pt;z-index:-18874399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持有北京中科金财科技股份有限公司（股票简称：中科金财，股票代码：</w:t>
                      </w:r>
                      <w:r>
                        <w:rPr>
                          <w:rFonts w:ascii="Times New Roman" w:eastAsia="Times New Roman" w:hAnsi="Times New Roman" w:cs="Times New Roman"/>
                          <w:color w:val="000000"/>
                          <w:spacing w:val="0"/>
                          <w:w w:val="100"/>
                          <w:position w:val="0"/>
                          <w:sz w:val="18"/>
                          <w:szCs w:val="18"/>
                        </w:rPr>
                        <w:t>002657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58" behindDoc="1" locked="0" layoutInCell="1" allowOverlap="1">
                <wp:simplePos x="0" y="0"/>
                <wp:positionH relativeFrom="page">
                  <wp:posOffset>1533525</wp:posOffset>
                </wp:positionH>
                <wp:positionV relativeFrom="paragraph">
                  <wp:posOffset>3580130</wp:posOffset>
                </wp:positionV>
                <wp:extent cx="219710" cy="143510"/>
                <wp:wrapNone/>
                <wp:docPr id="71" name="Shape 71"/>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xbxContent>
                      </wps:txbx>
                      <wps:bodyPr wrap="none" lIns="0" tIns="0" rIns="0" bIns="0">
                        <a:noAutoFit/>
                      </wps:bodyPr>
                    </wps:wsp>
                  </a:graphicData>
                </a:graphic>
              </wp:anchor>
            </w:drawing>
          </mc:Choice>
          <mc:Fallback>
            <w:pict>
              <v:shape id="_x0000_s1097" type="#_x0000_t202" style="position:absolute;margin-left:120.75pt;margin-top:281.90000000000003pt;width:17.300000000000001pt;height:11.300000000000001pt;z-index:-18874399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60" behindDoc="1" locked="0" layoutInCell="1" allowOverlap="1">
                <wp:simplePos x="0" y="0"/>
                <wp:positionH relativeFrom="page">
                  <wp:posOffset>1756410</wp:posOffset>
                </wp:positionH>
                <wp:positionV relativeFrom="paragraph">
                  <wp:posOffset>3573780</wp:posOffset>
                </wp:positionV>
                <wp:extent cx="4654550" cy="152400"/>
                <wp:wrapNone/>
                <wp:docPr id="73" name="Shape 73"/>
                <a:graphic xmlns:a="http://schemas.openxmlformats.org/drawingml/2006/main">
                  <a:graphicData uri="http://schemas.microsoft.com/office/word/2010/wordprocessingShape">
                    <wps:wsp>
                      <wps:cNvSpPr txBox="1"/>
                      <wps:spPr>
                        <a:xfrm>
                          <a:ext cx="465455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持有上海吉祥航空股份有限公司（股票简称：吉祥航空，股票代码：</w:t>
                            </w:r>
                            <w:r>
                              <w:rPr>
                                <w:rFonts w:ascii="Times New Roman" w:eastAsia="Times New Roman" w:hAnsi="Times New Roman" w:cs="Times New Roman"/>
                                <w:color w:val="000000"/>
                                <w:spacing w:val="0"/>
                                <w:w w:val="100"/>
                                <w:position w:val="0"/>
                                <w:sz w:val="18"/>
                                <w:szCs w:val="18"/>
                              </w:rPr>
                              <w:t>603885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的股权;</w:t>
                            </w:r>
                          </w:p>
                        </w:txbxContent>
                      </wps:txbx>
                      <wps:bodyPr wrap="none" lIns="0" tIns="0" rIns="0" bIns="0">
                        <a:noAutoFit/>
                      </wps:bodyPr>
                    </wps:wsp>
                  </a:graphicData>
                </a:graphic>
              </wp:anchor>
            </w:drawing>
          </mc:Choice>
          <mc:Fallback>
            <w:pict>
              <v:shape id="_x0000_s1099" type="#_x0000_t202" style="position:absolute;margin-left:138.30000000000001pt;margin-top:281.40000000000003pt;width:366.5pt;height:12.pt;z-index:-18874399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持有上海吉祥航空股份有限公司（股票简称：吉祥航空，股票代码：</w:t>
                      </w:r>
                      <w:r>
                        <w:rPr>
                          <w:rFonts w:ascii="Times New Roman" w:eastAsia="Times New Roman" w:hAnsi="Times New Roman" w:cs="Times New Roman"/>
                          <w:color w:val="000000"/>
                          <w:spacing w:val="0"/>
                          <w:w w:val="100"/>
                          <w:position w:val="0"/>
                          <w:sz w:val="18"/>
                          <w:szCs w:val="18"/>
                        </w:rPr>
                        <w:t>603885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62" behindDoc="1" locked="0" layoutInCell="1" allowOverlap="1">
                <wp:simplePos x="0" y="0"/>
                <wp:positionH relativeFrom="page">
                  <wp:posOffset>1533525</wp:posOffset>
                </wp:positionH>
                <wp:positionV relativeFrom="paragraph">
                  <wp:posOffset>3805555</wp:posOffset>
                </wp:positionV>
                <wp:extent cx="219710" cy="143510"/>
                <wp:wrapNone/>
                <wp:docPr id="75" name="Shape 75"/>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xbxContent>
                      </wps:txbx>
                      <wps:bodyPr wrap="none" lIns="0" tIns="0" rIns="0" bIns="0">
                        <a:noAutoFit/>
                      </wps:bodyPr>
                    </wps:wsp>
                  </a:graphicData>
                </a:graphic>
              </wp:anchor>
            </w:drawing>
          </mc:Choice>
          <mc:Fallback>
            <w:pict>
              <v:shape id="_x0000_s1101" type="#_x0000_t202" style="position:absolute;margin-left:120.75pt;margin-top:299.65000000000003pt;width:17.300000000000001pt;height:11.300000000000001pt;z-index:-18874399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64" behindDoc="1" locked="0" layoutInCell="1" allowOverlap="1">
                <wp:simplePos x="0" y="0"/>
                <wp:positionH relativeFrom="page">
                  <wp:posOffset>1762125</wp:posOffset>
                </wp:positionH>
                <wp:positionV relativeFrom="paragraph">
                  <wp:posOffset>3799205</wp:posOffset>
                </wp:positionV>
                <wp:extent cx="4428490" cy="152400"/>
                <wp:wrapNone/>
                <wp:docPr id="77" name="Shape 77"/>
                <a:graphic xmlns:a="http://schemas.openxmlformats.org/drawingml/2006/main">
                  <a:graphicData uri="http://schemas.microsoft.com/office/word/2010/wordprocessingShape">
                    <wps:wsp>
                      <wps:cNvSpPr txBox="1"/>
                      <wps:spPr>
                        <a:xfrm>
                          <a:ext cx="44284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持有宜宾五粮液股份有限公司（股票简称：五粮液，股票代码：</w:t>
                            </w:r>
                            <w:r>
                              <w:rPr>
                                <w:rFonts w:ascii="Times New Roman" w:eastAsia="Times New Roman" w:hAnsi="Times New Roman" w:cs="Times New Roman"/>
                                <w:color w:val="000000"/>
                                <w:spacing w:val="0"/>
                                <w:w w:val="100"/>
                                <w:position w:val="0"/>
                                <w:sz w:val="18"/>
                                <w:szCs w:val="18"/>
                              </w:rPr>
                              <w:t>000858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的股权;</w:t>
                            </w:r>
                          </w:p>
                        </w:txbxContent>
                      </wps:txbx>
                      <wps:bodyPr wrap="none" lIns="0" tIns="0" rIns="0" bIns="0">
                        <a:noAutoFit/>
                      </wps:bodyPr>
                    </wps:wsp>
                  </a:graphicData>
                </a:graphic>
              </wp:anchor>
            </w:drawing>
          </mc:Choice>
          <mc:Fallback>
            <w:pict>
              <v:shape id="_x0000_s1103" type="#_x0000_t202" style="position:absolute;margin-left:138.75pt;margin-top:299.15000000000003pt;width:348.69999999999999pt;height:12.pt;z-index:-18874398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持有宜宾五粮液股份有限公司（股票简称：五粮液，股票代码：</w:t>
                      </w:r>
                      <w:r>
                        <w:rPr>
                          <w:rFonts w:ascii="Times New Roman" w:eastAsia="Times New Roman" w:hAnsi="Times New Roman" w:cs="Times New Roman"/>
                          <w:color w:val="000000"/>
                          <w:spacing w:val="0"/>
                          <w:w w:val="100"/>
                          <w:position w:val="0"/>
                          <w:sz w:val="18"/>
                          <w:szCs w:val="18"/>
                        </w:rPr>
                        <w:t>000858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766" behindDoc="1" locked="0" layoutInCell="1" allowOverlap="1">
                <wp:simplePos x="0" y="0"/>
                <wp:positionH relativeFrom="page">
                  <wp:posOffset>716915</wp:posOffset>
                </wp:positionH>
                <wp:positionV relativeFrom="paragraph">
                  <wp:posOffset>3954780</wp:posOffset>
                </wp:positionV>
                <wp:extent cx="709930" cy="956945"/>
                <wp:wrapNone/>
                <wp:docPr id="79" name="Shape 79"/>
                <a:graphic xmlns:a="http://schemas.openxmlformats.org/drawingml/2006/main">
                  <a:graphicData uri="http://schemas.microsoft.com/office/word/2010/wordprocessingShape">
                    <wps:wsp>
                      <wps:cNvSpPr txBox="1"/>
                      <wps:spPr>
                        <a:xfrm>
                          <a:ext cx="709930" cy="956945"/>
                        </a:xfrm>
                        <a:prstGeom prst="rect"/>
                        <a:noFill/>
                      </wps:spPr>
                      <wps:txbx>
                        <w:txbxContent>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控股股东报告 期内控股和参 股的其他境内 外上市公司的 股权情况</w:t>
                            </w:r>
                          </w:p>
                        </w:txbxContent>
                      </wps:txbx>
                      <wps:bodyPr lIns="0" tIns="0" rIns="0" bIns="0">
                        <a:noAutoFit/>
                      </wps:bodyPr>
                    </wps:wsp>
                  </a:graphicData>
                </a:graphic>
              </wp:anchor>
            </w:drawing>
          </mc:Choice>
          <mc:Fallback>
            <w:pict>
              <v:shape id="_x0000_s1105" type="#_x0000_t202" style="position:absolute;margin-left:56.450000000000003pt;margin-top:311.40000000000003pt;width:55.899999999999999pt;height:75.350000000000009pt;z-index:-18874398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控股股东报告 期内控股和参 股的其他境内 外上市公司的 股权情况</w:t>
                      </w:r>
                    </w:p>
                  </w:txbxContent>
                </v:textbox>
                <w10:wrap anchorx="page"/>
              </v:shape>
            </w:pict>
          </mc:Fallback>
        </mc:AlternateContent>
      </w:r>
      <w:r>
        <mc:AlternateContent>
          <mc:Choice Requires="wps">
            <w:drawing>
              <wp:anchor distT="0" distB="0" distL="0" distR="0" simplePos="0" relativeHeight="62914768" behindDoc="1" locked="0" layoutInCell="1" allowOverlap="1">
                <wp:simplePos x="0" y="0"/>
                <wp:positionH relativeFrom="page">
                  <wp:posOffset>1533525</wp:posOffset>
                </wp:positionH>
                <wp:positionV relativeFrom="paragraph">
                  <wp:posOffset>4027805</wp:posOffset>
                </wp:positionV>
                <wp:extent cx="219710" cy="143510"/>
                <wp:wrapNone/>
                <wp:docPr id="81" name="Shape 81"/>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xbxContent>
                      </wps:txbx>
                      <wps:bodyPr wrap="none" lIns="0" tIns="0" rIns="0" bIns="0">
                        <a:noAutoFit/>
                      </wps:bodyPr>
                    </wps:wsp>
                  </a:graphicData>
                </a:graphic>
              </wp:anchor>
            </w:drawing>
          </mc:Choice>
          <mc:Fallback>
            <w:pict>
              <v:shape id="_x0000_s1107" type="#_x0000_t202" style="position:absolute;margin-left:120.75pt;margin-top:317.15000000000003pt;width:17.300000000000001pt;height:11.300000000000001pt;z-index:-18874398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70" behindDoc="1" locked="0" layoutInCell="1" allowOverlap="1">
                <wp:simplePos x="0" y="0"/>
                <wp:positionH relativeFrom="page">
                  <wp:posOffset>1533525</wp:posOffset>
                </wp:positionH>
                <wp:positionV relativeFrom="paragraph">
                  <wp:posOffset>4250690</wp:posOffset>
                </wp:positionV>
                <wp:extent cx="219710" cy="143510"/>
                <wp:wrapNone/>
                <wp:docPr id="83" name="Shape 83"/>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xbxContent>
                      </wps:txbx>
                      <wps:bodyPr wrap="none" lIns="0" tIns="0" rIns="0" bIns="0">
                        <a:noAutoFit/>
                      </wps:bodyPr>
                    </wps:wsp>
                  </a:graphicData>
                </a:graphic>
              </wp:anchor>
            </w:drawing>
          </mc:Choice>
          <mc:Fallback>
            <w:pict>
              <v:shape id="_x0000_s1109" type="#_x0000_t202" style="position:absolute;margin-left:120.75pt;margin-top:334.69999999999999pt;width:17.300000000000001pt;height:11.300000000000001pt;z-index:-18874398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72" behindDoc="1" locked="0" layoutInCell="1" allowOverlap="1">
                <wp:simplePos x="0" y="0"/>
                <wp:positionH relativeFrom="page">
                  <wp:posOffset>1533525</wp:posOffset>
                </wp:positionH>
                <wp:positionV relativeFrom="paragraph">
                  <wp:posOffset>4476115</wp:posOffset>
                </wp:positionV>
                <wp:extent cx="219710" cy="143510"/>
                <wp:wrapNone/>
                <wp:docPr id="85" name="Shape 85"/>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xbxContent>
                      </wps:txbx>
                      <wps:bodyPr wrap="none" lIns="0" tIns="0" rIns="0" bIns="0">
                        <a:noAutoFit/>
                      </wps:bodyPr>
                    </wps:wsp>
                  </a:graphicData>
                </a:graphic>
              </wp:anchor>
            </w:drawing>
          </mc:Choice>
          <mc:Fallback>
            <w:pict>
              <v:shape id="_x0000_s1111" type="#_x0000_t202" style="position:absolute;margin-left:120.75pt;margin-top:352.44999999999999pt;width:17.300000000000001pt;height:11.300000000000001pt;z-index:-18874398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74" behindDoc="1" locked="0" layoutInCell="1" allowOverlap="1">
                <wp:simplePos x="0" y="0"/>
                <wp:positionH relativeFrom="page">
                  <wp:posOffset>1533525</wp:posOffset>
                </wp:positionH>
                <wp:positionV relativeFrom="paragraph">
                  <wp:posOffset>4698365</wp:posOffset>
                </wp:positionV>
                <wp:extent cx="219710" cy="143510"/>
                <wp:wrapNone/>
                <wp:docPr id="87" name="Shape 87"/>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xbxContent>
                      </wps:txbx>
                      <wps:bodyPr wrap="none" lIns="0" tIns="0" rIns="0" bIns="0">
                        <a:noAutoFit/>
                      </wps:bodyPr>
                    </wps:wsp>
                  </a:graphicData>
                </a:graphic>
              </wp:anchor>
            </w:drawing>
          </mc:Choice>
          <mc:Fallback>
            <w:pict>
              <v:shape id="_x0000_s1113" type="#_x0000_t202" style="position:absolute;margin-left:120.75pt;margin-top:369.94999999999999pt;width:17.300000000000001pt;height:11.300000000000001pt;z-index:-18874397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76" behindDoc="1" locked="0" layoutInCell="1" allowOverlap="1">
                <wp:simplePos x="0" y="0"/>
                <wp:positionH relativeFrom="page">
                  <wp:posOffset>1533525</wp:posOffset>
                </wp:positionH>
                <wp:positionV relativeFrom="paragraph">
                  <wp:posOffset>4921250</wp:posOffset>
                </wp:positionV>
                <wp:extent cx="219710" cy="143510"/>
                <wp:wrapNone/>
                <wp:docPr id="89" name="Shape 89"/>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txbxContent>
                      </wps:txbx>
                      <wps:bodyPr wrap="none" lIns="0" tIns="0" rIns="0" bIns="0">
                        <a:noAutoFit/>
                      </wps:bodyPr>
                    </wps:wsp>
                  </a:graphicData>
                </a:graphic>
              </wp:anchor>
            </w:drawing>
          </mc:Choice>
          <mc:Fallback>
            <w:pict>
              <v:shape id="_x0000_s1115" type="#_x0000_t202" style="position:absolute;margin-left:120.75pt;margin-top:387.5pt;width:17.300000000000001pt;height:11.300000000000001pt;z-index:-18874397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78" behindDoc="1" locked="0" layoutInCell="1" allowOverlap="1">
                <wp:simplePos x="0" y="0"/>
                <wp:positionH relativeFrom="page">
                  <wp:posOffset>1533525</wp:posOffset>
                </wp:positionH>
                <wp:positionV relativeFrom="paragraph">
                  <wp:posOffset>5146675</wp:posOffset>
                </wp:positionV>
                <wp:extent cx="219710" cy="143510"/>
                <wp:wrapNone/>
                <wp:docPr id="91" name="Shape 91"/>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txbxContent>
                      </wps:txbx>
                      <wps:bodyPr wrap="none" lIns="0" tIns="0" rIns="0" bIns="0">
                        <a:noAutoFit/>
                      </wps:bodyPr>
                    </wps:wsp>
                  </a:graphicData>
                </a:graphic>
              </wp:anchor>
            </w:drawing>
          </mc:Choice>
          <mc:Fallback>
            <w:pict>
              <v:shape id="_x0000_s1117" type="#_x0000_t202" style="position:absolute;margin-left:120.75pt;margin-top:405.25pt;width:17.300000000000001pt;height:11.300000000000001pt;z-index:-18874397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80" behindDoc="1" locked="0" layoutInCell="1" allowOverlap="1">
                <wp:simplePos x="0" y="0"/>
                <wp:positionH relativeFrom="page">
                  <wp:posOffset>1533525</wp:posOffset>
                </wp:positionH>
                <wp:positionV relativeFrom="paragraph">
                  <wp:posOffset>5368925</wp:posOffset>
                </wp:positionV>
                <wp:extent cx="219710" cy="143510"/>
                <wp:wrapNone/>
                <wp:docPr id="93" name="Shape 93"/>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txbxContent>
                      </wps:txbx>
                      <wps:bodyPr wrap="none" lIns="0" tIns="0" rIns="0" bIns="0">
                        <a:noAutoFit/>
                      </wps:bodyPr>
                    </wps:wsp>
                  </a:graphicData>
                </a:graphic>
              </wp:anchor>
            </w:drawing>
          </mc:Choice>
          <mc:Fallback>
            <w:pict>
              <v:shape id="_x0000_s1119" type="#_x0000_t202" style="position:absolute;margin-left:120.75pt;margin-top:422.75pt;width:17.300000000000001pt;height:11.300000000000001pt;z-index:-18874397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82" behindDoc="1" locked="0" layoutInCell="1" allowOverlap="1">
                <wp:simplePos x="0" y="0"/>
                <wp:positionH relativeFrom="page">
                  <wp:posOffset>1521460</wp:posOffset>
                </wp:positionH>
                <wp:positionV relativeFrom="paragraph">
                  <wp:posOffset>5591810</wp:posOffset>
                </wp:positionV>
                <wp:extent cx="231775" cy="146050"/>
                <wp:wrapNone/>
                <wp:docPr id="95" name="Shape 95"/>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xbxContent>
                      </wps:txbx>
                      <wps:bodyPr wrap="none" lIns="0" tIns="0" rIns="0" bIns="0">
                        <a:noAutoFit/>
                      </wps:bodyPr>
                    </wps:wsp>
                  </a:graphicData>
                </a:graphic>
              </wp:anchor>
            </w:drawing>
          </mc:Choice>
          <mc:Fallback>
            <w:pict>
              <v:shape id="_x0000_s1121" type="#_x0000_t202" style="position:absolute;margin-left:119.8pt;margin-top:440.30000000000001pt;width:18.25pt;height:11.5pt;z-index:-18874397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84" behindDoc="1" locked="0" layoutInCell="1" allowOverlap="1">
                <wp:simplePos x="0" y="0"/>
                <wp:positionH relativeFrom="page">
                  <wp:posOffset>1521460</wp:posOffset>
                </wp:positionH>
                <wp:positionV relativeFrom="paragraph">
                  <wp:posOffset>5817235</wp:posOffset>
                </wp:positionV>
                <wp:extent cx="231775" cy="143510"/>
                <wp:wrapNone/>
                <wp:docPr id="97" name="Shape 97"/>
                <a:graphic xmlns:a="http://schemas.openxmlformats.org/drawingml/2006/main">
                  <a:graphicData uri="http://schemas.microsoft.com/office/word/2010/wordprocessingShape">
                    <wps:wsp>
                      <wps:cNvSpPr txBox="1"/>
                      <wps:spPr>
                        <a:xfrm>
                          <a:ext cx="23177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xbxContent>
                      </wps:txbx>
                      <wps:bodyPr wrap="none" lIns="0" tIns="0" rIns="0" bIns="0">
                        <a:noAutoFit/>
                      </wps:bodyPr>
                    </wps:wsp>
                  </a:graphicData>
                </a:graphic>
              </wp:anchor>
            </w:drawing>
          </mc:Choice>
          <mc:Fallback>
            <w:pict>
              <v:shape id="_x0000_s1123" type="#_x0000_t202" style="position:absolute;margin-left:119.8pt;margin-top:458.05000000000001pt;width:18.25pt;height:11.300000000000001pt;z-index:-18874396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86" behindDoc="1" locked="0" layoutInCell="1" allowOverlap="1">
                <wp:simplePos x="0" y="0"/>
                <wp:positionH relativeFrom="page">
                  <wp:posOffset>1521460</wp:posOffset>
                </wp:positionH>
                <wp:positionV relativeFrom="paragraph">
                  <wp:posOffset>6039485</wp:posOffset>
                </wp:positionV>
                <wp:extent cx="231775" cy="146050"/>
                <wp:wrapNone/>
                <wp:docPr id="99" name="Shape 99"/>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txbxContent>
                      </wps:txbx>
                      <wps:bodyPr wrap="none" lIns="0" tIns="0" rIns="0" bIns="0">
                        <a:noAutoFit/>
                      </wps:bodyPr>
                    </wps:wsp>
                  </a:graphicData>
                </a:graphic>
              </wp:anchor>
            </w:drawing>
          </mc:Choice>
          <mc:Fallback>
            <w:pict>
              <v:shape id="_x0000_s1125" type="#_x0000_t202" style="position:absolute;margin-left:119.8pt;margin-top:475.55000000000001pt;width:18.25pt;height:11.5pt;z-index:-18874396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88" behindDoc="1" locked="0" layoutInCell="1" allowOverlap="1">
                <wp:simplePos x="0" y="0"/>
                <wp:positionH relativeFrom="page">
                  <wp:posOffset>1521460</wp:posOffset>
                </wp:positionH>
                <wp:positionV relativeFrom="paragraph">
                  <wp:posOffset>6262370</wp:posOffset>
                </wp:positionV>
                <wp:extent cx="231775" cy="146050"/>
                <wp:wrapNone/>
                <wp:docPr id="101" name="Shape 101"/>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txbxContent>
                      </wps:txbx>
                      <wps:bodyPr wrap="none" lIns="0" tIns="0" rIns="0" bIns="0">
                        <a:noAutoFit/>
                      </wps:bodyPr>
                    </wps:wsp>
                  </a:graphicData>
                </a:graphic>
              </wp:anchor>
            </w:drawing>
          </mc:Choice>
          <mc:Fallback>
            <w:pict>
              <v:shape id="_x0000_s1127" type="#_x0000_t202" style="position:absolute;margin-left:119.8pt;margin-top:493.10000000000002pt;width:18.25pt;height:11.5pt;z-index:-18874396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90" behindDoc="1" locked="0" layoutInCell="1" allowOverlap="1">
                <wp:simplePos x="0" y="0"/>
                <wp:positionH relativeFrom="page">
                  <wp:posOffset>1521460</wp:posOffset>
                </wp:positionH>
                <wp:positionV relativeFrom="paragraph">
                  <wp:posOffset>6487795</wp:posOffset>
                </wp:positionV>
                <wp:extent cx="231775" cy="143510"/>
                <wp:wrapNone/>
                <wp:docPr id="103" name="Shape 103"/>
                <a:graphic xmlns:a="http://schemas.openxmlformats.org/drawingml/2006/main">
                  <a:graphicData uri="http://schemas.microsoft.com/office/word/2010/wordprocessingShape">
                    <wps:wsp>
                      <wps:cNvSpPr txBox="1"/>
                      <wps:spPr>
                        <a:xfrm>
                          <a:ext cx="23177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xbxContent>
                      </wps:txbx>
                      <wps:bodyPr wrap="none" lIns="0" tIns="0" rIns="0" bIns="0">
                        <a:noAutoFit/>
                      </wps:bodyPr>
                    </wps:wsp>
                  </a:graphicData>
                </a:graphic>
              </wp:anchor>
            </w:drawing>
          </mc:Choice>
          <mc:Fallback>
            <w:pict>
              <v:shape id="_x0000_s1129" type="#_x0000_t202" style="position:absolute;margin-left:119.8pt;margin-top:510.85000000000002pt;width:18.25pt;height:11.300000000000001pt;z-index:-18874396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92" behindDoc="1" locked="0" layoutInCell="1" allowOverlap="1">
                <wp:simplePos x="0" y="0"/>
                <wp:positionH relativeFrom="page">
                  <wp:posOffset>1521460</wp:posOffset>
                </wp:positionH>
                <wp:positionV relativeFrom="paragraph">
                  <wp:posOffset>6710045</wp:posOffset>
                </wp:positionV>
                <wp:extent cx="231775" cy="146050"/>
                <wp:wrapNone/>
                <wp:docPr id="105" name="Shape 105"/>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xbxContent>
                      </wps:txbx>
                      <wps:bodyPr wrap="none" lIns="0" tIns="0" rIns="0" bIns="0">
                        <a:noAutoFit/>
                      </wps:bodyPr>
                    </wps:wsp>
                  </a:graphicData>
                </a:graphic>
              </wp:anchor>
            </w:drawing>
          </mc:Choice>
          <mc:Fallback>
            <w:pict>
              <v:shape id="_x0000_s1131" type="#_x0000_t202" style="position:absolute;margin-left:119.8pt;margin-top:528.35000000000002pt;width:18.25pt;height:11.5pt;z-index:-18874396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94" behindDoc="1" locked="0" layoutInCell="1" allowOverlap="1">
                <wp:simplePos x="0" y="0"/>
                <wp:positionH relativeFrom="page">
                  <wp:posOffset>1521460</wp:posOffset>
                </wp:positionH>
                <wp:positionV relativeFrom="paragraph">
                  <wp:posOffset>6932930</wp:posOffset>
                </wp:positionV>
                <wp:extent cx="231775" cy="146050"/>
                <wp:wrapNone/>
                <wp:docPr id="107" name="Shape 107"/>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txbxContent>
                      </wps:txbx>
                      <wps:bodyPr wrap="none" lIns="0" tIns="0" rIns="0" bIns="0">
                        <a:noAutoFit/>
                      </wps:bodyPr>
                    </wps:wsp>
                  </a:graphicData>
                </a:graphic>
              </wp:anchor>
            </w:drawing>
          </mc:Choice>
          <mc:Fallback>
            <w:pict>
              <v:shape id="_x0000_s1133" type="#_x0000_t202" style="position:absolute;margin-left:119.8pt;margin-top:545.89999999999998pt;width:18.25pt;height:11.5pt;z-index:-18874395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96" behindDoc="1" locked="0" layoutInCell="1" allowOverlap="1">
                <wp:simplePos x="0" y="0"/>
                <wp:positionH relativeFrom="page">
                  <wp:posOffset>1521460</wp:posOffset>
                </wp:positionH>
                <wp:positionV relativeFrom="paragraph">
                  <wp:posOffset>7158355</wp:posOffset>
                </wp:positionV>
                <wp:extent cx="231775" cy="143510"/>
                <wp:wrapNone/>
                <wp:docPr id="109" name="Shape 109"/>
                <a:graphic xmlns:a="http://schemas.openxmlformats.org/drawingml/2006/main">
                  <a:graphicData uri="http://schemas.microsoft.com/office/word/2010/wordprocessingShape">
                    <wps:wsp>
                      <wps:cNvSpPr txBox="1"/>
                      <wps:spPr>
                        <a:xfrm>
                          <a:ext cx="23177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txbxContent>
                      </wps:txbx>
                      <wps:bodyPr wrap="none" lIns="0" tIns="0" rIns="0" bIns="0">
                        <a:noAutoFit/>
                      </wps:bodyPr>
                    </wps:wsp>
                  </a:graphicData>
                </a:graphic>
              </wp:anchor>
            </w:drawing>
          </mc:Choice>
          <mc:Fallback>
            <w:pict>
              <v:shape id="_x0000_s1135" type="#_x0000_t202" style="position:absolute;margin-left:119.8pt;margin-top:563.64999999999998pt;width:18.25pt;height:11.300000000000001pt;z-index:-18874395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798" behindDoc="1" locked="0" layoutInCell="1" allowOverlap="1">
                <wp:simplePos x="0" y="0"/>
                <wp:positionH relativeFrom="page">
                  <wp:posOffset>1521460</wp:posOffset>
                </wp:positionH>
                <wp:positionV relativeFrom="paragraph">
                  <wp:posOffset>7380605</wp:posOffset>
                </wp:positionV>
                <wp:extent cx="231775" cy="146050"/>
                <wp:wrapNone/>
                <wp:docPr id="111" name="Shape 111"/>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p>
                        </w:txbxContent>
                      </wps:txbx>
                      <wps:bodyPr wrap="none" lIns="0" tIns="0" rIns="0" bIns="0">
                        <a:noAutoFit/>
                      </wps:bodyPr>
                    </wps:wsp>
                  </a:graphicData>
                </a:graphic>
              </wp:anchor>
            </w:drawing>
          </mc:Choice>
          <mc:Fallback>
            <w:pict>
              <v:shape id="_x0000_s1137" type="#_x0000_t202" style="position:absolute;margin-left:119.8pt;margin-top:581.14999999999998pt;width:18.25pt;height:11.5pt;z-index:-18874395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62914800" behindDoc="1" locked="0" layoutInCell="1" allowOverlap="1">
                <wp:simplePos x="0" y="0"/>
                <wp:positionH relativeFrom="page">
                  <wp:posOffset>1762125</wp:posOffset>
                </wp:positionH>
                <wp:positionV relativeFrom="paragraph">
                  <wp:posOffset>4022090</wp:posOffset>
                </wp:positionV>
                <wp:extent cx="4766945" cy="152400"/>
                <wp:wrapNone/>
                <wp:docPr id="113" name="Shape 113"/>
                <a:graphic xmlns:a="http://schemas.openxmlformats.org/drawingml/2006/main">
                  <a:graphicData uri="http://schemas.microsoft.com/office/word/2010/wordprocessingShape">
                    <wps:wsp>
                      <wps:cNvSpPr txBox="1"/>
                      <wps:spPr>
                        <a:xfrm>
                          <a:ext cx="476694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持有深圳市共进电子股份有限公司（股票简称：共进股份，股票代码：</w:t>
                            </w:r>
                            <w:r>
                              <w:rPr>
                                <w:rFonts w:ascii="Times New Roman" w:eastAsia="Times New Roman" w:hAnsi="Times New Roman" w:cs="Times New Roman"/>
                                <w:color w:val="000000"/>
                                <w:spacing w:val="0"/>
                                <w:w w:val="100"/>
                                <w:position w:val="0"/>
                                <w:sz w:val="18"/>
                                <w:szCs w:val="18"/>
                              </w:rPr>
                              <w:t>603118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的股权;</w:t>
                            </w:r>
                          </w:p>
                        </w:txbxContent>
                      </wps:txbx>
                      <wps:bodyPr wrap="none" lIns="0" tIns="0" rIns="0" bIns="0">
                        <a:noAutoFit/>
                      </wps:bodyPr>
                    </wps:wsp>
                  </a:graphicData>
                </a:graphic>
              </wp:anchor>
            </w:drawing>
          </mc:Choice>
          <mc:Fallback>
            <w:pict>
              <v:shape id="_x0000_s1139" type="#_x0000_t202" style="position:absolute;margin-left:138.75pt;margin-top:316.69999999999999pt;width:375.35000000000002pt;height:12.pt;z-index:-18874395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持有深圳市共进电子股份有限公司（股票简称：共进股份，股票代码：</w:t>
                      </w:r>
                      <w:r>
                        <w:rPr>
                          <w:rFonts w:ascii="Times New Roman" w:eastAsia="Times New Roman" w:hAnsi="Times New Roman" w:cs="Times New Roman"/>
                          <w:color w:val="000000"/>
                          <w:spacing w:val="0"/>
                          <w:w w:val="100"/>
                          <w:position w:val="0"/>
                          <w:sz w:val="18"/>
                          <w:szCs w:val="18"/>
                        </w:rPr>
                        <w:t>603118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02" behindDoc="1" locked="0" layoutInCell="1" allowOverlap="1">
                <wp:simplePos x="0" y="0"/>
                <wp:positionH relativeFrom="page">
                  <wp:posOffset>1762125</wp:posOffset>
                </wp:positionH>
                <wp:positionV relativeFrom="paragraph">
                  <wp:posOffset>4244340</wp:posOffset>
                </wp:positionV>
                <wp:extent cx="4885690" cy="152400"/>
                <wp:wrapNone/>
                <wp:docPr id="115" name="Shape 115"/>
                <a:graphic xmlns:a="http://schemas.openxmlformats.org/drawingml/2006/main">
                  <a:graphicData uri="http://schemas.microsoft.com/office/word/2010/wordprocessingShape">
                    <wps:wsp>
                      <wps:cNvSpPr txBox="1"/>
                      <wps:spPr>
                        <a:xfrm>
                          <a:ext cx="48856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持有安徽江淮汽车集团股份有限公司（股票简称：江淮汽车，股票代码：</w:t>
                            </w:r>
                            <w:r>
                              <w:rPr>
                                <w:rFonts w:ascii="Times New Roman" w:eastAsia="Times New Roman" w:hAnsi="Times New Roman" w:cs="Times New Roman"/>
                                <w:color w:val="000000"/>
                                <w:spacing w:val="0"/>
                                <w:w w:val="100"/>
                                <w:position w:val="0"/>
                                <w:sz w:val="18"/>
                                <w:szCs w:val="18"/>
                              </w:rPr>
                              <w:t>600418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的股权;</w:t>
                            </w:r>
                          </w:p>
                        </w:txbxContent>
                      </wps:txbx>
                      <wps:bodyPr wrap="none" lIns="0" tIns="0" rIns="0" bIns="0">
                        <a:noAutoFit/>
                      </wps:bodyPr>
                    </wps:wsp>
                  </a:graphicData>
                </a:graphic>
              </wp:anchor>
            </w:drawing>
          </mc:Choice>
          <mc:Fallback>
            <w:pict>
              <v:shape id="_x0000_s1141" type="#_x0000_t202" style="position:absolute;margin-left:138.75pt;margin-top:334.19999999999999pt;width:384.69999999999999pt;height:12.pt;z-index:-18874395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持有安徽江淮汽车集团股份有限公司（股票简称：江淮汽车，股票代码：</w:t>
                      </w:r>
                      <w:r>
                        <w:rPr>
                          <w:rFonts w:ascii="Times New Roman" w:eastAsia="Times New Roman" w:hAnsi="Times New Roman" w:cs="Times New Roman"/>
                          <w:color w:val="000000"/>
                          <w:spacing w:val="0"/>
                          <w:w w:val="100"/>
                          <w:position w:val="0"/>
                          <w:sz w:val="18"/>
                          <w:szCs w:val="18"/>
                        </w:rPr>
                        <w:t>600418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04" behindDoc="1" locked="0" layoutInCell="1" allowOverlap="1">
                <wp:simplePos x="0" y="0"/>
                <wp:positionH relativeFrom="page">
                  <wp:posOffset>1762125</wp:posOffset>
                </wp:positionH>
                <wp:positionV relativeFrom="paragraph">
                  <wp:posOffset>4399915</wp:posOffset>
                </wp:positionV>
                <wp:extent cx="4733290" cy="457200"/>
                <wp:wrapNone/>
                <wp:docPr id="117" name="Shape 117"/>
                <a:graphic xmlns:a="http://schemas.openxmlformats.org/drawingml/2006/main">
                  <a:graphicData uri="http://schemas.microsoft.com/office/word/2010/wordprocessingShape">
                    <wps:wsp>
                      <wps:cNvSpPr txBox="1"/>
                      <wps:spPr>
                        <a:xfrm>
                          <a:ext cx="4733290" cy="457200"/>
                        </a:xfrm>
                        <a:prstGeom prst="rect"/>
                        <a:noFill/>
                      </wps:spPr>
                      <wps:txbx>
                        <w:txbxContent>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持有天顺风能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股份有限公司（股票简称：天顺风能，股票代码：</w:t>
                            </w:r>
                            <w:r>
                              <w:rPr>
                                <w:rFonts w:ascii="Times New Roman" w:eastAsia="Times New Roman" w:hAnsi="Times New Roman" w:cs="Times New Roman"/>
                                <w:color w:val="000000"/>
                                <w:spacing w:val="0"/>
                                <w:w w:val="100"/>
                                <w:position w:val="0"/>
                                <w:sz w:val="18"/>
                                <w:szCs w:val="18"/>
                              </w:rPr>
                              <w:t>002531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的股权; 持有河南平高电气股份有限公司（股票简称：平高电气，股票代码：</w:t>
                            </w:r>
                            <w:r>
                              <w:rPr>
                                <w:rFonts w:ascii="Times New Roman" w:eastAsia="Times New Roman" w:hAnsi="Times New Roman" w:cs="Times New Roman"/>
                                <w:color w:val="000000"/>
                                <w:spacing w:val="0"/>
                                <w:w w:val="100"/>
                                <w:position w:val="0"/>
                                <w:sz w:val="18"/>
                                <w:szCs w:val="18"/>
                              </w:rPr>
                              <w:t>600312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的股权；</w:t>
                            </w:r>
                          </w:p>
                        </w:txbxContent>
                      </wps:txbx>
                      <wps:bodyPr lIns="0" tIns="0" rIns="0" bIns="0">
                        <a:noAutoFit/>
                      </wps:bodyPr>
                    </wps:wsp>
                  </a:graphicData>
                </a:graphic>
              </wp:anchor>
            </w:drawing>
          </mc:Choice>
          <mc:Fallback>
            <w:pict>
              <v:shape id="_x0000_s1143" type="#_x0000_t202" style="position:absolute;margin-left:138.75pt;margin-top:346.44999999999999pt;width:372.69999999999999pt;height:36.pt;z-index:-18874394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持有天顺风能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股份有限公司（股票简称：天顺风能，股票代码：</w:t>
                      </w:r>
                      <w:r>
                        <w:rPr>
                          <w:rFonts w:ascii="Times New Roman" w:eastAsia="Times New Roman" w:hAnsi="Times New Roman" w:cs="Times New Roman"/>
                          <w:color w:val="000000"/>
                          <w:spacing w:val="0"/>
                          <w:w w:val="100"/>
                          <w:position w:val="0"/>
                          <w:sz w:val="18"/>
                          <w:szCs w:val="18"/>
                        </w:rPr>
                        <w:t>002531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的股权; 持有河南平高电气股份有限公司（股票简称：平高电气，股票代码：</w:t>
                      </w:r>
                      <w:r>
                        <w:rPr>
                          <w:rFonts w:ascii="Times New Roman" w:eastAsia="Times New Roman" w:hAnsi="Times New Roman" w:cs="Times New Roman"/>
                          <w:color w:val="000000"/>
                          <w:spacing w:val="0"/>
                          <w:w w:val="100"/>
                          <w:position w:val="0"/>
                          <w:sz w:val="18"/>
                          <w:szCs w:val="18"/>
                        </w:rPr>
                        <w:t>600312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1762125</wp:posOffset>
                </wp:positionH>
                <wp:positionV relativeFrom="paragraph">
                  <wp:posOffset>4914900</wp:posOffset>
                </wp:positionV>
                <wp:extent cx="4657090" cy="152400"/>
                <wp:wrapNone/>
                <wp:docPr id="119" name="Shape 119"/>
                <a:graphic xmlns:a="http://schemas.openxmlformats.org/drawingml/2006/main">
                  <a:graphicData uri="http://schemas.microsoft.com/office/word/2010/wordprocessingShape">
                    <wps:wsp>
                      <wps:cNvSpPr txBox="1"/>
                      <wps:spPr>
                        <a:xfrm>
                          <a:ext cx="46570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持有青岛国恩科技股份有限公司（股票简称：国恩股份，股票代码：</w:t>
                            </w:r>
                            <w:r>
                              <w:rPr>
                                <w:rFonts w:ascii="Times New Roman" w:eastAsia="Times New Roman" w:hAnsi="Times New Roman" w:cs="Times New Roman"/>
                                <w:color w:val="000000"/>
                                <w:spacing w:val="0"/>
                                <w:w w:val="100"/>
                                <w:position w:val="0"/>
                                <w:sz w:val="18"/>
                                <w:szCs w:val="18"/>
                              </w:rPr>
                              <w:t>002768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的股权;</w:t>
                            </w:r>
                          </w:p>
                        </w:txbxContent>
                      </wps:txbx>
                      <wps:bodyPr wrap="none" lIns="0" tIns="0" rIns="0" bIns="0">
                        <a:noAutoFit/>
                      </wps:bodyPr>
                    </wps:wsp>
                  </a:graphicData>
                </a:graphic>
              </wp:anchor>
            </w:drawing>
          </mc:Choice>
          <mc:Fallback>
            <w:pict>
              <v:shape id="_x0000_s1145" type="#_x0000_t202" style="position:absolute;margin-left:138.75pt;margin-top:387.pt;width:366.69999999999999pt;height:12.pt;z-index:-18874394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持有青岛国恩科技股份有限公司（股票简称：国恩股份，股票代码：</w:t>
                      </w:r>
                      <w:r>
                        <w:rPr>
                          <w:rFonts w:ascii="Times New Roman" w:eastAsia="Times New Roman" w:hAnsi="Times New Roman" w:cs="Times New Roman"/>
                          <w:color w:val="000000"/>
                          <w:spacing w:val="0"/>
                          <w:w w:val="100"/>
                          <w:position w:val="0"/>
                          <w:sz w:val="18"/>
                          <w:szCs w:val="18"/>
                        </w:rPr>
                        <w:t>002768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08" behindDoc="1" locked="0" layoutInCell="1" allowOverlap="1">
                <wp:simplePos x="0" y="0"/>
                <wp:positionH relativeFrom="page">
                  <wp:posOffset>1762125</wp:posOffset>
                </wp:positionH>
                <wp:positionV relativeFrom="paragraph">
                  <wp:posOffset>5140325</wp:posOffset>
                </wp:positionV>
                <wp:extent cx="4145280" cy="152400"/>
                <wp:wrapNone/>
                <wp:docPr id="121" name="Shape 121"/>
                <a:graphic xmlns:a="http://schemas.openxmlformats.org/drawingml/2006/main">
                  <a:graphicData uri="http://schemas.microsoft.com/office/word/2010/wordprocessingShape">
                    <wps:wsp>
                      <wps:cNvSpPr txBox="1"/>
                      <wps:spPr>
                        <a:xfrm>
                          <a:ext cx="414528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持有木林森股份有限公司（股票简称：木林森，股票代码：</w:t>
                            </w:r>
                            <w:r>
                              <w:rPr>
                                <w:rFonts w:ascii="Times New Roman" w:eastAsia="Times New Roman" w:hAnsi="Times New Roman" w:cs="Times New Roman"/>
                                <w:color w:val="000000"/>
                                <w:spacing w:val="0"/>
                                <w:w w:val="100"/>
                                <w:position w:val="0"/>
                                <w:sz w:val="18"/>
                                <w:szCs w:val="18"/>
                              </w:rPr>
                              <w:t>002745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的股权;</w:t>
                            </w:r>
                          </w:p>
                        </w:txbxContent>
                      </wps:txbx>
                      <wps:bodyPr wrap="none" lIns="0" tIns="0" rIns="0" bIns="0">
                        <a:noAutoFit/>
                      </wps:bodyPr>
                    </wps:wsp>
                  </a:graphicData>
                </a:graphic>
              </wp:anchor>
            </w:drawing>
          </mc:Choice>
          <mc:Fallback>
            <w:pict>
              <v:shape id="_x0000_s1147" type="#_x0000_t202" style="position:absolute;margin-left:138.75pt;margin-top:404.75pt;width:326.40000000000003pt;height:12.pt;z-index:-18874394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持有木林森股份有限公司（股票简称：木林森，股票代码：</w:t>
                      </w:r>
                      <w:r>
                        <w:rPr>
                          <w:rFonts w:ascii="Times New Roman" w:eastAsia="Times New Roman" w:hAnsi="Times New Roman" w:cs="Times New Roman"/>
                          <w:color w:val="000000"/>
                          <w:spacing w:val="0"/>
                          <w:w w:val="100"/>
                          <w:position w:val="0"/>
                          <w:sz w:val="18"/>
                          <w:szCs w:val="18"/>
                        </w:rPr>
                        <w:t>002745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10" behindDoc="1" locked="0" layoutInCell="1" allowOverlap="1">
                <wp:simplePos x="0" y="0"/>
                <wp:positionH relativeFrom="page">
                  <wp:posOffset>1762125</wp:posOffset>
                </wp:positionH>
                <wp:positionV relativeFrom="paragraph">
                  <wp:posOffset>5363210</wp:posOffset>
                </wp:positionV>
                <wp:extent cx="4428490" cy="152400"/>
                <wp:wrapNone/>
                <wp:docPr id="123" name="Shape 123"/>
                <a:graphic xmlns:a="http://schemas.openxmlformats.org/drawingml/2006/main">
                  <a:graphicData uri="http://schemas.microsoft.com/office/word/2010/wordprocessingShape">
                    <wps:wsp>
                      <wps:cNvSpPr txBox="1"/>
                      <wps:spPr>
                        <a:xfrm>
                          <a:ext cx="44284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持有上海电力股份有限公司（股票简称：上海电力，股票代码：</w:t>
                            </w:r>
                            <w:r>
                              <w:rPr>
                                <w:rFonts w:ascii="Times New Roman" w:eastAsia="Times New Roman" w:hAnsi="Times New Roman" w:cs="Times New Roman"/>
                                <w:color w:val="000000"/>
                                <w:spacing w:val="0"/>
                                <w:w w:val="100"/>
                                <w:position w:val="0"/>
                                <w:sz w:val="18"/>
                                <w:szCs w:val="18"/>
                              </w:rPr>
                              <w:t>600021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的股权;</w:t>
                            </w:r>
                          </w:p>
                        </w:txbxContent>
                      </wps:txbx>
                      <wps:bodyPr wrap="none" lIns="0" tIns="0" rIns="0" bIns="0">
                        <a:noAutoFit/>
                      </wps:bodyPr>
                    </wps:wsp>
                  </a:graphicData>
                </a:graphic>
              </wp:anchor>
            </w:drawing>
          </mc:Choice>
          <mc:Fallback>
            <w:pict>
              <v:shape id="_x0000_s1149" type="#_x0000_t202" style="position:absolute;margin-left:138.75pt;margin-top:422.30000000000001pt;width:348.69999999999999pt;height:12.pt;z-index:-18874394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持有上海电力股份有限公司（股票简称：上海电力，股票代码：</w:t>
                      </w:r>
                      <w:r>
                        <w:rPr>
                          <w:rFonts w:ascii="Times New Roman" w:eastAsia="Times New Roman" w:hAnsi="Times New Roman" w:cs="Times New Roman"/>
                          <w:color w:val="000000"/>
                          <w:spacing w:val="0"/>
                          <w:w w:val="100"/>
                          <w:position w:val="0"/>
                          <w:sz w:val="18"/>
                          <w:szCs w:val="18"/>
                        </w:rPr>
                        <w:t>600021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12" behindDoc="1" locked="0" layoutInCell="1" allowOverlap="1">
                <wp:simplePos x="0" y="0"/>
                <wp:positionH relativeFrom="page">
                  <wp:posOffset>1762125</wp:posOffset>
                </wp:positionH>
                <wp:positionV relativeFrom="paragraph">
                  <wp:posOffset>5585460</wp:posOffset>
                </wp:positionV>
                <wp:extent cx="4934585" cy="152400"/>
                <wp:wrapNone/>
                <wp:docPr id="125" name="Shape 125"/>
                <a:graphic xmlns:a="http://schemas.openxmlformats.org/drawingml/2006/main">
                  <a:graphicData uri="http://schemas.microsoft.com/office/word/2010/wordprocessingShape">
                    <wps:wsp>
                      <wps:cNvSpPr txBox="1"/>
                      <wps:spPr>
                        <a:xfrm>
                          <a:ext cx="493458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持有河北衡水老白干酒业股份有限公司（股票简称：老白干酒，股票代码：</w:t>
                            </w:r>
                            <w:r>
                              <w:rPr>
                                <w:rFonts w:ascii="Times New Roman" w:eastAsia="Times New Roman" w:hAnsi="Times New Roman" w:cs="Times New Roman"/>
                                <w:color w:val="000000"/>
                                <w:spacing w:val="0"/>
                                <w:w w:val="100"/>
                                <w:position w:val="0"/>
                                <w:sz w:val="18"/>
                                <w:szCs w:val="18"/>
                              </w:rPr>
                              <w:t>600559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的股权;</w:t>
                            </w:r>
                          </w:p>
                        </w:txbxContent>
                      </wps:txbx>
                      <wps:bodyPr wrap="none" lIns="0" tIns="0" rIns="0" bIns="0">
                        <a:noAutoFit/>
                      </wps:bodyPr>
                    </wps:wsp>
                  </a:graphicData>
                </a:graphic>
              </wp:anchor>
            </w:drawing>
          </mc:Choice>
          <mc:Fallback>
            <w:pict>
              <v:shape id="_x0000_s1151" type="#_x0000_t202" style="position:absolute;margin-left:138.75pt;margin-top:439.80000000000001pt;width:388.55000000000001pt;height:12.pt;z-index:-18874394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持有河北衡水老白干酒业股份有限公司（股票简称：老白干酒，股票代码：</w:t>
                      </w:r>
                      <w:r>
                        <w:rPr>
                          <w:rFonts w:ascii="Times New Roman" w:eastAsia="Times New Roman" w:hAnsi="Times New Roman" w:cs="Times New Roman"/>
                          <w:color w:val="000000"/>
                          <w:spacing w:val="0"/>
                          <w:w w:val="100"/>
                          <w:position w:val="0"/>
                          <w:sz w:val="18"/>
                          <w:szCs w:val="18"/>
                        </w:rPr>
                        <w:t>600559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14" behindDoc="1" locked="0" layoutInCell="1" allowOverlap="1">
                <wp:simplePos x="0" y="0"/>
                <wp:positionH relativeFrom="page">
                  <wp:posOffset>1762125</wp:posOffset>
                </wp:positionH>
                <wp:positionV relativeFrom="paragraph">
                  <wp:posOffset>5810885</wp:posOffset>
                </wp:positionV>
                <wp:extent cx="4657090" cy="152400"/>
                <wp:wrapNone/>
                <wp:docPr id="127" name="Shape 127"/>
                <a:graphic xmlns:a="http://schemas.openxmlformats.org/drawingml/2006/main">
                  <a:graphicData uri="http://schemas.microsoft.com/office/word/2010/wordprocessingShape">
                    <wps:wsp>
                      <wps:cNvSpPr txBox="1"/>
                      <wps:spPr>
                        <a:xfrm>
                          <a:ext cx="46570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持有瑞康医药集团股份有限公司（股票简称：瑞康医药，股票代码：</w:t>
                            </w:r>
                            <w:r>
                              <w:rPr>
                                <w:rFonts w:ascii="Times New Roman" w:eastAsia="Times New Roman" w:hAnsi="Times New Roman" w:cs="Times New Roman"/>
                                <w:color w:val="000000"/>
                                <w:spacing w:val="0"/>
                                <w:w w:val="100"/>
                                <w:position w:val="0"/>
                                <w:sz w:val="18"/>
                                <w:szCs w:val="18"/>
                              </w:rPr>
                              <w:t>002589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的股权;</w:t>
                            </w:r>
                          </w:p>
                        </w:txbxContent>
                      </wps:txbx>
                      <wps:bodyPr wrap="none" lIns="0" tIns="0" rIns="0" bIns="0">
                        <a:noAutoFit/>
                      </wps:bodyPr>
                    </wps:wsp>
                  </a:graphicData>
                </a:graphic>
              </wp:anchor>
            </w:drawing>
          </mc:Choice>
          <mc:Fallback>
            <w:pict>
              <v:shape id="_x0000_s1153" type="#_x0000_t202" style="position:absolute;margin-left:138.75pt;margin-top:457.55000000000001pt;width:366.69999999999999pt;height:12.pt;z-index:-18874393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持有瑞康医药集团股份有限公司（股票简称：瑞康医药，股票代码：</w:t>
                      </w:r>
                      <w:r>
                        <w:rPr>
                          <w:rFonts w:ascii="Times New Roman" w:eastAsia="Times New Roman" w:hAnsi="Times New Roman" w:cs="Times New Roman"/>
                          <w:color w:val="000000"/>
                          <w:spacing w:val="0"/>
                          <w:w w:val="100"/>
                          <w:position w:val="0"/>
                          <w:sz w:val="18"/>
                          <w:szCs w:val="18"/>
                        </w:rPr>
                        <w:t>002589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16" behindDoc="1" locked="0" layoutInCell="1" allowOverlap="1">
                <wp:simplePos x="0" y="0"/>
                <wp:positionH relativeFrom="page">
                  <wp:posOffset>1762125</wp:posOffset>
                </wp:positionH>
                <wp:positionV relativeFrom="paragraph">
                  <wp:posOffset>6033770</wp:posOffset>
                </wp:positionV>
                <wp:extent cx="4483735" cy="152400"/>
                <wp:wrapNone/>
                <wp:docPr id="129" name="Shape 129"/>
                <a:graphic xmlns:a="http://schemas.openxmlformats.org/drawingml/2006/main">
                  <a:graphicData uri="http://schemas.microsoft.com/office/word/2010/wordprocessingShape">
                    <wps:wsp>
                      <wps:cNvSpPr txBox="1"/>
                      <wps:spPr>
                        <a:xfrm>
                          <a:ext cx="448373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持有天马微电子股份有限公司（股票简称：深天马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000050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的股权;</w:t>
                            </w:r>
                          </w:p>
                        </w:txbxContent>
                      </wps:txbx>
                      <wps:bodyPr wrap="none" lIns="0" tIns="0" rIns="0" bIns="0">
                        <a:noAutoFit/>
                      </wps:bodyPr>
                    </wps:wsp>
                  </a:graphicData>
                </a:graphic>
              </wp:anchor>
            </w:drawing>
          </mc:Choice>
          <mc:Fallback>
            <w:pict>
              <v:shape id="_x0000_s1155" type="#_x0000_t202" style="position:absolute;margin-left:138.75pt;margin-top:475.10000000000002pt;width:353.05000000000001pt;height:12.pt;z-index:-18874393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持有天马微电子股份有限公司（股票简称：深天马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000050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18" behindDoc="1" locked="0" layoutInCell="1" allowOverlap="1">
                <wp:simplePos x="0" y="0"/>
                <wp:positionH relativeFrom="page">
                  <wp:posOffset>1762125</wp:posOffset>
                </wp:positionH>
                <wp:positionV relativeFrom="paragraph">
                  <wp:posOffset>6256020</wp:posOffset>
                </wp:positionV>
                <wp:extent cx="4657090" cy="152400"/>
                <wp:wrapNone/>
                <wp:docPr id="131" name="Shape 131"/>
                <a:graphic xmlns:a="http://schemas.openxmlformats.org/drawingml/2006/main">
                  <a:graphicData uri="http://schemas.microsoft.com/office/word/2010/wordprocessingShape">
                    <wps:wsp>
                      <wps:cNvSpPr txBox="1"/>
                      <wps:spPr>
                        <a:xfrm>
                          <a:ext cx="46570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持有浙江和仁科技股份有限公司（股票简称：和仁科技，股票代码：</w:t>
                            </w:r>
                            <w:r>
                              <w:rPr>
                                <w:rFonts w:ascii="Times New Roman" w:eastAsia="Times New Roman" w:hAnsi="Times New Roman" w:cs="Times New Roman"/>
                                <w:color w:val="000000"/>
                                <w:spacing w:val="0"/>
                                <w:w w:val="100"/>
                                <w:position w:val="0"/>
                                <w:sz w:val="18"/>
                                <w:szCs w:val="18"/>
                              </w:rPr>
                              <w:t>300550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的股权;</w:t>
                            </w:r>
                          </w:p>
                        </w:txbxContent>
                      </wps:txbx>
                      <wps:bodyPr wrap="none" lIns="0" tIns="0" rIns="0" bIns="0">
                        <a:noAutoFit/>
                      </wps:bodyPr>
                    </wps:wsp>
                  </a:graphicData>
                </a:graphic>
              </wp:anchor>
            </w:drawing>
          </mc:Choice>
          <mc:Fallback>
            <w:pict>
              <v:shape id="_x0000_s1157" type="#_x0000_t202" style="position:absolute;margin-left:138.75pt;margin-top:492.60000000000002pt;width:366.69999999999999pt;height:12.pt;z-index:-18874393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持有浙江和仁科技股份有限公司（股票简称：和仁科技，股票代码：</w:t>
                      </w:r>
                      <w:r>
                        <w:rPr>
                          <w:rFonts w:ascii="Times New Roman" w:eastAsia="Times New Roman" w:hAnsi="Times New Roman" w:cs="Times New Roman"/>
                          <w:color w:val="000000"/>
                          <w:spacing w:val="0"/>
                          <w:w w:val="100"/>
                          <w:position w:val="0"/>
                          <w:sz w:val="18"/>
                          <w:szCs w:val="18"/>
                        </w:rPr>
                        <w:t>300550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20" behindDoc="1" locked="0" layoutInCell="1" allowOverlap="1">
                <wp:simplePos x="0" y="0"/>
                <wp:positionH relativeFrom="page">
                  <wp:posOffset>1762125</wp:posOffset>
                </wp:positionH>
                <wp:positionV relativeFrom="paragraph">
                  <wp:posOffset>6481445</wp:posOffset>
                </wp:positionV>
                <wp:extent cx="4370705" cy="152400"/>
                <wp:wrapNone/>
                <wp:docPr id="133" name="Shape 133"/>
                <a:graphic xmlns:a="http://schemas.openxmlformats.org/drawingml/2006/main">
                  <a:graphicData uri="http://schemas.microsoft.com/office/word/2010/wordprocessingShape">
                    <wps:wsp>
                      <wps:cNvSpPr txBox="1"/>
                      <wps:spPr>
                        <a:xfrm>
                          <a:ext cx="437070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持有万达电影股份有限公司（股票简称：万达电影，股票代码：</w:t>
                            </w:r>
                            <w:r>
                              <w:rPr>
                                <w:rFonts w:ascii="Times New Roman" w:eastAsia="Times New Roman" w:hAnsi="Times New Roman" w:cs="Times New Roman"/>
                                <w:color w:val="000000"/>
                                <w:spacing w:val="0"/>
                                <w:w w:val="100"/>
                                <w:position w:val="0"/>
                                <w:sz w:val="18"/>
                                <w:szCs w:val="18"/>
                              </w:rPr>
                              <w:t>002739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的股权;</w:t>
                            </w:r>
                          </w:p>
                        </w:txbxContent>
                      </wps:txbx>
                      <wps:bodyPr wrap="none" lIns="0" tIns="0" rIns="0" bIns="0">
                        <a:noAutoFit/>
                      </wps:bodyPr>
                    </wps:wsp>
                  </a:graphicData>
                </a:graphic>
              </wp:anchor>
            </w:drawing>
          </mc:Choice>
          <mc:Fallback>
            <w:pict>
              <v:shape id="_x0000_s1159" type="#_x0000_t202" style="position:absolute;margin-left:138.75pt;margin-top:510.35000000000002pt;width:344.15000000000003pt;height:12.pt;z-index:-18874393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持有万达电影股份有限公司（股票简称：万达电影，股票代码：</w:t>
                      </w:r>
                      <w:r>
                        <w:rPr>
                          <w:rFonts w:ascii="Times New Roman" w:eastAsia="Times New Roman" w:hAnsi="Times New Roman" w:cs="Times New Roman"/>
                          <w:color w:val="000000"/>
                          <w:spacing w:val="0"/>
                          <w:w w:val="100"/>
                          <w:position w:val="0"/>
                          <w:sz w:val="18"/>
                          <w:szCs w:val="18"/>
                        </w:rPr>
                        <w:t>002739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22" behindDoc="1" locked="0" layoutInCell="1" allowOverlap="1">
                <wp:simplePos x="0" y="0"/>
                <wp:positionH relativeFrom="page">
                  <wp:posOffset>1762125</wp:posOffset>
                </wp:positionH>
                <wp:positionV relativeFrom="paragraph">
                  <wp:posOffset>6704330</wp:posOffset>
                </wp:positionV>
                <wp:extent cx="4657090" cy="152400"/>
                <wp:wrapNone/>
                <wp:docPr id="135" name="Shape 135"/>
                <a:graphic xmlns:a="http://schemas.openxmlformats.org/drawingml/2006/main">
                  <a:graphicData uri="http://schemas.microsoft.com/office/word/2010/wordprocessingShape">
                    <wps:wsp>
                      <wps:cNvSpPr txBox="1"/>
                      <wps:spPr>
                        <a:xfrm>
                          <a:ext cx="46570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持有曙光信息产业股份有限公司（股票简称：中科曙光，股票代码：</w:t>
                            </w:r>
                            <w:r>
                              <w:rPr>
                                <w:rFonts w:ascii="Times New Roman" w:eastAsia="Times New Roman" w:hAnsi="Times New Roman" w:cs="Times New Roman"/>
                                <w:color w:val="000000"/>
                                <w:spacing w:val="0"/>
                                <w:w w:val="100"/>
                                <w:position w:val="0"/>
                                <w:sz w:val="18"/>
                                <w:szCs w:val="18"/>
                              </w:rPr>
                              <w:t>603019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的股权;</w:t>
                            </w:r>
                          </w:p>
                        </w:txbxContent>
                      </wps:txbx>
                      <wps:bodyPr wrap="none" lIns="0" tIns="0" rIns="0" bIns="0">
                        <a:noAutoFit/>
                      </wps:bodyPr>
                    </wps:wsp>
                  </a:graphicData>
                </a:graphic>
              </wp:anchor>
            </w:drawing>
          </mc:Choice>
          <mc:Fallback>
            <w:pict>
              <v:shape id="_x0000_s1161" type="#_x0000_t202" style="position:absolute;margin-left:138.75pt;margin-top:527.89999999999998pt;width:366.69999999999999pt;height:12.pt;z-index:-18874393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持有曙光信息产业股份有限公司（股票简称：中科曙光，股票代码：</w:t>
                      </w:r>
                      <w:r>
                        <w:rPr>
                          <w:rFonts w:ascii="Times New Roman" w:eastAsia="Times New Roman" w:hAnsi="Times New Roman" w:cs="Times New Roman"/>
                          <w:color w:val="000000"/>
                          <w:spacing w:val="0"/>
                          <w:w w:val="100"/>
                          <w:position w:val="0"/>
                          <w:sz w:val="18"/>
                          <w:szCs w:val="18"/>
                        </w:rPr>
                        <w:t>603019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24" behindDoc="1" locked="0" layoutInCell="1" allowOverlap="1">
                <wp:simplePos x="0" y="0"/>
                <wp:positionH relativeFrom="page">
                  <wp:posOffset>1762125</wp:posOffset>
                </wp:positionH>
                <wp:positionV relativeFrom="paragraph">
                  <wp:posOffset>6926580</wp:posOffset>
                </wp:positionV>
                <wp:extent cx="4885690" cy="152400"/>
                <wp:wrapNone/>
                <wp:docPr id="137" name="Shape 137"/>
                <a:graphic xmlns:a="http://schemas.openxmlformats.org/drawingml/2006/main">
                  <a:graphicData uri="http://schemas.microsoft.com/office/word/2010/wordprocessingShape">
                    <wps:wsp>
                      <wps:cNvSpPr txBox="1"/>
                      <wps:spPr>
                        <a:xfrm>
                          <a:ext cx="488569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持有明阳智慧能源集团股份有限公司（股票简称：明阳智能，股票代码：</w:t>
                            </w:r>
                            <w:r>
                              <w:rPr>
                                <w:rFonts w:ascii="Times New Roman" w:eastAsia="Times New Roman" w:hAnsi="Times New Roman" w:cs="Times New Roman"/>
                                <w:color w:val="000000"/>
                                <w:spacing w:val="0"/>
                                <w:w w:val="100"/>
                                <w:position w:val="0"/>
                                <w:sz w:val="18"/>
                                <w:szCs w:val="18"/>
                              </w:rPr>
                              <w:t>601615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的股权;</w:t>
                            </w:r>
                          </w:p>
                        </w:txbxContent>
                      </wps:txbx>
                      <wps:bodyPr wrap="none" lIns="0" tIns="0" rIns="0" bIns="0">
                        <a:noAutoFit/>
                      </wps:bodyPr>
                    </wps:wsp>
                  </a:graphicData>
                </a:graphic>
              </wp:anchor>
            </w:drawing>
          </mc:Choice>
          <mc:Fallback>
            <w:pict>
              <v:shape id="_x0000_s1163" type="#_x0000_t202" style="position:absolute;margin-left:138.75pt;margin-top:545.39999999999998pt;width:384.69999999999999pt;height:12.pt;z-index:-18874392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持有明阳智慧能源集团股份有限公司（股票简称：明阳智能，股票代码：</w:t>
                      </w:r>
                      <w:r>
                        <w:rPr>
                          <w:rFonts w:ascii="Times New Roman" w:eastAsia="Times New Roman" w:hAnsi="Times New Roman" w:cs="Times New Roman"/>
                          <w:color w:val="000000"/>
                          <w:spacing w:val="0"/>
                          <w:w w:val="100"/>
                          <w:position w:val="0"/>
                          <w:sz w:val="18"/>
                          <w:szCs w:val="18"/>
                        </w:rPr>
                        <w:t>601615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26" behindDoc="1" locked="0" layoutInCell="1" allowOverlap="1">
                <wp:simplePos x="0" y="0"/>
                <wp:positionH relativeFrom="page">
                  <wp:posOffset>1762125</wp:posOffset>
                </wp:positionH>
                <wp:positionV relativeFrom="paragraph">
                  <wp:posOffset>7152005</wp:posOffset>
                </wp:positionV>
                <wp:extent cx="4288790" cy="155575"/>
                <wp:wrapNone/>
                <wp:docPr id="139" name="Shape 139"/>
                <a:graphic xmlns:a="http://schemas.openxmlformats.org/drawingml/2006/main">
                  <a:graphicData uri="http://schemas.microsoft.com/office/word/2010/wordprocessingShape">
                    <wps:wsp>
                      <wps:cNvSpPr txBox="1"/>
                      <wps:spPr>
                        <a:xfrm>
                          <a:ext cx="428879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持有兄弟科技股份有限公司（股票简称：兄弟科技，股票代码：</w:t>
                            </w:r>
                            <w:r>
                              <w:rPr>
                                <w:rFonts w:ascii="Times New Roman" w:eastAsia="Times New Roman" w:hAnsi="Times New Roman" w:cs="Times New Roman"/>
                                <w:color w:val="000000"/>
                                <w:spacing w:val="0"/>
                                <w:w w:val="100"/>
                                <w:position w:val="0"/>
                                <w:sz w:val="18"/>
                                <w:szCs w:val="18"/>
                              </w:rPr>
                              <w:t>002562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的股权;</w:t>
                            </w:r>
                          </w:p>
                        </w:txbxContent>
                      </wps:txbx>
                      <wps:bodyPr wrap="none" lIns="0" tIns="0" rIns="0" bIns="0">
                        <a:noAutoFit/>
                      </wps:bodyPr>
                    </wps:wsp>
                  </a:graphicData>
                </a:graphic>
              </wp:anchor>
            </w:drawing>
          </mc:Choice>
          <mc:Fallback>
            <w:pict>
              <v:shape id="_x0000_s1165" type="#_x0000_t202" style="position:absolute;margin-left:138.75pt;margin-top:563.14999999999998pt;width:337.69999999999999pt;height:12.25pt;z-index:-18874392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持有兄弟科技股份有限公司（股票简称：兄弟科技，股票代码：</w:t>
                      </w:r>
                      <w:r>
                        <w:rPr>
                          <w:rFonts w:ascii="Times New Roman" w:eastAsia="Times New Roman" w:hAnsi="Times New Roman" w:cs="Times New Roman"/>
                          <w:color w:val="000000"/>
                          <w:spacing w:val="0"/>
                          <w:w w:val="100"/>
                          <w:position w:val="0"/>
                          <w:sz w:val="18"/>
                          <w:szCs w:val="18"/>
                        </w:rPr>
                        <w:t>002562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的股权;</w:t>
                      </w:r>
                    </w:p>
                  </w:txbxContent>
                </v:textbox>
                <w10:wrap anchorx="page"/>
              </v:shape>
            </w:pict>
          </mc:Fallback>
        </mc:AlternateContent>
      </w:r>
      <w:r>
        <mc:AlternateContent>
          <mc:Choice Requires="wps">
            <w:drawing>
              <wp:anchor distT="0" distB="0" distL="0" distR="0" simplePos="0" relativeHeight="62914828" behindDoc="1" locked="0" layoutInCell="1" allowOverlap="1">
                <wp:simplePos x="0" y="0"/>
                <wp:positionH relativeFrom="page">
                  <wp:posOffset>1756410</wp:posOffset>
                </wp:positionH>
                <wp:positionV relativeFrom="paragraph">
                  <wp:posOffset>7374890</wp:posOffset>
                </wp:positionV>
                <wp:extent cx="5083810" cy="152400"/>
                <wp:wrapNone/>
                <wp:docPr id="141" name="Shape 141"/>
                <a:graphic xmlns:a="http://schemas.openxmlformats.org/drawingml/2006/main">
                  <a:graphicData uri="http://schemas.microsoft.com/office/word/2010/wordprocessingShape">
                    <wps:wsp>
                      <wps:cNvSpPr txBox="1"/>
                      <wps:spPr>
                        <a:xfrm>
                          <a:ext cx="508381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持有上海至纯洁净系统科技股份有限公司（股票简称：至纯科技，股票代码：</w:t>
                            </w:r>
                            <w:r>
                              <w:rPr>
                                <w:rFonts w:ascii="Times New Roman" w:eastAsia="Times New Roman" w:hAnsi="Times New Roman" w:cs="Times New Roman"/>
                                <w:color w:val="000000"/>
                                <w:spacing w:val="0"/>
                                <w:w w:val="100"/>
                                <w:position w:val="0"/>
                                <w:sz w:val="18"/>
                                <w:szCs w:val="18"/>
                              </w:rPr>
                              <w:t>603690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的股份。</w:t>
                            </w:r>
                          </w:p>
                        </w:txbxContent>
                      </wps:txbx>
                      <wps:bodyPr wrap="none" lIns="0" tIns="0" rIns="0" bIns="0">
                        <a:noAutoFit/>
                      </wps:bodyPr>
                    </wps:wsp>
                  </a:graphicData>
                </a:graphic>
              </wp:anchor>
            </w:drawing>
          </mc:Choice>
          <mc:Fallback>
            <w:pict>
              <v:shape id="_x0000_s1167" type="#_x0000_t202" style="position:absolute;margin-left:138.30000000000001pt;margin-top:580.70000000000005pt;width:400.30000000000001pt;height:12.pt;z-index:-18874392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持有上海至纯洁净系统科技股份有限公司（股票简称：至纯科技，股票代码：</w:t>
                      </w:r>
                      <w:r>
                        <w:rPr>
                          <w:rFonts w:ascii="Times New Roman" w:eastAsia="Times New Roman" w:hAnsi="Times New Roman" w:cs="Times New Roman"/>
                          <w:color w:val="000000"/>
                          <w:spacing w:val="0"/>
                          <w:w w:val="100"/>
                          <w:position w:val="0"/>
                          <w:sz w:val="18"/>
                          <w:szCs w:val="18"/>
                        </w:rPr>
                        <w:t>603690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的股份。</w:t>
                      </w:r>
                    </w:p>
                  </w:txbxContent>
                </v:textbox>
                <w10:wrap anchorx="page"/>
              </v:shape>
            </w:pict>
          </mc:Fallback>
        </mc:AlternateContent>
      </w:r>
      <w:r>
        <mc:AlternateContent>
          <mc:Choice Requires="wps">
            <w:drawing>
              <wp:anchor distT="0" distB="0" distL="0" distR="0" simplePos="0" relativeHeight="62914830" behindDoc="1" locked="0" layoutInCell="1" allowOverlap="1">
                <wp:simplePos x="0" y="0"/>
                <wp:positionH relativeFrom="page">
                  <wp:posOffset>698500</wp:posOffset>
                </wp:positionH>
                <wp:positionV relativeFrom="paragraph">
                  <wp:posOffset>7630795</wp:posOffset>
                </wp:positionV>
                <wp:extent cx="1167130" cy="377825"/>
                <wp:wrapNone/>
                <wp:docPr id="143" name="Shape 143"/>
                <a:graphic xmlns:a="http://schemas.openxmlformats.org/drawingml/2006/main">
                  <a:graphicData uri="http://schemas.microsoft.com/office/word/2010/wordprocessingShape">
                    <wps:wsp>
                      <wps:cNvSpPr txBox="1"/>
                      <wps:spPr>
                        <a:xfrm>
                          <a:ext cx="1167130" cy="377825"/>
                        </a:xfrm>
                        <a:prstGeom prst="rect"/>
                        <a:noFill/>
                      </wps:spPr>
                      <wps:txbx>
                        <w:txbxContent>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xbxContent>
                      </wps:txbx>
                      <wps:bodyPr lIns="0" tIns="0" rIns="0" bIns="0">
                        <a:noAutoFit/>
                      </wps:bodyPr>
                    </wps:wsp>
                  </a:graphicData>
                </a:graphic>
              </wp:anchor>
            </w:drawing>
          </mc:Choice>
          <mc:Fallback>
            <w:pict>
              <v:shape id="_x0000_s1169" type="#_x0000_t202" style="position:absolute;margin-left:55.pt;margin-top:600.85000000000002pt;width:91.900000000000006pt;height:29.75pt;z-index:-18874392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xbxContent>
                </v:textbox>
                <w10:wrap anchorx="page"/>
              </v:shape>
            </w:pict>
          </mc:Fallback>
        </mc:AlternateContent>
      </w:r>
      <w:r>
        <w:br w:type="page"/>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、公司实际控制人及其一致行动人</w:t>
      </w:r>
      <w:bookmarkEnd w:id="459"/>
      <w:bookmarkEnd w:id="460"/>
      <w:bookmarkEnd w:id="46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8"/>
        <w:gridCol w:w="2054"/>
        <w:gridCol w:w="1171"/>
        <w:gridCol w:w="1594"/>
        <w:gridCol w:w="255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青岛市人民政府国有资产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424307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9"/>
                    <a:stretch/>
                  </pic:blipFill>
                  <pic:spPr>
                    <a:xfrm>
                      <a:ext cx="4590415" cy="4243070"/>
                    </a:xfrm>
                    <a:prstGeom prst="rect"/>
                  </pic:spPr>
                </pic:pic>
              </a:graphicData>
            </a:graphic>
          </wp:inline>
        </w:drawing>
      </w:r>
    </w:p>
    <w:p>
      <w:pPr>
        <w:widowControl w:val="0"/>
        <w:spacing w:after="3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4</w:t>
      </w:r>
      <w:bookmarkEnd w:id="46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3"/>
      <w:bookmarkEnd w:id="464"/>
      <w:bookmarkEnd w:id="466"/>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5</w:t>
      </w:r>
      <w:bookmarkEnd w:id="469"/>
      <w:r>
        <w:rPr>
          <w:color w:val="000000"/>
          <w:spacing w:val="0"/>
          <w:w w:val="100"/>
          <w:position w:val="0"/>
        </w:rPr>
        <w:t>、</w:t>
        <w:tab/>
        <w:t>控股股东、实际控制人、重组方及其他承诺主体股份限制减持情况</w:t>
      </w:r>
      <w:bookmarkEnd w:id="467"/>
      <w:bookmarkEnd w:id="468"/>
      <w:bookmarkEnd w:id="470"/>
    </w:p>
    <w:p>
      <w:pPr>
        <w:pStyle w:val="Style3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082" w:bottom="1571" w:left="10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46" name="Shape 14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71" w:name="bookmark471"/>
                            <w:bookmarkStart w:id="472" w:name="bookmark472"/>
                            <w:bookmarkStart w:id="473" w:name="bookmark473"/>
                            <w:r>
                              <w:rPr>
                                <w:color w:val="000000"/>
                                <w:spacing w:val="0"/>
                                <w:w w:val="100"/>
                                <w:position w:val="0"/>
                              </w:rPr>
                              <w:t>第七节优先股相关情况</w:t>
                            </w:r>
                            <w:bookmarkEnd w:id="471"/>
                            <w:bookmarkEnd w:id="472"/>
                            <w:bookmarkEnd w:id="473"/>
                          </w:p>
                        </w:txbxContent>
                      </wps:txbx>
                      <wps:bodyPr wrap="none" lIns="0" tIns="0" rIns="0" bIns="0">
                        <a:noAutoFit/>
                      </wps:bodyPr>
                    </wps:wsp>
                  </a:graphicData>
                </a:graphic>
              </wp:anchor>
            </w:drawing>
          </mc:Choice>
          <mc:Fallback>
            <w:pict>
              <v:shape id="_x0000_s1172"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71" w:name="bookmark471"/>
                      <w:bookmarkStart w:id="472" w:name="bookmark472"/>
                      <w:bookmarkStart w:id="473" w:name="bookmark473"/>
                      <w:r>
                        <w:rPr>
                          <w:color w:val="000000"/>
                          <w:spacing w:val="0"/>
                          <w:w w:val="100"/>
                          <w:position w:val="0"/>
                        </w:rPr>
                        <w:t>第七节优先股相关情况</w:t>
                      </w:r>
                      <w:bookmarkEnd w:id="471"/>
                      <w:bookmarkEnd w:id="472"/>
                      <w:bookmarkEnd w:id="473"/>
                    </w:p>
                  </w:txbxContent>
                </v:textbox>
                <w10:wrap type="topAndBottom" anchorx="page"/>
              </v:shape>
            </w:pict>
          </mc:Fallback>
        </mc:AlternateContent>
      </w:r>
    </w:p>
    <w:p>
      <w:pPr>
        <w:pStyle w:val="Style34"/>
        <w:keepNext w:val="0"/>
        <w:keepLines w:val="0"/>
        <w:widowControl w:val="0"/>
        <w:shd w:val="clear" w:color="auto" w:fill="auto"/>
        <w:bidi w:val="0"/>
        <w:spacing w:before="0" w:after="140" w:line="240" w:lineRule="auto"/>
        <w:ind w:left="0" w:right="0" w:firstLine="0"/>
        <w:jc w:val="left"/>
      </w:pPr>
      <w:bookmarkStart w:id="474" w:name="bookmark47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4"/>
    </w:p>
    <w:p>
      <w:pPr>
        <w:pStyle w:val="Style3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60" w:after="560" w:line="240" w:lineRule="auto"/>
        <w:ind w:left="0" w:right="0" w:firstLine="0"/>
        <w:jc w:val="center"/>
      </w:pPr>
      <w:bookmarkStart w:id="475" w:name="bookmark475"/>
      <w:bookmarkStart w:id="476" w:name="bookmark476"/>
      <w:bookmarkStart w:id="477" w:name="bookmark477"/>
      <w:r>
        <w:rPr>
          <w:color w:val="000000"/>
          <w:spacing w:val="0"/>
          <w:w w:val="100"/>
          <w:position w:val="0"/>
        </w:rPr>
        <w:t>第八节可转换公司债券相关情况</w:t>
      </w:r>
      <w:bookmarkEnd w:id="475"/>
      <w:bookmarkEnd w:id="476"/>
      <w:bookmarkEnd w:id="477"/>
    </w:p>
    <w:p>
      <w:pPr>
        <w:pStyle w:val="Style34"/>
        <w:keepNext w:val="0"/>
        <w:keepLines w:val="0"/>
        <w:widowControl w:val="0"/>
        <w:shd w:val="clear" w:color="auto" w:fill="auto"/>
        <w:bidi w:val="0"/>
        <w:spacing w:before="0" w:after="120" w:line="240" w:lineRule="auto"/>
        <w:ind w:left="0" w:right="0" w:firstLine="0"/>
        <w:jc w:val="left"/>
      </w:pPr>
      <w:bookmarkStart w:id="478" w:name="bookmark47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78"/>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20" w:line="240" w:lineRule="auto"/>
        <w:ind w:left="0" w:right="0" w:firstLine="0"/>
        <w:jc w:val="center"/>
      </w:pPr>
      <w:bookmarkStart w:id="479" w:name="bookmark479"/>
      <w:bookmarkStart w:id="480" w:name="bookmark480"/>
      <w:bookmarkStart w:id="481" w:name="bookmark481"/>
      <w:r>
        <w:rPr>
          <w:color w:val="000000"/>
          <w:spacing w:val="0"/>
          <w:w w:val="100"/>
          <w:position w:val="0"/>
        </w:rPr>
        <w:t>第九节董事、监事、高级管理人员和员工情况</w:t>
      </w:r>
      <w:bookmarkEnd w:id="479"/>
      <w:bookmarkEnd w:id="480"/>
      <w:bookmarkEnd w:id="481"/>
    </w:p>
    <w:p>
      <w:pPr>
        <w:pStyle w:val="Style30"/>
        <w:keepNext/>
        <w:keepLines/>
        <w:widowControl w:val="0"/>
        <w:shd w:val="clear" w:color="auto" w:fill="auto"/>
        <w:bidi w:val="0"/>
        <w:spacing w:before="0" w:after="320" w:line="240" w:lineRule="auto"/>
        <w:ind w:left="0" w:right="0" w:firstLine="0"/>
        <w:jc w:val="left"/>
      </w:pPr>
      <w:bookmarkStart w:id="482" w:name="bookmark482"/>
      <w:bookmarkStart w:id="483" w:name="bookmark483"/>
      <w:bookmarkStart w:id="484" w:name="bookmark484"/>
      <w:bookmarkStart w:id="485" w:name="bookmark485"/>
      <w:bookmarkStart w:id="486" w:name="bookmark486"/>
      <w:r>
        <w:rPr>
          <w:color w:val="000000"/>
          <w:spacing w:val="0"/>
          <w:w w:val="100"/>
          <w:position w:val="0"/>
          <w:sz w:val="24"/>
          <w:szCs w:val="24"/>
        </w:rPr>
        <w:t>一</w:t>
      </w:r>
      <w:bookmarkEnd w:id="485"/>
      <w:r>
        <w:rPr>
          <w:color w:val="000000"/>
          <w:spacing w:val="0"/>
          <w:w w:val="100"/>
          <w:position w:val="0"/>
          <w:sz w:val="24"/>
          <w:szCs w:val="24"/>
        </w:rPr>
        <w:t>、董事、监事和高级管理人员持股变动</w:t>
      </w:r>
      <w:bookmarkEnd w:id="483"/>
      <w:bookmarkEnd w:id="484"/>
      <w:bookmarkEnd w:id="486"/>
      <w:bookmarkEnd w:id="482"/>
    </w:p>
    <w:tbl>
      <w:tblPr>
        <w:tblOverlap w:val="never"/>
        <w:jc w:val="center"/>
        <w:tblLayout w:type="fixed"/>
      </w:tblPr>
      <w:tblGrid>
        <w:gridCol w:w="715"/>
        <w:gridCol w:w="888"/>
        <w:gridCol w:w="533"/>
        <w:gridCol w:w="422"/>
        <w:gridCol w:w="427"/>
        <w:gridCol w:w="850"/>
        <w:gridCol w:w="1416"/>
        <w:gridCol w:w="994"/>
        <w:gridCol w:w="941"/>
        <w:gridCol w:w="797"/>
        <w:gridCol w:w="672"/>
        <w:gridCol w:w="93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7"/>
              <w:keepNext w:val="0"/>
              <w:keepLines w:val="0"/>
              <w:widowControl w:val="0"/>
              <w:shd w:val="clear" w:color="auto" w:fill="auto"/>
              <w:bidi w:val="0"/>
              <w:spacing w:before="0" w:after="0" w:line="307" w:lineRule="exact"/>
              <w:ind w:left="0" w:right="18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其他增 减变动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5,749,875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董事兼副 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董事、副总 裁兼财务 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76,970,124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76,970,124</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徐茂顺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第四届监事会任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第四届监事会任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袁瑞峰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第四届监事会任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于秀成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715"/>
        <w:gridCol w:w="888"/>
        <w:gridCol w:w="533"/>
        <w:gridCol w:w="422"/>
        <w:gridCol w:w="427"/>
        <w:gridCol w:w="850"/>
        <w:gridCol w:w="1416"/>
        <w:gridCol w:w="994"/>
        <w:gridCol w:w="941"/>
        <w:gridCol w:w="797"/>
        <w:gridCol w:w="672"/>
        <w:gridCol w:w="93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期开始之日止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王振平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赵子明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 书兼副总 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荀春阳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82,817,799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82,817,799</w:t>
            </w:r>
          </w:p>
        </w:tc>
      </w:tr>
      <w:tr>
        <w:trPr>
          <w:trHeight w:val="1661" w:hRule="exact"/>
        </w:trPr>
        <w:tc>
          <w:tcPr>
            <w:gridSpan w:val="1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备注：公司第三届董事会、监事会任期于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日届满，因相关候选人的提名工作尚在筹备之中，公司尚未进行 董事会、监事会的换届选举，公司董事会各专门委员会及高级管理人员的任期亦相应顺延。在公司董事会、监事会换届选 举完成之前，公司第三届董事会成员、监事会成员、董事会各专门委员会及高级管理人员将严格按照相关法律法规和《公 司章程》的规定继续履行董事、监事及高级管理人员的义务和职责。因此，上述董事、监事及高级管理人员本届的任期终 止日期将顺延至公司第四届董事会、监事会任期开始之日。</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二</w:t>
      </w:r>
      <w:bookmarkEnd w:id="489"/>
      <w:r>
        <w:rPr>
          <w:color w:val="000000"/>
          <w:spacing w:val="0"/>
          <w:w w:val="100"/>
          <w:position w:val="0"/>
          <w:sz w:val="24"/>
          <w:szCs w:val="24"/>
        </w:rPr>
        <w:t>、公司董事、监事、高级管理人员变动情况</w:t>
      </w:r>
      <w:bookmarkEnd w:id="487"/>
      <w:bookmarkEnd w:id="488"/>
      <w:bookmarkEnd w:id="49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824"/>
        <w:gridCol w:w="376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荀春阳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因工作调整原因离任。</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三</w:t>
      </w:r>
      <w:bookmarkEnd w:id="493"/>
      <w:r>
        <w:rPr>
          <w:color w:val="000000"/>
          <w:spacing w:val="0"/>
          <w:w w:val="100"/>
          <w:position w:val="0"/>
          <w:sz w:val="24"/>
          <w:szCs w:val="24"/>
        </w:rPr>
        <w:t>、任职情况</w:t>
      </w:r>
      <w:bookmarkEnd w:id="491"/>
      <w:bookmarkEnd w:id="492"/>
      <w:bookmarkEnd w:id="494"/>
    </w:p>
    <w:p>
      <w:pPr>
        <w:pStyle w:val="Style34"/>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tabs>
          <w:tab w:pos="668" w:val="left"/>
        </w:tabs>
        <w:bidi w:val="0"/>
        <w:spacing w:before="0" w:after="0" w:line="315" w:lineRule="exact"/>
        <w:ind w:left="0" w:right="0" w:firstLine="360"/>
        <w:jc w:val="both"/>
      </w:pPr>
      <w:bookmarkStart w:id="495" w:name="bookmark495"/>
      <w:r>
        <w:rPr>
          <w:rFonts w:ascii="Times New Roman" w:eastAsia="Times New Roman" w:hAnsi="Times New Roman" w:cs="Times New Roman"/>
          <w:color w:val="000000"/>
          <w:spacing w:val="0"/>
          <w:w w:val="100"/>
          <w:position w:val="0"/>
          <w:sz w:val="18"/>
          <w:szCs w:val="18"/>
        </w:rPr>
        <w:t>1</w:t>
      </w:r>
      <w:bookmarkEnd w:id="495"/>
      <w:r>
        <w:rPr>
          <w:color w:val="000000"/>
          <w:spacing w:val="0"/>
          <w:w w:val="100"/>
          <w:position w:val="0"/>
        </w:rPr>
        <w:t>、</w:t>
        <w:tab/>
        <w:t>邱岳，男，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年出生，中国国籍，中共党员，无境外永久居留权。本科毕业于东北财经大学投资经济专业，历任 中国建设银行青岛分行市北区支行计划财务科科长，青岛开发投资有限公司办公室副主任、投资管理部副部长，青岛城市建 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有限责任公司审计部部长，青岛红岛文化艺术中心发展有限公司总经理，青岛旅游集团有限公司副总经理，青 岛城投实业投资（集团）有限公司总经理，青岛高新区投资开发集团有限公司董事长、党委书记，青岛城投金融控股集团有 限公司总经理，青岛城投金融控股集团有限公司党委书记、副董事长（主持工作）、总经理、董事长。现任青岛城市建设投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有限责任公司副总经理，本公司董事长。</w:t>
      </w:r>
    </w:p>
    <w:p>
      <w:pPr>
        <w:pStyle w:val="Style34"/>
        <w:keepNext w:val="0"/>
        <w:keepLines w:val="0"/>
        <w:widowControl w:val="0"/>
        <w:shd w:val="clear" w:color="auto" w:fill="auto"/>
        <w:bidi w:val="0"/>
        <w:spacing w:before="0" w:after="0" w:line="315" w:lineRule="exact"/>
        <w:ind w:left="0" w:right="0" w:firstLine="360"/>
        <w:jc w:val="both"/>
      </w:pPr>
      <w:bookmarkStart w:id="496" w:name="bookmark496"/>
      <w:r>
        <w:rPr>
          <w:rFonts w:ascii="Times New Roman" w:eastAsia="Times New Roman" w:hAnsi="Times New Roman" w:cs="Times New Roman"/>
          <w:color w:val="000000"/>
          <w:spacing w:val="0"/>
          <w:w w:val="100"/>
          <w:position w:val="0"/>
          <w:sz w:val="18"/>
          <w:szCs w:val="18"/>
        </w:rPr>
        <w:t>2</w:t>
      </w:r>
      <w:bookmarkEnd w:id="496"/>
      <w:r>
        <w:rPr>
          <w:color w:val="000000"/>
          <w:spacing w:val="0"/>
          <w:w w:val="100"/>
          <w:position w:val="0"/>
        </w:rPr>
        <w:t>、 贾玉兰，女，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年出生，中国国籍，享有新西兰永久居留权，毕业于天津医科大学，本科学历。</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 天津传染病医院临床医师，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年在新西兰学习，</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月任青岛恒顺电器有限公司董事，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月任青岛中资中程集团股份有限公司监事会主席。现任本公司副董事长。</w:t>
      </w:r>
    </w:p>
    <w:p>
      <w:pPr>
        <w:pStyle w:val="Style34"/>
        <w:keepNext w:val="0"/>
        <w:keepLines w:val="0"/>
        <w:widowControl w:val="0"/>
        <w:shd w:val="clear" w:color="auto" w:fill="auto"/>
        <w:tabs>
          <w:tab w:pos="322" w:val="left"/>
        </w:tabs>
        <w:bidi w:val="0"/>
        <w:spacing w:before="0" w:after="0" w:line="315" w:lineRule="exact"/>
        <w:ind w:left="0" w:right="0" w:firstLine="360"/>
        <w:jc w:val="both"/>
      </w:pPr>
      <w:bookmarkStart w:id="497" w:name="bookmark497"/>
      <w:r>
        <w:rPr>
          <w:rFonts w:ascii="Times New Roman" w:eastAsia="Times New Roman" w:hAnsi="Times New Roman" w:cs="Times New Roman"/>
          <w:color w:val="000000"/>
          <w:spacing w:val="0"/>
          <w:w w:val="100"/>
          <w:position w:val="0"/>
          <w:sz w:val="18"/>
          <w:szCs w:val="18"/>
        </w:rPr>
        <w:t>3</w:t>
      </w:r>
      <w:bookmarkEnd w:id="497"/>
      <w:r>
        <w:rPr>
          <w:color w:val="000000"/>
          <w:spacing w:val="0"/>
          <w:w w:val="100"/>
          <w:position w:val="0"/>
        </w:rPr>
        <w:t>、</w:t>
        <w:tab/>
        <w:t>李向罡，男，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 xml:space="preserve">年出生，中国国籍，中共党员，无境外永久居留权。吉林大学管理学院技术经济及管理专业管理 </w:t>
      </w:r>
      <w:r>
        <w:rPr>
          <w:color w:val="000000"/>
          <w:spacing w:val="0"/>
          <w:w w:val="100"/>
          <w:position w:val="0"/>
        </w:rPr>
        <w:t>学博士。历任青岛开发投资公司战略投资部业务经理、高级业务经理；青岛城市建设投资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有限责任公司资本运营部、 资产管理部副部长、资本运营部部长、战略投资部部长；青岛城投金融控股集团有限公司党委副书记、董事、总经理；青岛 城投工程建设发展（集团）有限责任公司董事、青岛城投文化产业有限公司董事；青岛城市建设投资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有限责任公司机 关党委委员。现任本公司董事、总裁。</w:t>
      </w:r>
    </w:p>
    <w:p>
      <w:pPr>
        <w:pStyle w:val="Style34"/>
        <w:keepNext w:val="0"/>
        <w:keepLines w:val="0"/>
        <w:widowControl w:val="0"/>
        <w:shd w:val="clear" w:color="auto" w:fill="auto"/>
        <w:tabs>
          <w:tab w:pos="678" w:val="left"/>
        </w:tabs>
        <w:bidi w:val="0"/>
        <w:spacing w:before="0" w:after="0" w:line="317" w:lineRule="exact"/>
        <w:ind w:left="0" w:right="0"/>
        <w:jc w:val="both"/>
      </w:pPr>
      <w:bookmarkStart w:id="498" w:name="bookmark498"/>
      <w:r>
        <w:rPr>
          <w:rFonts w:ascii="Times New Roman" w:eastAsia="Times New Roman" w:hAnsi="Times New Roman" w:cs="Times New Roman"/>
          <w:color w:val="000000"/>
          <w:spacing w:val="0"/>
          <w:w w:val="100"/>
          <w:position w:val="0"/>
          <w:sz w:val="18"/>
          <w:szCs w:val="18"/>
        </w:rPr>
        <w:t>4</w:t>
      </w:r>
      <w:bookmarkEnd w:id="498"/>
      <w:r>
        <w:rPr>
          <w:color w:val="000000"/>
          <w:spacing w:val="0"/>
          <w:w w:val="100"/>
          <w:position w:val="0"/>
        </w:rPr>
        <w:t>、</w:t>
        <w:tab/>
        <w:t>王忠，男，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月出生，中国国籍，无境外永久居留权。香港理工大学品质管理理学硕士、北京大学法学硕士。 曾任职于浙江省政法管理干部学院、杭州商学院、浙江移动通信有限责任公司、中国新闻社浙江分社；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月，历任绿城房地产集团副总裁、执行总裁；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月至今，任华晟基金管理有限公司首席战略官。现任本公司董事、 副总裁。</w:t>
      </w:r>
    </w:p>
    <w:p>
      <w:pPr>
        <w:pStyle w:val="Style34"/>
        <w:keepNext w:val="0"/>
        <w:keepLines w:val="0"/>
        <w:widowControl w:val="0"/>
        <w:shd w:val="clear" w:color="auto" w:fill="auto"/>
        <w:tabs>
          <w:tab w:pos="678" w:val="left"/>
        </w:tabs>
        <w:bidi w:val="0"/>
        <w:spacing w:before="0" w:after="0" w:line="317" w:lineRule="exact"/>
        <w:ind w:left="0" w:right="0"/>
        <w:jc w:val="both"/>
      </w:pPr>
      <w:bookmarkStart w:id="499" w:name="bookmark499"/>
      <w:r>
        <w:rPr>
          <w:rFonts w:ascii="Times New Roman" w:eastAsia="Times New Roman" w:hAnsi="Times New Roman" w:cs="Times New Roman"/>
          <w:color w:val="000000"/>
          <w:spacing w:val="0"/>
          <w:w w:val="100"/>
          <w:position w:val="0"/>
          <w:sz w:val="18"/>
          <w:szCs w:val="18"/>
        </w:rPr>
        <w:t>5</w:t>
      </w:r>
      <w:bookmarkEnd w:id="499"/>
      <w:r>
        <w:rPr>
          <w:color w:val="000000"/>
          <w:spacing w:val="0"/>
          <w:w w:val="100"/>
          <w:position w:val="0"/>
        </w:rPr>
        <w:t>、</w:t>
        <w:tab/>
        <w:t>陈荣东，男，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年就读于中国人民解放军外国语学院，硕 士研究生学历。曾供职于解放军外国语学院及中国人民财产保险股份有限公司。现任本公司副总裁兼财务总监。</w:t>
      </w:r>
    </w:p>
    <w:p>
      <w:pPr>
        <w:pStyle w:val="Style34"/>
        <w:keepNext w:val="0"/>
        <w:keepLines w:val="0"/>
        <w:widowControl w:val="0"/>
        <w:shd w:val="clear" w:color="auto" w:fill="auto"/>
        <w:bidi w:val="0"/>
        <w:spacing w:before="0" w:after="0" w:line="317" w:lineRule="exact"/>
        <w:ind w:left="0" w:right="0"/>
        <w:jc w:val="both"/>
      </w:pPr>
      <w:bookmarkStart w:id="500" w:name="bookmark500"/>
      <w:r>
        <w:rPr>
          <w:rFonts w:ascii="Times New Roman" w:eastAsia="Times New Roman" w:hAnsi="Times New Roman" w:cs="Times New Roman"/>
          <w:color w:val="000000"/>
          <w:spacing w:val="0"/>
          <w:w w:val="100"/>
          <w:position w:val="0"/>
          <w:sz w:val="18"/>
          <w:szCs w:val="18"/>
        </w:rPr>
        <w:t>6</w:t>
      </w:r>
      <w:bookmarkEnd w:id="500"/>
      <w:r>
        <w:rPr>
          <w:color w:val="000000"/>
          <w:spacing w:val="0"/>
          <w:w w:val="100"/>
          <w:position w:val="0"/>
        </w:rPr>
        <w:t>、 贾晓钰，男，</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年出生，中国国籍，无境外永久居留权。澳大利亚昆士兰大学学士学位。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月加入青岛中 资中程集团股份有限公司，任公司下属子公司青岛恒顺节能科技有限公司总经理。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年底参与公司海外业务拓展，负责集 团在印尼矿产运营、综合工业园开发和建设等投资项目，积累了丰富的投资和管理经验。现任本公司董事。</w:t>
      </w:r>
    </w:p>
    <w:p>
      <w:pPr>
        <w:pStyle w:val="Style34"/>
        <w:keepNext w:val="0"/>
        <w:keepLines w:val="0"/>
        <w:widowControl w:val="0"/>
        <w:shd w:val="clear" w:color="auto" w:fill="auto"/>
        <w:bidi w:val="0"/>
        <w:spacing w:before="0" w:after="0" w:line="312" w:lineRule="exact"/>
        <w:ind w:left="0" w:right="0"/>
        <w:jc w:val="both"/>
      </w:pPr>
      <w:bookmarkStart w:id="501" w:name="bookmark501"/>
      <w:r>
        <w:rPr>
          <w:rFonts w:ascii="Times New Roman" w:eastAsia="Times New Roman" w:hAnsi="Times New Roman" w:cs="Times New Roman"/>
          <w:color w:val="000000"/>
          <w:spacing w:val="0"/>
          <w:w w:val="100"/>
          <w:position w:val="0"/>
          <w:sz w:val="18"/>
          <w:szCs w:val="18"/>
        </w:rPr>
        <w:t>7</w:t>
      </w:r>
      <w:bookmarkEnd w:id="501"/>
      <w:r>
        <w:rPr>
          <w:color w:val="000000"/>
          <w:spacing w:val="0"/>
          <w:w w:val="100"/>
          <w:position w:val="0"/>
        </w:rPr>
        <w:t>、 赵风雷，男，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年出生，中国国籍，无境外永久居留权。本科毕业于浙江大学工业管理工程专业，中国海洋大学 工商管理硕士。历任青岛双星鞋业股份有限公司筹委会秘书、证券部经理；青岛城投金融控股集团有限公司副总经理；青岛 城投金控股权投资管理有限公司总经理。现任青岛城投集团基金管理中心主任，青岛城投科技发展有限公司董事长，青岛城 投股权投资管理有限公司董事长，本公司董事。</w:t>
      </w:r>
    </w:p>
    <w:p>
      <w:pPr>
        <w:pStyle w:val="Style34"/>
        <w:keepNext w:val="0"/>
        <w:keepLines w:val="0"/>
        <w:widowControl w:val="0"/>
        <w:shd w:val="clear" w:color="auto" w:fill="auto"/>
        <w:tabs>
          <w:tab w:pos="678" w:val="left"/>
        </w:tabs>
        <w:bidi w:val="0"/>
        <w:spacing w:before="0" w:after="0" w:line="315" w:lineRule="exact"/>
        <w:ind w:left="0" w:right="0"/>
        <w:jc w:val="both"/>
      </w:pPr>
      <w:bookmarkStart w:id="502" w:name="bookmark502"/>
      <w:r>
        <w:rPr>
          <w:rFonts w:ascii="Times New Roman" w:eastAsia="Times New Roman" w:hAnsi="Times New Roman" w:cs="Times New Roman"/>
          <w:color w:val="000000"/>
          <w:spacing w:val="0"/>
          <w:w w:val="100"/>
          <w:position w:val="0"/>
          <w:sz w:val="18"/>
          <w:szCs w:val="18"/>
        </w:rPr>
        <w:t>8</w:t>
      </w:r>
      <w:bookmarkEnd w:id="502"/>
      <w:r>
        <w:rPr>
          <w:color w:val="000000"/>
          <w:spacing w:val="0"/>
          <w:w w:val="100"/>
          <w:position w:val="0"/>
        </w:rPr>
        <w:t>、</w:t>
        <w:tab/>
        <w:t>徐茂顺，男，</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年出生，中国国籍，无境外永久居留权，吉林大学硕士学位，中共党员。曾任山东省电力公司青 岛供电公司副总经理、调研员。现任公司独立董事。</w:t>
      </w:r>
    </w:p>
    <w:p>
      <w:pPr>
        <w:pStyle w:val="Style34"/>
        <w:keepNext w:val="0"/>
        <w:keepLines w:val="0"/>
        <w:widowControl w:val="0"/>
        <w:shd w:val="clear" w:color="auto" w:fill="auto"/>
        <w:tabs>
          <w:tab w:pos="678" w:val="left"/>
        </w:tabs>
        <w:bidi w:val="0"/>
        <w:spacing w:before="0" w:after="0" w:line="315" w:lineRule="exact"/>
        <w:ind w:left="0" w:right="0"/>
        <w:jc w:val="both"/>
      </w:pPr>
      <w:bookmarkStart w:id="503" w:name="bookmark503"/>
      <w:r>
        <w:rPr>
          <w:rFonts w:ascii="Times New Roman" w:eastAsia="Times New Roman" w:hAnsi="Times New Roman" w:cs="Times New Roman"/>
          <w:color w:val="000000"/>
          <w:spacing w:val="0"/>
          <w:w w:val="100"/>
          <w:position w:val="0"/>
          <w:sz w:val="18"/>
          <w:szCs w:val="18"/>
        </w:rPr>
        <w:t>9</w:t>
      </w:r>
      <w:bookmarkEnd w:id="503"/>
      <w:r>
        <w:rPr>
          <w:color w:val="000000"/>
          <w:spacing w:val="0"/>
          <w:w w:val="100"/>
          <w:position w:val="0"/>
        </w:rPr>
        <w:t>、</w:t>
        <w:tab/>
        <w:t>王竹泉，男，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年出生，中国国籍，无境外永久居留权，管理学（会计学）博士。历任中国海洋大学管理学院副 院长、系主任，青岛理工大学教授。现任中国海洋大学教授、博士生导师，兼任青岛双星股份有限公司、烟台张裕葡萄酿酒 股份有限公司、青岛金王应用化学股份有限公司、青岛特锐德电气股份有限公司独立董事。现任本公司独立董事。</w:t>
      </w:r>
    </w:p>
    <w:p>
      <w:pPr>
        <w:pStyle w:val="Style34"/>
        <w:keepNext w:val="0"/>
        <w:keepLines w:val="0"/>
        <w:widowControl w:val="0"/>
        <w:shd w:val="clear" w:color="auto" w:fill="auto"/>
        <w:bidi w:val="0"/>
        <w:spacing w:before="0" w:after="0" w:line="315" w:lineRule="exact"/>
        <w:ind w:left="0" w:right="0"/>
        <w:jc w:val="both"/>
      </w:pPr>
      <w:bookmarkStart w:id="504" w:name="bookmark504"/>
      <w:r>
        <w:rPr>
          <w:rFonts w:ascii="Times New Roman" w:eastAsia="Times New Roman" w:hAnsi="Times New Roman" w:cs="Times New Roman"/>
          <w:color w:val="000000"/>
          <w:spacing w:val="0"/>
          <w:w w:val="100"/>
          <w:position w:val="0"/>
          <w:sz w:val="18"/>
          <w:szCs w:val="18"/>
        </w:rPr>
        <w:t>1</w:t>
      </w:r>
      <w:bookmarkEnd w:id="504"/>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孙建强，男，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年出生，中国国籍，无境外永久居留权。毕业于西安交通大学，博士研究生学历，教授，国家科 技部创新基金评审专家和火炬计划评审专家，青岛市崂山区人大常委会财经咨询委员会委员。现任中国海洋大学管理学院会 计学系教授、会计硕士教育中心副主任、中国混合所有制与资本管理研究院副院长、中国会计研究与教育杂志执行主编。兼 任山东玲珑轮胎股份有限公司、利群商业集团股份有限公司、海利尔药业集团股份有限公司、青岛酷特智能股份有限公司独 立董事。现任本公司独立董事。</w:t>
      </w:r>
    </w:p>
    <w:p>
      <w:pPr>
        <w:pStyle w:val="Style34"/>
        <w:keepNext w:val="0"/>
        <w:keepLines w:val="0"/>
        <w:widowControl w:val="0"/>
        <w:shd w:val="clear" w:color="auto" w:fill="auto"/>
        <w:bidi w:val="0"/>
        <w:spacing w:before="0" w:after="0" w:line="315" w:lineRule="exact"/>
        <w:ind w:left="0" w:right="0"/>
        <w:jc w:val="both"/>
      </w:pPr>
      <w:bookmarkStart w:id="505" w:name="bookmark505"/>
      <w:r>
        <w:rPr>
          <w:rFonts w:ascii="Times New Roman" w:eastAsia="Times New Roman" w:hAnsi="Times New Roman" w:cs="Times New Roman"/>
          <w:color w:val="000000"/>
          <w:spacing w:val="0"/>
          <w:w w:val="100"/>
          <w:position w:val="0"/>
          <w:sz w:val="18"/>
          <w:szCs w:val="18"/>
        </w:rPr>
        <w:t>1</w:t>
      </w:r>
      <w:bookmarkEnd w:id="5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傅瑜，男，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月毕业于西北政法学院（现西北政法大学）。现 任西北政法大学经济法学院副教授，财税法教研室主任、证券法研究中心、信托法研究中心主任，主要兼职有中国证券法学 研究会、中国银行法学研究会理事，陕西省法学会税法研究会、经济法研究会、金融法研究会常务理事，陕西法智律师事务 所律师、西安仲裁委员会仲裁员。兼任长安期货有限公司、榆林康隆石油技术服务股份有限公司、西安旅游股份有限公司独 立董事。现任本公司独立董事。</w:t>
      </w:r>
    </w:p>
    <w:p>
      <w:pPr>
        <w:pStyle w:val="Style34"/>
        <w:keepNext w:val="0"/>
        <w:keepLines w:val="0"/>
        <w:widowControl w:val="0"/>
        <w:shd w:val="clear" w:color="auto" w:fill="auto"/>
        <w:tabs>
          <w:tab w:pos="735" w:val="left"/>
        </w:tabs>
        <w:bidi w:val="0"/>
        <w:spacing w:before="0" w:after="0" w:line="315" w:lineRule="exact"/>
        <w:ind w:left="0" w:right="0"/>
        <w:jc w:val="both"/>
      </w:pPr>
      <w:bookmarkStart w:id="506" w:name="bookmark506"/>
      <w:r>
        <w:rPr>
          <w:rFonts w:ascii="Times New Roman" w:eastAsia="Times New Roman" w:hAnsi="Times New Roman" w:cs="Times New Roman"/>
          <w:color w:val="000000"/>
          <w:spacing w:val="0"/>
          <w:w w:val="100"/>
          <w:position w:val="0"/>
          <w:sz w:val="18"/>
          <w:szCs w:val="18"/>
        </w:rPr>
        <w:t>1</w:t>
      </w:r>
      <w:bookmarkEnd w:id="5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赵焕森，男，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年出生，中国国籍，无境外永久居留权，中国注册会计师协会资深会员，高级咨询师、会计师。 历任山东大信会计师事务所有限公司部门主任、副所长、主任会计师，大信会计师事务所（特殊普通合伙）合伙人、青岛分 所常务副总经理，青岛城市建设投资（集团）有限责任公司审计部副部长，青岛城乡社区建设融资担保有限公司监事，青岛 城投金融控股集团有限公司副总经理。现任青岛城投集团香港公司党支部书记、专业总监，青岛红岛文化艺术中心发展有限 公司、青岛城投循环股权投资管理有限责任公司、青岛汇泉财富金融信息服务有限公司监事，本公司监事会主席。</w:t>
      </w:r>
    </w:p>
    <w:p>
      <w:pPr>
        <w:pStyle w:val="Style34"/>
        <w:keepNext w:val="0"/>
        <w:keepLines w:val="0"/>
        <w:widowControl w:val="0"/>
        <w:shd w:val="clear" w:color="auto" w:fill="auto"/>
        <w:tabs>
          <w:tab w:pos="735" w:val="left"/>
        </w:tabs>
        <w:bidi w:val="0"/>
        <w:spacing w:before="0" w:after="0" w:line="315" w:lineRule="exact"/>
        <w:ind w:left="0" w:right="0"/>
        <w:jc w:val="both"/>
      </w:pPr>
      <w:bookmarkStart w:id="507" w:name="bookmark507"/>
      <w:r>
        <w:rPr>
          <w:rFonts w:ascii="Times New Roman" w:eastAsia="Times New Roman" w:hAnsi="Times New Roman" w:cs="Times New Roman"/>
          <w:color w:val="000000"/>
          <w:spacing w:val="0"/>
          <w:w w:val="100"/>
          <w:position w:val="0"/>
          <w:sz w:val="18"/>
          <w:szCs w:val="18"/>
        </w:rPr>
        <w:t>1</w:t>
      </w:r>
      <w:bookmarkEnd w:id="5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陈璋，男，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年毕业于河北地质大学工程管理专业，本科学历，中 级工程师。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年于浙江省火电建设公司合同部从事概预算工作；</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年工作于浙江西子联合工程有限公 司，期间任概预算室主任、技术经济部副部长等职务；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年至今工作于浙江铂瑞电力设计有限公司。现任本公司监事。</w:t>
      </w:r>
    </w:p>
    <w:p>
      <w:pPr>
        <w:pStyle w:val="Style34"/>
        <w:keepNext w:val="0"/>
        <w:keepLines w:val="0"/>
        <w:widowControl w:val="0"/>
        <w:shd w:val="clear" w:color="auto" w:fill="auto"/>
        <w:tabs>
          <w:tab w:pos="735" w:val="left"/>
        </w:tabs>
        <w:bidi w:val="0"/>
        <w:spacing w:before="0" w:after="0" w:line="315" w:lineRule="exact"/>
        <w:ind w:left="0" w:right="0"/>
        <w:jc w:val="both"/>
      </w:pPr>
      <w:bookmarkStart w:id="508" w:name="bookmark508"/>
      <w:r>
        <w:rPr>
          <w:rFonts w:ascii="Times New Roman" w:eastAsia="Times New Roman" w:hAnsi="Times New Roman" w:cs="Times New Roman"/>
          <w:color w:val="000000"/>
          <w:spacing w:val="0"/>
          <w:w w:val="100"/>
          <w:position w:val="0"/>
          <w:sz w:val="18"/>
          <w:szCs w:val="18"/>
        </w:rPr>
        <w:t>1</w:t>
      </w:r>
      <w:bookmarkEnd w:id="50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袁瑞峰，女，中国国籍，无境外永久居留权，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月毕业于青岛建筑工程学院财务会计专业，会 计初级职称。</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年起入职公司，曾担任公司财务部副经理、销售部副经理、生产部总调度职务。现任本公司物资部经理、 职工监事。</w:t>
      </w:r>
    </w:p>
    <w:p>
      <w:pPr>
        <w:pStyle w:val="Style34"/>
        <w:keepNext w:val="0"/>
        <w:keepLines w:val="0"/>
        <w:widowControl w:val="0"/>
        <w:shd w:val="clear" w:color="auto" w:fill="auto"/>
        <w:tabs>
          <w:tab w:pos="366" w:val="left"/>
        </w:tabs>
        <w:bidi w:val="0"/>
        <w:spacing w:before="0" w:after="0" w:line="315" w:lineRule="exact"/>
        <w:ind w:left="0" w:right="0"/>
        <w:jc w:val="both"/>
      </w:pPr>
      <w:bookmarkStart w:id="509" w:name="bookmark509"/>
      <w:r>
        <w:rPr>
          <w:rFonts w:ascii="Times New Roman" w:eastAsia="Times New Roman" w:hAnsi="Times New Roman" w:cs="Times New Roman"/>
          <w:color w:val="000000"/>
          <w:spacing w:val="0"/>
          <w:w w:val="100"/>
          <w:position w:val="0"/>
          <w:sz w:val="18"/>
          <w:szCs w:val="18"/>
        </w:rPr>
        <w:t>1</w:t>
      </w:r>
      <w:bookmarkEnd w:id="50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于秀成，男，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 xml:space="preserve">年出生，中国国籍，无境外永久居留权。毕业于青岛理工大学财务管理专业，南开大学高级工商 </w:t>
      </w:r>
      <w:r>
        <w:rPr>
          <w:color w:val="000000"/>
          <w:spacing w:val="0"/>
          <w:w w:val="100"/>
          <w:position w:val="0"/>
        </w:rPr>
        <w:t>管理硕士学位（</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。青岛地恩地集团创始人之一，</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年担任青岛地恩地集团执行董事兼财务总监；</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月担任青岛国融集团副总裁及国融融资租赁有限公司总经理；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月担任深圳前海海加利 财富管理有限公司执行总裁；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月任本公司副总裁兼财务总监。现任本公司副总裁。</w:t>
      </w:r>
    </w:p>
    <w:p>
      <w:pPr>
        <w:pStyle w:val="Style34"/>
        <w:keepNext w:val="0"/>
        <w:keepLines w:val="0"/>
        <w:widowControl w:val="0"/>
        <w:shd w:val="clear" w:color="auto" w:fill="auto"/>
        <w:tabs>
          <w:tab w:pos="735" w:val="left"/>
        </w:tabs>
        <w:bidi w:val="0"/>
        <w:spacing w:before="0" w:after="0" w:line="312" w:lineRule="exact"/>
        <w:ind w:left="0" w:right="0" w:firstLine="360"/>
        <w:jc w:val="left"/>
      </w:pPr>
      <w:bookmarkStart w:id="510" w:name="bookmark510"/>
      <w:r>
        <w:rPr>
          <w:rFonts w:ascii="Times New Roman" w:eastAsia="Times New Roman" w:hAnsi="Times New Roman" w:cs="Times New Roman"/>
          <w:color w:val="000000"/>
          <w:spacing w:val="0"/>
          <w:w w:val="100"/>
          <w:position w:val="0"/>
          <w:sz w:val="18"/>
          <w:szCs w:val="18"/>
        </w:rPr>
        <w:t>1</w:t>
      </w:r>
      <w:bookmarkEnd w:id="51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王振平，男，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年毕业于辽宁科技大学，煤化工专业， 注册动力工程师，教授级高级工程师。王振平先生从事的专业技术领域涉及冶金、市政、能源、环保等方面。</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月，历任包头钢铁设计研究总院燃气室主任，中冶东方工程技术有限公司动力所所长，中冶东方工程技术有限公司总经 理助理、副总工程师；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月兼任中冶集团美丽乡村、智慧城市技术研究院副院长。现任本公司副总裁。</w:t>
      </w:r>
    </w:p>
    <w:p>
      <w:pPr>
        <w:pStyle w:val="Style34"/>
        <w:keepNext w:val="0"/>
        <w:keepLines w:val="0"/>
        <w:widowControl w:val="0"/>
        <w:shd w:val="clear" w:color="auto" w:fill="auto"/>
        <w:bidi w:val="0"/>
        <w:spacing w:before="0" w:after="0" w:line="312" w:lineRule="exact"/>
        <w:ind w:left="0" w:right="0" w:firstLine="360"/>
        <w:jc w:val="left"/>
      </w:pPr>
      <w:bookmarkStart w:id="511" w:name="bookmark511"/>
      <w:r>
        <w:rPr>
          <w:rFonts w:ascii="Times New Roman" w:eastAsia="Times New Roman" w:hAnsi="Times New Roman" w:cs="Times New Roman"/>
          <w:color w:val="000000"/>
          <w:spacing w:val="0"/>
          <w:w w:val="100"/>
          <w:position w:val="0"/>
          <w:sz w:val="18"/>
          <w:szCs w:val="18"/>
        </w:rPr>
        <w:t>1</w:t>
      </w:r>
      <w:bookmarkEnd w:id="511"/>
      <w:r>
        <w:rPr>
          <w:rFonts w:ascii="Times New Roman" w:eastAsia="Times New Roman" w:hAnsi="Times New Roman" w:cs="Times New Roman"/>
          <w:color w:val="000000"/>
          <w:spacing w:val="0"/>
          <w:w w:val="100"/>
          <w:position w:val="0"/>
          <w:sz w:val="18"/>
          <w:szCs w:val="18"/>
        </w:rPr>
        <w:t>7</w:t>
      </w:r>
      <w:r>
        <w:rPr>
          <w:color w:val="000000"/>
          <w:spacing w:val="0"/>
          <w:w w:val="100"/>
          <w:position w:val="0"/>
        </w:rPr>
        <w:t>、 于珊，女，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年毕业于青岛大学经济管理专业，持有高级会计师、 中国注册会计师、中国注册评估师、中国注册金融分析师资格证书。于珊女士主要从事于财务管理、资产管理、投融资项目 管理、风险控制等工作。</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年至今，历任青岛市崂山区审计局审计事务所干部，青岛海晖会计师事务所合伙人、副所长, 青岛海华资产评估事务所副所长、合伙人，青岛中山置业开发有限公司兼青岛中创置业有限公司财务总监、副总经理，青岛 城市建设投资集团有限公司地产营销中心副主任，青岛城乡建设小额贷款有限公司、青岛城乡社区建设投资集团有限公司董 事、副总经理。曾担任青岛新华锦股份有限公司、青岛双星股份有限公司独立董事。现任本公司副总裁。</w:t>
      </w:r>
    </w:p>
    <w:p>
      <w:pPr>
        <w:pStyle w:val="Style34"/>
        <w:keepNext w:val="0"/>
        <w:keepLines w:val="0"/>
        <w:widowControl w:val="0"/>
        <w:shd w:val="clear" w:color="auto" w:fill="auto"/>
        <w:bidi w:val="0"/>
        <w:spacing w:before="0" w:after="0" w:line="312" w:lineRule="exact"/>
        <w:ind w:left="0" w:right="0" w:firstLine="360"/>
        <w:jc w:val="left"/>
      </w:pPr>
      <w:bookmarkStart w:id="512" w:name="bookmark512"/>
      <w:r>
        <w:rPr>
          <w:rFonts w:ascii="Times New Roman" w:eastAsia="Times New Roman" w:hAnsi="Times New Roman" w:cs="Times New Roman"/>
          <w:color w:val="000000"/>
          <w:spacing w:val="0"/>
          <w:w w:val="100"/>
          <w:position w:val="0"/>
          <w:sz w:val="18"/>
          <w:szCs w:val="18"/>
        </w:rPr>
        <w:t>1</w:t>
      </w:r>
      <w:bookmarkEnd w:id="512"/>
      <w:r>
        <w:rPr>
          <w:rFonts w:ascii="Times New Roman" w:eastAsia="Times New Roman" w:hAnsi="Times New Roman" w:cs="Times New Roman"/>
          <w:color w:val="000000"/>
          <w:spacing w:val="0"/>
          <w:w w:val="100"/>
          <w:position w:val="0"/>
          <w:sz w:val="18"/>
          <w:szCs w:val="18"/>
        </w:rPr>
        <w:t>8</w:t>
      </w:r>
      <w:r>
        <w:rPr>
          <w:color w:val="000000"/>
          <w:spacing w:val="0"/>
          <w:w w:val="100"/>
          <w:position w:val="0"/>
        </w:rPr>
        <w:t>、 陈坚，男，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年毕业于重庆大学热能动力专业，本科学历，高级工 程师。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年于江西省电力设计院从事设计开发工作，期间曾任江西东源环保电力科技有限公司总经理、江西省电 力设计院杭州分院院长等职务，</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年任浙江西子联合工程有限公司总经理。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年在浙江大学工作。</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月任本公司董事、副总裁。现任本公司副总裁。</w:t>
      </w:r>
    </w:p>
    <w:p>
      <w:pPr>
        <w:pStyle w:val="Style34"/>
        <w:keepNext w:val="0"/>
        <w:keepLines w:val="0"/>
        <w:widowControl w:val="0"/>
        <w:shd w:val="clear" w:color="auto" w:fill="auto"/>
        <w:tabs>
          <w:tab w:pos="735" w:val="left"/>
        </w:tabs>
        <w:bidi w:val="0"/>
        <w:spacing w:before="0" w:after="0" w:line="312" w:lineRule="exact"/>
        <w:ind w:left="0" w:right="0" w:firstLine="360"/>
        <w:jc w:val="left"/>
      </w:pPr>
      <w:bookmarkStart w:id="513" w:name="bookmark513"/>
      <w:r>
        <w:rPr>
          <w:rFonts w:ascii="Times New Roman" w:eastAsia="Times New Roman" w:hAnsi="Times New Roman" w:cs="Times New Roman"/>
          <w:color w:val="000000"/>
          <w:spacing w:val="0"/>
          <w:w w:val="100"/>
          <w:position w:val="0"/>
          <w:sz w:val="18"/>
          <w:szCs w:val="18"/>
        </w:rPr>
        <w:t>1</w:t>
      </w:r>
      <w:bookmarkEnd w:id="513"/>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赵子明，女，</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年出生，中国国籍，无境外永久居留权。青岛理工大学国际经济与贸易学士学位，持有深圳证券 交易所颁发的董事会秘书任职资格证书。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月任青岛中程人力资源部人事专员，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月任青岛中程证券事务代表,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月任青岛中程证券部部长，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月至今任本公司副总裁兼董事会秘书。</w:t>
      </w:r>
    </w:p>
    <w:p>
      <w:pPr>
        <w:pStyle w:val="Style34"/>
        <w:keepNext w:val="0"/>
        <w:keepLines w:val="0"/>
        <w:widowControl w:val="0"/>
        <w:shd w:val="clear" w:color="auto" w:fill="auto"/>
        <w:bidi w:val="0"/>
        <w:spacing w:before="0" w:after="140" w:line="312" w:lineRule="exact"/>
        <w:ind w:left="0" w:right="0" w:firstLine="360"/>
        <w:jc w:val="left"/>
      </w:pPr>
      <w:bookmarkStart w:id="514" w:name="bookmark514"/>
      <w:r>
        <w:rPr>
          <w:rFonts w:ascii="Times New Roman" w:eastAsia="Times New Roman" w:hAnsi="Times New Roman" w:cs="Times New Roman"/>
          <w:color w:val="000000"/>
          <w:spacing w:val="0"/>
          <w:w w:val="100"/>
          <w:position w:val="0"/>
          <w:sz w:val="18"/>
          <w:szCs w:val="18"/>
        </w:rPr>
        <w:t>2</w:t>
      </w:r>
      <w:bookmarkEnd w:id="514"/>
      <w:r>
        <w:rPr>
          <w:rFonts w:ascii="Times New Roman" w:eastAsia="Times New Roman" w:hAnsi="Times New Roman" w:cs="Times New Roman"/>
          <w:color w:val="000000"/>
          <w:spacing w:val="0"/>
          <w:w w:val="100"/>
          <w:position w:val="0"/>
          <w:sz w:val="18"/>
          <w:szCs w:val="18"/>
        </w:rPr>
        <w:t>0</w:t>
      </w:r>
      <w:r>
        <w:rPr>
          <w:color w:val="000000"/>
          <w:spacing w:val="0"/>
          <w:w w:val="100"/>
          <w:position w:val="0"/>
        </w:rPr>
        <w:t>、 董东，男，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年出生，中国国籍，无境外永久居留权。山东建筑大学本科学历。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月，历任青 岛建设集团公司项目经理、青岛东奥开发建设集团公司主管工程师；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限责任公司项目经理、工管中心副主任；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月，任常州武进万达广场投资有限公司副总经理；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月任青岛海尔产城创集团有限公司区域总经理。现任本公司副总裁。</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336"/>
        <w:gridCol w:w="1982"/>
        <w:gridCol w:w="850"/>
        <w:gridCol w:w="854"/>
        <w:gridCol w:w="135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青岛奥帆中心演艺有限公司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青岛燕岛宾馆有限公司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青岛城投海外发展有限公司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青岛城投集团基金管理中心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青岛城投股权投资管理有限公司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深圳青云万里资产管理有限公司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青岛城投循环股权投资管理有限责任公司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青岛城投科技发展有限公司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336"/>
        <w:gridCol w:w="1982"/>
        <w:gridCol w:w="850"/>
        <w:gridCol w:w="854"/>
        <w:gridCol w:w="135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青岛城投能源股权投资管理有限公司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青岛城投集团香港公司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党支部书记、专业总监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青岛城投循环股权投资管理有限责任公司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青岛汇泉财富金融信息服务有限公司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4"/>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3970"/>
        <w:gridCol w:w="1982"/>
        <w:gridCol w:w="710"/>
        <w:gridCol w:w="710"/>
        <w:gridCol w:w="1354"/>
      </w:tblGrid>
      <w:tr>
        <w:trPr>
          <w:trHeight w:val="44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其他单位名称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始日期</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交建城投控股（山东）有限公司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青岛鹰奥置业有限公司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新余清源环保投资管理有限公司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广西恒鼎房地产开发有限公司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青岛中资中程矿产资源有限公司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青岛中资中程国际贸易有限责任公司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交建城投控股（山东）有限公司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中信资本（青岛）投资管理有限公司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浙江绿谷投资有限公司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青岛晟鑫诚咨询服务有限公司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青岛恒顺节能科技有限公司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青岛循环企业管理有限责任公司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澳柯玛股份有限公司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青岛海丝泉宗投资管理有限公司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徐茂顺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青岛汉缆股份有限公司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青岛双星股份有限公司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烟台张裕葡萄酿酒股份有限公司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青岛金王应用化学股份有限公司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9"/>
        <w:gridCol w:w="3970"/>
        <w:gridCol w:w="1982"/>
        <w:gridCol w:w="710"/>
        <w:gridCol w:w="710"/>
        <w:gridCol w:w="135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青岛特锐德电气股份有限公司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青岛中科英泰商用系统股份有限公司（拟上市）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青岛三力本诺新材料股份有限公司（拟上市）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管理学院会计学系教授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山东玲珑轮胎股份有限公司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利群商业集团股份有限公司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海利尔药业集团股份有限公司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青岛酷特智能股份有限公司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青岛正望钢水控制股份有限公司（拟上市）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青岛青禾人造草坪股份有限公司（拟上市）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西北政法大学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经济法学院副教授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长安期货有限公司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榆林康隆石油技术服务股份有限公司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西安旅游股份有限公司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摩达税务师事务所（西安）有限责任公司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天智赋（北京）教育科技有限公司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摩达法律科技（西安）有限公司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青岛东方口岸海投科技有限公司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红纺文化有限公司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青岛约蓝财务顾问有限公司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扬州远海滨江中程供应链有限公司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青岛中程信颐智能科技有限公司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扬州远海滨江中程供应链有限公司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4"/>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日收到证监会下发的《行政处罚决定书》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，依据《证券法》第一百九十三条第一款的规 定，证监会决定：对贾晓钰给予警告，并处以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万元罚款；对贾玉兰给予警告，并处以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万元罚款。</w:t>
      </w:r>
    </w:p>
    <w:p>
      <w:pPr>
        <w:pStyle w:val="Style30"/>
        <w:keepNext/>
        <w:keepLines/>
        <w:widowControl w:val="0"/>
        <w:shd w:val="clear" w:color="auto" w:fill="auto"/>
        <w:bidi w:val="0"/>
        <w:spacing w:before="0" w:after="24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四</w:t>
      </w:r>
      <w:bookmarkEnd w:id="517"/>
      <w:r>
        <w:rPr>
          <w:color w:val="000000"/>
          <w:spacing w:val="0"/>
          <w:w w:val="100"/>
          <w:position w:val="0"/>
          <w:sz w:val="24"/>
          <w:szCs w:val="24"/>
        </w:rPr>
        <w:t>、董事、监事、高级管理人员报酬情况</w:t>
      </w:r>
      <w:bookmarkEnd w:id="515"/>
      <w:bookmarkEnd w:id="516"/>
      <w:bookmarkEnd w:id="518"/>
    </w:p>
    <w:p>
      <w:pPr>
        <w:pStyle w:val="Style34"/>
        <w:keepNext w:val="0"/>
        <w:keepLines w:val="0"/>
        <w:widowControl w:val="0"/>
        <w:shd w:val="clear" w:color="auto" w:fill="auto"/>
        <w:bidi w:val="0"/>
        <w:spacing w:before="0" w:after="40" w:line="319" w:lineRule="exact"/>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tabs>
          <w:tab w:pos="685" w:val="left"/>
        </w:tabs>
        <w:bidi w:val="0"/>
        <w:spacing w:before="0" w:after="0" w:line="319" w:lineRule="exact"/>
        <w:ind w:left="0" w:right="0" w:firstLine="360"/>
        <w:jc w:val="both"/>
      </w:pPr>
      <w:bookmarkStart w:id="519" w:name="bookmark519"/>
      <w:r>
        <w:rPr>
          <w:rFonts w:ascii="Times New Roman" w:eastAsia="Times New Roman" w:hAnsi="Times New Roman" w:cs="Times New Roman"/>
          <w:color w:val="000000"/>
          <w:spacing w:val="0"/>
          <w:w w:val="100"/>
          <w:position w:val="0"/>
          <w:sz w:val="18"/>
          <w:szCs w:val="18"/>
        </w:rPr>
        <w:t>1</w:t>
      </w:r>
      <w:bookmarkEnd w:id="519"/>
      <w:r>
        <w:rPr>
          <w:color w:val="000000"/>
          <w:spacing w:val="0"/>
          <w:w w:val="100"/>
          <w:position w:val="0"/>
        </w:rPr>
        <w:t>、</w:t>
        <w:tab/>
        <w:t>董事、监事、高级管理人员报酬的决策程序：公司董事、独立董事、监事报酬由股东大会决定，高级管理人员报酬 由董事会决定；在公司履职的董事、监事和高级管理人员根据薪酬标准按具体职务领取薪酬。</w:t>
      </w:r>
    </w:p>
    <w:p>
      <w:pPr>
        <w:pStyle w:val="Style34"/>
        <w:keepNext w:val="0"/>
        <w:keepLines w:val="0"/>
        <w:widowControl w:val="0"/>
        <w:shd w:val="clear" w:color="auto" w:fill="auto"/>
        <w:bidi w:val="0"/>
        <w:spacing w:before="0" w:after="140" w:line="319" w:lineRule="exact"/>
        <w:ind w:left="0" w:right="0" w:firstLine="360"/>
        <w:jc w:val="both"/>
      </w:pPr>
      <w:bookmarkStart w:id="520" w:name="bookmark520"/>
      <w:r>
        <w:rPr>
          <w:rFonts w:ascii="Times New Roman" w:eastAsia="Times New Roman" w:hAnsi="Times New Roman" w:cs="Times New Roman"/>
          <w:color w:val="000000"/>
          <w:spacing w:val="0"/>
          <w:w w:val="100"/>
          <w:position w:val="0"/>
          <w:sz w:val="18"/>
          <w:szCs w:val="18"/>
        </w:rPr>
        <w:t>2</w:t>
      </w:r>
      <w:bookmarkEnd w:id="520"/>
      <w:r>
        <w:rPr>
          <w:color w:val="000000"/>
          <w:spacing w:val="0"/>
          <w:w w:val="100"/>
          <w:position w:val="0"/>
        </w:rPr>
        <w:t>、 董事、监事、高级管理人员报酬确定依据：董事、监事和高级管理人员的报酬按照公司董事会《薪酬与考核委员会 工作细则》的规定，结合其经营绩效、工作能力、岗位职级等考核确定并发放。</w:t>
      </w:r>
      <w:r>
        <w:br w:type="page"/>
      </w:r>
    </w:p>
    <w:p>
      <w:pPr>
        <w:pStyle w:val="Style34"/>
        <w:keepNext w:val="0"/>
        <w:keepLines w:val="0"/>
        <w:widowControl w:val="0"/>
        <w:shd w:val="clear" w:color="auto" w:fill="auto"/>
        <w:bidi w:val="0"/>
        <w:spacing w:before="0" w:after="40" w:line="312" w:lineRule="exact"/>
        <w:ind w:left="0" w:right="0" w:firstLine="360"/>
        <w:jc w:val="left"/>
      </w:pPr>
      <w:bookmarkStart w:id="521" w:name="bookmark521"/>
      <w:r>
        <w:rPr>
          <w:rFonts w:ascii="Times New Roman" w:eastAsia="Times New Roman" w:hAnsi="Times New Roman" w:cs="Times New Roman"/>
          <w:color w:val="000000"/>
          <w:spacing w:val="0"/>
          <w:w w:val="100"/>
          <w:position w:val="0"/>
          <w:sz w:val="18"/>
          <w:szCs w:val="18"/>
        </w:rPr>
        <w:t>3</w:t>
      </w:r>
      <w:bookmarkEnd w:id="521"/>
      <w:r>
        <w:rPr>
          <w:color w:val="000000"/>
          <w:spacing w:val="0"/>
          <w:w w:val="100"/>
          <w:position w:val="0"/>
        </w:rPr>
        <w:t>、董事、监事和高级管理人员报酬的实际支付情况：董事、独立董事、职工监事及公司高级管理人员的薪酬已按规定 发放，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年度薪酬总额为</w:t>
      </w:r>
      <w:r>
        <w:rPr>
          <w:rFonts w:ascii="Times New Roman" w:eastAsia="Times New Roman" w:hAnsi="Times New Roman" w:cs="Times New Roman"/>
          <w:color w:val="000000"/>
          <w:spacing w:val="0"/>
          <w:w w:val="100"/>
          <w:position w:val="0"/>
          <w:sz w:val="18"/>
          <w:szCs w:val="18"/>
        </w:rPr>
        <w:t>551.07</w:t>
      </w:r>
      <w:r>
        <w:rPr>
          <w:color w:val="000000"/>
          <w:spacing w:val="0"/>
          <w:w w:val="100"/>
          <w:position w:val="0"/>
        </w:rPr>
        <w:t>万元，详见下表。</w:t>
      </w:r>
    </w:p>
    <w:p>
      <w:pPr>
        <w:pStyle w:val="Style3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2126"/>
        <w:gridCol w:w="571"/>
        <w:gridCol w:w="566"/>
        <w:gridCol w:w="850"/>
        <w:gridCol w:w="2266"/>
        <w:gridCol w:w="249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61.52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董事、副总裁兼财务总监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徐茂顺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袁瑞峰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王振平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赵子明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董事会秘书兼副总裁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荀春阳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五</w:t>
      </w:r>
      <w:bookmarkEnd w:id="524"/>
      <w:r>
        <w:rPr>
          <w:color w:val="000000"/>
          <w:spacing w:val="0"/>
          <w:w w:val="100"/>
          <w:position w:val="0"/>
          <w:sz w:val="24"/>
          <w:szCs w:val="24"/>
        </w:rPr>
        <w:t>、公司员工情况</w:t>
      </w:r>
      <w:bookmarkEnd w:id="522"/>
      <w:bookmarkEnd w:id="523"/>
      <w:bookmarkEnd w:id="525"/>
    </w:p>
    <w:p>
      <w:pPr>
        <w:pStyle w:val="Style37"/>
        <w:keepNext/>
        <w:keepLines/>
        <w:widowControl w:val="0"/>
        <w:shd w:val="clear" w:color="auto" w:fill="auto"/>
        <w:bidi w:val="0"/>
        <w:spacing w:before="0" w:after="30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、员工数量、专业构成及教育程度</w:t>
      </w:r>
      <w:bookmarkEnd w:id="526"/>
      <w:bookmarkEnd w:id="527"/>
      <w:bookmarkEnd w:id="5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bl>
    <w:p>
      <w:pPr>
        <w:widowControl w:val="0"/>
        <w:spacing w:after="319" w:line="1" w:lineRule="exact"/>
      </w:pPr>
    </w:p>
    <w:p>
      <w:pPr>
        <w:pStyle w:val="Style37"/>
        <w:keepNext/>
        <w:keepLines/>
        <w:widowControl w:val="0"/>
        <w:shd w:val="clear" w:color="auto" w:fill="auto"/>
        <w:tabs>
          <w:tab w:pos="378" w:val="left"/>
        </w:tabs>
        <w:bidi w:val="0"/>
        <w:spacing w:before="0" w:after="2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薪酬政策</w:t>
      </w:r>
      <w:bookmarkEnd w:id="530"/>
      <w:bookmarkEnd w:id="531"/>
      <w:bookmarkEnd w:id="533"/>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公司员工薪酬政策力求体现工资管理的激励性、竞争性和公平性，把个人业绩和团队业绩有效结合起来，共同分享企业 发展所带来的红利，促进员工价值观念的凝合，形成留住人才和吸引人才的机制，最终推进公司发展战略的实现。公司薪酬 政策分为月薪制和绩效奖金，并通过绩效考核将员工工作目标与企业战略目标以及个人绩效相结合，激发员工的积极性。</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培训计划</w:t>
      </w:r>
      <w:bookmarkEnd w:id="534"/>
      <w:bookmarkEnd w:id="535"/>
      <w:bookmarkEnd w:id="537"/>
    </w:p>
    <w:p>
      <w:pPr>
        <w:pStyle w:val="Style34"/>
        <w:keepNext w:val="0"/>
        <w:keepLines w:val="0"/>
        <w:widowControl w:val="0"/>
        <w:shd w:val="clear" w:color="auto" w:fill="auto"/>
        <w:bidi w:val="0"/>
        <w:spacing w:before="0" w:after="380" w:line="310" w:lineRule="exact"/>
        <w:ind w:left="0" w:right="0"/>
        <w:jc w:val="both"/>
      </w:pPr>
      <w:r>
        <w:rPr>
          <w:color w:val="000000"/>
          <w:spacing w:val="0"/>
          <w:w w:val="100"/>
          <w:position w:val="0"/>
        </w:rPr>
        <w:t>员工培训的主要内容包括安全生产培训、专业技能培训、职业素养培训及党课学习。公司人力资源部门每年制定年度培 训计划并组织实施。公司每月选取一个主题（国家法定节假日除外）安排全体员工参加相关培训，学费由公司支付。同时公 司鼓励员工自己培训报名参加与本职工作相关专业学历教育。</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4</w:t>
      </w:r>
      <w:bookmarkEnd w:id="540"/>
      <w:r>
        <w:rPr>
          <w:color w:val="000000"/>
          <w:spacing w:val="0"/>
          <w:w w:val="100"/>
          <w:position w:val="0"/>
        </w:rPr>
        <w:t>、</w:t>
        <w:tab/>
        <w:t>劳务外包情况</w:t>
      </w:r>
      <w:bookmarkEnd w:id="538"/>
      <w:bookmarkEnd w:id="539"/>
      <w:bookmarkEnd w:id="541"/>
    </w:p>
    <w:p>
      <w:pPr>
        <w:pStyle w:val="Style34"/>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after="560" w:line="240" w:lineRule="auto"/>
        <w:ind w:left="0" w:right="0" w:firstLine="0"/>
        <w:jc w:val="center"/>
      </w:pPr>
      <w:bookmarkStart w:id="542" w:name="bookmark542"/>
      <w:bookmarkStart w:id="543" w:name="bookmark543"/>
      <w:bookmarkStart w:id="544" w:name="bookmark544"/>
      <w:r>
        <w:rPr>
          <w:color w:val="000000"/>
          <w:spacing w:val="0"/>
          <w:w w:val="100"/>
          <w:position w:val="0"/>
        </w:rPr>
        <w:t>第十节公司治理</w:t>
      </w:r>
      <w:bookmarkEnd w:id="542"/>
      <w:bookmarkEnd w:id="543"/>
      <w:bookmarkEnd w:id="544"/>
    </w:p>
    <w:p>
      <w:pPr>
        <w:pStyle w:val="Style30"/>
        <w:keepNext/>
        <w:keepLines/>
        <w:widowControl w:val="0"/>
        <w:shd w:val="clear" w:color="auto" w:fill="auto"/>
        <w:bidi w:val="0"/>
        <w:spacing w:before="0" w:after="24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、公司治理的基本状况</w:t>
      </w:r>
      <w:bookmarkEnd w:id="546"/>
      <w:bookmarkEnd w:id="547"/>
      <w:bookmarkEnd w:id="549"/>
      <w:bookmarkEnd w:id="545"/>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报告期内，公司根据《公司法》、《证券法》、《上市公司治理准则》、《深圳证券交易所创业板股票上市规则》、《深 圳证券交易所创业板上市公司规范运作指引》等法律法规的要求，结合本公司的具体情况健全和完善了《公司章程》和各内 部控制制度，发挥了董事会各专门委员会的职能和作用，完善了董事会的职能和专业化程度，保障了董事会决策的科学性和 程序性，不断完善本公司法人治理结构和内控制度，进一步规范公司运作，提高公司治理水平。截至报告期末，本公司治理 实际情况基本符合中国证监会发布的有关上市公司治理的规范性文件的要求。</w:t>
      </w:r>
    </w:p>
    <w:p>
      <w:pPr>
        <w:pStyle w:val="Style34"/>
        <w:keepNext w:val="0"/>
        <w:keepLines w:val="0"/>
        <w:widowControl w:val="0"/>
        <w:shd w:val="clear" w:color="auto" w:fill="auto"/>
        <w:tabs>
          <w:tab w:pos="886" w:val="left"/>
        </w:tabs>
        <w:bidi w:val="0"/>
        <w:spacing w:before="0" w:after="0" w:line="310" w:lineRule="exact"/>
        <w:ind w:left="0" w:right="0"/>
        <w:jc w:val="both"/>
      </w:pPr>
      <w:bookmarkStart w:id="550" w:name="bookmark550"/>
      <w:r>
        <w:rPr>
          <w:b/>
          <w:bCs/>
          <w:color w:val="000000"/>
          <w:spacing w:val="0"/>
          <w:w w:val="100"/>
          <w:position w:val="0"/>
        </w:rPr>
        <w:t>（</w:t>
      </w:r>
      <w:bookmarkEnd w:id="550"/>
      <w:r>
        <w:rPr>
          <w:b/>
          <w:bCs/>
          <w:color w:val="000000"/>
          <w:spacing w:val="0"/>
          <w:w w:val="100"/>
          <w:position w:val="0"/>
        </w:rPr>
        <w:t>一）</w:t>
        <w:tab/>
        <w:t>关于股东与股东大会</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本公司严格按照《公司法》、《上市公司股东大会规范意见》、《公司章程》和《股东大会议事规则》等法律、法规及 制度的要求，规范股东大会召集、召开、表决程序，确保所有股东享有平等地位，平等权利，并承担相应的义务，让中小投 资者充分行使自己的权利；通过聘请律师出席见证保证了会议的召集、召开和表决程序的合法性。</w:t>
      </w:r>
    </w:p>
    <w:p>
      <w:pPr>
        <w:pStyle w:val="Style34"/>
        <w:keepNext w:val="0"/>
        <w:keepLines w:val="0"/>
        <w:widowControl w:val="0"/>
        <w:shd w:val="clear" w:color="auto" w:fill="auto"/>
        <w:tabs>
          <w:tab w:pos="886" w:val="left"/>
        </w:tabs>
        <w:bidi w:val="0"/>
        <w:spacing w:before="0" w:after="0" w:line="310" w:lineRule="exact"/>
        <w:ind w:left="0" w:right="0"/>
        <w:jc w:val="both"/>
      </w:pPr>
      <w:bookmarkStart w:id="551" w:name="bookmark551"/>
      <w:r>
        <w:rPr>
          <w:b/>
          <w:bCs/>
          <w:color w:val="000000"/>
          <w:spacing w:val="0"/>
          <w:w w:val="100"/>
          <w:position w:val="0"/>
        </w:rPr>
        <w:t>（</w:t>
      </w:r>
      <w:bookmarkEnd w:id="551"/>
      <w:r>
        <w:rPr>
          <w:b/>
          <w:bCs/>
          <w:color w:val="000000"/>
          <w:spacing w:val="0"/>
          <w:w w:val="100"/>
          <w:position w:val="0"/>
        </w:rPr>
        <w:t>二）</w:t>
        <w:tab/>
        <w:t>关于控股股东与上市公司的关系</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本公司按照《公司法》、《证券法》、《公司章程》及证券监管部门的有关规定正确处理与控股股东的关系。本公司控 股股东依法行使其权利并承担相应义务，没有超越股东大会授权范围行使职权、直接或间接干预本公司的决策和生产经营活 动。本公司具有自主经营能力，公司董事会、监事会和内部机构能够独立运作。</w:t>
      </w:r>
    </w:p>
    <w:p>
      <w:pPr>
        <w:pStyle w:val="Style34"/>
        <w:keepNext w:val="0"/>
        <w:keepLines w:val="0"/>
        <w:widowControl w:val="0"/>
        <w:shd w:val="clear" w:color="auto" w:fill="auto"/>
        <w:tabs>
          <w:tab w:pos="886" w:val="left"/>
        </w:tabs>
        <w:bidi w:val="0"/>
        <w:spacing w:before="0" w:after="0" w:line="313" w:lineRule="exact"/>
        <w:ind w:left="0" w:right="0"/>
        <w:jc w:val="both"/>
      </w:pPr>
      <w:bookmarkStart w:id="552" w:name="bookmark552"/>
      <w:r>
        <w:rPr>
          <w:b/>
          <w:bCs/>
          <w:color w:val="000000"/>
          <w:spacing w:val="0"/>
          <w:w w:val="100"/>
          <w:position w:val="0"/>
        </w:rPr>
        <w:t>（</w:t>
      </w:r>
      <w:bookmarkEnd w:id="552"/>
      <w:r>
        <w:rPr>
          <w:b/>
          <w:bCs/>
          <w:color w:val="000000"/>
          <w:spacing w:val="0"/>
          <w:w w:val="100"/>
          <w:position w:val="0"/>
        </w:rPr>
        <w:t>三）</w:t>
        <w:tab/>
        <w:t>关于董事与董事会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本公司董事的选聘程序公开、公平、公正，董事会严格按照《公司法》和《公司章程》和《董事会议事规则》等法律法 规开展工作，董事会组成人员</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人，董事产生程序合法有效。本公司董事积极学习，熟悉有关法律、法 规，并按照相关规定依法履行董事职责。独立董事按照《公司章程》等法律、法规不受影响的独立履行职责，出席公司董事 会、股东大会，对本公司重大投资、董事、高级管理人员的任免发表自己的独立意见，保证了公司的规范运作。董事会下设 战略委员会、薪酬与考核委员会、审计委员会，各专业委员会根据各自职责对本公司发展提出相关的专业意见和建议。</w:t>
      </w:r>
    </w:p>
    <w:p>
      <w:pPr>
        <w:pStyle w:val="Style34"/>
        <w:keepNext w:val="0"/>
        <w:keepLines w:val="0"/>
        <w:widowControl w:val="0"/>
        <w:shd w:val="clear" w:color="auto" w:fill="auto"/>
        <w:tabs>
          <w:tab w:pos="886" w:val="left"/>
        </w:tabs>
        <w:bidi w:val="0"/>
        <w:spacing w:before="0" w:after="0" w:line="313" w:lineRule="exact"/>
        <w:ind w:left="0" w:right="0"/>
        <w:jc w:val="both"/>
      </w:pPr>
      <w:bookmarkStart w:id="553" w:name="bookmark553"/>
      <w:r>
        <w:rPr>
          <w:b/>
          <w:bCs/>
          <w:color w:val="000000"/>
          <w:spacing w:val="0"/>
          <w:w w:val="100"/>
          <w:position w:val="0"/>
        </w:rPr>
        <w:t>（</w:t>
      </w:r>
      <w:bookmarkEnd w:id="553"/>
      <w:r>
        <w:rPr>
          <w:b/>
          <w:bCs/>
          <w:color w:val="000000"/>
          <w:spacing w:val="0"/>
          <w:w w:val="100"/>
          <w:position w:val="0"/>
        </w:rPr>
        <w:t>四）</w:t>
        <w:tab/>
        <w:t>关于监事与监事会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本公司监事会严格按照《公司法》、《公司章程》和《监事会议事规则》的有关规定开展工作，监事的推荐、选举和产 生程序符合相关法律、法规的要求。公司监事会认真履行自己的职责，对公司财务以及董事、高级管理人员行使职权的合规 性进行监督，维护公司及股东的合法权益。</w:t>
      </w:r>
    </w:p>
    <w:p>
      <w:pPr>
        <w:pStyle w:val="Style34"/>
        <w:keepNext w:val="0"/>
        <w:keepLines w:val="0"/>
        <w:widowControl w:val="0"/>
        <w:shd w:val="clear" w:color="auto" w:fill="auto"/>
        <w:tabs>
          <w:tab w:pos="886" w:val="left"/>
        </w:tabs>
        <w:bidi w:val="0"/>
        <w:spacing w:before="0" w:after="0" w:line="313" w:lineRule="exact"/>
        <w:ind w:left="0" w:right="0"/>
        <w:jc w:val="both"/>
      </w:pPr>
      <w:bookmarkStart w:id="554" w:name="bookmark554"/>
      <w:r>
        <w:rPr>
          <w:b/>
          <w:bCs/>
          <w:color w:val="000000"/>
          <w:spacing w:val="0"/>
          <w:w w:val="100"/>
          <w:position w:val="0"/>
        </w:rPr>
        <w:t>（</w:t>
      </w:r>
      <w:bookmarkEnd w:id="554"/>
      <w:r>
        <w:rPr>
          <w:b/>
          <w:bCs/>
          <w:color w:val="000000"/>
          <w:spacing w:val="0"/>
          <w:w w:val="100"/>
          <w:position w:val="0"/>
        </w:rPr>
        <w:t>五）</w:t>
        <w:tab/>
        <w:t>关于信息披露与透明度</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本公司制定了《信息披露管理制度》，指定董事会秘书负责信息披露工作、接待股东来访和咨询。本公司指定《证券时 报》、《上海证券报》、《中国证券报》、《证券日报》及巨潮资讯网作为本公司信息披露的报纸和网站。本公司严格按照 有关法律法规及制定的《信息披露管理制度》的要求，真实、准确、完整、及时的披露有关信息，并确保所有股东有平等的 机会获得信息。</w:t>
      </w:r>
    </w:p>
    <w:p>
      <w:pPr>
        <w:pStyle w:val="Style34"/>
        <w:keepNext w:val="0"/>
        <w:keepLines w:val="0"/>
        <w:widowControl w:val="0"/>
        <w:shd w:val="clear" w:color="auto" w:fill="auto"/>
        <w:tabs>
          <w:tab w:pos="886" w:val="left"/>
        </w:tabs>
        <w:bidi w:val="0"/>
        <w:spacing w:before="0" w:after="0" w:line="313" w:lineRule="exact"/>
        <w:ind w:left="0" w:right="0"/>
        <w:jc w:val="both"/>
      </w:pPr>
      <w:bookmarkStart w:id="555" w:name="bookmark555"/>
      <w:r>
        <w:rPr>
          <w:b/>
          <w:bCs/>
          <w:color w:val="000000"/>
          <w:spacing w:val="0"/>
          <w:w w:val="100"/>
          <w:position w:val="0"/>
        </w:rPr>
        <w:t>（</w:t>
      </w:r>
      <w:bookmarkEnd w:id="555"/>
      <w:r>
        <w:rPr>
          <w:b/>
          <w:bCs/>
          <w:color w:val="000000"/>
          <w:spacing w:val="0"/>
          <w:w w:val="100"/>
          <w:position w:val="0"/>
        </w:rPr>
        <w:t>六）</w:t>
        <w:tab/>
        <w:t>关于相关利益者</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本公司能够充分尊重和维护相关利益者的合法权益，实现股东、员工、社会等各方利益的协调平衡，共同推动公司持续、 健康的发展。</w:t>
      </w:r>
    </w:p>
    <w:p>
      <w:pPr>
        <w:pStyle w:val="Style34"/>
        <w:keepNext w:val="0"/>
        <w:keepLines w:val="0"/>
        <w:widowControl w:val="0"/>
        <w:shd w:val="clear" w:color="auto" w:fill="auto"/>
        <w:tabs>
          <w:tab w:pos="886" w:val="left"/>
        </w:tabs>
        <w:bidi w:val="0"/>
        <w:spacing w:before="0" w:after="0" w:line="313" w:lineRule="exact"/>
        <w:ind w:left="0" w:right="0"/>
        <w:jc w:val="both"/>
      </w:pPr>
      <w:bookmarkStart w:id="556" w:name="bookmark556"/>
      <w:r>
        <w:rPr>
          <w:b/>
          <w:bCs/>
          <w:color w:val="000000"/>
          <w:spacing w:val="0"/>
          <w:w w:val="100"/>
          <w:position w:val="0"/>
        </w:rPr>
        <w:t>（</w:t>
      </w:r>
      <w:bookmarkEnd w:id="556"/>
      <w:r>
        <w:rPr>
          <w:b/>
          <w:bCs/>
          <w:color w:val="000000"/>
          <w:spacing w:val="0"/>
          <w:w w:val="100"/>
          <w:position w:val="0"/>
        </w:rPr>
        <w:t>七）</w:t>
        <w:tab/>
        <w:t>绩效评价与激励约束机制</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公司已建立企业绩效评价激励体系，管理者的收入与企业经营业绩和目标挂钩，高级管理人员的聘任公开、透明，符合 有关法律、法规的要求。公司董事会设立了薪酬与考核委员会，制定高级管理人员的薪酬方案，根据公司实际经营指标完成 情况以及高级管理人员的工作业绩，对高级管理人员进行年度绩效考核，并监督薪酬制度执行情况。报告期内，本公司高级 管理人员经考核，均认真履行了工作职责，工作业绩良好，较好地完成了各自经营管理任务。</w:t>
      </w:r>
    </w:p>
    <w:p>
      <w:pPr>
        <w:pStyle w:val="Style34"/>
        <w:keepNext w:val="0"/>
        <w:keepLines w:val="0"/>
        <w:widowControl w:val="0"/>
        <w:shd w:val="clear" w:color="auto" w:fill="auto"/>
        <w:tabs>
          <w:tab w:pos="886" w:val="left"/>
        </w:tabs>
        <w:bidi w:val="0"/>
        <w:spacing w:before="0" w:after="0" w:line="313" w:lineRule="exact"/>
        <w:ind w:left="0" w:right="0"/>
        <w:jc w:val="both"/>
      </w:pPr>
      <w:bookmarkStart w:id="557" w:name="bookmark557"/>
      <w:r>
        <w:rPr>
          <w:b/>
          <w:bCs/>
          <w:color w:val="000000"/>
          <w:spacing w:val="0"/>
          <w:w w:val="100"/>
          <w:position w:val="0"/>
        </w:rPr>
        <w:t>（</w:t>
      </w:r>
      <w:bookmarkEnd w:id="557"/>
      <w:r>
        <w:rPr>
          <w:b/>
          <w:bCs/>
          <w:color w:val="000000"/>
          <w:spacing w:val="0"/>
          <w:w w:val="100"/>
          <w:position w:val="0"/>
        </w:rPr>
        <w:t>八）</w:t>
        <w:tab/>
        <w:t>内部审计制度的建立和执行情况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董事会下设审计委员会，主要负责公司内部、外部审计的沟通、监督、会议组织和核查工作。审计委员会下设内控审计 </w:t>
      </w:r>
      <w:r>
        <w:rPr>
          <w:color w:val="000000"/>
          <w:spacing w:val="0"/>
          <w:w w:val="100"/>
          <w:position w:val="0"/>
        </w:rPr>
        <w:t>部为日常办事机构，公司上市后，内控审计部积极运作，按照上市公司的要求完善了部门职能和人员安排，内控审计部对公 司内部控制制度的建立和实施、公司财务信息的真实性和完整性等情况进行检查监督。</w:t>
      </w:r>
    </w:p>
    <w:p>
      <w:pPr>
        <w:pStyle w:val="Style34"/>
        <w:keepNext w:val="0"/>
        <w:keepLines w:val="0"/>
        <w:widowControl w:val="0"/>
        <w:shd w:val="clear" w:color="auto" w:fill="auto"/>
        <w:bidi w:val="0"/>
        <w:spacing w:before="0" w:after="0" w:line="317" w:lineRule="exact"/>
        <w:ind w:left="0" w:right="0"/>
        <w:jc w:val="both"/>
      </w:pPr>
      <w:bookmarkStart w:id="558" w:name="bookmark558"/>
      <w:r>
        <w:rPr>
          <w:b/>
          <w:bCs/>
          <w:color w:val="000000"/>
          <w:spacing w:val="0"/>
          <w:w w:val="100"/>
          <w:position w:val="0"/>
        </w:rPr>
        <w:t>（</w:t>
      </w:r>
      <w:bookmarkEnd w:id="558"/>
      <w:r>
        <w:rPr>
          <w:b/>
          <w:bCs/>
          <w:color w:val="000000"/>
          <w:spacing w:val="0"/>
          <w:w w:val="100"/>
          <w:position w:val="0"/>
        </w:rPr>
        <w:t>九）独立董事工作制度</w:t>
      </w:r>
    </w:p>
    <w:p>
      <w:pPr>
        <w:pStyle w:val="Style3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为进一步完善公司的治理结构，促进公司的规范运作，根据中国证监会《关于在上市公司建立独立董事制度的指导意见》 和《上市公司治理准则》的规定，公司第一届董事会第十二次会议制订了《独立董事制度》《独立董事年报工作制度》，进 一步加强了独立董事工作。</w:t>
      </w:r>
    </w:p>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517" w:val="left"/>
        </w:tabs>
        <w:bidi w:val="0"/>
        <w:spacing w:before="0" w:after="24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二</w:t>
      </w:r>
      <w:bookmarkEnd w:id="561"/>
      <w:r>
        <w:rPr>
          <w:color w:val="000000"/>
          <w:spacing w:val="0"/>
          <w:w w:val="100"/>
          <w:position w:val="0"/>
          <w:sz w:val="24"/>
          <w:szCs w:val="24"/>
        </w:rPr>
        <w:t>、</w:t>
        <w:tab/>
        <w:t>公司相对于控股股东在业务、人员、资产、机构、财务等方面的独立情况</w:t>
      </w:r>
      <w:bookmarkEnd w:id="559"/>
      <w:bookmarkEnd w:id="560"/>
      <w:bookmarkEnd w:id="562"/>
    </w:p>
    <w:p>
      <w:pPr>
        <w:pStyle w:val="Style34"/>
        <w:keepNext w:val="0"/>
        <w:keepLines w:val="0"/>
        <w:widowControl w:val="0"/>
        <w:shd w:val="clear" w:color="auto" w:fill="auto"/>
        <w:bidi w:val="0"/>
        <w:spacing w:before="0" w:after="340" w:line="314" w:lineRule="exact"/>
        <w:ind w:left="0" w:right="0" w:firstLine="0"/>
        <w:jc w:val="left"/>
      </w:pPr>
      <w:r>
        <w:rPr>
          <w:color w:val="000000"/>
          <w:spacing w:val="0"/>
          <w:w w:val="100"/>
          <w:position w:val="0"/>
        </w:rPr>
        <w:t>不适用。</w:t>
      </w:r>
    </w:p>
    <w:p>
      <w:pPr>
        <w:pStyle w:val="Style30"/>
        <w:keepNext/>
        <w:keepLines/>
        <w:widowControl w:val="0"/>
        <w:shd w:val="clear" w:color="auto" w:fill="auto"/>
        <w:tabs>
          <w:tab w:pos="522" w:val="left"/>
        </w:tabs>
        <w:bidi w:val="0"/>
        <w:spacing w:before="0" w:after="34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三</w:t>
      </w:r>
      <w:bookmarkEnd w:id="565"/>
      <w:r>
        <w:rPr>
          <w:color w:val="000000"/>
          <w:spacing w:val="0"/>
          <w:w w:val="100"/>
          <w:position w:val="0"/>
          <w:sz w:val="24"/>
          <w:szCs w:val="24"/>
        </w:rPr>
        <w:t>、</w:t>
        <w:tab/>
        <w:t>同业竞争情况</w:t>
      </w:r>
      <w:bookmarkEnd w:id="563"/>
      <w:bookmarkEnd w:id="564"/>
      <w:bookmarkEnd w:id="566"/>
    </w:p>
    <w:p>
      <w:pPr>
        <w:pStyle w:val="Style3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四</w:t>
      </w:r>
      <w:bookmarkEnd w:id="569"/>
      <w:r>
        <w:rPr>
          <w:color w:val="000000"/>
          <w:spacing w:val="0"/>
          <w:w w:val="100"/>
          <w:position w:val="0"/>
          <w:sz w:val="24"/>
          <w:szCs w:val="24"/>
        </w:rPr>
        <w:t>、报告期内召开的年度股东大会和临时股东大会的有关情况</w:t>
      </w:r>
      <w:bookmarkEnd w:id="567"/>
      <w:bookmarkEnd w:id="568"/>
      <w:bookmarkEnd w:id="570"/>
    </w:p>
    <w:p>
      <w:pPr>
        <w:pStyle w:val="Style37"/>
        <w:keepNext/>
        <w:keepLines/>
        <w:widowControl w:val="0"/>
        <w:shd w:val="clear" w:color="auto" w:fill="auto"/>
        <w:bidi w:val="0"/>
        <w:spacing w:before="0" w:after="34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、本报告期股东大会情况</w:t>
      </w:r>
      <w:bookmarkEnd w:id="571"/>
      <w:bookmarkEnd w:id="572"/>
      <w:bookmarkEnd w:id="574"/>
    </w:p>
    <w:tbl>
      <w:tblPr>
        <w:tblOverlap w:val="never"/>
        <w:jc w:val="center"/>
        <w:tblLayout w:type="fixed"/>
      </w:tblPr>
      <w:tblGrid>
        <w:gridCol w:w="1603"/>
        <w:gridCol w:w="1238"/>
        <w:gridCol w:w="1421"/>
        <w:gridCol w:w="1560"/>
        <w:gridCol w:w="1555"/>
        <w:gridCol w:w="220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、表决权恢复的优先股股东请求召开临时股东大会</w:t>
      </w:r>
      <w:bookmarkEnd w:id="575"/>
      <w:bookmarkEnd w:id="576"/>
      <w:bookmarkEnd w:id="578"/>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五</w:t>
      </w:r>
      <w:bookmarkEnd w:id="581"/>
      <w:r>
        <w:rPr>
          <w:color w:val="000000"/>
          <w:spacing w:val="0"/>
          <w:w w:val="100"/>
          <w:position w:val="0"/>
          <w:sz w:val="24"/>
          <w:szCs w:val="24"/>
        </w:rPr>
        <w:t>、报告期内独立董事履行职责的情况</w:t>
      </w:r>
      <w:bookmarkEnd w:id="579"/>
      <w:bookmarkEnd w:id="580"/>
      <w:bookmarkEnd w:id="582"/>
    </w:p>
    <w:p>
      <w:pPr>
        <w:pStyle w:val="Style37"/>
        <w:keepNext/>
        <w:keepLines/>
        <w:widowControl w:val="0"/>
        <w:shd w:val="clear" w:color="auto" w:fill="auto"/>
        <w:bidi w:val="0"/>
        <w:spacing w:before="0" w:after="34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、独立董事出席董事会及股东大会的情况</w:t>
      </w:r>
      <w:bookmarkEnd w:id="583"/>
      <w:bookmarkEnd w:id="584"/>
      <w:bookmarkEnd w:id="586"/>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徐茂顺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连续两次未亲自出席董事会的说明 不适用。</w:t>
      </w:r>
    </w:p>
    <w:p>
      <w:pPr>
        <w:pStyle w:val="Style37"/>
        <w:keepNext/>
        <w:keepLines/>
        <w:widowControl w:val="0"/>
        <w:shd w:val="clear" w:color="auto" w:fill="auto"/>
        <w:tabs>
          <w:tab w:pos="400"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独立董事对公司有关事项提出异议的情况</w:t>
      </w:r>
      <w:bookmarkEnd w:id="587"/>
      <w:bookmarkEnd w:id="588"/>
      <w:bookmarkEnd w:id="590"/>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400" w:val="left"/>
        </w:tabs>
        <w:bidi w:val="0"/>
        <w:spacing w:before="0" w:after="26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3</w:t>
      </w:r>
      <w:bookmarkEnd w:id="593"/>
      <w:r>
        <w:rPr>
          <w:color w:val="000000"/>
          <w:spacing w:val="0"/>
          <w:w w:val="100"/>
          <w:position w:val="0"/>
        </w:rPr>
        <w:t>、</w:t>
        <w:tab/>
        <w:t>独立董事履行职责的其他说明</w:t>
      </w:r>
      <w:bookmarkEnd w:id="591"/>
      <w:bookmarkEnd w:id="592"/>
      <w:bookmarkEnd w:id="594"/>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报告期内，公司独立董事诚实、勤勉、独立地履行职责，积极出席相关会议，认真审议董事会各项议案，对公司重大事 项发表了独立意见，充分发挥了独立董事的独立作用。一方面，严格审核公司提交董事会的相关事项，维护公司和公众股东 的合法权益，促进公司规范运作；另一方面发挥自己的专业优势，积极关注和参与研究公司的发展，为公司的审计工作及内 控、薪酬激励、提名任命、战略规划等工作提出了意见和建议。独立董事对公司的相关合理建议均被采纳。</w:t>
      </w:r>
    </w:p>
    <w:p>
      <w:pPr>
        <w:pStyle w:val="Style30"/>
        <w:keepNext/>
        <w:keepLines/>
        <w:widowControl w:val="0"/>
        <w:shd w:val="clear" w:color="auto" w:fill="auto"/>
        <w:tabs>
          <w:tab w:pos="517" w:val="left"/>
        </w:tabs>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六</w:t>
      </w:r>
      <w:bookmarkEnd w:id="597"/>
      <w:r>
        <w:rPr>
          <w:color w:val="000000"/>
          <w:spacing w:val="0"/>
          <w:w w:val="100"/>
          <w:position w:val="0"/>
          <w:sz w:val="24"/>
          <w:szCs w:val="24"/>
        </w:rPr>
        <w:t>、</w:t>
        <w:tab/>
        <w:t>董事会下设专门委员会在报告期内履行职责情况</w:t>
      </w:r>
      <w:bookmarkEnd w:id="595"/>
      <w:bookmarkEnd w:id="596"/>
      <w:bookmarkEnd w:id="598"/>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报告期内，公司董事会下设的战略委员会、审计委员会、薪酬与考核委员会均能按照相关要求认真尽职地开展工作，对 公司定期报告、高管薪酬等重大事项进行审议，为公司科学决策发挥了积极的作用。</w:t>
      </w:r>
    </w:p>
    <w:p>
      <w:pPr>
        <w:pStyle w:val="Style34"/>
        <w:keepNext w:val="0"/>
        <w:keepLines w:val="0"/>
        <w:widowControl w:val="0"/>
        <w:shd w:val="clear" w:color="auto" w:fill="auto"/>
        <w:tabs>
          <w:tab w:pos="714" w:val="left"/>
        </w:tabs>
        <w:bidi w:val="0"/>
        <w:spacing w:before="0" w:after="0" w:line="314" w:lineRule="exact"/>
        <w:ind w:left="0" w:right="0"/>
        <w:jc w:val="both"/>
      </w:pPr>
      <w:bookmarkStart w:id="599" w:name="bookmark599"/>
      <w:r>
        <w:rPr>
          <w:rFonts w:ascii="Times New Roman" w:eastAsia="Times New Roman" w:hAnsi="Times New Roman" w:cs="Times New Roman"/>
          <w:color w:val="000000"/>
          <w:spacing w:val="0"/>
          <w:w w:val="100"/>
          <w:position w:val="0"/>
          <w:sz w:val="18"/>
          <w:szCs w:val="18"/>
        </w:rPr>
        <w:t>1</w:t>
      </w:r>
      <w:bookmarkEnd w:id="599"/>
      <w:r>
        <w:rPr>
          <w:color w:val="000000"/>
          <w:spacing w:val="0"/>
          <w:w w:val="100"/>
          <w:position w:val="0"/>
        </w:rPr>
        <w:t>、</w:t>
        <w:tab/>
        <w:t>战略委员会履职情况</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报告期内，战略委员会严格按照相关法律法规及《公司章程》、《董事会战略委员会工作细则》的有关规定积极开展相 关工作，认真履行职责，为公司的发展明确了正确的方向。</w:t>
      </w:r>
    </w:p>
    <w:p>
      <w:pPr>
        <w:pStyle w:val="Style34"/>
        <w:keepNext w:val="0"/>
        <w:keepLines w:val="0"/>
        <w:widowControl w:val="0"/>
        <w:shd w:val="clear" w:color="auto" w:fill="auto"/>
        <w:tabs>
          <w:tab w:pos="734" w:val="left"/>
        </w:tabs>
        <w:bidi w:val="0"/>
        <w:spacing w:before="0" w:after="0" w:line="314" w:lineRule="exact"/>
        <w:ind w:left="0" w:right="0"/>
        <w:jc w:val="both"/>
      </w:pPr>
      <w:bookmarkStart w:id="600" w:name="bookmark600"/>
      <w:r>
        <w:rPr>
          <w:rFonts w:ascii="Times New Roman" w:eastAsia="Times New Roman" w:hAnsi="Times New Roman" w:cs="Times New Roman"/>
          <w:color w:val="000000"/>
          <w:spacing w:val="0"/>
          <w:w w:val="100"/>
          <w:position w:val="0"/>
          <w:sz w:val="18"/>
          <w:szCs w:val="18"/>
        </w:rPr>
        <w:t>2</w:t>
      </w:r>
      <w:bookmarkEnd w:id="600"/>
      <w:r>
        <w:rPr>
          <w:color w:val="000000"/>
          <w:spacing w:val="0"/>
          <w:w w:val="100"/>
          <w:position w:val="0"/>
        </w:rPr>
        <w:t>、</w:t>
        <w:tab/>
        <w:t>审计委员会履职情况</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报告期内，审计委员会严格按照相关法律法规及《公司章程》、《董事会审计委员会工作细则》的有关规定积极开展相 关工作，认真履行职责。报告期内，审计委员会对公司定期财务报告、内部控制建设、续聘会计师事务所等专项进行了审议； 与年审注册会计师进行沟通，督促其按计划进行审计工作，就年度审计事宜与公司管理层、年审机构进行了沟通。</w:t>
      </w:r>
    </w:p>
    <w:p>
      <w:pPr>
        <w:pStyle w:val="Style34"/>
        <w:keepNext w:val="0"/>
        <w:keepLines w:val="0"/>
        <w:widowControl w:val="0"/>
        <w:shd w:val="clear" w:color="auto" w:fill="auto"/>
        <w:tabs>
          <w:tab w:pos="734" w:val="left"/>
        </w:tabs>
        <w:bidi w:val="0"/>
        <w:spacing w:before="0" w:after="0" w:line="314" w:lineRule="exact"/>
        <w:ind w:left="0" w:right="0"/>
        <w:jc w:val="both"/>
      </w:pPr>
      <w:bookmarkStart w:id="601" w:name="bookmark601"/>
      <w:r>
        <w:rPr>
          <w:rFonts w:ascii="Times New Roman" w:eastAsia="Times New Roman" w:hAnsi="Times New Roman" w:cs="Times New Roman"/>
          <w:color w:val="000000"/>
          <w:spacing w:val="0"/>
          <w:w w:val="100"/>
          <w:position w:val="0"/>
          <w:sz w:val="18"/>
          <w:szCs w:val="18"/>
        </w:rPr>
        <w:t>3</w:t>
      </w:r>
      <w:bookmarkEnd w:id="601"/>
      <w:r>
        <w:rPr>
          <w:color w:val="000000"/>
          <w:spacing w:val="0"/>
          <w:w w:val="100"/>
          <w:position w:val="0"/>
        </w:rPr>
        <w:t>、</w:t>
        <w:tab/>
        <w:t>薪酬与考核委员会履职情况</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报告期内，公司薪酬与考核委员会严格按照相关法律法规及《公司章程》、《董事会薪酬与考核委员会工作细则》的有 关规定积极开展相关工作，认真履行职责。报告期内，薪酬与考核委员对公司董事和高级管理人员的薪酬情况进行了审核， 认为其薪酬标准和年度薪酬总额的确定符合公司相关薪酬管理制度的规定。</w:t>
      </w:r>
    </w:p>
    <w:p>
      <w:pPr>
        <w:pStyle w:val="Style30"/>
        <w:keepNext/>
        <w:keepLines/>
        <w:widowControl w:val="0"/>
        <w:shd w:val="clear" w:color="auto" w:fill="auto"/>
        <w:tabs>
          <w:tab w:pos="522"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七</w:t>
      </w:r>
      <w:bookmarkEnd w:id="604"/>
      <w:r>
        <w:rPr>
          <w:color w:val="000000"/>
          <w:spacing w:val="0"/>
          <w:w w:val="100"/>
          <w:position w:val="0"/>
          <w:sz w:val="24"/>
          <w:szCs w:val="24"/>
        </w:rPr>
        <w:t>、</w:t>
        <w:tab/>
        <w:t>监事会工作情况</w:t>
      </w:r>
      <w:bookmarkEnd w:id="602"/>
      <w:bookmarkEnd w:id="603"/>
      <w:bookmarkEnd w:id="605"/>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公司监事会对报告期内的监督事项无异议。</w:t>
      </w:r>
    </w:p>
    <w:p>
      <w:pPr>
        <w:pStyle w:val="Style30"/>
        <w:keepNext/>
        <w:keepLines/>
        <w:widowControl w:val="0"/>
        <w:shd w:val="clear" w:color="auto" w:fill="auto"/>
        <w:tabs>
          <w:tab w:pos="517"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八</w:t>
      </w:r>
      <w:bookmarkEnd w:id="608"/>
      <w:r>
        <w:rPr>
          <w:color w:val="000000"/>
          <w:spacing w:val="0"/>
          <w:w w:val="100"/>
          <w:position w:val="0"/>
          <w:sz w:val="24"/>
          <w:szCs w:val="24"/>
        </w:rPr>
        <w:t>、</w:t>
        <w:tab/>
        <w:t>高级管理人员的考评及激励情况</w:t>
      </w:r>
      <w:bookmarkEnd w:id="606"/>
      <w:bookmarkEnd w:id="607"/>
      <w:bookmarkEnd w:id="609"/>
    </w:p>
    <w:p>
      <w:pPr>
        <w:pStyle w:val="Style34"/>
        <w:keepNext w:val="0"/>
        <w:keepLines w:val="0"/>
        <w:widowControl w:val="0"/>
        <w:shd w:val="clear" w:color="auto" w:fill="auto"/>
        <w:bidi w:val="0"/>
        <w:spacing w:before="0" w:after="360" w:line="314" w:lineRule="exact"/>
        <w:ind w:left="0" w:right="0"/>
        <w:jc w:val="left"/>
      </w:pPr>
      <w:r>
        <w:rPr>
          <w:color w:val="000000"/>
          <w:spacing w:val="0"/>
          <w:w w:val="100"/>
          <w:position w:val="0"/>
        </w:rPr>
        <w:t>公司依据国家法律法规并结合实际情况制定了薪酬管理制度，建立和完善了公司组织绩效管理框架，不断完善绩效考核 机制和激励机制，公司董事、监事、高级管理人员严格按照相关法律法规的规定和要求进行聘任，确保公开、透明、公正， 同时公司董事会设立薪酬与考核委员会，主要负责对公司董事及高级管理人员进行绩效考核。</w:t>
      </w:r>
    </w:p>
    <w:p>
      <w:pPr>
        <w:pStyle w:val="Style30"/>
        <w:keepNext/>
        <w:keepLines/>
        <w:widowControl w:val="0"/>
        <w:shd w:val="clear" w:color="auto" w:fill="auto"/>
        <w:tabs>
          <w:tab w:pos="517"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九</w:t>
      </w:r>
      <w:bookmarkEnd w:id="612"/>
      <w:r>
        <w:rPr>
          <w:color w:val="000000"/>
          <w:spacing w:val="0"/>
          <w:w w:val="100"/>
          <w:position w:val="0"/>
          <w:sz w:val="24"/>
          <w:szCs w:val="24"/>
        </w:rPr>
        <w:t>、</w:t>
        <w:tab/>
        <w:t>内部控制评价报告</w:t>
      </w:r>
      <w:bookmarkEnd w:id="610"/>
      <w:bookmarkEnd w:id="611"/>
      <w:bookmarkEnd w:id="613"/>
    </w:p>
    <w:p>
      <w:pPr>
        <w:pStyle w:val="Style37"/>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、报告期内发现的内部控制重大缺陷的具体情况</w:t>
      </w:r>
      <w:bookmarkEnd w:id="614"/>
      <w:bookmarkEnd w:id="615"/>
      <w:bookmarkEnd w:id="617"/>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、内控自我评价报告</w:t>
      </w:r>
      <w:bookmarkEnd w:id="618"/>
      <w:bookmarkEnd w:id="619"/>
      <w:bookmarkEnd w:id="621"/>
    </w:p>
    <w:tbl>
      <w:tblPr>
        <w:tblOverlap w:val="never"/>
        <w:jc w:val="center"/>
        <w:tblLayout w:type="fixed"/>
      </w:tblPr>
      <w:tblGrid>
        <w:gridCol w:w="1853"/>
        <w:gridCol w:w="1349"/>
        <w:gridCol w:w="2194"/>
        <w:gridCol w:w="4190"/>
      </w:tblGrid>
      <w:tr>
        <w:trPr>
          <w:trHeight w:val="40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39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98.51%</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99.72%</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40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①财务报告重大缺陷的迹象包括：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公司董 事、监事和高级管理人员的舞弊行为；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注册 会计师发现的却未被公司内部控制识别的当 期财务报告中的重大错报；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对已公告的财务 报告出现的重大差错进行错报更正；</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审计委 员会和审计部门对公司的对外财务报告和财 务报告内部控制监督无效。②财务报告重要 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未依照公认会计准则选择 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对于非常规或特殊交易的账务处理没 有建立相应的控制机制或没有实施且没有相 应的补偿性控制；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对于期末财务报告过程的 控制存在一项或多项缺陷且不能合理保证编 制的财务报表达到真实、完整的目标。③财 务报告一般缺陷的迹象包括：除上述重大缺 陷、重要缺陷之外的其他财务报告内部控制 缺陷。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①非财务报告重大缺陷的迹象包括：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公司经营活动 严重违反国家相关法律法规；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重大经营决策未按公 司政策执行，导致决策失误，产生重大经济损失；</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未对公司重要技术资料、机密内幕信息进行有效防 控，致使泄漏导致公司重大损失或不良社会影响；</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重要业务缺乏制度控制或制度系统性失效，且缺乏有 效的补偿性控制；</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内部控制评价中发现的重大或重 要缺陷未得到整改；</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其他对公司产生重大负面影响 的情形。②非财务报告重要缺陷的迹象包括：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 经营活动监管不全面，存在违反国家相关法律规的可 能；</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经营决策未按公司政策执行，导致决策执行不 力，产生较大经济损失；</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公司重要技术资料保管不 善丢失，给公司造成较大经济损失；</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内部控制评价 中发现的较大缺陷未得到整改；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其他对公司产生较 大负面影响的情形③非财务报告一般缺陷的迹象包 括：除上述重大缺陷、重要缺陷之外的其他非财务报 告的内部缺陷。</w:t>
            </w:r>
          </w:p>
        </w:tc>
      </w:tr>
    </w:tbl>
    <w:p>
      <w:pPr>
        <w:spacing w:lineRule="exact" w:line="1"/>
        <w:rPr>
          <w:sz w:val="2"/>
          <w:szCs w:val="2"/>
        </w:rPr>
      </w:pPr>
      <w:r>
        <w:br w:type="page"/>
      </w:r>
    </w:p>
    <w:tbl>
      <w:tblPr>
        <w:tblOverlap w:val="never"/>
        <w:jc w:val="center"/>
        <w:tblLayout w:type="fixed"/>
      </w:tblPr>
      <w:tblGrid>
        <w:gridCol w:w="1853"/>
        <w:gridCol w:w="3542"/>
        <w:gridCol w:w="4190"/>
      </w:tblGrid>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一、一般缺陷：利润总额错报爻％,主营业 务收入错报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，资产总额错报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；二＞ 重要缺：利润总额错报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,主营 业务收入错报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,资产总额错 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；三、重大缺陷：利润总额 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,主营业务收入错报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 错报：错报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一、一般缺陷：直接财产损失金额：损失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上年经审 计的利润总额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；二、重要缺陷：直接财产损失金 额：上年经审计的利润总额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上年经审计的 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；三、重大缺陷：直接财产损失金额： 损失</w:t>
            </w:r>
            <w:r>
              <w:rPr>
                <w:color w:val="000000"/>
                <w:spacing w:val="0"/>
                <w:w w:val="100"/>
                <w:position w:val="0"/>
                <w:sz w:val="18"/>
                <w:szCs w:val="18"/>
              </w:rPr>
              <w:t>〉</w:t>
            </w:r>
            <w:r>
              <w:rPr>
                <w:color w:val="000000"/>
                <w:spacing w:val="0"/>
                <w:w w:val="100"/>
                <w:position w:val="0"/>
              </w:rPr>
              <w:t>上年经审计的利润总额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财务报告重大缺陷数 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非财务报告重大缺陷 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财务报告重要缺陷数 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非财务报告重要缺陷 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r>
        <w:rPr>
          <w:color w:val="000000"/>
          <w:spacing w:val="0"/>
          <w:w w:val="100"/>
          <w:position w:val="0"/>
          <w:sz w:val="24"/>
          <w:szCs w:val="24"/>
        </w:rPr>
        <w:t>十、内部控制审计报告或鉴证报告</w:t>
      </w:r>
      <w:bookmarkEnd w:id="622"/>
      <w:bookmarkEnd w:id="623"/>
      <w:bookmarkEnd w:id="624"/>
    </w:p>
    <w:p>
      <w:pPr>
        <w:pStyle w:val="Style34"/>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8" w:right="1060" w:bottom="1450" w:left="1067"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25" w:name="bookmark625"/>
      <w:bookmarkStart w:id="626" w:name="bookmark626"/>
      <w:bookmarkStart w:id="627" w:name="bookmark627"/>
      <w:r>
        <w:rPr>
          <w:color w:val="000000"/>
          <w:spacing w:val="0"/>
          <w:w w:val="100"/>
          <w:position w:val="0"/>
        </w:rPr>
        <w:t>第十一节公司债券相关情况</w:t>
      </w:r>
      <w:bookmarkEnd w:id="625"/>
      <w:bookmarkEnd w:id="626"/>
      <w:bookmarkEnd w:id="627"/>
    </w:p>
    <w:p>
      <w:pPr>
        <w:pStyle w:val="Style34"/>
        <w:keepNext w:val="0"/>
        <w:keepLines w:val="0"/>
        <w:widowControl w:val="0"/>
        <w:shd w:val="clear" w:color="auto" w:fill="auto"/>
        <w:bidi w:val="0"/>
        <w:spacing w:before="0" w:after="140" w:line="240" w:lineRule="auto"/>
        <w:ind w:left="0" w:right="0" w:firstLine="0"/>
        <w:jc w:val="left"/>
      </w:pPr>
      <w:bookmarkStart w:id="628" w:name="bookmark628"/>
      <w:r>
        <w:rPr>
          <w:color w:val="000000"/>
          <w:spacing w:val="0"/>
          <w:w w:val="100"/>
          <w:position w:val="0"/>
        </w:rPr>
        <w:t>公司是否存在公开发行并在证券交易所上市，且在年度报告批准报出日未到期或到期未能全额兑付的公司债券</w:t>
      </w:r>
      <w:bookmarkEnd w:id="628"/>
    </w:p>
    <w:p>
      <w:pPr>
        <w:pStyle w:val="Style3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40" w:after="560" w:line="240" w:lineRule="auto"/>
        <w:ind w:left="0" w:right="0" w:firstLine="0"/>
        <w:jc w:val="center"/>
      </w:pPr>
      <w:bookmarkStart w:id="629" w:name="bookmark629"/>
      <w:bookmarkStart w:id="630" w:name="bookmark630"/>
      <w:bookmarkStart w:id="631" w:name="bookmark631"/>
      <w:r>
        <w:rPr>
          <w:color w:val="000000"/>
          <w:spacing w:val="0"/>
          <w:w w:val="100"/>
          <w:position w:val="0"/>
        </w:rPr>
        <w:t>第十二节财务报告</w:t>
      </w:r>
      <w:bookmarkEnd w:id="629"/>
      <w:bookmarkEnd w:id="630"/>
      <w:bookmarkEnd w:id="631"/>
    </w:p>
    <w:p>
      <w:pPr>
        <w:pStyle w:val="Style30"/>
        <w:keepNext/>
        <w:keepLines/>
        <w:widowControl w:val="0"/>
        <w:shd w:val="clear" w:color="auto" w:fill="auto"/>
        <w:bidi w:val="0"/>
        <w:spacing w:before="0" w:after="320" w:line="240" w:lineRule="auto"/>
        <w:ind w:left="0" w:right="0" w:firstLine="0"/>
        <w:jc w:val="left"/>
      </w:pPr>
      <w:bookmarkStart w:id="632" w:name="bookmark632"/>
      <w:bookmarkStart w:id="633" w:name="bookmark633"/>
      <w:bookmarkStart w:id="634" w:name="bookmark634"/>
      <w:bookmarkStart w:id="635" w:name="bookmark635"/>
      <w:bookmarkStart w:id="636" w:name="bookmark636"/>
      <w:r>
        <w:rPr>
          <w:color w:val="000000"/>
          <w:spacing w:val="0"/>
          <w:w w:val="100"/>
          <w:position w:val="0"/>
          <w:sz w:val="24"/>
          <w:szCs w:val="24"/>
        </w:rPr>
        <w:t>一</w:t>
      </w:r>
      <w:bookmarkEnd w:id="635"/>
      <w:r>
        <w:rPr>
          <w:color w:val="000000"/>
          <w:spacing w:val="0"/>
          <w:w w:val="100"/>
          <w:position w:val="0"/>
          <w:sz w:val="24"/>
          <w:szCs w:val="24"/>
        </w:rPr>
        <w:t>、审计报告</w:t>
      </w:r>
      <w:bookmarkEnd w:id="633"/>
      <w:bookmarkEnd w:id="634"/>
      <w:bookmarkEnd w:id="636"/>
      <w:bookmarkEnd w:id="6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000264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王伦刚、马春明</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34"/>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青岛中资中程集团股份有限公司全体股东：</w:t>
      </w:r>
    </w:p>
    <w:p>
      <w:pPr>
        <w:pStyle w:val="Style34"/>
        <w:keepNext w:val="0"/>
        <w:keepLines w:val="0"/>
        <w:widowControl w:val="0"/>
        <w:shd w:val="clear" w:color="auto" w:fill="auto"/>
        <w:tabs>
          <w:tab w:pos="820" w:val="left"/>
        </w:tabs>
        <w:bidi w:val="0"/>
        <w:spacing w:before="0" w:after="0" w:line="315" w:lineRule="exact"/>
        <w:ind w:left="0" w:right="0"/>
        <w:jc w:val="both"/>
      </w:pPr>
      <w:bookmarkStart w:id="637" w:name="bookmark637"/>
      <w:r>
        <w:rPr>
          <w:b/>
          <w:bCs/>
          <w:color w:val="000000"/>
          <w:spacing w:val="0"/>
          <w:w w:val="100"/>
          <w:position w:val="0"/>
        </w:rPr>
        <w:t>一</w:t>
      </w:r>
      <w:bookmarkEnd w:id="637"/>
      <w:r>
        <w:rPr>
          <w:b/>
          <w:bCs/>
          <w:color w:val="000000"/>
          <w:spacing w:val="0"/>
          <w:w w:val="100"/>
          <w:position w:val="0"/>
        </w:rPr>
        <w:t>、</w:t>
        <w:tab/>
        <w:t>审计意见</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我们审计了青岛中资中程集团股份有限公司（以下简称''青岛中程”）财务报表，包括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我们认为，后附的财务报表在所有重大方面按照企业会计准则的规定编制，公允反映了青岛中程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 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年度合并及公司的经营成果和合并及公司的现金流量。</w:t>
      </w:r>
    </w:p>
    <w:p>
      <w:pPr>
        <w:pStyle w:val="Style34"/>
        <w:keepNext w:val="0"/>
        <w:keepLines w:val="0"/>
        <w:widowControl w:val="0"/>
        <w:shd w:val="clear" w:color="auto" w:fill="auto"/>
        <w:tabs>
          <w:tab w:pos="820" w:val="left"/>
        </w:tabs>
        <w:bidi w:val="0"/>
        <w:spacing w:before="0" w:after="0" w:line="315" w:lineRule="exact"/>
        <w:ind w:left="0" w:right="0"/>
        <w:jc w:val="both"/>
      </w:pPr>
      <w:bookmarkStart w:id="638" w:name="bookmark638"/>
      <w:r>
        <w:rPr>
          <w:b/>
          <w:bCs/>
          <w:color w:val="000000"/>
          <w:spacing w:val="0"/>
          <w:w w:val="100"/>
          <w:position w:val="0"/>
        </w:rPr>
        <w:t>二</w:t>
      </w:r>
      <w:bookmarkEnd w:id="638"/>
      <w:r>
        <w:rPr>
          <w:b/>
          <w:bCs/>
          <w:color w:val="000000"/>
          <w:spacing w:val="0"/>
          <w:w w:val="100"/>
          <w:position w:val="0"/>
        </w:rPr>
        <w:t>、</w:t>
        <w:tab/>
        <w:t>形成审计意见的基础</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阐述了我们在这些准则下的责任。按照中国注册会计师职业道德守则，我们独立于青岛中程，并履行了职业道德方面的其他 责任。我们相信，我们获取的审计证据是充分、适当的，为发表审计意见提供了基础。</w:t>
      </w:r>
    </w:p>
    <w:p>
      <w:pPr>
        <w:pStyle w:val="Style34"/>
        <w:keepNext w:val="0"/>
        <w:keepLines w:val="0"/>
        <w:widowControl w:val="0"/>
        <w:shd w:val="clear" w:color="auto" w:fill="auto"/>
        <w:tabs>
          <w:tab w:pos="825" w:val="left"/>
        </w:tabs>
        <w:bidi w:val="0"/>
        <w:spacing w:before="0" w:after="0" w:line="315" w:lineRule="exact"/>
        <w:ind w:left="0" w:right="0"/>
        <w:jc w:val="both"/>
      </w:pPr>
      <w:bookmarkStart w:id="639" w:name="bookmark639"/>
      <w:r>
        <w:rPr>
          <w:b/>
          <w:bCs/>
          <w:color w:val="000000"/>
          <w:spacing w:val="0"/>
          <w:w w:val="100"/>
          <w:position w:val="0"/>
        </w:rPr>
        <w:t>三</w:t>
      </w:r>
      <w:bookmarkEnd w:id="639"/>
      <w:r>
        <w:rPr>
          <w:b/>
          <w:bCs/>
          <w:color w:val="000000"/>
          <w:spacing w:val="0"/>
          <w:w w:val="100"/>
          <w:position w:val="0"/>
        </w:rPr>
        <w:t>、</w:t>
        <w:tab/>
        <w:t>关键审计事项</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34"/>
        <w:keepNext w:val="0"/>
        <w:keepLines w:val="0"/>
        <w:widowControl w:val="0"/>
        <w:shd w:val="clear" w:color="auto" w:fill="auto"/>
        <w:bidi w:val="0"/>
        <w:spacing w:before="0" w:after="100" w:line="315" w:lineRule="exact"/>
        <w:ind w:left="0" w:right="0"/>
        <w:jc w:val="left"/>
      </w:pPr>
      <w:r>
        <w:rPr>
          <w:b/>
          <w:bCs/>
          <w:color w:val="000000"/>
          <w:spacing w:val="0"/>
          <w:w w:val="100"/>
          <w:position w:val="0"/>
        </w:rPr>
        <w:t>应收账款和合同资产的减值</w:t>
      </w:r>
    </w:p>
    <w:p>
      <w:pPr>
        <w:pStyle w:val="Style34"/>
        <w:keepNext w:val="0"/>
        <w:keepLines w:val="0"/>
        <w:widowControl w:val="0"/>
        <w:shd w:val="clear" w:color="auto" w:fill="auto"/>
        <w:tabs>
          <w:tab w:pos="724" w:val="left"/>
        </w:tabs>
        <w:bidi w:val="0"/>
        <w:spacing w:before="0" w:after="0" w:line="360" w:lineRule="auto"/>
        <w:ind w:left="0" w:right="0"/>
        <w:jc w:val="left"/>
      </w:pPr>
      <w:bookmarkStart w:id="640" w:name="bookmark640"/>
      <w:r>
        <w:rPr>
          <w:rFonts w:ascii="Times New Roman" w:eastAsia="Times New Roman" w:hAnsi="Times New Roman" w:cs="Times New Roman"/>
          <w:b/>
          <w:bCs/>
          <w:color w:val="000000"/>
          <w:spacing w:val="0"/>
          <w:w w:val="100"/>
          <w:position w:val="0"/>
          <w:sz w:val="18"/>
          <w:szCs w:val="18"/>
        </w:rPr>
        <w:t>1</w:t>
      </w:r>
      <w:bookmarkEnd w:id="640"/>
      <w:r>
        <w:rPr>
          <w:b/>
          <w:bCs/>
          <w:color w:val="000000"/>
          <w:spacing w:val="0"/>
          <w:w w:val="100"/>
          <w:position w:val="0"/>
        </w:rPr>
        <w:t>、</w:t>
        <w:tab/>
        <w:t>事项描述</w:t>
      </w:r>
    </w:p>
    <w:p>
      <w:pPr>
        <w:pStyle w:val="Style34"/>
        <w:keepNext w:val="0"/>
        <w:keepLines w:val="0"/>
        <w:widowControl w:val="0"/>
        <w:shd w:val="clear" w:color="auto" w:fill="auto"/>
        <w:bidi w:val="0"/>
        <w:spacing w:before="0" w:after="100" w:line="315"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日，青岛中程合并财务报表中应收账款余额为人民币</w:t>
      </w:r>
      <w:r>
        <w:rPr>
          <w:rFonts w:ascii="Times New Roman" w:eastAsia="Times New Roman" w:hAnsi="Times New Roman" w:cs="Times New Roman"/>
          <w:color w:val="000000"/>
          <w:spacing w:val="0"/>
          <w:w w:val="100"/>
          <w:position w:val="0"/>
          <w:sz w:val="18"/>
          <w:szCs w:val="18"/>
        </w:rPr>
        <w:t>69,779.72</w:t>
      </w:r>
      <w:r>
        <w:rPr>
          <w:color w:val="000000"/>
          <w:spacing w:val="0"/>
          <w:w w:val="100"/>
          <w:position w:val="0"/>
        </w:rPr>
        <w:t>万元，合同资产余额为人民币</w:t>
      </w:r>
      <w:r>
        <w:rPr>
          <w:rFonts w:ascii="Times New Roman" w:eastAsia="Times New Roman" w:hAnsi="Times New Roman" w:cs="Times New Roman"/>
          <w:color w:val="000000"/>
          <w:spacing w:val="0"/>
          <w:w w:val="100"/>
          <w:position w:val="0"/>
          <w:sz w:val="18"/>
          <w:szCs w:val="18"/>
        </w:rPr>
        <w:t xml:space="preserve">227,217.58 </w:t>
      </w:r>
      <w:r>
        <w:rPr>
          <w:color w:val="000000"/>
          <w:spacing w:val="0"/>
          <w:w w:val="100"/>
          <w:position w:val="0"/>
        </w:rPr>
        <w:t>万元，其账面价值占合并财务报表资产总额的</w:t>
      </w:r>
      <w:r>
        <w:rPr>
          <w:rFonts w:ascii="Times New Roman" w:eastAsia="Times New Roman" w:hAnsi="Times New Roman" w:cs="Times New Roman"/>
          <w:color w:val="000000"/>
          <w:spacing w:val="0"/>
          <w:w w:val="100"/>
          <w:position w:val="0"/>
          <w:sz w:val="18"/>
          <w:szCs w:val="18"/>
        </w:rPr>
        <w:t>58.41%</w:t>
      </w:r>
      <w:r>
        <w:rPr>
          <w:color w:val="000000"/>
          <w:spacing w:val="0"/>
          <w:w w:val="100"/>
          <w:position w:val="0"/>
        </w:rPr>
        <w:t>，对合并财务报表总资产而言金额重大。如财务报表附注五、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及附注 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所示，青岛中程以预期信用损失为基础，对应收账款和合同资产进行减值会计处理并确认损失准备。管理层考虑所有 可获得的合理且有依据的信息（包括前瞻性信息）进行预期信用损失的评估，涉及管理层运用重大会计估计和判断，因此, 应收账款和合同资产的减值被视为关键审计事项。</w:t>
      </w:r>
    </w:p>
    <w:p>
      <w:pPr>
        <w:pStyle w:val="Style34"/>
        <w:keepNext w:val="0"/>
        <w:keepLines w:val="0"/>
        <w:widowControl w:val="0"/>
        <w:shd w:val="clear" w:color="auto" w:fill="auto"/>
        <w:tabs>
          <w:tab w:pos="738" w:val="left"/>
        </w:tabs>
        <w:bidi w:val="0"/>
        <w:spacing w:before="0" w:after="0" w:line="360" w:lineRule="auto"/>
        <w:ind w:left="0" w:right="0"/>
        <w:jc w:val="left"/>
      </w:pPr>
      <w:bookmarkStart w:id="641" w:name="bookmark641"/>
      <w:r>
        <w:rPr>
          <w:rFonts w:ascii="Times New Roman" w:eastAsia="Times New Roman" w:hAnsi="Times New Roman" w:cs="Times New Roman"/>
          <w:b/>
          <w:bCs/>
          <w:color w:val="000000"/>
          <w:spacing w:val="0"/>
          <w:w w:val="100"/>
          <w:position w:val="0"/>
          <w:sz w:val="18"/>
          <w:szCs w:val="18"/>
        </w:rPr>
        <w:t>2</w:t>
      </w:r>
      <w:bookmarkEnd w:id="641"/>
      <w:r>
        <w:rPr>
          <w:b/>
          <w:bCs/>
          <w:color w:val="000000"/>
          <w:spacing w:val="0"/>
          <w:w w:val="100"/>
          <w:position w:val="0"/>
        </w:rPr>
        <w:t>、</w:t>
        <w:tab/>
        <w:t>审计应对</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我们针对应收账款和合同资产的减值执行的审计程序主要包括：</w:t>
      </w:r>
    </w:p>
    <w:p>
      <w:pPr>
        <w:pStyle w:val="Style34"/>
        <w:keepNext w:val="0"/>
        <w:keepLines w:val="0"/>
        <w:widowControl w:val="0"/>
        <w:shd w:val="clear" w:color="auto" w:fill="auto"/>
        <w:tabs>
          <w:tab w:pos="729" w:val="left"/>
        </w:tabs>
        <w:bidi w:val="0"/>
        <w:spacing w:before="0" w:after="0" w:line="315" w:lineRule="exact"/>
        <w:ind w:left="0" w:right="0"/>
        <w:jc w:val="left"/>
      </w:pPr>
      <w:bookmarkStart w:id="642" w:name="bookmark642"/>
      <w:r>
        <w:rPr>
          <w:rFonts w:ascii="Times New Roman" w:eastAsia="Times New Roman" w:hAnsi="Times New Roman" w:cs="Times New Roman"/>
          <w:color w:val="000000"/>
          <w:spacing w:val="0"/>
          <w:w w:val="100"/>
          <w:position w:val="0"/>
          <w:sz w:val="18"/>
          <w:szCs w:val="18"/>
        </w:rPr>
        <w:t>1</w:t>
      </w:r>
      <w:bookmarkEnd w:id="642"/>
      <w:r>
        <w:rPr>
          <w:color w:val="000000"/>
          <w:spacing w:val="0"/>
          <w:w w:val="100"/>
          <w:position w:val="0"/>
        </w:rPr>
        <w:t>）</w:t>
        <w:tab/>
        <w:t>评价管理层对于应收账款和合同资产日常管理及减值测试相关的内部控制的有效性；</w:t>
      </w:r>
    </w:p>
    <w:p>
      <w:pPr>
        <w:pStyle w:val="Style34"/>
        <w:keepNext w:val="0"/>
        <w:keepLines w:val="0"/>
        <w:widowControl w:val="0"/>
        <w:shd w:val="clear" w:color="auto" w:fill="auto"/>
        <w:tabs>
          <w:tab w:pos="748" w:val="left"/>
        </w:tabs>
        <w:bidi w:val="0"/>
        <w:spacing w:before="0" w:after="0" w:line="315" w:lineRule="exact"/>
        <w:ind w:left="0" w:right="0"/>
        <w:jc w:val="left"/>
      </w:pPr>
      <w:bookmarkStart w:id="643" w:name="bookmark643"/>
      <w:r>
        <w:rPr>
          <w:rFonts w:ascii="Times New Roman" w:eastAsia="Times New Roman" w:hAnsi="Times New Roman" w:cs="Times New Roman"/>
          <w:color w:val="000000"/>
          <w:spacing w:val="0"/>
          <w:w w:val="100"/>
          <w:position w:val="0"/>
          <w:sz w:val="18"/>
          <w:szCs w:val="18"/>
        </w:rPr>
        <w:t>2</w:t>
      </w:r>
      <w:bookmarkEnd w:id="643"/>
      <w:r>
        <w:rPr>
          <w:color w:val="000000"/>
          <w:spacing w:val="0"/>
          <w:w w:val="100"/>
          <w:position w:val="0"/>
        </w:rPr>
        <w:t>）</w:t>
        <w:tab/>
        <w:t>评价管理层对应收账款和合同资产预期信用损失进行评估的相关考虑及客观证据的适当性；</w:t>
      </w:r>
    </w:p>
    <w:p>
      <w:pPr>
        <w:pStyle w:val="Style34"/>
        <w:keepNext w:val="0"/>
        <w:keepLines w:val="0"/>
        <w:widowControl w:val="0"/>
        <w:shd w:val="clear" w:color="auto" w:fill="auto"/>
        <w:tabs>
          <w:tab w:pos="728" w:val="left"/>
        </w:tabs>
        <w:bidi w:val="0"/>
        <w:spacing w:before="0" w:after="0" w:line="315" w:lineRule="exact"/>
        <w:ind w:left="0" w:right="0"/>
        <w:jc w:val="left"/>
      </w:pPr>
      <w:bookmarkStart w:id="644" w:name="bookmark644"/>
      <w:r>
        <w:rPr>
          <w:rFonts w:ascii="Times New Roman" w:eastAsia="Times New Roman" w:hAnsi="Times New Roman" w:cs="Times New Roman"/>
          <w:color w:val="000000"/>
          <w:spacing w:val="0"/>
          <w:w w:val="100"/>
          <w:position w:val="0"/>
          <w:sz w:val="18"/>
          <w:szCs w:val="18"/>
        </w:rPr>
        <w:t>3</w:t>
      </w:r>
      <w:bookmarkEnd w:id="644"/>
      <w:r>
        <w:rPr>
          <w:color w:val="000000"/>
          <w:spacing w:val="0"/>
          <w:w w:val="100"/>
          <w:position w:val="0"/>
        </w:rPr>
        <w:t>）</w:t>
        <w:tab/>
        <w:t>对于单独计提信用损失的应收账款和合同资产选取样本，复核管理层对预计未来可取得现金流量做出估计的依据及 合理性；</w:t>
      </w:r>
    </w:p>
    <w:p>
      <w:pPr>
        <w:pStyle w:val="Style34"/>
        <w:keepNext w:val="0"/>
        <w:keepLines w:val="0"/>
        <w:widowControl w:val="0"/>
        <w:shd w:val="clear" w:color="auto" w:fill="auto"/>
        <w:tabs>
          <w:tab w:pos="673" w:val="left"/>
        </w:tabs>
        <w:bidi w:val="0"/>
        <w:spacing w:before="0" w:after="0" w:line="315" w:lineRule="exact"/>
        <w:ind w:left="0" w:right="0"/>
        <w:jc w:val="left"/>
      </w:pPr>
      <w:bookmarkStart w:id="645" w:name="bookmark645"/>
      <w:r>
        <w:rPr>
          <w:rFonts w:ascii="Times New Roman" w:eastAsia="Times New Roman" w:hAnsi="Times New Roman" w:cs="Times New Roman"/>
          <w:color w:val="000000"/>
          <w:spacing w:val="0"/>
          <w:w w:val="100"/>
          <w:position w:val="0"/>
          <w:sz w:val="18"/>
          <w:szCs w:val="18"/>
        </w:rPr>
        <w:t>4</w:t>
      </w:r>
      <w:bookmarkEnd w:id="645"/>
      <w:r>
        <w:rPr>
          <w:color w:val="000000"/>
          <w:spacing w:val="0"/>
          <w:w w:val="100"/>
          <w:position w:val="0"/>
        </w:rPr>
        <w:t>）</w:t>
        <w:tab/>
        <w:t>对于管理层按照组合计量预期信用损失的应收账款和合同资产，复核和评价管理层使用的预期信用损失率的适当性 （包括账龄迁徙率及前瞻性信息调整损失率的计算等）；</w:t>
      </w:r>
    </w:p>
    <w:p>
      <w:pPr>
        <w:pStyle w:val="Style34"/>
        <w:keepNext w:val="0"/>
        <w:keepLines w:val="0"/>
        <w:widowControl w:val="0"/>
        <w:shd w:val="clear" w:color="auto" w:fill="auto"/>
        <w:tabs>
          <w:tab w:pos="748" w:val="left"/>
        </w:tabs>
        <w:bidi w:val="0"/>
        <w:spacing w:before="0" w:after="0" w:line="315" w:lineRule="exact"/>
        <w:ind w:left="0" w:right="0"/>
        <w:jc w:val="left"/>
      </w:pPr>
      <w:bookmarkStart w:id="646" w:name="bookmark646"/>
      <w:r>
        <w:rPr>
          <w:rFonts w:ascii="Times New Roman" w:eastAsia="Times New Roman" w:hAnsi="Times New Roman" w:cs="Times New Roman"/>
          <w:color w:val="000000"/>
          <w:spacing w:val="0"/>
          <w:w w:val="100"/>
          <w:position w:val="0"/>
          <w:sz w:val="18"/>
          <w:szCs w:val="18"/>
        </w:rPr>
        <w:t>5</w:t>
      </w:r>
      <w:bookmarkEnd w:id="646"/>
      <w:r>
        <w:rPr>
          <w:color w:val="000000"/>
          <w:spacing w:val="0"/>
          <w:w w:val="100"/>
          <w:position w:val="0"/>
        </w:rPr>
        <w:t>）</w:t>
        <w:tab/>
        <w:t>复核管理层对于应收账款和合同资产减值相关披露的充分性。</w:t>
      </w:r>
    </w:p>
    <w:p>
      <w:pPr>
        <w:pStyle w:val="Style34"/>
        <w:keepNext w:val="0"/>
        <w:keepLines w:val="0"/>
        <w:widowControl w:val="0"/>
        <w:shd w:val="clear" w:color="auto" w:fill="auto"/>
        <w:tabs>
          <w:tab w:pos="825" w:val="left"/>
        </w:tabs>
        <w:bidi w:val="0"/>
        <w:spacing w:before="0" w:after="100" w:line="315" w:lineRule="exact"/>
        <w:ind w:left="0" w:right="0"/>
        <w:jc w:val="left"/>
      </w:pPr>
      <w:bookmarkStart w:id="647" w:name="bookmark647"/>
      <w:r>
        <w:rPr>
          <w:b/>
          <w:bCs/>
          <w:color w:val="000000"/>
          <w:spacing w:val="0"/>
          <w:w w:val="100"/>
          <w:position w:val="0"/>
        </w:rPr>
        <w:t>四</w:t>
      </w:r>
      <w:bookmarkEnd w:id="647"/>
      <w:r>
        <w:rPr>
          <w:b/>
          <w:bCs/>
          <w:color w:val="000000"/>
          <w:spacing w:val="0"/>
          <w:w w:val="100"/>
          <w:position w:val="0"/>
        </w:rPr>
        <w:t>、</w:t>
        <w:tab/>
        <w:t>其他信息</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青岛中程管理层（以下简称管理层）对其他信息负责。其他信息包括青岛中程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 财务报表和我们的审计报告。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4"/>
        <w:keepNext w:val="0"/>
        <w:keepLines w:val="0"/>
        <w:widowControl w:val="0"/>
        <w:shd w:val="clear" w:color="auto" w:fill="auto"/>
        <w:tabs>
          <w:tab w:pos="807" w:val="left"/>
        </w:tabs>
        <w:bidi w:val="0"/>
        <w:spacing w:before="0" w:after="0" w:line="314" w:lineRule="exact"/>
        <w:ind w:left="0" w:right="0"/>
        <w:jc w:val="both"/>
      </w:pPr>
      <w:bookmarkStart w:id="648" w:name="bookmark648"/>
      <w:r>
        <w:rPr>
          <w:b/>
          <w:bCs/>
          <w:color w:val="000000"/>
          <w:spacing w:val="0"/>
          <w:w w:val="100"/>
          <w:position w:val="0"/>
        </w:rPr>
        <w:t>五</w:t>
      </w:r>
      <w:bookmarkEnd w:id="648"/>
      <w:r>
        <w:rPr>
          <w:b/>
          <w:bCs/>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青岛中程管理层负责按照企业会计准则的规定编制财务报表，使其实现公允反映，并设计、执行和维护必要的内部控制， 以使财务报表不存在由于舞弊或错误导致的重大错报。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在编制财务报表时，管理层负责评估青岛中程的持续经营能力，披露与持续经营相关的事项（如适用），并运用持续经 营假设，除非管理层计划清算青岛中程、终止运营或别无其他现实的选择。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青岛中程治理层（以下简称治理层）负责监督青岛中程的财务报告过程。</w:t>
      </w:r>
    </w:p>
    <w:p>
      <w:pPr>
        <w:pStyle w:val="Style34"/>
        <w:keepNext w:val="0"/>
        <w:keepLines w:val="0"/>
        <w:widowControl w:val="0"/>
        <w:shd w:val="clear" w:color="auto" w:fill="auto"/>
        <w:tabs>
          <w:tab w:pos="812" w:val="left"/>
        </w:tabs>
        <w:bidi w:val="0"/>
        <w:spacing w:before="0" w:after="0" w:line="314" w:lineRule="exact"/>
        <w:ind w:left="0" w:right="0"/>
        <w:jc w:val="both"/>
      </w:pPr>
      <w:bookmarkStart w:id="649" w:name="bookmark649"/>
      <w:r>
        <w:rPr>
          <w:b/>
          <w:bCs/>
          <w:color w:val="000000"/>
          <w:spacing w:val="0"/>
          <w:w w:val="100"/>
          <w:position w:val="0"/>
        </w:rPr>
        <w:t>六</w:t>
      </w:r>
      <w:bookmarkEnd w:id="649"/>
      <w:r>
        <w:rPr>
          <w:b/>
          <w:bCs/>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4"/>
        <w:keepNext w:val="0"/>
        <w:keepLines w:val="0"/>
        <w:widowControl w:val="0"/>
        <w:shd w:val="clear" w:color="auto" w:fill="auto"/>
        <w:tabs>
          <w:tab w:pos="687" w:val="left"/>
        </w:tabs>
        <w:bidi w:val="0"/>
        <w:spacing w:before="0" w:after="0" w:line="314" w:lineRule="exact"/>
        <w:ind w:left="0" w:right="0"/>
        <w:jc w:val="both"/>
      </w:pPr>
      <w:bookmarkStart w:id="650" w:name="bookmark650"/>
      <w:r>
        <w:rPr>
          <w:rFonts w:ascii="Times New Roman" w:eastAsia="Times New Roman" w:hAnsi="Times New Roman" w:cs="Times New Roman"/>
          <w:color w:val="000000"/>
          <w:spacing w:val="0"/>
          <w:w w:val="100"/>
          <w:position w:val="0"/>
          <w:sz w:val="18"/>
          <w:szCs w:val="18"/>
        </w:rPr>
        <w:t>1</w:t>
      </w:r>
      <w:bookmarkEnd w:id="650"/>
      <w:r>
        <w:rPr>
          <w:color w:val="000000"/>
          <w:spacing w:val="0"/>
          <w:w w:val="100"/>
          <w:position w:val="0"/>
        </w:rPr>
        <w:t>、</w:t>
        <w:tab/>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4"/>
        <w:keepNext w:val="0"/>
        <w:keepLines w:val="0"/>
        <w:widowControl w:val="0"/>
        <w:shd w:val="clear" w:color="auto" w:fill="auto"/>
        <w:tabs>
          <w:tab w:pos="721" w:val="left"/>
        </w:tabs>
        <w:bidi w:val="0"/>
        <w:spacing w:before="0" w:after="0" w:line="314" w:lineRule="exact"/>
        <w:ind w:left="0" w:right="0"/>
        <w:jc w:val="both"/>
      </w:pPr>
      <w:bookmarkStart w:id="651" w:name="bookmark651"/>
      <w:r>
        <w:rPr>
          <w:rFonts w:ascii="Times New Roman" w:eastAsia="Times New Roman" w:hAnsi="Times New Roman" w:cs="Times New Roman"/>
          <w:color w:val="000000"/>
          <w:spacing w:val="0"/>
          <w:w w:val="100"/>
          <w:position w:val="0"/>
          <w:sz w:val="18"/>
          <w:szCs w:val="18"/>
        </w:rPr>
        <w:t>2</w:t>
      </w:r>
      <w:bookmarkEnd w:id="651"/>
      <w:r>
        <w:rPr>
          <w:color w:val="000000"/>
          <w:spacing w:val="0"/>
          <w:w w:val="100"/>
          <w:position w:val="0"/>
        </w:rPr>
        <w:t>、</w:t>
        <w:tab/>
        <w:t>了解与审计相关的内部控制，以设计恰当的审计程序，但目的并非对内部控制的有效性发表意见。</w:t>
      </w:r>
    </w:p>
    <w:p>
      <w:pPr>
        <w:pStyle w:val="Style34"/>
        <w:keepNext w:val="0"/>
        <w:keepLines w:val="0"/>
        <w:widowControl w:val="0"/>
        <w:shd w:val="clear" w:color="auto" w:fill="auto"/>
        <w:tabs>
          <w:tab w:pos="721" w:val="left"/>
        </w:tabs>
        <w:bidi w:val="0"/>
        <w:spacing w:before="0" w:after="0" w:line="314" w:lineRule="exact"/>
        <w:ind w:left="0" w:right="0"/>
        <w:jc w:val="both"/>
      </w:pPr>
      <w:bookmarkStart w:id="652" w:name="bookmark652"/>
      <w:r>
        <w:rPr>
          <w:rFonts w:ascii="Times New Roman" w:eastAsia="Times New Roman" w:hAnsi="Times New Roman" w:cs="Times New Roman"/>
          <w:color w:val="000000"/>
          <w:spacing w:val="0"/>
          <w:w w:val="100"/>
          <w:position w:val="0"/>
          <w:sz w:val="18"/>
          <w:szCs w:val="18"/>
        </w:rPr>
        <w:t>3</w:t>
      </w:r>
      <w:bookmarkEnd w:id="652"/>
      <w:r>
        <w:rPr>
          <w:color w:val="000000"/>
          <w:spacing w:val="0"/>
          <w:w w:val="100"/>
          <w:position w:val="0"/>
        </w:rPr>
        <w:t>、</w:t>
        <w:tab/>
        <w:t>评价管理层选用会计政策的恰当性和作出会计估计及相关披露的合理性。</w:t>
      </w:r>
    </w:p>
    <w:p>
      <w:pPr>
        <w:pStyle w:val="Style34"/>
        <w:keepNext w:val="0"/>
        <w:keepLines w:val="0"/>
        <w:widowControl w:val="0"/>
        <w:shd w:val="clear" w:color="auto" w:fill="auto"/>
        <w:tabs>
          <w:tab w:pos="696" w:val="left"/>
        </w:tabs>
        <w:bidi w:val="0"/>
        <w:spacing w:before="0" w:after="0" w:line="314" w:lineRule="exact"/>
        <w:ind w:left="0" w:right="0"/>
        <w:jc w:val="both"/>
      </w:pPr>
      <w:bookmarkStart w:id="653" w:name="bookmark653"/>
      <w:r>
        <w:rPr>
          <w:rFonts w:ascii="Times New Roman" w:eastAsia="Times New Roman" w:hAnsi="Times New Roman" w:cs="Times New Roman"/>
          <w:color w:val="000000"/>
          <w:spacing w:val="0"/>
          <w:w w:val="100"/>
          <w:position w:val="0"/>
          <w:sz w:val="18"/>
          <w:szCs w:val="18"/>
        </w:rPr>
        <w:t>4</w:t>
      </w:r>
      <w:bookmarkEnd w:id="653"/>
      <w:r>
        <w:rPr>
          <w:color w:val="000000"/>
          <w:spacing w:val="0"/>
          <w:w w:val="100"/>
          <w:position w:val="0"/>
        </w:rPr>
        <w:t>、</w:t>
        <w:tab/>
        <w:t>对管理层使用持续经营假设的恰当性得出结论。同时，根据获取的审计证据，就可能导致对青岛中程持续经营能力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截至审计报告日可获得的信息。然而，未来的事项或情况可能导致青岛中程不能持续经营。</w:t>
      </w:r>
    </w:p>
    <w:p>
      <w:pPr>
        <w:pStyle w:val="Style34"/>
        <w:keepNext w:val="0"/>
        <w:keepLines w:val="0"/>
        <w:widowControl w:val="0"/>
        <w:shd w:val="clear" w:color="auto" w:fill="auto"/>
        <w:tabs>
          <w:tab w:pos="721" w:val="left"/>
        </w:tabs>
        <w:bidi w:val="0"/>
        <w:spacing w:before="0" w:after="0" w:line="314" w:lineRule="exact"/>
        <w:ind w:left="0" w:right="0"/>
        <w:jc w:val="both"/>
      </w:pPr>
      <w:bookmarkStart w:id="654" w:name="bookmark654"/>
      <w:r>
        <w:rPr>
          <w:rFonts w:ascii="Times New Roman" w:eastAsia="Times New Roman" w:hAnsi="Times New Roman" w:cs="Times New Roman"/>
          <w:color w:val="000000"/>
          <w:spacing w:val="0"/>
          <w:w w:val="100"/>
          <w:position w:val="0"/>
          <w:sz w:val="18"/>
          <w:szCs w:val="18"/>
        </w:rPr>
        <w:t>5</w:t>
      </w:r>
      <w:bookmarkEnd w:id="654"/>
      <w:r>
        <w:rPr>
          <w:color w:val="000000"/>
          <w:spacing w:val="0"/>
          <w:w w:val="100"/>
          <w:position w:val="0"/>
        </w:rPr>
        <w:t>、</w:t>
        <w:tab/>
        <w:t>评价财务报表的总体列报、结构和内容，并评价财务报表是否公允反映相关交易和事项。</w:t>
      </w:r>
    </w:p>
    <w:p>
      <w:pPr>
        <w:pStyle w:val="Style34"/>
        <w:keepNext w:val="0"/>
        <w:keepLines w:val="0"/>
        <w:widowControl w:val="0"/>
        <w:shd w:val="clear" w:color="auto" w:fill="auto"/>
        <w:tabs>
          <w:tab w:pos="696" w:val="left"/>
        </w:tabs>
        <w:bidi w:val="0"/>
        <w:spacing w:before="0" w:after="0" w:line="314" w:lineRule="exact"/>
        <w:ind w:left="0" w:right="0"/>
        <w:jc w:val="both"/>
      </w:pPr>
      <w:bookmarkStart w:id="655" w:name="bookmark655"/>
      <w:r>
        <w:rPr>
          <w:rFonts w:ascii="Times New Roman" w:eastAsia="Times New Roman" w:hAnsi="Times New Roman" w:cs="Times New Roman"/>
          <w:color w:val="000000"/>
          <w:spacing w:val="0"/>
          <w:w w:val="100"/>
          <w:position w:val="0"/>
          <w:sz w:val="18"/>
          <w:szCs w:val="18"/>
        </w:rPr>
        <w:t>6</w:t>
      </w:r>
      <w:bookmarkEnd w:id="655"/>
      <w:r>
        <w:rPr>
          <w:color w:val="000000"/>
          <w:spacing w:val="0"/>
          <w:w w:val="100"/>
          <w:position w:val="0"/>
        </w:rPr>
        <w:t>、</w:t>
        <w:tab/>
        <w:t>就青岛中程中实体或业务活动的财务信息获取充分、适当的审计证据，以对财务报表发表审计意见。我们负责指导、 监督和执行集团审计，并对审计意见承担全部责任。</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4"/>
        <w:keepNext w:val="0"/>
        <w:keepLines w:val="0"/>
        <w:widowControl w:val="0"/>
        <w:shd w:val="clear" w:color="auto" w:fill="auto"/>
        <w:bidi w:val="0"/>
        <w:spacing w:before="0" w:after="380" w:line="310"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0"/>
        <w:keepNext/>
        <w:keepLines/>
        <w:widowControl w:val="0"/>
        <w:shd w:val="clear" w:color="auto" w:fill="auto"/>
        <w:bidi w:val="0"/>
        <w:spacing w:before="0" w:after="24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二</w:t>
      </w:r>
      <w:bookmarkEnd w:id="658"/>
      <w:r>
        <w:rPr>
          <w:color w:val="000000"/>
          <w:spacing w:val="0"/>
          <w:w w:val="100"/>
          <w:position w:val="0"/>
          <w:sz w:val="24"/>
          <w:szCs w:val="24"/>
        </w:rPr>
        <w:t>、财务报表</w:t>
      </w:r>
      <w:bookmarkEnd w:id="656"/>
      <w:bookmarkEnd w:id="657"/>
      <w:bookmarkEnd w:id="659"/>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财务附注中报表的单位为：元</w:t>
      </w:r>
      <w:r>
        <w:br w:type="page"/>
      </w:r>
    </w:p>
    <w:p>
      <w:pPr>
        <w:pStyle w:val="Style37"/>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、合并资产负债表</w:t>
      </w:r>
      <w:bookmarkEnd w:id="660"/>
      <w:bookmarkEnd w:id="661"/>
      <w:bookmarkEnd w:id="66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编制单位：青岛中资中程集团股份有限公司</w:t>
      </w:r>
    </w:p>
    <w:p>
      <w:pPr>
        <w:pStyle w:val="Style45"/>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137,752,644.98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485,463,809.94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98,575,000.00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468,802,899.16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904,501,409.24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39,728,899.40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47,172,380.99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2,827,564.95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6,089,316.18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171,716,848.07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2,635,367,730.55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2,218,592,985.77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24,761,502.36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214,441,568.63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3,113,343,344.69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4,391,611,215.53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13,391,666.74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26,877,756.19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4,010,000.00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3,353,979.34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104,590,473.46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122,101,079.30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455,985,520.74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523,051,034.60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532,276,223.76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24,580,800.00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18,487,421.64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4,532,897.48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215,943,558.62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134,151,785.30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65,967,547.55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33,935,026.91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1,487,347,865.79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1,355,196,735.76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4,600,691,210.48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5,746,807,951.29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1,127,994,510.40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63,601,425.04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688,631,669.98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935,306,507.92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146,494,276.78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78,339,817.07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5,625,955.71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5,007,072.24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48,535,383.06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83,542,042.95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791,107,064.76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1,015,737,315.57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65,255,522.24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28,280,526.40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10,624,325.58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72,833,997.78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2,591,242,405.66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3,450,517,148.68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12,767,201.69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609,075,091.39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413,767,201.69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3,200,317,497.05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3,864,284,350.37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207,765,572.12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-97,128,968.55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-6,280,444.74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11,314,777.33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98,901,380.51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398,728,222.19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807,179,991.62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1,369,330,997.20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1,868,356,276.84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31,042,716.23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14,167,324.08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1,400,373,713.43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1,882,523,600.92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4,600,691,210.48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5,746,807,951.29</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0" behindDoc="0" locked="0" layoutInCell="1" allowOverlap="1">
                <wp:simplePos x="0" y="0"/>
                <wp:positionH relativeFrom="page">
                  <wp:posOffset>708660</wp:posOffset>
                </wp:positionH>
                <wp:positionV relativeFrom="margin">
                  <wp:posOffset>1295400</wp:posOffset>
                </wp:positionV>
                <wp:extent cx="1051560" cy="149225"/>
                <wp:wrapTopAndBottom/>
                <wp:docPr id="148" name="Shape 14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法定代表人：李向罡</w:t>
                            </w:r>
                          </w:p>
                        </w:txbxContent>
                      </wps:txbx>
                      <wps:bodyPr wrap="none" lIns="0" tIns="0" rIns="0" bIns="0">
                        <a:noAutoFit/>
                      </wps:bodyPr>
                    </wps:wsp>
                  </a:graphicData>
                </a:graphic>
              </wp:anchor>
            </w:drawing>
          </mc:Choice>
          <mc:Fallback>
            <w:pict>
              <v:shape id="_x0000_s1174" type="#_x0000_t202" style="position:absolute;margin-left:55.800000000000004pt;margin-top:102.pt;width:82.799999999999997pt;height:11.75pt;z-index:-125829373;mso-wrap-distance-left:9.pt;mso-wrap-distance-top:11.pt;mso-wrap-distance-right:405.69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法定代表人：李向罡</w:t>
                      </w:r>
                    </w:p>
                  </w:txbxContent>
                </v:textbox>
                <w10:wrap type="topAndBottom" anchorx="page" anchory="margin"/>
              </v:shape>
            </w:pict>
          </mc:Fallback>
        </mc:AlternateContent>
      </w:r>
      <w:r>
        <mc:AlternateContent>
          <mc:Choice Requires="wps">
            <w:drawing>
              <wp:anchor distT="139700" distB="3175" distL="2293620" distR="2519045" simplePos="0" relativeHeight="125829382" behindDoc="0" locked="0" layoutInCell="1" allowOverlap="1">
                <wp:simplePos x="0" y="0"/>
                <wp:positionH relativeFrom="page">
                  <wp:posOffset>2887980</wp:posOffset>
                </wp:positionH>
                <wp:positionV relativeFrom="margin">
                  <wp:posOffset>1295400</wp:posOffset>
                </wp:positionV>
                <wp:extent cx="1505585" cy="146050"/>
                <wp:wrapTopAndBottom/>
                <wp:docPr id="150" name="Shape 15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主管会计工作负责人：陈荣东</w:t>
                            </w:r>
                          </w:p>
                        </w:txbxContent>
                      </wps:txbx>
                      <wps:bodyPr wrap="none" lIns="0" tIns="0" rIns="0" bIns="0">
                        <a:noAutoFit/>
                      </wps:bodyPr>
                    </wps:wsp>
                  </a:graphicData>
                </a:graphic>
              </wp:anchor>
            </w:drawing>
          </mc:Choice>
          <mc:Fallback>
            <w:pict>
              <v:shape id="_x0000_s1176" type="#_x0000_t202" style="position:absolute;margin-left:227.40000000000001pt;margin-top:102.pt;width:118.55pt;height:11.5pt;z-index:-125829371;mso-wrap-distance-left:180.59999999999999pt;mso-wrap-distance-top:11.pt;mso-wrap-distance-right:198.3499999999999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主管会计工作负责人：陈荣东</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5512435</wp:posOffset>
                </wp:positionH>
                <wp:positionV relativeFrom="margin">
                  <wp:posOffset>1295400</wp:posOffset>
                </wp:positionV>
                <wp:extent cx="1286510" cy="149225"/>
                <wp:wrapTopAndBottom/>
                <wp:docPr id="152" name="Shape 1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会计机构负责人：李海峰</w:t>
                            </w:r>
                          </w:p>
                        </w:txbxContent>
                      </wps:txbx>
                      <wps:bodyPr wrap="none" lIns="0" tIns="0" rIns="0" bIns="0">
                        <a:noAutoFit/>
                      </wps:bodyPr>
                    </wps:wsp>
                  </a:graphicData>
                </a:graphic>
              </wp:anchor>
            </w:drawing>
          </mc:Choice>
          <mc:Fallback>
            <w:pict>
              <v:shape id="_x0000_s1178" type="#_x0000_t202" style="position:absolute;margin-left:434.05000000000001pt;margin-top:102.pt;width:101.3pt;height:11.75pt;z-index:-125829369;mso-wrap-distance-left:387.25pt;mso-wrap-distance-top:11.pt;mso-wrap-distance-right:8.950000000000001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会计机构负责人：李海峰</w:t>
                      </w:r>
                    </w:p>
                  </w:txbxContent>
                </v:textbox>
                <w10:wrap type="topAndBottom" anchorx="page" anchory="margin"/>
              </v:shape>
            </w:pict>
          </mc:Fallback>
        </mc:AlternateContent>
      </w: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、母公司资产负债表</w:t>
      </w:r>
      <w:bookmarkEnd w:id="664"/>
      <w:bookmarkEnd w:id="665"/>
      <w:bookmarkEnd w:id="66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44,530,949.60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460,254,515.20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87,416,620.71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414,235,775.23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33,673,418.08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30,206,123.24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290,901,437.64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294,747,723.48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107,153,782.86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1,633,272,066.63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1,604,337,555.54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4,597,519.87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192,947,906.68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2,172,611,284.30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3,055,364,110.46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13,391,666.74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1,820,358,995.35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1,761,524,507.20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86,255,449.09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96,562,692.06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5,563,712.26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5,894,773.90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3,123,539.32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4,050,703.46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197,208,335.25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94,700,225.00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39,063,151.25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35,964,800.16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2,159,349,849.30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2,016,099,368.52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4,331,961,133.60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5,071,463,478.98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1,127,994,510.40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63,601,425.04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500,083,358.57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754,997,827.12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70,082.56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69,875,392.29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3,922,819.91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3,438,249.91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767,597.01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887,911.48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954,199,822.93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1,169,302,669.82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63,887,938.90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27,782,193.06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9,523,950.36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333,997.78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2,506,751,130.57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3,120,626,674.11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12,767,201.69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609,075,091.39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413,767,201.69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3,115,826,221.96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3,534,393,875.80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203,877,440.46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203,877,440.46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11,314,777.33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98,901,380.51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152,291,299.74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473,501,004.88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1,216,134,911.64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1,537,069,603.18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4,331,961,133.60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5,071,463,478.98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3</w:t>
      </w:r>
      <w:bookmarkEnd w:id="670"/>
      <w:r>
        <w:rPr>
          <w:color w:val="000000"/>
          <w:spacing w:val="0"/>
          <w:w w:val="100"/>
          <w:position w:val="0"/>
        </w:rPr>
        <w:t>、合并利润表</w:t>
      </w:r>
      <w:bookmarkEnd w:id="668"/>
      <w:bookmarkEnd w:id="669"/>
      <w:bookmarkEnd w:id="671"/>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757,037,879.84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757,037,879.84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780,603,869.11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939,357,817.93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538,985,774.91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734,631,218.39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3,418,105.43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2,530,573.74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8,379,640.25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6,242,311.95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80,160,483.40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101,735,782.56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4,618,344.70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8,760,242.72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145,041,520.42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85,457,688.57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128,314,595.70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106,333,346.28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-2,879,674.68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-4,076,117.29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2,330,894.55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133,004.04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2,364,713.63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1,179,096.93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7,108,879.92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-107,615,961.04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-6,879,064.37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-75,688,687.22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-485,867,147.25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-365,210,003.72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10,369,949.59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15,358,344.15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9,366,193.02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-501,201,490.64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-364,206,247.15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-105,082,872.67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-92,348,581.14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-396,118,617.97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-271,857,666.01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-396,118,617.97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-271,857,666.01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-408,451,769.43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-259,368,579.84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12,333,151.46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-12,489,086.17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-91,545,283.12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56,425,269.57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-90,848,523.81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44,195,460.52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-90,848,523.81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44,195,460.52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-90,848,523.81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44,195,460.52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12,229,809.05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-487,663,901.09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-215,432,396.44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-499,300,293.24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-215,173,119.32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11,636,392.15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-259,277.12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法定代表人：李向罡</w:t>
        <w:tab/>
        <w:t>主管会计工作负责人：陈荣东</w:t>
        <w:tab/>
        <w:t>会计机构负责人：李海峰</w:t>
      </w:r>
    </w:p>
    <w:p>
      <w:pPr>
        <w:pStyle w:val="Style37"/>
        <w:keepNext/>
        <w:keepLines/>
        <w:widowControl w:val="0"/>
        <w:shd w:val="clear" w:color="auto" w:fill="auto"/>
        <w:bidi w:val="0"/>
        <w:spacing w:before="0" w:after="40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4</w:t>
      </w:r>
      <w:bookmarkEnd w:id="674"/>
      <w:r>
        <w:rPr>
          <w:color w:val="000000"/>
          <w:spacing w:val="0"/>
          <w:w w:val="100"/>
          <w:position w:val="0"/>
        </w:rPr>
        <w:t>、母公司利润表</w:t>
      </w:r>
      <w:bookmarkEnd w:id="672"/>
      <w:bookmarkEnd w:id="673"/>
      <w:bookmarkEnd w:id="67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-152,998,445.79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107,066,905.12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3,929,728.60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130,692,237.43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1,390,568.88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1,832,990.74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7,506,734.43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5,459,476.65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47,703,223.08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49,289,148.06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4,606,464.70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8,693,294.23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126,344,436.87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98,760,135.03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127,086,694.40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103,132,608.93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-1,958,692.25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-3,847,265.13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2,178,909.20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129,572.73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1,645,053.42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690,762.10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1,182,763.17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690,762.10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-62,728,025.45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-22,423,650.04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-5,570,047.95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-40,246,494.82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322,979.29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-408,630,733.84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-249,510,187.05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10,369,946.73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15,111,082.03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9,355,965.77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-423,717,815.39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-248,496,206.09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-102,508,110.25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-74,070,878.34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-321,209,705.14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-174,425,327.75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9"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-321,209,705.14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-174,425,327.75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0"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-321,209,705.14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-174,425,327.75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5</w:t>
      </w:r>
      <w:bookmarkEnd w:id="678"/>
      <w:r>
        <w:rPr>
          <w:color w:val="000000"/>
          <w:spacing w:val="0"/>
          <w:w w:val="100"/>
          <w:position w:val="0"/>
        </w:rPr>
        <w:t>、合并现金流量表</w:t>
      </w:r>
      <w:bookmarkEnd w:id="676"/>
      <w:bookmarkEnd w:id="677"/>
      <w:bookmarkEnd w:id="67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984,395,414.01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521,960,206.45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125,565,495.36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32,321,865.55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95,088,096.94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60,805,244.87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1,205,049,006.31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615,087,316.87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936,029,979.28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1,204,176,342.63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52,551,738.98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53,174,252.50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7,570,336.17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15,456,299.86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119,985,278.78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190,852,770.27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1,116,137,333.21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1,463,659,665.26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88,911,673.10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-848,572,348.39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187,082.24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917,480.00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25,492,326.45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26,596,888.69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37,718,956.38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66,687,513.17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54,460,000.00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92,178,956.38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69,640,120.17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-65,582,067.69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-69,640,120.17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5,239,000.00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5,239,000.00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1,231,003,726.94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2,936,158,110.40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391,899,704.75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1,256,242,726.94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3,339,757,815.15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1,238,328,323.34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1,774,053,600.00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87,696,365.06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133,527,815.64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248,684,140.00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1,612,024,688.40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2,156,265,555.64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-355,781,961.46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1,183,492,259.51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-1,308,359.52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4,402,430.17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-333,760,715.57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269,682,221.12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444,315,927.42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174,633,706.30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110,555,211.85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444,315,927.42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6</w:t>
      </w:r>
      <w:bookmarkEnd w:id="682"/>
      <w:r>
        <w:rPr>
          <w:color w:val="000000"/>
          <w:spacing w:val="0"/>
          <w:w w:val="100"/>
          <w:position w:val="0"/>
        </w:rPr>
        <w:t>、母公司现金流量表</w:t>
      </w:r>
      <w:bookmarkEnd w:id="680"/>
      <w:bookmarkEnd w:id="681"/>
      <w:bookmarkEnd w:id="68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286,594,419.96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17,191,925.50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125,565,495.36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32,321,865.55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59,050,964.34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57,315,208.91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471,210,879.66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106,828,999.96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351,881,377.69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473,944,121.00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25,992,074.11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25,645,371.24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1,531,945.85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2,617,250.10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55,471,674.04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89,886,087.35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434,877,071.69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592,092,829.69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36,333,807.97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-485,263,829.73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187,082.24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914,480.00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1,101,562.24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77,660,000.00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274,229,299.30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77,749,649.00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274,823,206.30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-76,648,086.76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-274,823,206.30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1,231,003,726.94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2,786,558,110.40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391,899,704.75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1,251,003,726.94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3,178,457,815.15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1,238,328,323.34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1,624,453,600.00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87,696,365.06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131,493,004.52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248,684,140.00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1,612,024,688.40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2,004,630,744.52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-361,020,961.46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1,173,827,070.63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-300,986.73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2,751,359.46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-401,636,226.98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416,491,394.06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424,106,632.68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7,615,238.62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22,470,405.70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424,106,632.68</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7</w:t>
      </w:r>
      <w:bookmarkEnd w:id="686"/>
      <w:r>
        <w:rPr>
          <w:color w:val="000000"/>
          <w:spacing w:val="0"/>
          <w:w w:val="100"/>
          <w:position w:val="0"/>
        </w:rPr>
        <w:t>、合并所有者权益变动表</w:t>
      </w:r>
      <w:bookmarkEnd w:id="684"/>
      <w:bookmarkEnd w:id="685"/>
      <w:bookmarkEnd w:id="68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807,17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356,27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807,17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356,27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25,279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16,875</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49,887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-499,3</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00,293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11,636</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63,901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275,01</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298,86</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330,99</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030,26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加：会计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030,26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756,55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3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00,277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-215,1</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73,119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254,53</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293,93</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11,314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356,27</w:t>
            </w:r>
          </w:p>
          <w:p>
            <w:pPr>
              <w:pStyle w:val="Style2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8</w:t>
      </w:r>
      <w:bookmarkEnd w:id="690"/>
      <w:r>
        <w:rPr>
          <w:color w:val="000000"/>
          <w:spacing w:val="0"/>
          <w:w w:val="100"/>
          <w:position w:val="0"/>
        </w:rPr>
        <w:t>、母公司所有者权益变动表</w:t>
      </w:r>
      <w:bookmarkEnd w:id="688"/>
      <w:bookmarkEnd w:id="689"/>
      <w:bookmarkEnd w:id="69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-321,20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9,705.1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-321,20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9,705.1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670,408,0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1,733,722,0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670,408,0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1,733,722,0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三、本期增减变 动金额（减少以</w:t>
            </w:r>
          </w:p>
          <w:p>
            <w:pPr>
              <w:pStyle w:val="Style27"/>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-196,652,48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-174,425,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-174,425,32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-22,481,691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-22,481,691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254,533.81</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293,933.8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293,933.81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473,501,0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1,537,069,6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03.18</w:t>
            </w:r>
          </w:p>
        </w:tc>
      </w:tr>
    </w:tbl>
    <w:p>
      <w:pPr>
        <w:widowControl w:val="0"/>
        <w:spacing w:after="299" w:line="1" w:lineRule="exact"/>
      </w:pPr>
    </w:p>
    <w:p>
      <w:pPr>
        <w:pStyle w:val="Style30"/>
        <w:keepNext/>
        <w:keepLines/>
        <w:widowControl w:val="0"/>
        <w:shd w:val="clear" w:color="auto" w:fill="auto"/>
        <w:bidi w:val="0"/>
        <w:spacing w:before="0" w:after="26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sz w:val="24"/>
          <w:szCs w:val="24"/>
        </w:rPr>
        <w:t>三</w:t>
      </w:r>
      <w:bookmarkEnd w:id="694"/>
      <w:r>
        <w:rPr>
          <w:color w:val="000000"/>
          <w:spacing w:val="0"/>
          <w:w w:val="100"/>
          <w:position w:val="0"/>
          <w:sz w:val="24"/>
          <w:szCs w:val="24"/>
        </w:rPr>
        <w:t>、公司基本情况</w:t>
      </w:r>
      <w:bookmarkEnd w:id="692"/>
      <w:bookmarkEnd w:id="693"/>
      <w:bookmarkEnd w:id="695"/>
    </w:p>
    <w:p>
      <w:pPr>
        <w:pStyle w:val="Style34"/>
        <w:keepNext w:val="0"/>
        <w:keepLines w:val="0"/>
        <w:widowControl w:val="0"/>
        <w:shd w:val="clear" w:color="auto" w:fill="auto"/>
        <w:tabs>
          <w:tab w:pos="423" w:val="left"/>
        </w:tabs>
        <w:bidi w:val="0"/>
        <w:spacing w:before="0" w:after="0" w:line="312" w:lineRule="exact"/>
        <w:ind w:left="0" w:right="0" w:firstLine="0"/>
        <w:jc w:val="both"/>
      </w:pPr>
      <w:bookmarkStart w:id="696" w:name="bookmark696"/>
      <w:r>
        <w:rPr>
          <w:rFonts w:ascii="Times New Roman" w:eastAsia="Times New Roman" w:hAnsi="Times New Roman" w:cs="Times New Roman"/>
          <w:color w:val="000000"/>
          <w:spacing w:val="0"/>
          <w:w w:val="100"/>
          <w:position w:val="0"/>
          <w:sz w:val="18"/>
          <w:szCs w:val="18"/>
        </w:rPr>
        <w:t>3</w:t>
      </w:r>
      <w:bookmarkEnd w:id="6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基本情况</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青岛中资中程集团股份有限公司（以下简称本公司或公司）成立于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月，公司统一社会信用代码 </w:t>
      </w:r>
      <w:r>
        <w:rPr>
          <w:rFonts w:ascii="Times New Roman" w:eastAsia="Times New Roman" w:hAnsi="Times New Roman" w:cs="Times New Roman"/>
          <w:color w:val="000000"/>
          <w:spacing w:val="0"/>
          <w:w w:val="100"/>
          <w:position w:val="0"/>
          <w:sz w:val="18"/>
          <w:szCs w:val="18"/>
        </w:rPr>
        <w:t>913702007064604985</w:t>
      </w:r>
      <w:r>
        <w:rPr>
          <w:color w:val="000000"/>
          <w:spacing w:val="0"/>
          <w:w w:val="100"/>
          <w:position w:val="0"/>
        </w:rPr>
        <w:t>,公司注册资本为</w:t>
      </w:r>
      <w:r>
        <w:rPr>
          <w:rFonts w:ascii="Times New Roman" w:eastAsia="Times New Roman" w:hAnsi="Times New Roman" w:cs="Times New Roman"/>
          <w:color w:val="000000"/>
          <w:spacing w:val="0"/>
          <w:w w:val="100"/>
          <w:position w:val="0"/>
          <w:sz w:val="18"/>
          <w:szCs w:val="18"/>
        </w:rPr>
        <w:t>74,947.5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万元人民币，实收资本为</w:t>
      </w:r>
      <w:r>
        <w:rPr>
          <w:rFonts w:ascii="Times New Roman" w:eastAsia="Times New Roman" w:hAnsi="Times New Roman" w:cs="Times New Roman"/>
          <w:color w:val="000000"/>
          <w:spacing w:val="0"/>
          <w:w w:val="100"/>
          <w:position w:val="0"/>
          <w:sz w:val="18"/>
          <w:szCs w:val="18"/>
        </w:rPr>
        <w:t>74,947.50</w:t>
      </w:r>
      <w:r>
        <w:rPr>
          <w:color w:val="000000"/>
          <w:spacing w:val="0"/>
          <w:w w:val="100"/>
          <w:position w:val="0"/>
        </w:rPr>
        <w:t>万元人民币，公司住所为青岛市城阳区流 亭街道双元路西侧（空港工业聚集区），公司法定代表人为李向罡。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公司经营范围：电力系统发供电设备设计、制造、安装、调试、修理；批发、零售：电力材料；货物及技术进出口；机 械成套装备；变电站：设备总成、运行保养及维护、工程总包；软件开发、销售及技术服务；自有资金对外投资。</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公司主营业务：</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总承包、机械成套装备、物业服务、原料销售、技术开发、采掘服务、煤炭产销、国内外贸易等。 公司行业性质：电力设备及相关机械设备制造。</w:t>
      </w:r>
    </w:p>
    <w:p>
      <w:pPr>
        <w:pStyle w:val="Style34"/>
        <w:keepNext w:val="0"/>
        <w:keepLines w:val="0"/>
        <w:widowControl w:val="0"/>
        <w:shd w:val="clear" w:color="auto" w:fill="auto"/>
        <w:tabs>
          <w:tab w:pos="423" w:val="left"/>
        </w:tabs>
        <w:bidi w:val="0"/>
        <w:spacing w:before="0" w:after="0" w:line="312" w:lineRule="exact"/>
        <w:ind w:left="0" w:right="0" w:firstLine="0"/>
        <w:jc w:val="left"/>
      </w:pPr>
      <w:bookmarkStart w:id="697" w:name="bookmark697"/>
      <w:r>
        <w:rPr>
          <w:rFonts w:ascii="Times New Roman" w:eastAsia="Times New Roman" w:hAnsi="Times New Roman" w:cs="Times New Roman"/>
          <w:color w:val="000000"/>
          <w:spacing w:val="0"/>
          <w:w w:val="100"/>
          <w:position w:val="0"/>
          <w:sz w:val="18"/>
          <w:szCs w:val="18"/>
        </w:rPr>
        <w:t>3</w:t>
      </w:r>
      <w:bookmarkEnd w:id="6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历史沿革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公司是由青岛恒顺电器有限公司整体变更方式设立的股份有限公司。经中国证券监督管理委员会证监许可〔</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万股，发行后公司注册资本变更为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 xml:space="preserve">万元人民币，并于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日在青岛市工商行政管理局办理了工商变更登记手续，取得注册号为</w:t>
      </w:r>
      <w:r>
        <w:rPr>
          <w:rFonts w:ascii="Times New Roman" w:eastAsia="Times New Roman" w:hAnsi="Times New Roman" w:cs="Times New Roman"/>
          <w:color w:val="000000"/>
          <w:spacing w:val="0"/>
          <w:w w:val="100"/>
          <w:position w:val="0"/>
          <w:sz w:val="18"/>
          <w:szCs w:val="18"/>
        </w:rPr>
        <w:t>370214018001595</w:t>
      </w:r>
      <w:r>
        <w:rPr>
          <w:color w:val="000000"/>
          <w:spacing w:val="0"/>
          <w:w w:val="100"/>
          <w:position w:val="0"/>
        </w:rPr>
        <w:t>的《企业法人营业执照》。 公司股票已于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日在深圳证券交易所挂牌交易。</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万股为基数，以资本公积金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万股，转增股本后公司注册资本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万元人民币，股份总数</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万股为基数，以资本公积每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股，转增股本后公司注册资本</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万元人民币，股份总数</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。关于此次增资经山东汇德会计 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）汇所验字第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号验资报告验证。</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》规定和第一届董事会第三十五次会议决议规定公司增加注 册资本</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万元，由黄淑华等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人认缴，变更后的注册资本为</w:t>
      </w:r>
      <w:r>
        <w:rPr>
          <w:rFonts w:ascii="Times New Roman" w:eastAsia="Times New Roman" w:hAnsi="Times New Roman" w:cs="Times New Roman"/>
          <w:color w:val="000000"/>
          <w:spacing w:val="0"/>
          <w:w w:val="100"/>
          <w:position w:val="0"/>
          <w:sz w:val="18"/>
          <w:szCs w:val="18"/>
        </w:rPr>
        <w:t>28,492</w:t>
      </w:r>
      <w:r>
        <w:rPr>
          <w:color w:val="000000"/>
          <w:spacing w:val="0"/>
          <w:w w:val="100"/>
          <w:position w:val="0"/>
        </w:rPr>
        <w:t>万元人民币，此次增资经山东汇德会计师事务所以（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汇所验字第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号验资报告验证。</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年第二次临时股东大会决议规定，公司增 加注册资本</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万元人民币，由陈肖强等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人认缴。变更后的注册资本为</w:t>
      </w:r>
      <w:r>
        <w:rPr>
          <w:rFonts w:ascii="Times New Roman" w:eastAsia="Times New Roman" w:hAnsi="Times New Roman" w:cs="Times New Roman"/>
          <w:color w:val="000000"/>
          <w:spacing w:val="0"/>
          <w:w w:val="100"/>
          <w:position w:val="0"/>
          <w:sz w:val="18"/>
          <w:szCs w:val="18"/>
        </w:rPr>
        <w:t>30,197</w:t>
      </w:r>
      <w:r>
        <w:rPr>
          <w:color w:val="000000"/>
          <w:spacing w:val="0"/>
          <w:w w:val="100"/>
          <w:position w:val="0"/>
        </w:rPr>
        <w:t>万元人民币，此次增资经山东和信会计师事 务所（特殊普通合伙）以和信验字（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000034</w:t>
      </w:r>
      <w:r>
        <w:rPr>
          <w:color w:val="000000"/>
          <w:spacing w:val="0"/>
          <w:w w:val="100"/>
          <w:position w:val="0"/>
        </w:rPr>
        <w:t>号验资报告验证。</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年第一次临时股东大会，审议通过了公司《关于修改公司名称和简称及修订</w:t>
      </w:r>
      <w:r>
        <w:rPr>
          <w:color w:val="000000"/>
          <w:spacing w:val="0"/>
          <w:w w:val="100"/>
          <w:position w:val="0"/>
          <w:sz w:val="18"/>
          <w:szCs w:val="18"/>
        </w:rPr>
        <w:t>〈</w:t>
      </w:r>
      <w:r>
        <w:rPr>
          <w:color w:val="000000"/>
          <w:spacing w:val="0"/>
          <w:w w:val="100"/>
          <w:position w:val="0"/>
        </w:rPr>
        <w:t>青岛市恒 顺电气股份有限公司章程</w:t>
      </w:r>
      <w:r>
        <w:rPr>
          <w:color w:val="000000"/>
          <w:spacing w:val="0"/>
          <w:w w:val="100"/>
          <w:position w:val="0"/>
          <w:sz w:val="18"/>
          <w:szCs w:val="18"/>
        </w:rPr>
        <w:t>〉</w:t>
      </w:r>
      <w:r>
        <w:rPr>
          <w:color w:val="000000"/>
          <w:spacing w:val="0"/>
          <w:w w:val="100"/>
          <w:position w:val="0"/>
        </w:rPr>
        <w:t>的议案》，并决定将公司中文名称由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青岛市恒顺电气股份有限公司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青岛市恒顺众昇集团 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；英文名称由</w:t>
      </w:r>
      <w:r>
        <w:rPr>
          <w:rFonts w:ascii="Times New Roman" w:eastAsia="Times New Roman" w:hAnsi="Times New Roman" w:cs="Times New Roman"/>
          <w:color w:val="000000"/>
          <w:spacing w:val="0"/>
          <w:w w:val="100"/>
          <w:position w:val="0"/>
          <w:sz w:val="18"/>
          <w:szCs w:val="18"/>
        </w:rPr>
        <w:t xml:space="preserve">“Qingdao Evercontaining Electric Co.,Ltd.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“Qingdao Hengshun Zhongsheng Group Co.,Ltd.”</w:t>
      </w:r>
      <w:r>
        <w:rPr>
          <w:color w:val="000000"/>
          <w:spacing w:val="0"/>
          <w:w w:val="100"/>
          <w:position w:val="0"/>
        </w:rPr>
        <w:t xml:space="preserve">。 </w:t>
      </w: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年第二届董事会第二十二次会议规定，同意</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位激 励对象在第三个行权期行权，公司增加注册资本</w:t>
      </w:r>
      <w:r>
        <w:rPr>
          <w:rFonts w:ascii="Times New Roman" w:eastAsia="Times New Roman" w:hAnsi="Times New Roman" w:cs="Times New Roman"/>
          <w:color w:val="000000"/>
          <w:spacing w:val="0"/>
          <w:w w:val="100"/>
          <w:position w:val="0"/>
          <w:sz w:val="18"/>
          <w:szCs w:val="18"/>
        </w:rPr>
        <w:t>464</w:t>
      </w:r>
      <w:r>
        <w:rPr>
          <w:color w:val="000000"/>
          <w:spacing w:val="0"/>
          <w:w w:val="100"/>
          <w:position w:val="0"/>
        </w:rPr>
        <w:t>万元人民币，变更后的注册资本为</w:t>
      </w:r>
      <w:r>
        <w:rPr>
          <w:rFonts w:ascii="Times New Roman" w:eastAsia="Times New Roman" w:hAnsi="Times New Roman" w:cs="Times New Roman"/>
          <w:color w:val="000000"/>
          <w:spacing w:val="0"/>
          <w:w w:val="100"/>
          <w:position w:val="0"/>
          <w:sz w:val="18"/>
          <w:szCs w:val="18"/>
        </w:rPr>
        <w:t>30,661</w:t>
      </w:r>
      <w:r>
        <w:rPr>
          <w:color w:val="000000"/>
          <w:spacing w:val="0"/>
          <w:w w:val="100"/>
          <w:position w:val="0"/>
        </w:rPr>
        <w:t>万元人民币，此次增资经山东 和信会计师事务所（特殊普通合伙）以和信验字（</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000046</w:t>
      </w:r>
      <w:r>
        <w:rPr>
          <w:color w:val="000000"/>
          <w:spacing w:val="0"/>
          <w:w w:val="100"/>
          <w:position w:val="0"/>
        </w:rPr>
        <w:t>号验资报告验证。</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年第四次临时股东大会审议通过《关于调整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年半年度利润分配预案的议案》，公司以</w:t>
      </w:r>
      <w:r>
        <w:rPr>
          <w:rFonts w:ascii="Times New Roman" w:eastAsia="Times New Roman" w:hAnsi="Times New Roman" w:cs="Times New Roman"/>
          <w:color w:val="000000"/>
          <w:spacing w:val="0"/>
          <w:w w:val="100"/>
          <w:position w:val="0"/>
          <w:sz w:val="18"/>
          <w:szCs w:val="18"/>
        </w:rPr>
        <w:t>30,661</w:t>
      </w:r>
      <w:r>
        <w:rPr>
          <w:color w:val="000000"/>
          <w:spacing w:val="0"/>
          <w:w w:val="100"/>
          <w:position w:val="0"/>
        </w:rPr>
        <w:t>万股为基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股。变更后公司注册资本为</w:t>
      </w:r>
      <w:r>
        <w:rPr>
          <w:rFonts w:ascii="Times New Roman" w:eastAsia="Times New Roman" w:hAnsi="Times New Roman" w:cs="Times New Roman"/>
          <w:color w:val="000000"/>
          <w:spacing w:val="0"/>
          <w:w w:val="100"/>
          <w:position w:val="0"/>
          <w:sz w:val="18"/>
          <w:szCs w:val="18"/>
        </w:rPr>
        <w:t>76,652.50</w:t>
      </w:r>
      <w:r>
        <w:rPr>
          <w:color w:val="000000"/>
          <w:spacing w:val="0"/>
          <w:w w:val="100"/>
          <w:position w:val="0"/>
        </w:rPr>
        <w:t>万元人民币， 此次增资经山东和信会计师事务所（特殊普通合伙）以和信验字（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000096</w:t>
      </w:r>
      <w:r>
        <w:rPr>
          <w:color w:val="000000"/>
          <w:spacing w:val="0"/>
          <w:w w:val="100"/>
          <w:position w:val="0"/>
        </w:rPr>
        <w:t>号验资报告验证。</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根据公司《青岛市恒顺电气股份有限公司股权激励计划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 会第六次会议，审议通过了《关于回购注销部分限制性股票的议案》，原激励对象付大志因个人原因离职，公司决定将对其 所持已获授但尚未解锁的限制性股票共计</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万股以</w:t>
      </w: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股的价格进行回购注销。公司注册资本减少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万元人民币， 变更后的注册资本为</w:t>
      </w:r>
      <w:r>
        <w:rPr>
          <w:rFonts w:ascii="Times New Roman" w:eastAsia="Times New Roman" w:hAnsi="Times New Roman" w:cs="Times New Roman"/>
          <w:color w:val="000000"/>
          <w:spacing w:val="0"/>
          <w:w w:val="100"/>
          <w:position w:val="0"/>
          <w:sz w:val="18"/>
          <w:szCs w:val="18"/>
        </w:rPr>
        <w:t>76,552.50</w:t>
      </w:r>
      <w:r>
        <w:rPr>
          <w:color w:val="000000"/>
          <w:spacing w:val="0"/>
          <w:w w:val="100"/>
          <w:position w:val="0"/>
        </w:rPr>
        <w:t>万元人民币，此次减资经山东和信会计师事务所（特殊普通合伙）以和信验字（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000147 </w:t>
      </w:r>
      <w:r>
        <w:rPr>
          <w:color w:val="000000"/>
          <w:spacing w:val="0"/>
          <w:w w:val="100"/>
          <w:position w:val="0"/>
        </w:rPr>
        <w:t>号验资报告验证。</w:t>
      </w:r>
    </w:p>
    <w:p>
      <w:pPr>
        <w:pStyle w:val="Style3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日，青岛恒顺众昇集团股份有限公司召开第三届监事会第九次会议，审议通过了《关于回购注销限制性股 票激励计划第三期尚未解锁的限制性股票的议案》，根据《限制性股票激励计划》的相关规定，因公司受到中国证监会行政 处罚，公司限制性股票激励计划第三期已授予但尚未解锁的限制性股票，已不再具备解锁条件，应对公司限制性股票激励计 划第三期已授予但尚未解锁的限制性股票进行回购注销处理。公司决定将涉及未解锁的</w:t>
      </w:r>
      <w:r>
        <w:rPr>
          <w:rFonts w:ascii="Times New Roman" w:eastAsia="Times New Roman" w:hAnsi="Times New Roman" w:cs="Times New Roman"/>
          <w:color w:val="000000"/>
          <w:spacing w:val="0"/>
          <w:w w:val="100"/>
          <w:position w:val="0"/>
          <w:sz w:val="18"/>
          <w:szCs w:val="18"/>
        </w:rPr>
        <w:t>16,050,000</w:t>
      </w:r>
      <w:r>
        <w:rPr>
          <w:color w:val="000000"/>
          <w:spacing w:val="0"/>
          <w:w w:val="100"/>
          <w:position w:val="0"/>
        </w:rPr>
        <w:t>股限制性股票以</w:t>
      </w: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股的价格回购并注销，公司注册资本减少</w:t>
      </w:r>
      <w:r>
        <w:rPr>
          <w:rFonts w:ascii="Times New Roman" w:eastAsia="Times New Roman" w:hAnsi="Times New Roman" w:cs="Times New Roman"/>
          <w:color w:val="000000"/>
          <w:spacing w:val="0"/>
          <w:w w:val="100"/>
          <w:position w:val="0"/>
          <w:sz w:val="18"/>
          <w:szCs w:val="18"/>
        </w:rPr>
        <w:t>1605</w:t>
      </w:r>
      <w:r>
        <w:rPr>
          <w:color w:val="000000"/>
          <w:spacing w:val="0"/>
          <w:w w:val="100"/>
          <w:position w:val="0"/>
        </w:rPr>
        <w:t>万元人民币，变更后的注册资本为</w:t>
      </w:r>
      <w:r>
        <w:rPr>
          <w:rFonts w:ascii="Times New Roman" w:eastAsia="Times New Roman" w:hAnsi="Times New Roman" w:cs="Times New Roman"/>
          <w:color w:val="000000"/>
          <w:spacing w:val="0"/>
          <w:w w:val="100"/>
          <w:position w:val="0"/>
          <w:sz w:val="18"/>
          <w:szCs w:val="18"/>
        </w:rPr>
        <w:t>74,947.5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万元人民币，此次减资经山东和信 会计师事务所（特殊普通合伙）以和信验字（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000076</w:t>
      </w:r>
      <w:r>
        <w:rPr>
          <w:color w:val="000000"/>
          <w:spacing w:val="0"/>
          <w:w w:val="100"/>
          <w:position w:val="0"/>
        </w:rPr>
        <w:t>号验资报告验证。</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年第四次临时股东大会，审议通过了公司《关于变更公司全称和证券简称及修订</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的议案》，并决定将公司名称由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青岛市恒顺众昇集团股份有限公司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青岛中资中程集团股份有限公司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，英文 名称由 </w:t>
      </w:r>
      <w:r>
        <w:rPr>
          <w:rFonts w:ascii="Times New Roman" w:eastAsia="Times New Roman" w:hAnsi="Times New Roman" w:cs="Times New Roman"/>
          <w:color w:val="000000"/>
          <w:spacing w:val="0"/>
          <w:w w:val="100"/>
          <w:position w:val="0"/>
          <w:sz w:val="18"/>
          <w:szCs w:val="18"/>
        </w:rPr>
        <w:t xml:space="preserve">“Qingdao Hengshun Zhongsheng Group Co.,Ltd.” </w:t>
      </w:r>
      <w:r>
        <w:rPr>
          <w:color w:val="000000"/>
          <w:spacing w:val="0"/>
          <w:w w:val="100"/>
          <w:position w:val="0"/>
        </w:rPr>
        <w:t xml:space="preserve">变更为 </w:t>
      </w:r>
      <w:r>
        <w:rPr>
          <w:rFonts w:ascii="Times New Roman" w:eastAsia="Times New Roman" w:hAnsi="Times New Roman" w:cs="Times New Roman"/>
          <w:color w:val="000000"/>
          <w:spacing w:val="0"/>
          <w:w w:val="100"/>
          <w:position w:val="0"/>
          <w:sz w:val="18"/>
          <w:szCs w:val="18"/>
        </w:rPr>
        <w:t>“Qingdao Zhongzi Zhongcheng Group Co.,Ltd.”</w:t>
      </w:r>
      <w:r>
        <w:rPr>
          <w:color w:val="000000"/>
          <w:spacing w:val="0"/>
          <w:w w:val="100"/>
          <w:position w:val="0"/>
        </w:rPr>
        <w:t>。</w:t>
      </w:r>
    </w:p>
    <w:p>
      <w:pPr>
        <w:pStyle w:val="Style34"/>
        <w:keepNext w:val="0"/>
        <w:keepLines w:val="0"/>
        <w:widowControl w:val="0"/>
        <w:shd w:val="clear" w:color="auto" w:fill="auto"/>
        <w:tabs>
          <w:tab w:pos="423" w:val="left"/>
        </w:tabs>
        <w:bidi w:val="0"/>
        <w:spacing w:before="0" w:after="0" w:line="360" w:lineRule="auto"/>
        <w:ind w:left="0" w:right="0" w:firstLine="0"/>
        <w:jc w:val="left"/>
      </w:pPr>
      <w:bookmarkStart w:id="698" w:name="bookmark698"/>
      <w:r>
        <w:rPr>
          <w:rFonts w:ascii="Times New Roman" w:eastAsia="Times New Roman" w:hAnsi="Times New Roman" w:cs="Times New Roman"/>
          <w:color w:val="000000"/>
          <w:spacing w:val="0"/>
          <w:w w:val="100"/>
          <w:position w:val="0"/>
          <w:sz w:val="18"/>
          <w:szCs w:val="18"/>
        </w:rPr>
        <w:t>3</w:t>
      </w:r>
      <w:bookmarkEnd w:id="6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color w:val="000000"/>
          <w:spacing w:val="0"/>
          <w:w w:val="100"/>
          <w:position w:val="0"/>
        </w:rPr>
        <w:t>财务报告批准</w:t>
      </w:r>
    </w:p>
    <w:p>
      <w:pPr>
        <w:pStyle w:val="Style34"/>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本财务报表经公司全体董事于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日批准报出。</w:t>
      </w:r>
    </w:p>
    <w:p>
      <w:pPr>
        <w:pStyle w:val="Style34"/>
        <w:keepNext w:val="0"/>
        <w:keepLines w:val="0"/>
        <w:widowControl w:val="0"/>
        <w:shd w:val="clear" w:color="auto" w:fill="auto"/>
        <w:tabs>
          <w:tab w:pos="423" w:val="left"/>
        </w:tabs>
        <w:bidi w:val="0"/>
        <w:spacing w:before="0" w:after="0" w:line="360" w:lineRule="auto"/>
        <w:ind w:left="0" w:right="0" w:firstLine="0"/>
        <w:jc w:val="left"/>
      </w:pPr>
      <w:bookmarkStart w:id="699" w:name="bookmark699"/>
      <w:r>
        <w:rPr>
          <w:rFonts w:ascii="Times New Roman" w:eastAsia="Times New Roman" w:hAnsi="Times New Roman" w:cs="Times New Roman"/>
          <w:color w:val="000000"/>
          <w:spacing w:val="0"/>
          <w:w w:val="100"/>
          <w:position w:val="0"/>
          <w:sz w:val="18"/>
          <w:szCs w:val="18"/>
        </w:rPr>
        <w:t>3</w:t>
      </w:r>
      <w:bookmarkEnd w:id="6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合并报表范围</w:t>
      </w:r>
    </w:p>
    <w:p>
      <w:pPr>
        <w:pStyle w:val="Style34"/>
        <w:keepNext w:val="0"/>
        <w:keepLines w:val="0"/>
        <w:widowControl w:val="0"/>
        <w:shd w:val="clear" w:color="auto" w:fill="auto"/>
        <w:bidi w:val="0"/>
        <w:spacing w:before="0" w:after="22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日，本公司合并财务报表范围内子公司如下：</w:t>
      </w:r>
    </w:p>
    <w:p>
      <w:pPr>
        <w:pStyle w:val="Style32"/>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）通过设立或投资等方式取得的子公司</w:t>
      </w:r>
    </w:p>
    <w:tbl>
      <w:tblPr>
        <w:tblOverlap w:val="never"/>
        <w:jc w:val="center"/>
        <w:tblLayout w:type="fixed"/>
      </w:tblPr>
      <w:tblGrid>
        <w:gridCol w:w="5222"/>
        <w:gridCol w:w="1762"/>
        <w:gridCol w:w="1037"/>
        <w:gridCol w:w="1066"/>
      </w:tblGrid>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180" w:right="0" w:firstLine="0"/>
              <w:jc w:val="left"/>
              <w:rPr>
                <w:sz w:val="18"/>
                <w:szCs w:val="18"/>
              </w:rPr>
            </w:pPr>
            <w:r>
              <w:rPr>
                <w:color w:val="000000"/>
                <w:spacing w:val="0"/>
                <w:w w:val="100"/>
                <w:position w:val="0"/>
                <w:sz w:val="17"/>
                <w:szCs w:val="17"/>
              </w:rPr>
              <w:t>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青岛恒顺节能科技有限公司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International Holdings Pte.Ltd.</w:t>
            </w:r>
            <w:r>
              <w:rPr>
                <w:color w:val="000000"/>
                <w:spacing w:val="0"/>
                <w:w w:val="100"/>
                <w:position w:val="0"/>
              </w:rPr>
              <w:t>（青岛中资中程新 加坡国际控股有限公司）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17,135.06</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Coal Holding Pte.Ltd.</w:t>
            </w:r>
            <w:r>
              <w:rPr>
                <w:color w:val="000000"/>
                <w:spacing w:val="0"/>
                <w:w w:val="100"/>
                <w:position w:val="0"/>
              </w:rPr>
              <w:t>（青岛中资中程新加坡煤 炭控股有限公司）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Power Holding Pte.Ltd.</w:t>
            </w:r>
            <w:r>
              <w:rPr>
                <w:i/>
                <w:iCs/>
                <w:color w:val="000000"/>
                <w:spacing w:val="0"/>
                <w:w w:val="100"/>
                <w:position w:val="0"/>
              </w:rPr>
              <w:t>（</w:t>
            </w:r>
            <w:r>
              <w:rPr>
                <w:color w:val="000000"/>
                <w:spacing w:val="0"/>
                <w:w w:val="100"/>
                <w:position w:val="0"/>
              </w:rPr>
              <w:t>青岛中资中程新加坡能 源控股有限公司）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1,930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w:t>
            </w:r>
            <w:r>
              <w:rPr>
                <w:color w:val="000000"/>
                <w:spacing w:val="0"/>
                <w:w w:val="100"/>
                <w:position w:val="0"/>
              </w:rPr>
              <w:t>青岛中资中程新加坡 天成工程总承包有限公司）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342.19</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An Shun Coal Mines Pte.Ltd.</w:t>
            </w:r>
            <w:r>
              <w:rPr>
                <w:color w:val="000000"/>
                <w:spacing w:val="0"/>
                <w:w w:val="100"/>
                <w:position w:val="0"/>
              </w:rPr>
              <w:t>（青岛中资中程新 加坡安顺煤矿有限公司）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Shiny Kindness International Limited </w:t>
            </w:r>
            <w:r>
              <w:rPr>
                <w:color w:val="000000"/>
                <w:spacing w:val="0"/>
                <w:w w:val="100"/>
                <w:position w:val="0"/>
              </w:rPr>
              <w:t>（青岛中资中程香港泽善国际有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15,480</w:t>
            </w:r>
            <w:r>
              <w:rPr>
                <w:color w:val="000000"/>
                <w:spacing w:val="0"/>
                <w:w w:val="100"/>
                <w:position w:val="0"/>
              </w:rPr>
              <w:t>万港元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PT. Transon Energy Kapitalindo </w:t>
            </w:r>
            <w:r>
              <w:rPr>
                <w:color w:val="000000"/>
                <w:spacing w:val="0"/>
                <w:w w:val="100"/>
                <w:position w:val="0"/>
              </w:rPr>
              <w:t>（青岛中资中程印尼安能有限公司）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PT. Transon Bumindo Resources </w:t>
            </w:r>
            <w:r>
              <w:rPr>
                <w:color w:val="000000"/>
                <w:spacing w:val="0"/>
                <w:w w:val="100"/>
                <w:position w:val="0"/>
              </w:rPr>
              <w:t>（青岛中资中程印尼资源有限公司）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PT.Transon Daya Indomining </w:t>
            </w:r>
            <w:r>
              <w:rPr>
                <w:color w:val="000000"/>
                <w:spacing w:val="0"/>
                <w:w w:val="100"/>
                <w:position w:val="0"/>
              </w:rPr>
              <w:t>（青岛中资中程印尼矿业服务有限公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Coal Energy Pte.Ltd.</w:t>
            </w:r>
            <w:r>
              <w:rPr>
                <w:color w:val="000000"/>
                <w:spacing w:val="0"/>
                <w:w w:val="100"/>
                <w:position w:val="0"/>
              </w:rPr>
              <w:t>（青岛中资中程新加坡煤炭 能源有限公司）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Coal Resource Pte.Ltd.</w:t>
            </w:r>
            <w:r>
              <w:rPr>
                <w:color w:val="000000"/>
                <w:spacing w:val="0"/>
                <w:w w:val="100"/>
                <w:position w:val="0"/>
              </w:rPr>
              <w:t>（</w:t>
            </w:r>
            <w:r>
              <w:rPr>
                <w:color w:val="000000"/>
                <w:spacing w:val="0"/>
                <w:w w:val="100"/>
                <w:position w:val="0"/>
              </w:rPr>
              <w:t>青岛中资中程新加坡煤 炭资源有限公司）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5218"/>
        <w:gridCol w:w="1766"/>
        <w:gridCol w:w="1037"/>
        <w:gridCol w:w="106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Mining Development </w:t>
            </w:r>
            <w:r>
              <w:rPr>
                <w:color w:val="000000"/>
                <w:spacing w:val="0"/>
                <w:w w:val="100"/>
                <w:position w:val="0"/>
              </w:rPr>
              <w:t>（青岛中资中程印尼安宁有限公司）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Transon Global Resources </w:t>
            </w:r>
            <w:r>
              <w:rPr>
                <w:color w:val="000000"/>
                <w:spacing w:val="0"/>
                <w:w w:val="100"/>
                <w:position w:val="0"/>
              </w:rPr>
              <w:t>（青岛中资中程印尼环宇资源有限公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青岛中资中程进出口有限公司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青岛中资中程矿产资源有限公司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青岛恒顺众昇电气制造有限公司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北京科程物联网技术有限公司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Protea Holdings Pte.Ltd.</w:t>
            </w:r>
            <w:r>
              <w:rPr>
                <w:color w:val="000000"/>
                <w:spacing w:val="0"/>
                <w:w w:val="100"/>
                <w:position w:val="0"/>
              </w:rPr>
              <w:t>（</w:t>
            </w:r>
            <w:r>
              <w:rPr>
                <w:color w:val="000000"/>
                <w:spacing w:val="0"/>
                <w:w w:val="100"/>
                <w:position w:val="0"/>
              </w:rPr>
              <w:t>青岛中资中程新加坡普帝控股有限公司）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254,561</w:t>
            </w:r>
            <w:r>
              <w:rPr>
                <w:color w:val="000000"/>
                <w:spacing w:val="0"/>
                <w:w w:val="100"/>
                <w:position w:val="0"/>
              </w:rPr>
              <w:t>元新币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Hengshun Zhongsheng Group South Africa（PTY） Ltd </w:t>
            </w:r>
            <w:r>
              <w:rPr>
                <w:color w:val="000000"/>
                <w:spacing w:val="0"/>
                <w:w w:val="100"/>
                <w:position w:val="0"/>
              </w:rPr>
              <w:t>（青岛恒 顺众昇集团南非有限公司）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Zhongcheng Zimbabwe（Private） Limited </w:t>
            </w:r>
            <w:r>
              <w:rPr>
                <w:color w:val="000000"/>
                <w:spacing w:val="0"/>
                <w:w w:val="100"/>
                <w:position w:val="0"/>
              </w:rPr>
              <w:t>（青岛中资中程集团 津巴布韦有限公司）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新疆清源生物质能源有限公司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PT.Transon Ocean Industry Park </w:t>
            </w:r>
            <w:r>
              <w:rPr>
                <w:color w:val="000000"/>
                <w:spacing w:val="0"/>
                <w:w w:val="100"/>
                <w:position w:val="0"/>
                <w:sz w:val="17"/>
                <w:szCs w:val="17"/>
              </w:rPr>
              <w:t>（青岛中资中程印尼海源有限公司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Philippines Qian Jia Services Incorporated </w:t>
            </w:r>
            <w:r>
              <w:rPr>
                <w:color w:val="000000"/>
                <w:spacing w:val="0"/>
                <w:w w:val="100"/>
                <w:position w:val="0"/>
              </w:rPr>
              <w:t>（菲律宾乾嘉服务公司）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万比索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China Africa Cigarette Company （Private） Limited </w:t>
            </w:r>
            <w:r>
              <w:rPr>
                <w:color w:val="000000"/>
                <w:spacing w:val="0"/>
                <w:w w:val="100"/>
                <w:position w:val="0"/>
              </w:rPr>
              <w:t>（中非香烟有限公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H&amp;Shun International Holdings Hong Kong Limited </w:t>
            </w:r>
            <w:r>
              <w:rPr>
                <w:color w:val="000000"/>
                <w:spacing w:val="0"/>
                <w:w w:val="100"/>
                <w:position w:val="0"/>
              </w:rPr>
              <w:t>（恒顺（香港）国 际控股有限公司）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青岛恒顺众昇电力工程技术研究院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青岛中资中程国际贸易有限责任公司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交建城投控股（山东）有限公司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Trading PTE.LTD.</w:t>
            </w:r>
            <w:r>
              <w:rPr>
                <w:color w:val="000000"/>
                <w:spacing w:val="0"/>
                <w:w w:val="100"/>
                <w:position w:val="0"/>
              </w:rPr>
              <w:t>（</w:t>
            </w:r>
            <w:r>
              <w:rPr>
                <w:color w:val="000000"/>
                <w:spacing w:val="0"/>
                <w:w w:val="100"/>
                <w:position w:val="0"/>
              </w:rPr>
              <w:t>青岛中资中程新加坡贸易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青岛中资中程智能制造有限公司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bl>
    <w:p>
      <w:pPr>
        <w:pStyle w:val="Style32"/>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）非同一控制下企业合并取得的子公司</w:t>
      </w:r>
    </w:p>
    <w:p>
      <w:pPr>
        <w:widowControl w:val="0"/>
        <w:spacing w:line="1" w:lineRule="exact"/>
      </w:pPr>
    </w:p>
    <w:tbl>
      <w:tblPr>
        <w:tblOverlap w:val="never"/>
        <w:jc w:val="center"/>
        <w:tblLayout w:type="fixed"/>
      </w:tblPr>
      <w:tblGrid>
        <w:gridCol w:w="5362"/>
        <w:gridCol w:w="1882"/>
        <w:gridCol w:w="941"/>
        <w:gridCol w:w="893"/>
      </w:tblGrid>
      <w:tr>
        <w:trPr>
          <w:trHeight w:val="70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（青岛中资中程印尼兄弟矿业有限公司）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29,692,320</w:t>
            </w: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Kutal Nyala Resources </w:t>
            </w:r>
            <w:r>
              <w:rPr>
                <w:color w:val="000000"/>
                <w:spacing w:val="0"/>
                <w:w w:val="100"/>
                <w:position w:val="0"/>
              </w:rPr>
              <w:t>（青岛中资中程印尼东加码头有限公司）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（青岛中资中程印尼中加煤矿有限公司）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PT.Madani Sejahtera </w:t>
            </w:r>
            <w:r>
              <w:rPr>
                <w:color w:val="000000"/>
                <w:spacing w:val="0"/>
                <w:w w:val="100"/>
                <w:position w:val="0"/>
              </w:rPr>
              <w:t>（青岛中资中程印尼苏岛镍矿有限公司）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1,100,000</w:t>
            </w:r>
            <w:r>
              <w:rPr>
                <w:color w:val="000000"/>
                <w:spacing w:val="0"/>
                <w:w w:val="100"/>
                <w:position w:val="0"/>
              </w:rPr>
              <w:t>万印尼盾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Bumi Morowali Utama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青岛中资中程印尼中苏镍矿有限公司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100,155,464,618 </w:t>
            </w: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Holywin Investment Pte.Ltd</w:t>
            </w:r>
            <w:r>
              <w:rPr>
                <w:color w:val="000000"/>
                <w:spacing w:val="0"/>
                <w:w w:val="100"/>
                <w:position w:val="0"/>
              </w:rPr>
              <w:t>（</w:t>
            </w:r>
            <w:r>
              <w:rPr>
                <w:color w:val="000000"/>
                <w:spacing w:val="0"/>
                <w:w w:val="100"/>
                <w:position w:val="0"/>
              </w:rPr>
              <w:t>青岛中资中程新加坡圣赢投资有限公司）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980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5362"/>
        <w:gridCol w:w="1882"/>
        <w:gridCol w:w="941"/>
        <w:gridCol w:w="89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PT.Integra Prima Coal </w:t>
            </w:r>
            <w:r>
              <w:rPr>
                <w:color w:val="000000"/>
                <w:spacing w:val="0"/>
                <w:w w:val="100"/>
                <w:position w:val="0"/>
              </w:rPr>
              <w:t>（青岛中资中程印尼东加煤矿有限公司）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2,700,000</w:t>
            </w:r>
            <w:r>
              <w:rPr>
                <w:color w:val="000000"/>
                <w:spacing w:val="0"/>
                <w:w w:val="100"/>
                <w:position w:val="0"/>
              </w:rPr>
              <w:t>万印尼盾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PT.Aset Sulawesi Mineralindo </w:t>
            </w:r>
            <w:r>
              <w:rPr>
                <w:color w:val="000000"/>
                <w:spacing w:val="0"/>
                <w:w w:val="100"/>
                <w:position w:val="0"/>
              </w:rPr>
              <w:t>（青岛中资中程印尼苏拉威西石灰石矿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万印尼盾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after="0" w:line="240" w:lineRule="auto"/>
        <w:ind w:left="245"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）报告期合并财务报表合并范围的变化</w:t>
      </w:r>
    </w:p>
    <w:p>
      <w:pPr>
        <w:widowControl w:val="0"/>
        <w:spacing w:line="1" w:lineRule="exact"/>
      </w:pPr>
    </w:p>
    <w:tbl>
      <w:tblPr>
        <w:tblOverlap w:val="never"/>
        <w:jc w:val="center"/>
        <w:tblLayout w:type="fixed"/>
      </w:tblPr>
      <w:tblGrid>
        <w:gridCol w:w="1781"/>
        <w:gridCol w:w="4618"/>
        <w:gridCol w:w="1541"/>
        <w:gridCol w:w="864"/>
        <w:gridCol w:w="874"/>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备注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西安恒顺电气科技有限公司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清算关停</w:t>
            </w:r>
          </w:p>
        </w:tc>
      </w:tr>
    </w:tbl>
    <w:p>
      <w:pPr>
        <w:pStyle w:val="Style32"/>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）报告期合并财务报表原则、范围</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本公司合并财务报表的合并范围以控制为基础予以确定。控制是指本公司拥有对被投资方的权力，通过参与被投资方的 相关活动而享有可变回报，并且有能力运用对被投资方的权力影响该回报金额。合并范围包括本公司及全部子公司。子公司， 是指被本公司控制的主体。</w:t>
      </w:r>
    </w:p>
    <w:p>
      <w:pPr>
        <w:pStyle w:val="Style30"/>
        <w:keepNext/>
        <w:keepLines/>
        <w:widowControl w:val="0"/>
        <w:shd w:val="clear" w:color="auto" w:fill="auto"/>
        <w:tabs>
          <w:tab w:pos="498" w:val="left"/>
        </w:tabs>
        <w:bidi w:val="0"/>
        <w:spacing w:before="0" w:after="380" w:line="240" w:lineRule="auto"/>
        <w:ind w:left="0" w:right="0" w:firstLine="0"/>
        <w:jc w:val="both"/>
      </w:pPr>
      <w:bookmarkStart w:id="700" w:name="bookmark700"/>
      <w:bookmarkStart w:id="701" w:name="bookmark701"/>
      <w:bookmarkStart w:id="702" w:name="bookmark702"/>
      <w:bookmarkStart w:id="703" w:name="bookmark703"/>
      <w:r>
        <w:rPr>
          <w:color w:val="000000"/>
          <w:spacing w:val="0"/>
          <w:w w:val="100"/>
          <w:position w:val="0"/>
          <w:sz w:val="24"/>
          <w:szCs w:val="24"/>
        </w:rPr>
        <w:t>四</w:t>
      </w:r>
      <w:bookmarkEnd w:id="702"/>
      <w:r>
        <w:rPr>
          <w:color w:val="000000"/>
          <w:spacing w:val="0"/>
          <w:w w:val="100"/>
          <w:position w:val="0"/>
          <w:sz w:val="24"/>
          <w:szCs w:val="24"/>
        </w:rPr>
        <w:t>、</w:t>
        <w:tab/>
        <w:t>财务报表的编制基础</w:t>
      </w:r>
      <w:bookmarkEnd w:id="700"/>
      <w:bookmarkEnd w:id="701"/>
      <w:bookmarkEnd w:id="703"/>
    </w:p>
    <w:p>
      <w:pPr>
        <w:pStyle w:val="Style37"/>
        <w:keepNext/>
        <w:keepLines/>
        <w:widowControl w:val="0"/>
        <w:shd w:val="clear" w:color="auto" w:fill="auto"/>
        <w:tabs>
          <w:tab w:pos="391" w:val="left"/>
        </w:tabs>
        <w:bidi w:val="0"/>
        <w:spacing w:before="0" w:after="260" w:line="240"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w:t>
        <w:tab/>
        <w:t>编制基础</w:t>
      </w:r>
      <w:bookmarkEnd w:id="704"/>
      <w:bookmarkEnd w:id="705"/>
      <w:bookmarkEnd w:id="707"/>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公司财务报表以持续经营为基础，根据实际发生的交易和事项，按照财政部颁布的《企业会计准则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基本准则》、具体 会计准则和其后颁布的企业会计准则应用指南、企业会计准则解释及其他相关规定（以下简称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的披露规定，并 基于以下所述重要会计政策、会计估计进行编制。</w:t>
      </w:r>
    </w:p>
    <w:p>
      <w:pPr>
        <w:pStyle w:val="Style37"/>
        <w:keepNext/>
        <w:keepLines/>
        <w:widowControl w:val="0"/>
        <w:shd w:val="clear" w:color="auto" w:fill="auto"/>
        <w:tabs>
          <w:tab w:pos="391" w:val="left"/>
        </w:tabs>
        <w:bidi w:val="0"/>
        <w:spacing w:before="0" w:after="26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t>持续经营</w:t>
      </w:r>
      <w:bookmarkEnd w:id="708"/>
      <w:bookmarkEnd w:id="709"/>
      <w:bookmarkEnd w:id="711"/>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报告期内及报告期末起至少十二个月，公司生产经营稳定，资产负债结构合理，具备持续经营能力，不存在影响持续经 营能力的重大不利风险。</w:t>
      </w:r>
    </w:p>
    <w:p>
      <w:pPr>
        <w:pStyle w:val="Style30"/>
        <w:keepNext/>
        <w:keepLines/>
        <w:widowControl w:val="0"/>
        <w:shd w:val="clear" w:color="auto" w:fill="auto"/>
        <w:tabs>
          <w:tab w:pos="517" w:val="left"/>
        </w:tabs>
        <w:bidi w:val="0"/>
        <w:spacing w:before="0" w:after="260" w:line="240" w:lineRule="auto"/>
        <w:ind w:left="0" w:right="0" w:firstLine="0"/>
        <w:jc w:val="both"/>
      </w:pPr>
      <w:bookmarkStart w:id="712" w:name="bookmark712"/>
      <w:bookmarkStart w:id="713" w:name="bookmark713"/>
      <w:bookmarkStart w:id="714" w:name="bookmark714"/>
      <w:bookmarkStart w:id="715" w:name="bookmark715"/>
      <w:r>
        <w:rPr>
          <w:color w:val="000000"/>
          <w:spacing w:val="0"/>
          <w:w w:val="100"/>
          <w:position w:val="0"/>
          <w:sz w:val="24"/>
          <w:szCs w:val="24"/>
        </w:rPr>
        <w:t>五</w:t>
      </w:r>
      <w:bookmarkEnd w:id="714"/>
      <w:r>
        <w:rPr>
          <w:color w:val="000000"/>
          <w:spacing w:val="0"/>
          <w:w w:val="100"/>
          <w:position w:val="0"/>
          <w:sz w:val="24"/>
          <w:szCs w:val="24"/>
        </w:rPr>
        <w:t>、</w:t>
        <w:tab/>
        <w:t>重要会计政策及会计估计</w:t>
      </w:r>
      <w:bookmarkEnd w:id="712"/>
      <w:bookmarkEnd w:id="713"/>
      <w:bookmarkEnd w:id="715"/>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w:t>
      </w:r>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号——上市公司从事固体矿产资源相关业务》的披露要求</w:t>
      </w:r>
    </w:p>
    <w:p>
      <w:pPr>
        <w:pStyle w:val="Style37"/>
        <w:keepNext/>
        <w:keepLines/>
        <w:widowControl w:val="0"/>
        <w:shd w:val="clear" w:color="auto" w:fill="auto"/>
        <w:bidi w:val="0"/>
        <w:spacing w:before="0" w:after="260" w:line="240" w:lineRule="auto"/>
        <w:ind w:left="0" w:right="0" w:firstLine="0"/>
        <w:jc w:val="both"/>
      </w:pPr>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16"/>
      <w:bookmarkEnd w:id="717"/>
      <w:bookmarkEnd w:id="718"/>
    </w:p>
    <w:p>
      <w:pPr>
        <w:pStyle w:val="Style34"/>
        <w:keepNext w:val="0"/>
        <w:keepLines w:val="0"/>
        <w:widowControl w:val="0"/>
        <w:shd w:val="clear" w:color="auto" w:fill="auto"/>
        <w:bidi w:val="0"/>
        <w:spacing w:before="0" w:after="260" w:line="322"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年度的经营成果和现金流量等相关信息。</w:t>
      </w:r>
    </w:p>
    <w:p>
      <w:pPr>
        <w:pStyle w:val="Style37"/>
        <w:keepNext/>
        <w:keepLines/>
        <w:widowControl w:val="0"/>
        <w:shd w:val="clear" w:color="auto" w:fill="auto"/>
        <w:tabs>
          <w:tab w:pos="358"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2</w:t>
      </w:r>
      <w:bookmarkEnd w:id="721"/>
      <w:r>
        <w:rPr>
          <w:color w:val="000000"/>
          <w:spacing w:val="0"/>
          <w:w w:val="100"/>
          <w:position w:val="0"/>
        </w:rPr>
        <w:t>、</w:t>
        <w:tab/>
        <w:t>会计期间</w:t>
      </w:r>
      <w:bookmarkEnd w:id="719"/>
      <w:bookmarkEnd w:id="720"/>
      <w:bookmarkEnd w:id="722"/>
    </w:p>
    <w:p>
      <w:pPr>
        <w:pStyle w:val="Style34"/>
        <w:keepNext w:val="0"/>
        <w:keepLines w:val="0"/>
        <w:widowControl w:val="0"/>
        <w:shd w:val="clear" w:color="auto" w:fill="auto"/>
        <w:bidi w:val="0"/>
        <w:spacing w:before="0" w:after="380" w:line="312" w:lineRule="exact"/>
        <w:ind w:left="0" w:right="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58" w:val="left"/>
        </w:tabs>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3</w:t>
      </w:r>
      <w:bookmarkEnd w:id="725"/>
      <w:r>
        <w:rPr>
          <w:color w:val="000000"/>
          <w:spacing w:val="0"/>
          <w:w w:val="100"/>
          <w:position w:val="0"/>
        </w:rPr>
        <w:t>、</w:t>
        <w:tab/>
        <w:t>营业周期</w:t>
      </w:r>
      <w:bookmarkEnd w:id="723"/>
      <w:bookmarkEnd w:id="724"/>
      <w:bookmarkEnd w:id="726"/>
    </w:p>
    <w:p>
      <w:pPr>
        <w:pStyle w:val="Style34"/>
        <w:keepNext w:val="0"/>
        <w:keepLines w:val="0"/>
        <w:widowControl w:val="0"/>
        <w:shd w:val="clear" w:color="auto" w:fill="auto"/>
        <w:bidi w:val="0"/>
        <w:spacing w:before="0" w:after="380" w:line="312" w:lineRule="exact"/>
        <w:ind w:left="0" w:right="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7"/>
        <w:keepNext/>
        <w:keepLines/>
        <w:widowControl w:val="0"/>
        <w:shd w:val="clear" w:color="auto" w:fill="auto"/>
        <w:tabs>
          <w:tab w:pos="358"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4</w:t>
      </w:r>
      <w:bookmarkEnd w:id="729"/>
      <w:r>
        <w:rPr>
          <w:color w:val="000000"/>
          <w:spacing w:val="0"/>
          <w:w w:val="100"/>
          <w:position w:val="0"/>
        </w:rPr>
        <w:t>、</w:t>
        <w:tab/>
        <w:t>记账本位币</w:t>
      </w:r>
      <w:bookmarkEnd w:id="727"/>
      <w:bookmarkEnd w:id="728"/>
      <w:bookmarkEnd w:id="730"/>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本公司及境内子公司的记账本位币为人民币，本公司位于香港、新加坡、印尼、南非、津巴布韦、菲律宾的子公司分 别采用港币、新币、印尼盾、兰特、美元、比索作为记账本位币。本集团合并财务报表以人民币列示。</w:t>
      </w:r>
    </w:p>
    <w:p>
      <w:pPr>
        <w:pStyle w:val="Style37"/>
        <w:keepNext/>
        <w:keepLines/>
        <w:widowControl w:val="0"/>
        <w:shd w:val="clear" w:color="auto" w:fill="auto"/>
        <w:tabs>
          <w:tab w:pos="358"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5</w:t>
      </w:r>
      <w:bookmarkEnd w:id="733"/>
      <w:r>
        <w:rPr>
          <w:color w:val="000000"/>
          <w:spacing w:val="0"/>
          <w:w w:val="100"/>
          <w:position w:val="0"/>
        </w:rPr>
        <w:t>、</w:t>
        <w:tab/>
        <w:t>同一控制下和非同一控制下企业合并的会计处理方法</w:t>
      </w:r>
      <w:bookmarkEnd w:id="731"/>
      <w:bookmarkEnd w:id="732"/>
      <w:bookmarkEnd w:id="734"/>
    </w:p>
    <w:p>
      <w:pPr>
        <w:pStyle w:val="Style34"/>
        <w:keepNext w:val="0"/>
        <w:keepLines w:val="0"/>
        <w:widowControl w:val="0"/>
        <w:shd w:val="clear" w:color="auto" w:fill="auto"/>
        <w:bidi w:val="0"/>
        <w:spacing w:before="0" w:after="200" w:line="317"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7"/>
        <w:keepNext/>
        <w:keepLines/>
        <w:widowControl w:val="0"/>
        <w:shd w:val="clear" w:color="auto" w:fill="auto"/>
        <w:tabs>
          <w:tab w:pos="914" w:val="left"/>
        </w:tabs>
        <w:bidi w:val="0"/>
        <w:spacing w:before="0" w:after="0" w:line="240" w:lineRule="auto"/>
        <w:ind w:left="0" w:right="0" w:firstLine="440"/>
        <w:jc w:val="both"/>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bookmarkEnd w:id="735"/>
      <w:bookmarkEnd w:id="736"/>
      <w:bookmarkEnd w:id="738"/>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参与合并的企业在合并前后均受同一方或相同的多方最终控制且该控制并非暂时性的，为同一控制下的企业合并。同一 控制下的企业合并，在合并日取得对其他参与合并企业控制权的一方为合并方，参与合并的其他企业为被合并方。合并日， 是指合并方实际取得对被合并方控制权的日期。</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对于同一控制下的企业合并，本公司作为合并方在合并中取得的被合并方的资产、负债，除因会计政策不同而进行的调 整以外，按合并日被合并方在最终控制方合并财务报表中的账面价值计量。本公司支付的合并对价的账面价值（或发行股份 面值总额）与合并中取得的净资产账面价值的差额调整资本公积，资本公积不足冲减的，调整留存收益。</w:t>
      </w:r>
    </w:p>
    <w:p>
      <w:pPr>
        <w:pStyle w:val="Style34"/>
        <w:keepNext w:val="0"/>
        <w:keepLines w:val="0"/>
        <w:widowControl w:val="0"/>
        <w:shd w:val="clear" w:color="auto" w:fill="auto"/>
        <w:bidi w:val="0"/>
        <w:spacing w:before="0" w:after="200" w:line="314" w:lineRule="exact"/>
        <w:ind w:left="0" w:right="0"/>
        <w:jc w:val="left"/>
      </w:pPr>
      <w:r>
        <w:rPr>
          <w:color w:val="000000"/>
          <w:spacing w:val="0"/>
          <w:w w:val="100"/>
          <w:position w:val="0"/>
        </w:rPr>
        <w:t>本公司合并中发生的审计、法律服务、评估咨询等中介费用以及其他相关管理费用，于发生时计人当期损益。与发行权 益性工具作为合并对价直接相关的交易费用，冲减资本公积（股本溢价），资本公积（股本溢价）不足冲减的，依次冲减盈 余公积和未分配利润。与发行债务性工具作为合并对价直接相关的交易费用，计入债务性工具的初始确认金额。</w:t>
      </w:r>
    </w:p>
    <w:p>
      <w:pPr>
        <w:pStyle w:val="Style37"/>
        <w:keepNext/>
        <w:keepLines/>
        <w:widowControl w:val="0"/>
        <w:shd w:val="clear" w:color="auto" w:fill="auto"/>
        <w:tabs>
          <w:tab w:pos="914" w:val="left"/>
        </w:tabs>
        <w:bidi w:val="0"/>
        <w:spacing w:before="0" w:after="0" w:line="240" w:lineRule="auto"/>
        <w:ind w:left="0" w:right="0" w:firstLine="440"/>
        <w:jc w:val="both"/>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739"/>
      <w:bookmarkEnd w:id="740"/>
      <w:bookmarkEnd w:id="742"/>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参与合并的各方在合并前后不受同一方或相同的多方最终控制的，为非同一控制下的企业合并。非同一控制下的企业合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对于非同一控制下的企业合并，本公司作为合并方的合并成本为本公司在购买日为取得对被购买方的控制权而付出的资 产、发生或承担的负债以及发行的权益性证券的公允价值之和。本公司为企业合并发生的审计、法律服务、评估咨询等中介 费用以及其他相关管理费用，应于发生时计入当期损益。本公司作为合并对价发行的权益性工具或债务性工具的交易费用， 应当计人权益性工具或债务性工具的初始确认金额。所涉及的或有对价按其在购买日的公允价值计入合并成本，购买日后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个月内出现对购买日已存在情况的新的或进一步证据而需要调整或有对价的，相应调整合并商誉。</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本公司非同一控制下合并中发生的合并成本及在合并中取得的可辨认净资产按购买日的公允价值计量，合并成本大于合 并中取得的被购买方于购买日可辨认净资产公允价值份额的差额，确认为商誉。合并成本小于合并中取得的被购买方可辨认 净资产公允价值份额的，本公司首先对取得的被购买方各项可辨认资产、负债及或有负债的公允价值以及合并成本的计量进 行复核，复核后合并成本仍小于合并中取得的被购买方可辨认净资产公允价值份额的，其差额计入当期损益。</w:t>
      </w:r>
    </w:p>
    <w:p>
      <w:pPr>
        <w:pStyle w:val="Style37"/>
        <w:keepNext/>
        <w:keepLines/>
        <w:widowControl w:val="0"/>
        <w:shd w:val="clear" w:color="auto" w:fill="auto"/>
        <w:tabs>
          <w:tab w:pos="358" w:val="left"/>
        </w:tabs>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w:t>
        <w:tab/>
        <w:t>合并财务报表的编制方法</w:t>
      </w:r>
      <w:bookmarkEnd w:id="743"/>
      <w:bookmarkEnd w:id="744"/>
      <w:bookmarkEnd w:id="746"/>
    </w:p>
    <w:p>
      <w:pPr>
        <w:pStyle w:val="Style37"/>
        <w:keepNext/>
        <w:keepLines/>
        <w:widowControl w:val="0"/>
        <w:shd w:val="clear" w:color="auto" w:fill="auto"/>
        <w:bidi w:val="0"/>
        <w:spacing w:before="0" w:after="260" w:line="240" w:lineRule="auto"/>
        <w:ind w:left="0" w:right="0" w:firstLine="560"/>
        <w:jc w:val="both"/>
      </w:pPr>
      <w:bookmarkStart w:id="743" w:name="bookmark743"/>
      <w:bookmarkStart w:id="744" w:name="bookmark744"/>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1</w:t>
      </w:r>
      <w:r>
        <w:rPr>
          <w:color w:val="000000"/>
          <w:spacing w:val="0"/>
          <w:w w:val="100"/>
          <w:position w:val="0"/>
        </w:rPr>
        <w:t>）合并财务报表范围</w:t>
      </w:r>
      <w:bookmarkEnd w:id="743"/>
      <w:bookmarkEnd w:id="744"/>
      <w:bookmarkEnd w:id="748"/>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本公司将所有控制的子公司(包括本公司所控制的单独主体)纳入合并财务报表范围，包括被本公司控制的企业、被投 资单位中可分割的部分以及结构化主体。控制是指本公司拥有对被投资方的权力，通过参与被投资方的相关活动而享有可变 回报，并且有能力运用对被投资方的权力影响该回报金额。</w:t>
      </w:r>
    </w:p>
    <w:p>
      <w:pPr>
        <w:pStyle w:val="Style37"/>
        <w:keepNext/>
        <w:keepLines/>
        <w:widowControl w:val="0"/>
        <w:numPr>
          <w:ilvl w:val="0"/>
          <w:numId w:val="11"/>
        </w:numPr>
        <w:shd w:val="clear" w:color="auto" w:fill="auto"/>
        <w:tabs>
          <w:tab w:pos="900" w:val="left"/>
        </w:tabs>
        <w:bidi w:val="0"/>
        <w:spacing w:before="0" w:after="0" w:line="336" w:lineRule="exact"/>
        <w:ind w:left="0" w:right="0" w:firstLine="440"/>
        <w:jc w:val="left"/>
      </w:pPr>
      <w:bookmarkStart w:id="749" w:name="bookmark749"/>
      <w:bookmarkStart w:id="750" w:name="bookmark750"/>
      <w:bookmarkStart w:id="751" w:name="bookmark751"/>
      <w:bookmarkStart w:id="752" w:name="bookmark752"/>
      <w:bookmarkEnd w:id="751"/>
      <w:r>
        <w:rPr>
          <w:color w:val="000000"/>
          <w:spacing w:val="0"/>
          <w:w w:val="100"/>
          <w:position w:val="0"/>
        </w:rPr>
        <w:t>统一母子公司的会计政策、统一母子公司的资产负债表日及会计期间</w:t>
      </w:r>
      <w:bookmarkEnd w:id="749"/>
      <w:bookmarkEnd w:id="750"/>
      <w:bookmarkEnd w:id="752"/>
    </w:p>
    <w:p>
      <w:pPr>
        <w:pStyle w:val="Style34"/>
        <w:keepNext w:val="0"/>
        <w:keepLines w:val="0"/>
        <w:widowControl w:val="0"/>
        <w:shd w:val="clear" w:color="auto" w:fill="auto"/>
        <w:bidi w:val="0"/>
        <w:spacing w:before="0" w:after="100" w:line="336" w:lineRule="exact"/>
        <w:ind w:left="0" w:right="0"/>
        <w:jc w:val="both"/>
      </w:pPr>
      <w:r>
        <w:rPr>
          <w:color w:val="000000"/>
          <w:spacing w:val="0"/>
          <w:w w:val="100"/>
          <w:position w:val="0"/>
        </w:rPr>
        <w:t>子公司与本公司采用的会计政策或会计期间不一致的，在编制合并财务报表时，按照本公司的会计政策或会计期间对子 公司财务报表进行必要的调整。</w:t>
      </w:r>
    </w:p>
    <w:p>
      <w:pPr>
        <w:pStyle w:val="Style37"/>
        <w:keepNext/>
        <w:keepLines/>
        <w:widowControl w:val="0"/>
        <w:numPr>
          <w:ilvl w:val="0"/>
          <w:numId w:val="11"/>
        </w:numPr>
        <w:shd w:val="clear" w:color="auto" w:fill="auto"/>
        <w:tabs>
          <w:tab w:pos="900" w:val="left"/>
        </w:tabs>
        <w:bidi w:val="0"/>
        <w:spacing w:before="0" w:after="0" w:line="331" w:lineRule="exact"/>
        <w:ind w:left="0" w:right="0" w:firstLine="440"/>
        <w:jc w:val="left"/>
      </w:pPr>
      <w:bookmarkStart w:id="753" w:name="bookmark753"/>
      <w:bookmarkStart w:id="754" w:name="bookmark754"/>
      <w:bookmarkStart w:id="755" w:name="bookmark755"/>
      <w:bookmarkStart w:id="756" w:name="bookmark756"/>
      <w:bookmarkEnd w:id="755"/>
      <w:r>
        <w:rPr>
          <w:color w:val="000000"/>
          <w:spacing w:val="0"/>
          <w:w w:val="100"/>
          <w:position w:val="0"/>
        </w:rPr>
        <w:t>合并财务报表抵销事项</w:t>
      </w:r>
      <w:bookmarkEnd w:id="753"/>
      <w:bookmarkEnd w:id="754"/>
      <w:bookmarkEnd w:id="756"/>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合并财务报表以本公司和子公司的财务报表为基础，根据其他有关资料，由本公司编制。在编制合并财务报表时，本公 司与子公司、子公司相互之间所有重大往来余额、交易及未实现利润予以抵销。本公司编制合并财务报表，将整个企业集团 视为一个会计主体，依据相关企业会计准则的确认、计量和列报要求，按照统一的会计政策，反映本企业集团整体财务状况、 经营成果和现金流量。子公司所有者权益中不属于本公司的份额，作为少数股东权益，在合并资产负债表中所有者权益项目 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项目列示。少数股东分担的子公司的亏损超过了少数股东在该子公司期初股东权益中所享有的份额，仍然冲减少 数股东权益。子公司持有本公司的长期股权投资，视为企业集团的库存股，作为所有者权益的减项，在合并资产负债表中所 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7"/>
        <w:keepNext/>
        <w:keepLines/>
        <w:widowControl w:val="0"/>
        <w:numPr>
          <w:ilvl w:val="0"/>
          <w:numId w:val="11"/>
        </w:numPr>
        <w:shd w:val="clear" w:color="auto" w:fill="auto"/>
        <w:tabs>
          <w:tab w:pos="900" w:val="left"/>
        </w:tabs>
        <w:bidi w:val="0"/>
        <w:spacing w:before="0" w:after="0" w:line="326" w:lineRule="exact"/>
        <w:ind w:left="0" w:right="0" w:firstLine="440"/>
        <w:jc w:val="left"/>
      </w:pPr>
      <w:bookmarkStart w:id="757" w:name="bookmark757"/>
      <w:bookmarkStart w:id="758" w:name="bookmark758"/>
      <w:bookmarkStart w:id="759" w:name="bookmark759"/>
      <w:bookmarkStart w:id="760" w:name="bookmark760"/>
      <w:bookmarkEnd w:id="759"/>
      <w:r>
        <w:rPr>
          <w:color w:val="000000"/>
          <w:spacing w:val="0"/>
          <w:w w:val="100"/>
          <w:position w:val="0"/>
        </w:rPr>
        <w:t>合并取得子公司会计处理</w:t>
      </w:r>
      <w:bookmarkEnd w:id="757"/>
      <w:bookmarkEnd w:id="758"/>
      <w:bookmarkEnd w:id="760"/>
    </w:p>
    <w:p>
      <w:pPr>
        <w:pStyle w:val="Style34"/>
        <w:keepNext w:val="0"/>
        <w:keepLines w:val="0"/>
        <w:widowControl w:val="0"/>
        <w:shd w:val="clear" w:color="auto" w:fill="auto"/>
        <w:bidi w:val="0"/>
        <w:spacing w:before="0" w:after="0" w:line="326" w:lineRule="exact"/>
        <w:ind w:left="0" w:right="0"/>
        <w:jc w:val="both"/>
      </w:pPr>
      <w:r>
        <w:rPr>
          <w:color w:val="000000"/>
          <w:spacing w:val="0"/>
          <w:w w:val="100"/>
          <w:position w:val="0"/>
        </w:rPr>
        <w:t>对于本公司同一控制下企业合并取得的子公司，视同该企业合并于自最终控制方开始实时控制时已经发生，调整合并资 产负债表的期初数，将子公司或业务合并当期期初至报告期末的收入、费用、利润纳入合并利润表，将子公司或业务合并当 期期初至报告期末的现金流量纳入合并现金流量表，同时对比较报表的相关项目进行调整；</w:t>
      </w:r>
    </w:p>
    <w:p>
      <w:pPr>
        <w:pStyle w:val="Style34"/>
        <w:keepNext w:val="0"/>
        <w:keepLines w:val="0"/>
        <w:widowControl w:val="0"/>
        <w:shd w:val="clear" w:color="auto" w:fill="auto"/>
        <w:bidi w:val="0"/>
        <w:spacing w:before="0" w:after="100" w:line="336" w:lineRule="exact"/>
        <w:ind w:left="0" w:right="0"/>
        <w:jc w:val="both"/>
      </w:pPr>
      <w:r>
        <w:rPr>
          <w:color w:val="000000"/>
          <w:spacing w:val="0"/>
          <w:w w:val="100"/>
          <w:position w:val="0"/>
        </w:rPr>
        <w:t>对于本公司非同一控制下企业合并取得的子公司，则不调整合并资产负债表期初数，将该子公司或业务自购买日至报告 期末的收入、费用、利润纳入合并利润表；该子公司或业务自购买日至报告期末的现金流量纳入合并现金流量表。</w:t>
      </w:r>
    </w:p>
    <w:p>
      <w:pPr>
        <w:pStyle w:val="Style37"/>
        <w:keepNext/>
        <w:keepLines/>
        <w:widowControl w:val="0"/>
        <w:numPr>
          <w:ilvl w:val="0"/>
          <w:numId w:val="11"/>
        </w:numPr>
        <w:shd w:val="clear" w:color="auto" w:fill="auto"/>
        <w:tabs>
          <w:tab w:pos="900" w:val="left"/>
        </w:tabs>
        <w:bidi w:val="0"/>
        <w:spacing w:before="0" w:after="0" w:line="331" w:lineRule="exact"/>
        <w:ind w:left="0" w:right="0" w:firstLine="440"/>
        <w:jc w:val="left"/>
      </w:pPr>
      <w:bookmarkStart w:id="761" w:name="bookmark761"/>
      <w:bookmarkStart w:id="762" w:name="bookmark762"/>
      <w:bookmarkStart w:id="763" w:name="bookmark763"/>
      <w:bookmarkStart w:id="764" w:name="bookmark764"/>
      <w:bookmarkEnd w:id="763"/>
      <w:r>
        <w:rPr>
          <w:color w:val="000000"/>
          <w:spacing w:val="0"/>
          <w:w w:val="100"/>
          <w:position w:val="0"/>
        </w:rPr>
        <w:t>处置子公司股权至丧失控制权的会计处理方法</w:t>
      </w:r>
      <w:bookmarkEnd w:id="761"/>
      <w:bookmarkEnd w:id="762"/>
      <w:bookmarkEnd w:id="764"/>
    </w:p>
    <w:p>
      <w:pPr>
        <w:pStyle w:val="Style34"/>
        <w:keepNext w:val="0"/>
        <w:keepLines w:val="0"/>
        <w:widowControl w:val="0"/>
        <w:numPr>
          <w:ilvl w:val="0"/>
          <w:numId w:val="13"/>
        </w:numPr>
        <w:shd w:val="clear" w:color="auto" w:fill="auto"/>
        <w:tabs>
          <w:tab w:pos="720" w:val="left"/>
        </w:tabs>
        <w:bidi w:val="0"/>
        <w:spacing w:before="0" w:after="0" w:line="316" w:lineRule="exact"/>
        <w:ind w:left="0" w:right="0"/>
        <w:jc w:val="both"/>
      </w:pPr>
      <w:bookmarkStart w:id="765" w:name="bookmark765"/>
      <w:bookmarkEnd w:id="765"/>
      <w:r>
        <w:rPr>
          <w:color w:val="000000"/>
          <w:spacing w:val="0"/>
          <w:w w:val="100"/>
          <w:position w:val="0"/>
        </w:rPr>
        <w:t>一般处理方法</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在报告期内，本公司处置子公司或业务，则该子公司或业务期初至处置日的收入、费用、利润纳入本公司合并利润表； 该子公司或业务期初至处置日的现金流量纳入本公司合并现金流量表。</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日的公允价值进行重新计量。本公司将处置股权取得的对价与剩余股权公允价值之和，减去按原持股比例计算应享有原有子 公司自购买日或合并日开始持续计算的净资产的份额与商誉之和的差额，计入丧失控制权当期的投资收益，同时冲减商誉。 与原有子公司股权投资相关的其他综合收益等，本公司在丧失控制权时转为当期投资收益。</w:t>
      </w:r>
    </w:p>
    <w:p>
      <w:pPr>
        <w:pStyle w:val="Style34"/>
        <w:keepNext w:val="0"/>
        <w:keepLines w:val="0"/>
        <w:widowControl w:val="0"/>
        <w:numPr>
          <w:ilvl w:val="0"/>
          <w:numId w:val="13"/>
        </w:numPr>
        <w:shd w:val="clear" w:color="auto" w:fill="auto"/>
        <w:tabs>
          <w:tab w:pos="720" w:val="left"/>
        </w:tabs>
        <w:bidi w:val="0"/>
        <w:spacing w:before="0" w:after="0" w:line="316" w:lineRule="exact"/>
        <w:ind w:left="0" w:right="0"/>
        <w:jc w:val="both"/>
      </w:pPr>
      <w:bookmarkStart w:id="766" w:name="bookmark766"/>
      <w:bookmarkEnd w:id="766"/>
      <w:r>
        <w:rPr>
          <w:color w:val="000000"/>
          <w:spacing w:val="0"/>
          <w:w w:val="100"/>
          <w:position w:val="0"/>
        </w:rPr>
        <w:t>分步处置子公司</w:t>
      </w:r>
    </w:p>
    <w:p>
      <w:pPr>
        <w:pStyle w:val="Style34"/>
        <w:keepNext w:val="0"/>
        <w:keepLines w:val="0"/>
        <w:widowControl w:val="0"/>
        <w:shd w:val="clear" w:color="auto" w:fill="auto"/>
        <w:bidi w:val="0"/>
        <w:spacing w:before="0" w:after="100" w:line="316" w:lineRule="exact"/>
        <w:ind w:left="0" w:right="0"/>
        <w:jc w:val="both"/>
      </w:pPr>
      <w:r>
        <w:rPr>
          <w:color w:val="000000"/>
          <w:spacing w:val="0"/>
          <w:w w:val="100"/>
          <w:position w:val="0"/>
        </w:rPr>
        <w:t>本公司通过多次交易分步处置对子公司股权投资直至丧失控制权的，如处置对子公司股权投资的各项交易的条款、条件 以及经济影响符合以下一种或多种情况，本公司将多次交易事项作为一揽子交易进行会计处理：</w:t>
      </w:r>
    </w:p>
    <w:p>
      <w:pPr>
        <w:pStyle w:val="Style34"/>
        <w:keepNext w:val="0"/>
        <w:keepLines w:val="0"/>
        <w:widowControl w:val="0"/>
        <w:shd w:val="clear" w:color="auto" w:fill="auto"/>
        <w:tabs>
          <w:tab w:pos="764" w:val="left"/>
        </w:tabs>
        <w:bidi w:val="0"/>
        <w:spacing w:before="0" w:after="0" w:line="360" w:lineRule="auto"/>
        <w:ind w:left="0" w:right="0"/>
        <w:jc w:val="both"/>
      </w:pPr>
      <w:bookmarkStart w:id="767" w:name="bookmark767"/>
      <w:r>
        <w:rPr>
          <w:rFonts w:ascii="Times New Roman" w:eastAsia="Times New Roman" w:hAnsi="Times New Roman" w:cs="Times New Roman"/>
          <w:color w:val="000000"/>
          <w:spacing w:val="0"/>
          <w:w w:val="100"/>
          <w:position w:val="0"/>
          <w:sz w:val="18"/>
          <w:szCs w:val="18"/>
        </w:rPr>
        <w:t>A</w:t>
      </w:r>
      <w:bookmarkEnd w:id="767"/>
      <w:r>
        <w:rPr>
          <w:color w:val="000000"/>
          <w:spacing w:val="0"/>
          <w:w w:val="100"/>
          <w:position w:val="0"/>
        </w:rPr>
        <w:t>、</w:t>
        <w:tab/>
      </w:r>
      <w:r>
        <w:rPr>
          <w:color w:val="000000"/>
          <w:spacing w:val="0"/>
          <w:w w:val="100"/>
          <w:position w:val="0"/>
        </w:rPr>
        <w:t>这些交易是同时或者在考虑了彼此影响的情况下订立的；</w:t>
      </w:r>
    </w:p>
    <w:p>
      <w:pPr>
        <w:pStyle w:val="Style34"/>
        <w:keepNext w:val="0"/>
        <w:keepLines w:val="0"/>
        <w:widowControl w:val="0"/>
        <w:shd w:val="clear" w:color="auto" w:fill="auto"/>
        <w:tabs>
          <w:tab w:pos="764" w:val="left"/>
        </w:tabs>
        <w:bidi w:val="0"/>
        <w:spacing w:before="0" w:after="0" w:line="360" w:lineRule="auto"/>
        <w:ind w:left="0" w:right="0"/>
        <w:jc w:val="both"/>
      </w:pPr>
      <w:bookmarkStart w:id="768" w:name="bookmark768"/>
      <w:r>
        <w:rPr>
          <w:rFonts w:ascii="Times New Roman" w:eastAsia="Times New Roman" w:hAnsi="Times New Roman" w:cs="Times New Roman"/>
          <w:color w:val="000000"/>
          <w:spacing w:val="0"/>
          <w:w w:val="100"/>
          <w:position w:val="0"/>
          <w:sz w:val="18"/>
          <w:szCs w:val="18"/>
        </w:rPr>
        <w:t>B</w:t>
      </w:r>
      <w:bookmarkEnd w:id="768"/>
      <w:r>
        <w:rPr>
          <w:color w:val="000000"/>
          <w:spacing w:val="0"/>
          <w:w w:val="100"/>
          <w:position w:val="0"/>
        </w:rPr>
        <w:t>、</w:t>
        <w:tab/>
      </w:r>
      <w:r>
        <w:rPr>
          <w:color w:val="000000"/>
          <w:spacing w:val="0"/>
          <w:w w:val="100"/>
          <w:position w:val="0"/>
        </w:rPr>
        <w:t>这些交易整体才能达成一项完整的商业结果；</w:t>
      </w:r>
    </w:p>
    <w:p>
      <w:pPr>
        <w:pStyle w:val="Style34"/>
        <w:keepNext w:val="0"/>
        <w:keepLines w:val="0"/>
        <w:widowControl w:val="0"/>
        <w:shd w:val="clear" w:color="auto" w:fill="auto"/>
        <w:tabs>
          <w:tab w:pos="764" w:val="left"/>
        </w:tabs>
        <w:bidi w:val="0"/>
        <w:spacing w:before="0" w:after="0" w:line="360" w:lineRule="auto"/>
        <w:ind w:left="0" w:right="0"/>
        <w:jc w:val="both"/>
      </w:pPr>
      <w:bookmarkStart w:id="769" w:name="bookmark769"/>
      <w:r>
        <w:rPr>
          <w:rFonts w:ascii="Times New Roman" w:eastAsia="Times New Roman" w:hAnsi="Times New Roman" w:cs="Times New Roman"/>
          <w:color w:val="000000"/>
          <w:spacing w:val="0"/>
          <w:w w:val="100"/>
          <w:position w:val="0"/>
          <w:sz w:val="18"/>
          <w:szCs w:val="18"/>
        </w:rPr>
        <w:t>C</w:t>
      </w:r>
      <w:bookmarkEnd w:id="769"/>
      <w:r>
        <w:rPr>
          <w:color w:val="000000"/>
          <w:spacing w:val="0"/>
          <w:w w:val="100"/>
          <w:position w:val="0"/>
        </w:rPr>
        <w:t>、</w:t>
        <w:tab/>
      </w:r>
      <w:r>
        <w:rPr>
          <w:color w:val="000000"/>
          <w:spacing w:val="0"/>
          <w:w w:val="100"/>
          <w:position w:val="0"/>
        </w:rPr>
        <w:t>一项交易的发生取决于其他至少一项交易的发生；</w:t>
      </w:r>
    </w:p>
    <w:p>
      <w:pPr>
        <w:pStyle w:val="Style34"/>
        <w:keepNext w:val="0"/>
        <w:keepLines w:val="0"/>
        <w:widowControl w:val="0"/>
        <w:shd w:val="clear" w:color="auto" w:fill="auto"/>
        <w:tabs>
          <w:tab w:pos="764" w:val="left"/>
        </w:tabs>
        <w:bidi w:val="0"/>
        <w:spacing w:before="0" w:after="0" w:line="360" w:lineRule="auto"/>
        <w:ind w:left="0" w:right="0"/>
        <w:jc w:val="both"/>
      </w:pPr>
      <w:bookmarkStart w:id="770" w:name="bookmark770"/>
      <w:r>
        <w:rPr>
          <w:rFonts w:ascii="Times New Roman" w:eastAsia="Times New Roman" w:hAnsi="Times New Roman" w:cs="Times New Roman"/>
          <w:color w:val="000000"/>
          <w:spacing w:val="0"/>
          <w:w w:val="100"/>
          <w:position w:val="0"/>
          <w:sz w:val="18"/>
          <w:szCs w:val="18"/>
        </w:rPr>
        <w:t>D</w:t>
      </w:r>
      <w:bookmarkEnd w:id="770"/>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4"/>
        <w:keepNext w:val="0"/>
        <w:keepLines w:val="0"/>
        <w:widowControl w:val="0"/>
        <w:shd w:val="clear" w:color="auto" w:fill="auto"/>
        <w:bidi w:val="0"/>
        <w:spacing w:before="0" w:after="200" w:line="316" w:lineRule="exact"/>
        <w:ind w:left="0" w:right="0"/>
        <w:jc w:val="both"/>
      </w:pPr>
      <w:r>
        <w:rPr>
          <w:color w:val="000000"/>
          <w:spacing w:val="0"/>
          <w:w w:val="100"/>
          <w:position w:val="0"/>
        </w:rPr>
        <w:t>处置对子公司股权投资直至丧失控制权的各项交易不属于一揽子交易的，在丧失控制权之前，本公司按不丧失控制权的 情况下部分处置对子公司的股权投资的相关政策进行会计处理;在丧失控制权时，按处置子公司一般处理方法进行会计处理。</w:t>
      </w:r>
    </w:p>
    <w:p>
      <w:pPr>
        <w:pStyle w:val="Style37"/>
        <w:keepNext/>
        <w:keepLines/>
        <w:widowControl w:val="0"/>
        <w:numPr>
          <w:ilvl w:val="0"/>
          <w:numId w:val="11"/>
        </w:numPr>
        <w:shd w:val="clear" w:color="auto" w:fill="auto"/>
        <w:bidi w:val="0"/>
        <w:spacing w:before="0" w:after="100" w:line="240" w:lineRule="auto"/>
        <w:ind w:left="0" w:right="0" w:firstLine="560"/>
        <w:jc w:val="left"/>
      </w:pPr>
      <w:bookmarkStart w:id="771" w:name="bookmark771"/>
      <w:bookmarkStart w:id="772" w:name="bookmark772"/>
      <w:bookmarkStart w:id="773" w:name="bookmark773"/>
      <w:bookmarkStart w:id="774" w:name="bookmark774"/>
      <w:bookmarkEnd w:id="773"/>
      <w:r>
        <w:rPr>
          <w:color w:val="000000"/>
          <w:spacing w:val="0"/>
          <w:w w:val="100"/>
          <w:position w:val="0"/>
        </w:rPr>
        <w:t>购买子公司少数股权</w:t>
      </w:r>
      <w:bookmarkEnd w:id="771"/>
      <w:bookmarkEnd w:id="772"/>
      <w:bookmarkEnd w:id="774"/>
    </w:p>
    <w:p>
      <w:pPr>
        <w:pStyle w:val="Style34"/>
        <w:keepNext w:val="0"/>
        <w:keepLines w:val="0"/>
        <w:widowControl w:val="0"/>
        <w:shd w:val="clear" w:color="auto" w:fill="auto"/>
        <w:bidi w:val="0"/>
        <w:spacing w:before="0" w:after="200" w:line="314" w:lineRule="exact"/>
        <w:ind w:left="0" w:right="0"/>
        <w:jc w:val="both"/>
      </w:pPr>
      <w:r>
        <w:rPr>
          <w:color w:val="000000"/>
          <w:spacing w:val="0"/>
          <w:w w:val="100"/>
          <w:position w:val="0"/>
        </w:rPr>
        <w:t>本公司因购买少数股权新取得的长期股权投资成本与按照新增持股比例计算应享有子公司自购买日（或合并日）开始持 续计算的净资产份额之间的差额，调整合并资产负债表中的资本公积中的股本溢价，资本公积中的股本溢价不足冲减的，调 整留存收益。</w:t>
      </w:r>
    </w:p>
    <w:p>
      <w:pPr>
        <w:pStyle w:val="Style37"/>
        <w:keepNext/>
        <w:keepLines/>
        <w:widowControl w:val="0"/>
        <w:shd w:val="clear" w:color="auto" w:fill="auto"/>
        <w:bidi w:val="0"/>
        <w:spacing w:before="0" w:after="0" w:line="240" w:lineRule="auto"/>
        <w:ind w:left="0" w:right="0" w:firstLine="44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7</w:t>
      </w:r>
      <w:r>
        <w:rPr>
          <w:color w:val="000000"/>
          <w:spacing w:val="0"/>
          <w:w w:val="100"/>
          <w:position w:val="0"/>
        </w:rPr>
        <w:t>）不丧失控制权的情况下部分处置对子公司的股权投资</w:t>
      </w:r>
      <w:bookmarkEnd w:id="775"/>
      <w:bookmarkEnd w:id="776"/>
      <w:bookmarkEnd w:id="778"/>
    </w:p>
    <w:p>
      <w:pPr>
        <w:pStyle w:val="Style34"/>
        <w:keepNext w:val="0"/>
        <w:keepLines w:val="0"/>
        <w:widowControl w:val="0"/>
        <w:shd w:val="clear" w:color="auto" w:fill="auto"/>
        <w:bidi w:val="0"/>
        <w:spacing w:before="0" w:after="380" w:line="314" w:lineRule="exact"/>
        <w:ind w:left="0" w:right="0"/>
        <w:jc w:val="left"/>
      </w:pPr>
      <w:r>
        <w:rPr>
          <w:color w:val="000000"/>
          <w:spacing w:val="0"/>
          <w:w w:val="100"/>
          <w:position w:val="0"/>
        </w:rPr>
        <w:t>本公司在不丧失控制权的情况下因部分处置对子公司的长期股权投资而取得的处置价款与处置长期股权投资相对应享 有子公司自购买日或合并日开始持续计算的净资产份额之间的差额，调整合并资产负债表中的资本公积中的股本溢价，资本 公积中的股本溢价不足冲减的，调整留存收益。</w:t>
      </w:r>
    </w:p>
    <w:p>
      <w:pPr>
        <w:pStyle w:val="Style37"/>
        <w:keepNext/>
        <w:keepLines/>
        <w:widowControl w:val="0"/>
        <w:shd w:val="clear" w:color="auto" w:fill="auto"/>
        <w:tabs>
          <w:tab w:pos="373"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w:t>
        <w:tab/>
        <w:t>合营安排分类及共同经营会计处理方法</w:t>
      </w:r>
      <w:bookmarkEnd w:id="779"/>
      <w:bookmarkEnd w:id="780"/>
      <w:bookmarkEnd w:id="782"/>
    </w:p>
    <w:p>
      <w:pPr>
        <w:pStyle w:val="Style34"/>
        <w:keepNext w:val="0"/>
        <w:keepLines w:val="0"/>
        <w:widowControl w:val="0"/>
        <w:shd w:val="clear" w:color="auto" w:fill="auto"/>
        <w:bidi w:val="0"/>
        <w:spacing w:before="0" w:after="200" w:line="312"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w:t>
      </w:r>
    </w:p>
    <w:p>
      <w:pPr>
        <w:pStyle w:val="Style37"/>
        <w:keepNext/>
        <w:keepLines/>
        <w:widowControl w:val="0"/>
        <w:shd w:val="clear" w:color="auto" w:fill="auto"/>
        <w:tabs>
          <w:tab w:pos="933" w:val="left"/>
        </w:tabs>
        <w:bidi w:val="0"/>
        <w:spacing w:before="0" w:after="100" w:line="240" w:lineRule="auto"/>
        <w:ind w:left="0" w:right="0" w:firstLine="44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bookmarkEnd w:id="783"/>
      <w:bookmarkEnd w:id="784"/>
      <w:bookmarkEnd w:id="786"/>
    </w:p>
    <w:p>
      <w:pPr>
        <w:pStyle w:val="Style3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当本公司是合营安排的合营方，享有该安排相关资产且承担该安排相关负债时，为共同经营。</w:t>
      </w:r>
    </w:p>
    <w:p>
      <w:pPr>
        <w:pStyle w:val="Style3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本公司确认与共同经营中利益份额相关的下列项目，并按照相关企业会计准则的规定进行会计处理：</w:t>
      </w:r>
    </w:p>
    <w:p>
      <w:pPr>
        <w:pStyle w:val="Style34"/>
        <w:keepNext w:val="0"/>
        <w:keepLines w:val="0"/>
        <w:widowControl w:val="0"/>
        <w:numPr>
          <w:ilvl w:val="0"/>
          <w:numId w:val="15"/>
        </w:numPr>
        <w:shd w:val="clear" w:color="auto" w:fill="auto"/>
        <w:tabs>
          <w:tab w:pos="813" w:val="left"/>
        </w:tabs>
        <w:bidi w:val="0"/>
        <w:spacing w:before="0" w:after="100" w:line="314" w:lineRule="exact"/>
        <w:ind w:left="0" w:right="0" w:firstLine="440"/>
        <w:jc w:val="left"/>
      </w:pPr>
      <w:bookmarkStart w:id="787" w:name="bookmark787"/>
      <w:bookmarkEnd w:id="787"/>
      <w:r>
        <w:rPr>
          <w:color w:val="000000"/>
          <w:spacing w:val="0"/>
          <w:w w:val="100"/>
          <w:position w:val="0"/>
        </w:rPr>
        <w:t>确认本公司单独所持有的资产，以及按本公司份额确认共同持有的资产；</w:t>
      </w:r>
    </w:p>
    <w:p>
      <w:pPr>
        <w:pStyle w:val="Style34"/>
        <w:keepNext w:val="0"/>
        <w:keepLines w:val="0"/>
        <w:widowControl w:val="0"/>
        <w:numPr>
          <w:ilvl w:val="0"/>
          <w:numId w:val="15"/>
        </w:numPr>
        <w:shd w:val="clear" w:color="auto" w:fill="auto"/>
        <w:tabs>
          <w:tab w:pos="813" w:val="left"/>
        </w:tabs>
        <w:bidi w:val="0"/>
        <w:spacing w:before="0" w:after="100" w:line="314" w:lineRule="exact"/>
        <w:ind w:left="0" w:right="0" w:firstLine="440"/>
        <w:jc w:val="left"/>
      </w:pPr>
      <w:bookmarkStart w:id="788" w:name="bookmark788"/>
      <w:bookmarkEnd w:id="788"/>
      <w:r>
        <w:rPr>
          <w:color w:val="000000"/>
          <w:spacing w:val="0"/>
          <w:w w:val="100"/>
          <w:position w:val="0"/>
        </w:rPr>
        <w:t>确认本公司单独所承担的负债，以及按本公司份额确认共同承担的负债；</w:t>
      </w:r>
    </w:p>
    <w:p>
      <w:pPr>
        <w:pStyle w:val="Style34"/>
        <w:keepNext w:val="0"/>
        <w:keepLines w:val="0"/>
        <w:widowControl w:val="0"/>
        <w:numPr>
          <w:ilvl w:val="0"/>
          <w:numId w:val="15"/>
        </w:numPr>
        <w:shd w:val="clear" w:color="auto" w:fill="auto"/>
        <w:tabs>
          <w:tab w:pos="813" w:val="left"/>
        </w:tabs>
        <w:bidi w:val="0"/>
        <w:spacing w:before="0" w:after="100" w:line="314" w:lineRule="exact"/>
        <w:ind w:left="0" w:right="0" w:firstLine="440"/>
        <w:jc w:val="left"/>
      </w:pPr>
      <w:bookmarkStart w:id="789" w:name="bookmark789"/>
      <w:bookmarkEnd w:id="789"/>
      <w:r>
        <w:rPr>
          <w:color w:val="000000"/>
          <w:spacing w:val="0"/>
          <w:w w:val="100"/>
          <w:position w:val="0"/>
        </w:rPr>
        <w:t>确认出售本公司享有的共同经营产出份额所产生的收入；</w:t>
      </w:r>
    </w:p>
    <w:p>
      <w:pPr>
        <w:pStyle w:val="Style34"/>
        <w:keepNext w:val="0"/>
        <w:keepLines w:val="0"/>
        <w:widowControl w:val="0"/>
        <w:numPr>
          <w:ilvl w:val="0"/>
          <w:numId w:val="15"/>
        </w:numPr>
        <w:shd w:val="clear" w:color="auto" w:fill="auto"/>
        <w:tabs>
          <w:tab w:pos="813" w:val="left"/>
        </w:tabs>
        <w:bidi w:val="0"/>
        <w:spacing w:before="0" w:after="100" w:line="314" w:lineRule="exact"/>
        <w:ind w:left="0" w:right="0" w:firstLine="440"/>
        <w:jc w:val="left"/>
      </w:pPr>
      <w:bookmarkStart w:id="790" w:name="bookmark790"/>
      <w:bookmarkEnd w:id="790"/>
      <w:r>
        <w:rPr>
          <w:color w:val="000000"/>
          <w:spacing w:val="0"/>
          <w:w w:val="100"/>
          <w:position w:val="0"/>
        </w:rPr>
        <w:t>按本公司份额确认共同经营因出售产出所产生的收入；</w:t>
      </w:r>
    </w:p>
    <w:p>
      <w:pPr>
        <w:pStyle w:val="Style34"/>
        <w:keepNext w:val="0"/>
        <w:keepLines w:val="0"/>
        <w:widowControl w:val="0"/>
        <w:numPr>
          <w:ilvl w:val="0"/>
          <w:numId w:val="15"/>
        </w:numPr>
        <w:shd w:val="clear" w:color="auto" w:fill="auto"/>
        <w:tabs>
          <w:tab w:pos="813" w:val="left"/>
        </w:tabs>
        <w:bidi w:val="0"/>
        <w:spacing w:before="0" w:after="100" w:line="314" w:lineRule="exact"/>
        <w:ind w:left="0" w:right="0" w:firstLine="440"/>
        <w:jc w:val="left"/>
      </w:pPr>
      <w:bookmarkStart w:id="791" w:name="bookmark791"/>
      <w:bookmarkEnd w:id="791"/>
      <w:r>
        <w:rPr>
          <w:color w:val="000000"/>
          <w:spacing w:val="0"/>
          <w:w w:val="100"/>
          <w:position w:val="0"/>
        </w:rPr>
        <w:t>确认单独所发生的费用，以及按本公司份额确认共同经营发生的费用。</w:t>
      </w:r>
    </w:p>
    <w:p>
      <w:pPr>
        <w:pStyle w:val="Style34"/>
        <w:keepNext w:val="0"/>
        <w:keepLines w:val="0"/>
        <w:widowControl w:val="0"/>
        <w:shd w:val="clear" w:color="auto" w:fill="auto"/>
        <w:bidi w:val="0"/>
        <w:spacing w:before="0" w:after="200" w:line="323" w:lineRule="exact"/>
        <w:ind w:left="0" w:right="0" w:firstLine="440"/>
        <w:jc w:val="left"/>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 确认该损失；对于本公司自共同经营购买资产的情况，本公司按承担的份额确认该损失。</w:t>
      </w:r>
    </w:p>
    <w:p>
      <w:pPr>
        <w:pStyle w:val="Style37"/>
        <w:keepNext/>
        <w:keepLines/>
        <w:widowControl w:val="0"/>
        <w:shd w:val="clear" w:color="auto" w:fill="auto"/>
        <w:tabs>
          <w:tab w:pos="933" w:val="left"/>
        </w:tabs>
        <w:bidi w:val="0"/>
        <w:spacing w:before="0" w:after="100" w:line="240" w:lineRule="auto"/>
        <w:ind w:left="0" w:right="0" w:firstLine="44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bookmarkEnd w:id="792"/>
      <w:bookmarkEnd w:id="793"/>
      <w:bookmarkEnd w:id="795"/>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合营企业，是指本公司仅对该安排的净资产享有权利的合营安排。本公司对合营企业的投资采用权益法核算，相关会 计政策见本附注之长期股权投资会计政策解释。</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8</w:t>
      </w:r>
      <w:bookmarkEnd w:id="798"/>
      <w:r>
        <w:rPr>
          <w:color w:val="000000"/>
          <w:spacing w:val="0"/>
          <w:w w:val="100"/>
          <w:position w:val="0"/>
        </w:rPr>
        <w:t>、</w:t>
        <w:tab/>
        <w:t>现金及现金等价物的确定标准</w:t>
      </w:r>
      <w:bookmarkEnd w:id="796"/>
      <w:bookmarkEnd w:id="797"/>
      <w:bookmarkEnd w:id="799"/>
    </w:p>
    <w:p>
      <w:pPr>
        <w:pStyle w:val="Style3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本公司在编制现金流量表时所确定的现金，是指本公司库存现金以及可以随时用于支付的存款。</w:t>
      </w:r>
    </w:p>
    <w:p>
      <w:pPr>
        <w:pStyle w:val="Style3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本公司在编制现金流量表时所确定的现金等价物，是指本公司持有的期限短、流动性强、易于转换为已知金额现金、 价值变动风险很小的投资。</w:t>
      </w:r>
    </w:p>
    <w:p>
      <w:pPr>
        <w:pStyle w:val="Style37"/>
        <w:keepNext/>
        <w:keepLines/>
        <w:widowControl w:val="0"/>
        <w:shd w:val="clear" w:color="auto" w:fill="auto"/>
        <w:tabs>
          <w:tab w:pos="378" w:val="left"/>
        </w:tabs>
        <w:bidi w:val="0"/>
        <w:spacing w:before="0" w:after="3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9</w:t>
      </w:r>
      <w:bookmarkEnd w:id="802"/>
      <w:r>
        <w:rPr>
          <w:color w:val="000000"/>
          <w:spacing w:val="0"/>
          <w:w w:val="100"/>
          <w:position w:val="0"/>
        </w:rPr>
        <w:t>、</w:t>
        <w:tab/>
        <w:t>外币业务和外币报表折算</w:t>
      </w:r>
      <w:bookmarkEnd w:id="800"/>
      <w:bookmarkEnd w:id="801"/>
      <w:bookmarkEnd w:id="803"/>
    </w:p>
    <w:p>
      <w:pPr>
        <w:pStyle w:val="Style37"/>
        <w:keepNext/>
        <w:keepLines/>
        <w:widowControl w:val="0"/>
        <w:shd w:val="clear" w:color="auto" w:fill="auto"/>
        <w:bidi w:val="0"/>
        <w:spacing w:before="0" w:after="100" w:line="240" w:lineRule="auto"/>
        <w:ind w:left="0" w:right="0" w:firstLine="440"/>
        <w:jc w:val="both"/>
      </w:pPr>
      <w:bookmarkStart w:id="800" w:name="bookmark800"/>
      <w:bookmarkStart w:id="801" w:name="bookmark801"/>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）外币业务折算</w:t>
      </w:r>
      <w:bookmarkEnd w:id="800"/>
      <w:bookmarkEnd w:id="801"/>
      <w:bookmarkEnd w:id="805"/>
    </w:p>
    <w:p>
      <w:pPr>
        <w:pStyle w:val="Style3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对于发生的外币交易，初始采用交易发生日的即期汇率折算人民币入账。</w:t>
      </w:r>
    </w:p>
    <w:p>
      <w:pPr>
        <w:pStyle w:val="Style34"/>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 xml:space="preserve">在资产负债表日，外币货币性项目采用资产负债表日即期汇率计算，由此产生的汇兑差额，除：①属于与购建符合资 </w:t>
      </w:r>
      <w:r>
        <w:rPr>
          <w:color w:val="000000"/>
          <w:spacing w:val="0"/>
          <w:w w:val="100"/>
          <w:position w:val="0"/>
        </w:rPr>
        <w:t>本化条件的资产相关的外币专门借款产生的汇兑差额按照借款费用资本化的原则处理;②可供出售的外币货币性项目除摊余 成本之外的其他账面余额变动产生的汇兑差额计入其他综合收益之外，均计入当期损益。以历史成本计量的外币非货币性项 目，仍采用交易发生日的即期汇率折算，不改变其记账本位币金额；以公允价值计量的非货币性项目，如果期末的公允价值 以外币反映，将该外币按照公允价值确定当日的即期汇率折算，折算后的记账本位币金额与原记账本位币金额的差额，作为 公允价值变动损益，计入当期损益或资本公积。</w:t>
      </w:r>
    </w:p>
    <w:p>
      <w:pPr>
        <w:pStyle w:val="Style37"/>
        <w:keepNext/>
        <w:keepLines/>
        <w:widowControl w:val="0"/>
        <w:shd w:val="clear" w:color="auto" w:fill="auto"/>
        <w:bidi w:val="0"/>
        <w:spacing w:before="0" w:after="100" w:line="240" w:lineRule="auto"/>
        <w:ind w:left="0" w:right="0" w:firstLine="440"/>
        <w:jc w:val="both"/>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）外币财务报表折算</w:t>
      </w:r>
      <w:bookmarkEnd w:id="806"/>
      <w:bookmarkEnd w:id="807"/>
      <w:bookmarkEnd w:id="809"/>
    </w:p>
    <w:p>
      <w:pPr>
        <w:pStyle w:val="Style3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本公司的控股子公司、合营企业、联营企业等，若采用与本公司不同的记账本位币，需对其外币财务报表折算后，再 进行会计核算及合并财务报表的编报。</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利润表中的收入和费用项目，采用按照系统合理的方法确定的、与交易发生日即期汇率近似的汇率折算，折算产生的 外币财务报表折算差额，在资产负债表中所有者权益项目其他综合收益下单独列示。</w:t>
      </w:r>
    </w:p>
    <w:p>
      <w:pPr>
        <w:pStyle w:val="Style3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外币现金流量采用现金流量发生日即期汇率近似的汇率折算。汇率变动对现金的影响额，在现金流量表中单独列示。</w:t>
      </w:r>
    </w:p>
    <w:p>
      <w:pPr>
        <w:pStyle w:val="Style34"/>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处置境外经营时，与该境外经营有关的外币报表折算差额，按比例转入处置当期损益。</w:t>
      </w:r>
    </w:p>
    <w:p>
      <w:pPr>
        <w:pStyle w:val="Style37"/>
        <w:keepNext/>
        <w:keepLines/>
        <w:widowControl w:val="0"/>
        <w:shd w:val="clear" w:color="auto" w:fill="auto"/>
        <w:bidi w:val="0"/>
        <w:spacing w:before="0" w:after="26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0"/>
      <w:bookmarkEnd w:id="811"/>
      <w:bookmarkEnd w:id="813"/>
    </w:p>
    <w:p>
      <w:pPr>
        <w:pStyle w:val="Style34"/>
        <w:keepNext w:val="0"/>
        <w:keepLines w:val="0"/>
        <w:widowControl w:val="0"/>
        <w:shd w:val="clear" w:color="auto" w:fill="auto"/>
        <w:bidi w:val="0"/>
        <w:spacing w:before="0" w:after="220" w:line="313" w:lineRule="exact"/>
        <w:ind w:left="0" w:right="0" w:firstLine="0"/>
        <w:jc w:val="both"/>
      </w:pPr>
      <w:r>
        <w:rPr>
          <w:b/>
          <w:bCs/>
          <w:color w:val="000000"/>
          <w:spacing w:val="0"/>
          <w:w w:val="100"/>
          <w:position w:val="0"/>
        </w:rPr>
        <w:t>在本公司成为金融工具合同的一方时确认一项金融资产或金融负债。</w:t>
      </w:r>
    </w:p>
    <w:p>
      <w:pPr>
        <w:pStyle w:val="Style37"/>
        <w:keepNext/>
        <w:keepLines/>
        <w:widowControl w:val="0"/>
        <w:shd w:val="clear" w:color="auto" w:fill="auto"/>
        <w:bidi w:val="0"/>
        <w:spacing w:before="0" w:after="100" w:line="240" w:lineRule="auto"/>
        <w:ind w:left="0" w:right="0" w:firstLine="44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）金融资产的分类、确认和计量</w:t>
      </w:r>
      <w:bookmarkEnd w:id="814"/>
      <w:bookmarkEnd w:id="815"/>
      <w:bookmarkEnd w:id="817"/>
    </w:p>
    <w:p>
      <w:pPr>
        <w:pStyle w:val="Style3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考虑重大融资成分的应收账款或应收票据等，本公司按照预期有权收取的对价金额作为初始确认金额。</w:t>
      </w:r>
    </w:p>
    <w:p>
      <w:pPr>
        <w:pStyle w:val="Style3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债务工具：</w:t>
      </w:r>
    </w:p>
    <w:p>
      <w:pPr>
        <w:pStyle w:val="Style34"/>
        <w:keepNext w:val="0"/>
        <w:keepLines w:val="0"/>
        <w:widowControl w:val="0"/>
        <w:numPr>
          <w:ilvl w:val="0"/>
          <w:numId w:val="17"/>
        </w:numPr>
        <w:shd w:val="clear" w:color="auto" w:fill="auto"/>
        <w:tabs>
          <w:tab w:pos="782" w:val="left"/>
        </w:tabs>
        <w:bidi w:val="0"/>
        <w:spacing w:before="0" w:after="100" w:line="313" w:lineRule="exact"/>
        <w:ind w:left="0" w:right="0" w:firstLine="440"/>
        <w:jc w:val="both"/>
      </w:pPr>
      <w:bookmarkStart w:id="818" w:name="bookmark818"/>
      <w:bookmarkEnd w:id="818"/>
      <w:r>
        <w:rPr>
          <w:color w:val="000000"/>
          <w:spacing w:val="0"/>
          <w:w w:val="100"/>
          <w:position w:val="0"/>
        </w:rPr>
        <w:t>以摊余成本计量的金融资产</w:t>
      </w:r>
    </w:p>
    <w:p>
      <w:pPr>
        <w:pStyle w:val="Style3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本公司管理此类金融资产的业务模式为以收取合同现金流量为目标，且此类金融资产的合同现金流量特征与基本借贷 安排相一致，即在特定日期产生的现金流量，仅为对本金和以未偿付本金金额为基础的利息的支付。本公司对于此类金融资 产按照实际利率法确认利息收入，按照摊余成本进行后续计量，其摊销或减值产生的利得或损失，计入当期损益。本公司的 此类金融资产主要包括货币资金、应收票据、应收账款、其他应收款、债权投资和长期应收款等，本公司将自资产负债表日 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到期的债权投资和长期应收款，列示为一年内到期的非流动资产；取得时期限在一年内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的债权投 资列示为其他流动资产。</w:t>
      </w:r>
    </w:p>
    <w:p>
      <w:pPr>
        <w:pStyle w:val="Style34"/>
        <w:keepNext w:val="0"/>
        <w:keepLines w:val="0"/>
        <w:widowControl w:val="0"/>
        <w:numPr>
          <w:ilvl w:val="0"/>
          <w:numId w:val="17"/>
        </w:numPr>
        <w:shd w:val="clear" w:color="auto" w:fill="auto"/>
        <w:tabs>
          <w:tab w:pos="782" w:val="left"/>
        </w:tabs>
        <w:bidi w:val="0"/>
        <w:spacing w:before="0" w:after="100" w:line="313" w:lineRule="exact"/>
        <w:ind w:left="0" w:right="0" w:firstLine="440"/>
        <w:jc w:val="both"/>
      </w:pPr>
      <w:bookmarkStart w:id="819" w:name="bookmark819"/>
      <w:bookmarkEnd w:id="819"/>
      <w:r>
        <w:rPr>
          <w:color w:val="000000"/>
          <w:spacing w:val="0"/>
          <w:w w:val="100"/>
          <w:position w:val="0"/>
        </w:rPr>
        <w:t>以公允价值计量且其变动计入其他综合收益的金融资产</w:t>
      </w:r>
    </w:p>
    <w:p>
      <w:pPr>
        <w:pStyle w:val="Style34"/>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量特征与基本借贷安排相一致。此类金融资产按照公允价值计量且其变动计入其他综合收益，但减值损失或利得、汇兑损益 和按照实际利率法计算的利息收入计入当期损益。本公司的此类金融资产主要包括应收款项融资、其他债权投资等，本公司 将自资产负债表日起一年内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到期的其他债权投资，列示为一年内到期的非流动资产；取得时期限在一年内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的其他债权投资列示为其他流动资产。</w:t>
      </w:r>
    </w:p>
    <w:p>
      <w:pPr>
        <w:pStyle w:val="Style34"/>
        <w:keepNext w:val="0"/>
        <w:keepLines w:val="0"/>
        <w:widowControl w:val="0"/>
        <w:numPr>
          <w:ilvl w:val="0"/>
          <w:numId w:val="17"/>
        </w:numPr>
        <w:shd w:val="clear" w:color="auto" w:fill="auto"/>
        <w:bidi w:val="0"/>
        <w:spacing w:before="0" w:after="100" w:line="240" w:lineRule="auto"/>
        <w:ind w:left="0" w:right="0" w:firstLine="440"/>
        <w:jc w:val="both"/>
      </w:pPr>
      <w:bookmarkStart w:id="820" w:name="bookmark820"/>
      <w:bookmarkEnd w:id="820"/>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分类为以公允价值计量且其变动计入当期损益的金融资产，列示为交易性金融资产。此外，在初始确认时，本公司为了消除 或显著减少会计错配，将部分金融资产指定为以公允价值计量且其变动计入当期损益的金融资产。对于此类金融资产，本公 司采用公允价值进行后续计量，公允价值变动计入当期损益。自资产负债表日起超过一年到期且预期持有超过一年的，列示 为其他非流动金融资产。</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权益工具：</w:t>
      </w:r>
    </w:p>
    <w:p>
      <w:pPr>
        <w:pStyle w:val="Style34"/>
        <w:keepNext w:val="0"/>
        <w:keepLines w:val="0"/>
        <w:widowControl w:val="0"/>
        <w:shd w:val="clear" w:color="auto" w:fill="auto"/>
        <w:tabs>
          <w:tab w:pos="7824" w:val="left"/>
        </w:tabs>
        <w:bidi w:val="0"/>
        <w:spacing w:before="0" w:after="0" w:line="314" w:lineRule="exact"/>
        <w:ind w:left="0" w:right="0" w:firstLine="440"/>
        <w:jc w:val="both"/>
      </w:pPr>
      <w:r>
        <w:rPr>
          <w:color w:val="000000"/>
          <w:spacing w:val="0"/>
          <w:w w:val="100"/>
          <w:position w:val="0"/>
        </w:rPr>
        <w:t>本公司将对其没有控制、共同控制和重大影响的权益工具分类为以公允价值计量且其变动计入当期损益的金融资产， 列示为交易性金融资产；自资产负债表日起预期持有超过一年的，列示为其他非流动金融资产。</w:t>
        <w:tab/>
        <w:t>此外，本公司将部分非</w:t>
      </w:r>
    </w:p>
    <w:p>
      <w:pPr>
        <w:pStyle w:val="Style34"/>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交易性权益工具投资指定为以公允价值计量且其变动计入其他综合收益的金融资产，列示为其他权益工具投资，且该指定一 经作出不得撤销。本公司将该类金融资产的相关股利收入计入当期损益，公允价值变动计入其他综合收益。当该金融资产终 止确认时，之前计入其他综合收益的累计利得或损失将从其他综合收益转入留存收益，不计入当期损益。</w:t>
      </w:r>
    </w:p>
    <w:p>
      <w:pPr>
        <w:pStyle w:val="Style37"/>
        <w:keepNext/>
        <w:keepLines/>
        <w:widowControl w:val="0"/>
        <w:shd w:val="clear" w:color="auto" w:fill="auto"/>
        <w:tabs>
          <w:tab w:pos="873" w:val="left"/>
        </w:tabs>
        <w:bidi w:val="0"/>
        <w:spacing w:before="0" w:after="100" w:line="240" w:lineRule="auto"/>
        <w:ind w:left="0" w:right="0" w:firstLine="44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金融负债的分类、确认和计量</w:t>
      </w:r>
      <w:bookmarkEnd w:id="821"/>
      <w:bookmarkEnd w:id="822"/>
      <w:bookmarkEnd w:id="824"/>
    </w:p>
    <w:p>
      <w:pPr>
        <w:pStyle w:val="Style34"/>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本公司根据所发行金融工具的合同条款及其所反映的经济实质而非仅以法律形式，结合金融负债和权益工具的定义， 在初始确认时将该金融工具或其组成部分分类为金融负债或权益工具。</w:t>
      </w:r>
    </w:p>
    <w:p>
      <w:pPr>
        <w:pStyle w:val="Style3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3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本公司的金融负债主要为以摊余成本计量的金融负债，包括应付票据及应付账款、其他应付款、借款及应付债券等。 该类金融负债按其公允价值扣除交易费用后的金额进行初始计量，并采用实际利率法进行后续计量。期限在一年以下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 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的，列示为流动负债；期限在一年以上但自资产负债表日起一年内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到期的，列示为一年内到期的非流动负债；其 余列示为非流动负债。</w:t>
      </w:r>
    </w:p>
    <w:p>
      <w:pPr>
        <w:pStyle w:val="Style34"/>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当金融负债的现时义务全部或部分已经解除时，本集团终止确认该金融负债或义务已解除的部分。终止确认部分的账 面价值与支付的对价之间的差额，计入当期损益。</w:t>
      </w:r>
    </w:p>
    <w:p>
      <w:pPr>
        <w:pStyle w:val="Style37"/>
        <w:keepNext/>
        <w:keepLines/>
        <w:widowControl w:val="0"/>
        <w:shd w:val="clear" w:color="auto" w:fill="auto"/>
        <w:tabs>
          <w:tab w:pos="873" w:val="left"/>
        </w:tabs>
        <w:bidi w:val="0"/>
        <w:spacing w:before="0" w:after="100" w:line="240" w:lineRule="auto"/>
        <w:ind w:left="0" w:right="0" w:firstLine="44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825"/>
      <w:bookmarkEnd w:id="826"/>
      <w:bookmarkEnd w:id="828"/>
    </w:p>
    <w:p>
      <w:pPr>
        <w:pStyle w:val="Style34"/>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本公司将满足下列条件之一的金融资产，予以终止确认：①收取该金融资产现金流量的合同权利终止；②该金融资产 已转移，且将金融资产所有权上几乎所有的风险和报酬转移给转入方；③该金融资产已转移，虽然本公司既没有转移也没有 保留金融资产所有权上几乎所有的风险和报酬，但是放弃了对该金融资产的控制。若本公司既没有转移也没有保留金融资产 所有权上几乎所有的风险和报酬，且未放弃对该金融资产的控制的，按照继续涉入所转移金融资产的程度确认有关金融资产， 并相应确认有关负债。继续涉入所转移金融资产的程度，是指该金融资产价值变动使企业面临的风险水平。</w:t>
      </w:r>
    </w:p>
    <w:p>
      <w:pPr>
        <w:pStyle w:val="Style3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其他权益工具投资终止确认时，本公司将其账面价值与收到的对价以及原直接计入其他综合收益的公允价值变动累计 额之和的差额，计入留存收益；其余金融资产终止确认时，其账面价值与收到的对价以及原直接计入其他综合收益的公允价 值变动累计额之和的差额，计入当期损益。</w:t>
      </w:r>
    </w:p>
    <w:p>
      <w:pPr>
        <w:pStyle w:val="Style34"/>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37"/>
        <w:keepNext/>
        <w:keepLines/>
        <w:widowControl w:val="0"/>
        <w:shd w:val="clear" w:color="auto" w:fill="auto"/>
        <w:tabs>
          <w:tab w:pos="873" w:val="left"/>
        </w:tabs>
        <w:bidi w:val="0"/>
        <w:spacing w:before="0" w:after="100" w:line="240" w:lineRule="auto"/>
        <w:ind w:left="0" w:right="0" w:firstLine="44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4</w:t>
      </w:r>
      <w:r>
        <w:rPr>
          <w:color w:val="000000"/>
          <w:spacing w:val="0"/>
          <w:w w:val="100"/>
          <w:position w:val="0"/>
        </w:rPr>
        <w:t>）</w:t>
        <w:tab/>
        <w:t>金融负债的终止确认</w:t>
      </w:r>
      <w:bookmarkEnd w:id="829"/>
      <w:bookmarkEnd w:id="830"/>
      <w:bookmarkEnd w:id="832"/>
    </w:p>
    <w:p>
      <w:pPr>
        <w:pStyle w:val="Style34"/>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 xml:space="preserve">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w:t>
      </w:r>
      <w:r>
        <w:rPr>
          <w:color w:val="000000"/>
          <w:spacing w:val="0"/>
          <w:w w:val="100"/>
          <w:position w:val="0"/>
        </w:rPr>
        <w:t>确认原金融负债，同时按照修改后的条款确认一项新金融负债。</w:t>
      </w:r>
    </w:p>
    <w:p>
      <w:pPr>
        <w:pStyle w:val="Style34"/>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37"/>
        <w:keepNext/>
        <w:keepLines/>
        <w:widowControl w:val="0"/>
        <w:shd w:val="clear" w:color="auto" w:fill="auto"/>
        <w:tabs>
          <w:tab w:pos="894" w:val="left"/>
        </w:tabs>
        <w:bidi w:val="0"/>
        <w:spacing w:before="0" w:after="100" w:line="240" w:lineRule="auto"/>
        <w:ind w:left="0" w:right="0" w:firstLine="44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金融资产和金融负债的抵销</w:t>
      </w:r>
      <w:bookmarkEnd w:id="833"/>
      <w:bookmarkEnd w:id="834"/>
      <w:bookmarkEnd w:id="836"/>
    </w:p>
    <w:p>
      <w:pPr>
        <w:pStyle w:val="Style34"/>
        <w:keepNext w:val="0"/>
        <w:keepLines w:val="0"/>
        <w:widowControl w:val="0"/>
        <w:shd w:val="clear" w:color="auto" w:fill="auto"/>
        <w:bidi w:val="0"/>
        <w:spacing w:before="0" w:after="200" w:line="295" w:lineRule="exact"/>
        <w:ind w:left="0" w:right="0" w:firstLine="440"/>
        <w:jc w:val="left"/>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此以外，本公司的金融资产和金融负债在资产负债表内分别列示，不予相互抵销。</w:t>
      </w:r>
    </w:p>
    <w:p>
      <w:pPr>
        <w:pStyle w:val="Style37"/>
        <w:keepNext/>
        <w:keepLines/>
        <w:widowControl w:val="0"/>
        <w:shd w:val="clear" w:color="auto" w:fill="auto"/>
        <w:tabs>
          <w:tab w:pos="894" w:val="left"/>
        </w:tabs>
        <w:bidi w:val="0"/>
        <w:spacing w:before="0" w:after="100" w:line="240" w:lineRule="auto"/>
        <w:ind w:left="0" w:right="0" w:firstLine="44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金融资产和金融负债的公允价值确定方法</w:t>
      </w:r>
      <w:bookmarkEnd w:id="837"/>
      <w:bookmarkEnd w:id="838"/>
      <w:bookmarkEnd w:id="840"/>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公允价值，是指市场参与者在计量日发生的有序交易中，出售一项资产所能收到或者转移一项负债所需支付的价格。</w:t>
      </w:r>
    </w:p>
    <w:p>
      <w:pPr>
        <w:pStyle w:val="Style34"/>
        <w:keepNext w:val="0"/>
        <w:keepLines w:val="0"/>
        <w:widowControl w:val="0"/>
        <w:shd w:val="clear" w:color="auto" w:fill="auto"/>
        <w:bidi w:val="0"/>
        <w:spacing w:before="0" w:after="100" w:line="313" w:lineRule="exact"/>
        <w:ind w:left="0" w:right="0" w:firstLine="0"/>
        <w:jc w:val="left"/>
      </w:pPr>
      <w:r>
        <w:rPr>
          <w:color w:val="000000"/>
          <w:spacing w:val="0"/>
          <w:w w:val="100"/>
          <w:position w:val="0"/>
        </w:rPr>
        <w:t>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34"/>
        <w:keepNext w:val="0"/>
        <w:keepLines w:val="0"/>
        <w:widowControl w:val="0"/>
        <w:shd w:val="clear" w:color="auto" w:fill="auto"/>
        <w:bidi w:val="0"/>
        <w:spacing w:before="0" w:after="200" w:line="314" w:lineRule="exact"/>
        <w:ind w:left="0" w:right="0"/>
        <w:jc w:val="both"/>
      </w:pPr>
      <w:r>
        <w:rPr>
          <w:color w:val="000000"/>
          <w:spacing w:val="0"/>
          <w:w w:val="100"/>
          <w:position w:val="0"/>
        </w:rPr>
        <w:t>综上,本公司将公允价值计量所使用的输入值划分为三个层次，并首先使用第一层次输入值,其次使用第二层次输入值， 最后使用第三层次输入值。第一层次输入值是在计量日能够取得的相同资产或负债在活跃市场上未经调整的报价。第二层次 输入值是除第一层次输入值外相关资产或负债直接或间接可观察的输入值。第三层次输入值是相关资产或负债的不可观察输 入值。</w:t>
      </w:r>
    </w:p>
    <w:p>
      <w:pPr>
        <w:pStyle w:val="Style37"/>
        <w:keepNext/>
        <w:keepLines/>
        <w:widowControl w:val="0"/>
        <w:shd w:val="clear" w:color="auto" w:fill="auto"/>
        <w:tabs>
          <w:tab w:pos="894" w:val="left"/>
        </w:tabs>
        <w:bidi w:val="0"/>
        <w:spacing w:before="0" w:after="100" w:line="240" w:lineRule="auto"/>
        <w:ind w:left="0" w:right="0" w:firstLine="44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7</w:t>
      </w:r>
      <w:r>
        <w:rPr>
          <w:color w:val="000000"/>
          <w:spacing w:val="0"/>
          <w:w w:val="100"/>
          <w:position w:val="0"/>
        </w:rPr>
        <w:t>）</w:t>
        <w:tab/>
        <w:t>金融资产减值</w:t>
      </w:r>
      <w:bookmarkEnd w:id="841"/>
      <w:bookmarkEnd w:id="842"/>
      <w:bookmarkEnd w:id="844"/>
    </w:p>
    <w:p>
      <w:pPr>
        <w:pStyle w:val="Style3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金融工具减值计量和会计处理</w:t>
      </w:r>
    </w:p>
    <w:p>
      <w:pPr>
        <w:pStyle w:val="Style3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本公司对于以摊余成本计量的金融资产、以公允价值计量且其变动计入其他综合收益的金融资产、合同资产等，以预 期信用损失为基础确认损失准备。</w:t>
      </w:r>
    </w:p>
    <w:p>
      <w:pPr>
        <w:pStyle w:val="Style34"/>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pStyle w:val="Style34"/>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于每个资产负债表日，本公司对于处于不同阶段的金融工具的预期信用损失分别进行计量。金融工具自初始确认后信 用风险未显著增加的，处于第一阶段，本公司按照未来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 用风险已显著增加但尚未发生信用减值的，处于第二阶段，本公司按照该工具整个存续期的预期信用损失计量损失准备；金 融工具自初始确认后已经发生信用减值的，处于第三阶段，本公司按照该工具整个存续期的预期信用损失计量损失准备。</w:t>
      </w:r>
    </w:p>
    <w:p>
      <w:pPr>
        <w:pStyle w:val="Style3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3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Style34"/>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本公司对于因销售商品、提供劳务等日常经营活动形成的应收票据、应收账款和应收款项融资，无论是否存在重大融 资成分，均按照整个存续期的预期信用损失计量损失准备。</w:t>
      </w:r>
    </w:p>
    <w:p>
      <w:pPr>
        <w:pStyle w:val="Style34"/>
        <w:keepNext w:val="0"/>
        <w:keepLines w:val="0"/>
        <w:widowControl w:val="0"/>
        <w:numPr>
          <w:ilvl w:val="0"/>
          <w:numId w:val="19"/>
        </w:numPr>
        <w:shd w:val="clear" w:color="auto" w:fill="auto"/>
        <w:bidi w:val="0"/>
        <w:spacing w:before="0" w:after="100" w:line="313" w:lineRule="exact"/>
        <w:ind w:left="0" w:right="0" w:firstLine="440"/>
        <w:jc w:val="left"/>
      </w:pPr>
      <w:bookmarkStart w:id="845" w:name="bookmark845"/>
      <w:bookmarkEnd w:id="845"/>
      <w:r>
        <w:rPr>
          <w:color w:val="000000"/>
          <w:spacing w:val="0"/>
          <w:w w:val="100"/>
          <w:position w:val="0"/>
        </w:rPr>
        <w:t>应收款项：</w:t>
      </w:r>
    </w:p>
    <w:p>
      <w:pPr>
        <w:pStyle w:val="Style34"/>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对于存在客观证据表明存在减值，以及其他适用于单项评估的应收票据、应收账款，其他应收款、应收款项融资及长</w:t>
        <w:br w:type="page"/>
      </w:r>
      <w:r>
        <w:rPr>
          <w:color w:val="000000"/>
          <w:spacing w:val="0"/>
          <w:w w:val="100"/>
          <w:position w:val="0"/>
        </w:rPr>
        <w:t>期应收款等单独进行减值测试，确认预期信用损失，计提单项减值准备。对于不存在减值客观证据的应收票据、应收账款、 其他应收款及应收款项融资或当单项金融资产无法以合理成本评估预期信用损失的信息时，本公司依据信用风险特征将应收 票据、应收账款、其他应收款、应收款项融资及长期应收款等划分为若干组合，在组合基础上计算预期信用损失，确定组合 的依据如下：</w:t>
      </w:r>
    </w:p>
    <w:p>
      <w:pPr>
        <w:pStyle w:val="Style32"/>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应收票据确定组合的依据如下:</w:t>
      </w:r>
    </w:p>
    <w:tbl>
      <w:tblPr>
        <w:tblOverlap w:val="never"/>
        <w:jc w:val="center"/>
        <w:tblLayout w:type="fixed"/>
      </w:tblPr>
      <w:tblGrid>
        <w:gridCol w:w="4656"/>
        <w:gridCol w:w="4651"/>
      </w:tblGrid>
      <w:tr>
        <w:trPr>
          <w:trHeight w:val="5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信用风险较低的银行</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信用风险较高的企业</w:t>
            </w:r>
          </w:p>
        </w:tc>
      </w:tr>
    </w:tbl>
    <w:p>
      <w:pPr>
        <w:widowControl w:val="0"/>
        <w:spacing w:after="59" w:line="1" w:lineRule="exact"/>
      </w:pPr>
    </w:p>
    <w:p>
      <w:pPr>
        <w:pStyle w:val="Style34"/>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对于划分为组合的应收票据，本公司参考历史信用损失经验，结合当前状况以及对未来经济状况的预测，通过违约风 险敞口和整个存续期预期信用损失率，计算预期信用损失。</w:t>
      </w:r>
    </w:p>
    <w:p>
      <w:pPr>
        <w:pStyle w:val="Style34"/>
        <w:keepNext w:val="0"/>
        <w:keepLines w:val="0"/>
        <w:widowControl w:val="0"/>
        <w:shd w:val="clear" w:color="auto" w:fill="auto"/>
        <w:bidi w:val="0"/>
        <w:spacing w:before="0" w:after="60" w:line="360" w:lineRule="auto"/>
        <w:ind w:left="0" w:right="0" w:firstLine="440"/>
        <w:jc w:val="both"/>
      </w:pPr>
      <w:bookmarkStart w:id="846" w:name="bookmark846"/>
      <w:r>
        <w:rPr>
          <w:rFonts w:ascii="Times New Roman" w:eastAsia="Times New Roman" w:hAnsi="Times New Roman" w:cs="Times New Roman"/>
          <w:color w:val="000000"/>
          <w:spacing w:val="0"/>
          <w:w w:val="100"/>
          <w:position w:val="0"/>
          <w:sz w:val="18"/>
          <w:szCs w:val="18"/>
        </w:rPr>
        <w:t>B</w:t>
      </w:r>
      <w:bookmarkEnd w:id="846"/>
      <w:r>
        <w:rPr>
          <w:color w:val="000000"/>
          <w:spacing w:val="0"/>
          <w:w w:val="100"/>
          <w:position w:val="0"/>
        </w:rPr>
        <w:t>、</w:t>
      </w:r>
      <w:r>
        <w:rPr>
          <w:color w:val="000000"/>
          <w:spacing w:val="0"/>
          <w:w w:val="100"/>
          <w:position w:val="0"/>
        </w:rPr>
        <w:t>应收账款确定组合的依据如下：</w:t>
      </w:r>
    </w:p>
    <w:tbl>
      <w:tblPr>
        <w:tblOverlap w:val="never"/>
        <w:jc w:val="center"/>
        <w:tblLayout w:type="fixed"/>
      </w:tblPr>
      <w:tblGrid>
        <w:gridCol w:w="4656"/>
        <w:gridCol w:w="4651"/>
      </w:tblGrid>
      <w:tr>
        <w:trPr>
          <w:trHeight w:val="60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合并范围内关联方组合</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应收外部客户款项</w:t>
            </w:r>
          </w:p>
        </w:tc>
      </w:tr>
    </w:tbl>
    <w:p>
      <w:pPr>
        <w:widowControl w:val="0"/>
        <w:spacing w:after="59" w:line="1" w:lineRule="exact"/>
      </w:pPr>
    </w:p>
    <w:p>
      <w:pPr>
        <w:pStyle w:val="Style3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对于划分为关联方组合的应收账款，本公司参考历史信用损失经验，结合当前状况以及对未来经济状况的预测，编制 应收账款逾期天数与整个存续期预期信用损失率对照表，计算预期信用损失。</w:t>
      </w:r>
    </w:p>
    <w:p>
      <w:pPr>
        <w:pStyle w:val="Style34"/>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对于划分为账龄组合的应收账款，本公司参考历史信用损失经验，结合当前状况以及对未来经济状况的预测，编制应 收账款逾期天数与整个存续期预期信用损失率对照表，计算预期信用损失。</w:t>
      </w:r>
    </w:p>
    <w:p>
      <w:pPr>
        <w:pStyle w:val="Style34"/>
        <w:keepNext w:val="0"/>
        <w:keepLines w:val="0"/>
        <w:widowControl w:val="0"/>
        <w:shd w:val="clear" w:color="auto" w:fill="auto"/>
        <w:bidi w:val="0"/>
        <w:spacing w:before="0" w:after="60" w:line="360" w:lineRule="auto"/>
        <w:ind w:left="0" w:right="0" w:firstLine="440"/>
        <w:jc w:val="both"/>
      </w:pPr>
      <w:bookmarkStart w:id="847" w:name="bookmark847"/>
      <w:r>
        <w:rPr>
          <w:rFonts w:ascii="Times New Roman" w:eastAsia="Times New Roman" w:hAnsi="Times New Roman" w:cs="Times New Roman"/>
          <w:color w:val="000000"/>
          <w:spacing w:val="0"/>
          <w:w w:val="100"/>
          <w:position w:val="0"/>
          <w:sz w:val="18"/>
          <w:szCs w:val="18"/>
        </w:rPr>
        <w:t>C</w:t>
      </w:r>
      <w:bookmarkEnd w:id="847"/>
      <w:r>
        <w:rPr>
          <w:color w:val="000000"/>
          <w:spacing w:val="0"/>
          <w:w w:val="100"/>
          <w:position w:val="0"/>
        </w:rPr>
        <w:t>、</w:t>
      </w:r>
      <w:r>
        <w:rPr>
          <w:color w:val="000000"/>
          <w:spacing w:val="0"/>
          <w:w w:val="100"/>
          <w:position w:val="0"/>
        </w:rPr>
        <w:t>其他应收款确定组合的依据如下：</w:t>
      </w:r>
    </w:p>
    <w:tbl>
      <w:tblPr>
        <w:tblOverlap w:val="never"/>
        <w:jc w:val="center"/>
        <w:tblLayout w:type="fixed"/>
      </w:tblPr>
      <w:tblGrid>
        <w:gridCol w:w="4656"/>
        <w:gridCol w:w="4651"/>
      </w:tblGrid>
      <w:tr>
        <w:trPr>
          <w:trHeight w:val="5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应收股利</w:t>
            </w:r>
          </w:p>
        </w:tc>
      </w:tr>
      <w:tr>
        <w:trPr>
          <w:trHeight w:val="5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应收利息</w:t>
            </w:r>
          </w:p>
        </w:tc>
      </w:tr>
      <w:tr>
        <w:trPr>
          <w:trHeight w:val="5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合并范围内关联方组合</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r>
    </w:tbl>
    <w:p>
      <w:pPr>
        <w:widowControl w:val="0"/>
        <w:spacing w:after="59" w:line="1" w:lineRule="exact"/>
      </w:pPr>
    </w:p>
    <w:p>
      <w:pPr>
        <w:pStyle w:val="Style34"/>
        <w:keepNext w:val="0"/>
        <w:keepLines w:val="0"/>
        <w:widowControl w:val="0"/>
        <w:shd w:val="clear" w:color="auto" w:fill="auto"/>
        <w:bidi w:val="0"/>
        <w:spacing w:before="0" w:after="220" w:line="298" w:lineRule="exact"/>
        <w:ind w:left="0" w:right="0" w:firstLine="440"/>
        <w:jc w:val="both"/>
      </w:pPr>
      <w:r>
        <w:rPr>
          <w:color w:val="000000"/>
          <w:spacing w:val="0"/>
          <w:w w:val="100"/>
          <w:position w:val="0"/>
        </w:rPr>
        <w:t>对于划分为组合的其他应收款，本公司参考历史信用损失经验，结合当前状况以及对未来经济状况的预测，通过违约 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4"/>
        <w:keepNext w:val="0"/>
        <w:keepLines w:val="0"/>
        <w:widowControl w:val="0"/>
        <w:shd w:val="clear" w:color="auto" w:fill="auto"/>
        <w:bidi w:val="0"/>
        <w:spacing w:before="0" w:after="60" w:line="346" w:lineRule="auto"/>
        <w:ind w:left="0" w:right="0" w:firstLine="440"/>
        <w:jc w:val="both"/>
      </w:pPr>
      <w:bookmarkStart w:id="848" w:name="bookmark848"/>
      <w:r>
        <w:rPr>
          <w:rFonts w:ascii="Times New Roman" w:eastAsia="Times New Roman" w:hAnsi="Times New Roman" w:cs="Times New Roman"/>
          <w:color w:val="000000"/>
          <w:spacing w:val="0"/>
          <w:w w:val="100"/>
          <w:position w:val="0"/>
          <w:sz w:val="18"/>
          <w:szCs w:val="18"/>
        </w:rPr>
        <w:t>D</w:t>
      </w:r>
      <w:bookmarkEnd w:id="848"/>
      <w:r>
        <w:rPr>
          <w:color w:val="000000"/>
          <w:spacing w:val="0"/>
          <w:w w:val="100"/>
          <w:position w:val="0"/>
        </w:rPr>
        <w:t>、</w:t>
      </w:r>
      <w:r>
        <w:rPr>
          <w:color w:val="000000"/>
          <w:spacing w:val="0"/>
          <w:w w:val="100"/>
          <w:position w:val="0"/>
        </w:rPr>
        <w:t>长期应收款确定组合的依据如下：</w:t>
      </w:r>
    </w:p>
    <w:tbl>
      <w:tblPr>
        <w:tblOverlap w:val="never"/>
        <w:jc w:val="center"/>
        <w:tblLayout w:type="fixed"/>
      </w:tblPr>
      <w:tblGrid>
        <w:gridCol w:w="4656"/>
        <w:gridCol w:w="4651"/>
      </w:tblGrid>
      <w:tr>
        <w:trPr>
          <w:trHeight w:val="60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合并范围内关联方组合</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应收外部客户款项</w:t>
            </w:r>
          </w:p>
        </w:tc>
      </w:tr>
    </w:tbl>
    <w:p>
      <w:pPr>
        <w:pStyle w:val="Style32"/>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应收款项融资确定组合的依据如下:</w:t>
      </w:r>
    </w:p>
    <w:p>
      <w:pPr>
        <w:widowControl w:val="0"/>
        <w:spacing w:after="119" w:line="1" w:lineRule="exact"/>
      </w:pPr>
    </w:p>
    <w:p>
      <w:pPr>
        <w:widowControl w:val="0"/>
        <w:spacing w:line="1" w:lineRule="exact"/>
      </w:pPr>
    </w:p>
    <w:tbl>
      <w:tblPr>
        <w:tblOverlap w:val="never"/>
        <w:jc w:val="center"/>
        <w:tblLayout w:type="fixed"/>
      </w:tblPr>
      <w:tblGrid>
        <w:gridCol w:w="4656"/>
        <w:gridCol w:w="4651"/>
      </w:tblGrid>
      <w:tr>
        <w:trPr>
          <w:trHeight w:val="61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信用风险较低的银行</w:t>
            </w:r>
          </w:p>
        </w:tc>
      </w:tr>
    </w:tbl>
    <w:p>
      <w:pPr>
        <w:widowControl w:val="0"/>
        <w:spacing w:line="1" w:lineRule="exact"/>
      </w:pPr>
    </w:p>
    <w:tbl>
      <w:tblPr>
        <w:tblOverlap w:val="never"/>
        <w:jc w:val="center"/>
        <w:tblLayout w:type="fixed"/>
      </w:tblPr>
      <w:tblGrid>
        <w:gridCol w:w="4656"/>
        <w:gridCol w:w="4651"/>
      </w:tblGrid>
      <w:tr>
        <w:trPr>
          <w:trHeight w:val="60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信用风险较高的企业</w:t>
            </w:r>
          </w:p>
        </w:tc>
      </w:tr>
    </w:tbl>
    <w:p>
      <w:pPr>
        <w:widowControl w:val="0"/>
        <w:spacing w:after="59" w:line="1" w:lineRule="exact"/>
      </w:pP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对于划分为组合的应收款项融资，本公司参考历史信用损失经验，结合当前状况以及对未来经济状况的预测，通过违 约风险敞口和整个存续期预期信用损失率，计算预期信用损失。</w:t>
      </w:r>
    </w:p>
    <w:p>
      <w:pPr>
        <w:pStyle w:val="Style34"/>
        <w:keepNext w:val="0"/>
        <w:keepLines w:val="0"/>
        <w:widowControl w:val="0"/>
        <w:numPr>
          <w:ilvl w:val="0"/>
          <w:numId w:val="19"/>
        </w:numPr>
        <w:shd w:val="clear" w:color="auto" w:fill="auto"/>
        <w:bidi w:val="0"/>
        <w:spacing w:before="0" w:after="100" w:line="313" w:lineRule="exact"/>
        <w:ind w:left="0" w:right="0" w:firstLine="440"/>
        <w:jc w:val="both"/>
      </w:pPr>
      <w:bookmarkStart w:id="849" w:name="bookmark849"/>
      <w:bookmarkEnd w:id="849"/>
      <w:r>
        <w:rPr>
          <w:color w:val="000000"/>
          <w:spacing w:val="0"/>
          <w:w w:val="100"/>
          <w:position w:val="0"/>
        </w:rPr>
        <w:t>债权投资、其他债权投资</w:t>
      </w:r>
    </w:p>
    <w:p>
      <w:pPr>
        <w:pStyle w:val="Style34"/>
        <w:keepNext w:val="0"/>
        <w:keepLines w:val="0"/>
        <w:widowControl w:val="0"/>
        <w:shd w:val="clear" w:color="auto" w:fill="auto"/>
        <w:bidi w:val="0"/>
        <w:spacing w:before="0" w:after="220" w:line="298" w:lineRule="exact"/>
        <w:ind w:left="0" w:right="0" w:firstLine="440"/>
        <w:jc w:val="both"/>
      </w:pPr>
      <w:r>
        <w:rPr>
          <w:color w:val="000000"/>
          <w:spacing w:val="0"/>
          <w:w w:val="100"/>
          <w:position w:val="0"/>
        </w:rPr>
        <w:t>对于债权投资和其他债权投资，本公司按照投资的性质，根据交易对手和风险敞口的各种类型，通过违约风险敞口和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4"/>
        <w:keepNext w:val="0"/>
        <w:keepLines w:val="0"/>
        <w:widowControl w:val="0"/>
        <w:shd w:val="clear" w:color="auto" w:fill="auto"/>
        <w:tabs>
          <w:tab w:pos="818" w:val="left"/>
        </w:tabs>
        <w:bidi w:val="0"/>
        <w:spacing w:before="0" w:after="0" w:line="360" w:lineRule="auto"/>
        <w:ind w:left="0" w:right="0" w:firstLine="440"/>
        <w:jc w:val="left"/>
      </w:pPr>
      <w:bookmarkStart w:id="850" w:name="bookmark850"/>
      <w:r>
        <w:rPr>
          <w:rFonts w:ascii="Times New Roman" w:eastAsia="Times New Roman" w:hAnsi="Times New Roman" w:cs="Times New Roman"/>
          <w:color w:val="000000"/>
          <w:spacing w:val="0"/>
          <w:w w:val="100"/>
          <w:position w:val="0"/>
          <w:sz w:val="18"/>
          <w:szCs w:val="18"/>
        </w:rPr>
        <w:t>A</w:t>
      </w:r>
      <w:bookmarkEnd w:id="850"/>
      <w:r>
        <w:rPr>
          <w:color w:val="000000"/>
          <w:spacing w:val="0"/>
          <w:w w:val="100"/>
          <w:position w:val="0"/>
        </w:rPr>
        <w:t>、</w:t>
        <w:tab/>
      </w:r>
      <w:r>
        <w:rPr>
          <w:color w:val="000000"/>
          <w:spacing w:val="0"/>
          <w:w w:val="100"/>
          <w:position w:val="0"/>
        </w:rPr>
        <w:t>具有较低的信用风险</w:t>
      </w:r>
    </w:p>
    <w:p>
      <w:pPr>
        <w:pStyle w:val="Style34"/>
        <w:keepNext w:val="0"/>
        <w:keepLines w:val="0"/>
        <w:widowControl w:val="0"/>
        <w:shd w:val="clear" w:color="auto" w:fill="auto"/>
        <w:bidi w:val="0"/>
        <w:spacing w:before="0" w:after="220" w:line="302" w:lineRule="exact"/>
        <w:ind w:left="0" w:right="0" w:firstLine="440"/>
        <w:jc w:val="left"/>
      </w:pPr>
      <w:r>
        <w:rPr>
          <w:color w:val="000000"/>
          <w:spacing w:val="0"/>
          <w:w w:val="100"/>
          <w:position w:val="0"/>
        </w:rPr>
        <w:t>如果金融工具的违约风险较低，借款人在短期内履行其合同现金流量义务的能力很强，并且即便较长时期内经济形势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34"/>
        <w:keepNext w:val="0"/>
        <w:keepLines w:val="0"/>
        <w:widowControl w:val="0"/>
        <w:shd w:val="clear" w:color="auto" w:fill="auto"/>
        <w:tabs>
          <w:tab w:pos="818" w:val="left"/>
        </w:tabs>
        <w:bidi w:val="0"/>
        <w:spacing w:before="0" w:after="0" w:line="360" w:lineRule="auto"/>
        <w:ind w:left="0" w:right="0" w:firstLine="440"/>
        <w:jc w:val="both"/>
      </w:pPr>
      <w:bookmarkStart w:id="851" w:name="bookmark851"/>
      <w:r>
        <w:rPr>
          <w:rFonts w:ascii="Times New Roman" w:eastAsia="Times New Roman" w:hAnsi="Times New Roman" w:cs="Times New Roman"/>
          <w:color w:val="000000"/>
          <w:spacing w:val="0"/>
          <w:w w:val="100"/>
          <w:position w:val="0"/>
          <w:sz w:val="18"/>
          <w:szCs w:val="18"/>
        </w:rPr>
        <w:t>B</w:t>
      </w:r>
      <w:bookmarkEnd w:id="851"/>
      <w:r>
        <w:rPr>
          <w:color w:val="000000"/>
          <w:spacing w:val="0"/>
          <w:w w:val="100"/>
          <w:position w:val="0"/>
        </w:rPr>
        <w:t>、</w:t>
        <w:tab/>
      </w:r>
      <w:r>
        <w:rPr>
          <w:color w:val="000000"/>
          <w:spacing w:val="0"/>
          <w:w w:val="100"/>
          <w:position w:val="0"/>
        </w:rPr>
        <w:t>信用风险显著增加</w:t>
      </w:r>
    </w:p>
    <w:p>
      <w:pPr>
        <w:pStyle w:val="Style3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34"/>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在确定信用风险自初始确认后是否显著增加时，本公司考虑无须付出不必要的额外成本或努力即可获得的合理且有依 据的信息，包括前瞻性信息。本公司考虑的信息包括：</w:t>
      </w:r>
    </w:p>
    <w:p>
      <w:pPr>
        <w:pStyle w:val="Style34"/>
        <w:keepNext w:val="0"/>
        <w:keepLines w:val="0"/>
        <w:widowControl w:val="0"/>
        <w:numPr>
          <w:ilvl w:val="0"/>
          <w:numId w:val="21"/>
        </w:numPr>
        <w:shd w:val="clear" w:color="auto" w:fill="auto"/>
        <w:tabs>
          <w:tab w:pos="727" w:val="left"/>
        </w:tabs>
        <w:bidi w:val="0"/>
        <w:spacing w:before="0" w:after="100" w:line="360" w:lineRule="auto"/>
        <w:ind w:left="0" w:right="0" w:firstLine="440"/>
        <w:jc w:val="left"/>
      </w:pPr>
      <w:bookmarkStart w:id="852" w:name="bookmark852"/>
      <w:bookmarkEnd w:id="852"/>
      <w:r>
        <w:rPr>
          <w:color w:val="000000"/>
          <w:spacing w:val="0"/>
          <w:w w:val="100"/>
          <w:position w:val="0"/>
        </w:rPr>
        <w:t>信用风险变化所导致的内部价格指标是否发生显著变化；</w:t>
      </w:r>
    </w:p>
    <w:p>
      <w:pPr>
        <w:pStyle w:val="Style34"/>
        <w:keepNext w:val="0"/>
        <w:keepLines w:val="0"/>
        <w:widowControl w:val="0"/>
        <w:numPr>
          <w:ilvl w:val="0"/>
          <w:numId w:val="21"/>
        </w:numPr>
        <w:shd w:val="clear" w:color="auto" w:fill="auto"/>
        <w:tabs>
          <w:tab w:pos="746" w:val="left"/>
        </w:tabs>
        <w:bidi w:val="0"/>
        <w:spacing w:before="0" w:after="100" w:line="360" w:lineRule="auto"/>
        <w:ind w:left="0" w:right="0" w:firstLine="440"/>
        <w:jc w:val="left"/>
      </w:pPr>
      <w:bookmarkStart w:id="853" w:name="bookmark853"/>
      <w:bookmarkEnd w:id="853"/>
      <w:r>
        <w:rPr>
          <w:color w:val="000000"/>
          <w:spacing w:val="0"/>
          <w:w w:val="100"/>
          <w:position w:val="0"/>
        </w:rPr>
        <w:t>预期将导致债务人履行其偿债义务的能力是否发生显著变化的业务、财务或经济状况的不利变化；</w:t>
      </w:r>
    </w:p>
    <w:p>
      <w:pPr>
        <w:pStyle w:val="Style34"/>
        <w:keepNext w:val="0"/>
        <w:keepLines w:val="0"/>
        <w:widowControl w:val="0"/>
        <w:numPr>
          <w:ilvl w:val="0"/>
          <w:numId w:val="21"/>
        </w:numPr>
        <w:shd w:val="clear" w:color="auto" w:fill="auto"/>
        <w:tabs>
          <w:tab w:pos="746" w:val="left"/>
        </w:tabs>
        <w:bidi w:val="0"/>
        <w:spacing w:before="0" w:after="0" w:line="360" w:lineRule="auto"/>
        <w:ind w:left="0" w:right="0" w:firstLine="440"/>
        <w:jc w:val="left"/>
      </w:pPr>
      <w:bookmarkStart w:id="854" w:name="bookmark854"/>
      <w:bookmarkEnd w:id="854"/>
      <w:r>
        <w:rPr>
          <w:color w:val="000000"/>
          <w:spacing w:val="0"/>
          <w:w w:val="100"/>
          <w:position w:val="0"/>
        </w:rPr>
        <w:t>债务人经营成果实际或预期是否发生显著变化；债务人所处的监管、经济或技术环境是否发生显著不利变化；</w:t>
      </w:r>
    </w:p>
    <w:p>
      <w:pPr>
        <w:pStyle w:val="Style34"/>
        <w:keepNext w:val="0"/>
        <w:keepLines w:val="0"/>
        <w:widowControl w:val="0"/>
        <w:numPr>
          <w:ilvl w:val="0"/>
          <w:numId w:val="21"/>
        </w:numPr>
        <w:shd w:val="clear" w:color="auto" w:fill="auto"/>
        <w:tabs>
          <w:tab w:pos="723" w:val="left"/>
        </w:tabs>
        <w:bidi w:val="0"/>
        <w:spacing w:before="0" w:after="220" w:line="322" w:lineRule="exact"/>
        <w:ind w:left="0" w:right="0" w:firstLine="440"/>
        <w:jc w:val="both"/>
      </w:pPr>
      <w:bookmarkStart w:id="855" w:name="bookmark855"/>
      <w:bookmarkEnd w:id="855"/>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34"/>
        <w:keepNext w:val="0"/>
        <w:keepLines w:val="0"/>
        <w:widowControl w:val="0"/>
        <w:numPr>
          <w:ilvl w:val="0"/>
          <w:numId w:val="21"/>
        </w:numPr>
        <w:shd w:val="clear" w:color="auto" w:fill="auto"/>
        <w:tabs>
          <w:tab w:pos="746" w:val="left"/>
        </w:tabs>
        <w:bidi w:val="0"/>
        <w:spacing w:before="0" w:after="0" w:line="360" w:lineRule="auto"/>
        <w:ind w:left="0" w:right="0" w:firstLine="440"/>
        <w:jc w:val="left"/>
      </w:pPr>
      <w:bookmarkStart w:id="856" w:name="bookmark856"/>
      <w:bookmarkEnd w:id="856"/>
      <w:r>
        <w:rPr>
          <w:color w:val="000000"/>
          <w:spacing w:val="0"/>
          <w:w w:val="100"/>
          <w:position w:val="0"/>
        </w:rPr>
        <w:t>预期将降低债务人按合同约定期限还款的经济动机是否发生显著变化；</w:t>
      </w:r>
    </w:p>
    <w:p>
      <w:pPr>
        <w:pStyle w:val="Style34"/>
        <w:keepNext w:val="0"/>
        <w:keepLines w:val="0"/>
        <w:widowControl w:val="0"/>
        <w:numPr>
          <w:ilvl w:val="0"/>
          <w:numId w:val="21"/>
        </w:numPr>
        <w:shd w:val="clear" w:color="auto" w:fill="auto"/>
        <w:tabs>
          <w:tab w:pos="723" w:val="left"/>
        </w:tabs>
        <w:bidi w:val="0"/>
        <w:spacing w:before="0" w:after="220" w:line="312" w:lineRule="exact"/>
        <w:ind w:left="0" w:right="0" w:firstLine="440"/>
        <w:jc w:val="both"/>
      </w:pPr>
      <w:bookmarkStart w:id="857" w:name="bookmark857"/>
      <w:bookmarkEnd w:id="857"/>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34"/>
        <w:keepNext w:val="0"/>
        <w:keepLines w:val="0"/>
        <w:widowControl w:val="0"/>
        <w:numPr>
          <w:ilvl w:val="0"/>
          <w:numId w:val="21"/>
        </w:numPr>
        <w:shd w:val="clear" w:color="auto" w:fill="auto"/>
        <w:tabs>
          <w:tab w:pos="746" w:val="left"/>
        </w:tabs>
        <w:bidi w:val="0"/>
        <w:spacing w:before="0" w:after="100" w:line="360" w:lineRule="auto"/>
        <w:ind w:left="0" w:right="0" w:firstLine="440"/>
        <w:jc w:val="both"/>
      </w:pPr>
      <w:bookmarkStart w:id="858" w:name="bookmark858"/>
      <w:bookmarkEnd w:id="858"/>
      <w:r>
        <w:rPr>
          <w:color w:val="000000"/>
          <w:spacing w:val="0"/>
          <w:w w:val="100"/>
          <w:position w:val="0"/>
        </w:rPr>
        <w:t>债务人预期表现和还款行为是否发生显著变化；</w:t>
      </w:r>
    </w:p>
    <w:p>
      <w:pPr>
        <w:pStyle w:val="Style34"/>
        <w:keepNext w:val="0"/>
        <w:keepLines w:val="0"/>
        <w:widowControl w:val="0"/>
        <w:numPr>
          <w:ilvl w:val="0"/>
          <w:numId w:val="21"/>
        </w:numPr>
        <w:shd w:val="clear" w:color="auto" w:fill="auto"/>
        <w:tabs>
          <w:tab w:pos="746" w:val="left"/>
        </w:tabs>
        <w:bidi w:val="0"/>
        <w:spacing w:before="0" w:after="0" w:line="360" w:lineRule="auto"/>
        <w:ind w:left="0" w:right="0" w:firstLine="440"/>
        <w:jc w:val="both"/>
      </w:pPr>
      <w:bookmarkStart w:id="859" w:name="bookmark859"/>
      <w:bookmarkEnd w:id="859"/>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4"/>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根据金融工具的性质，本公司以单项金融工具或金融工具组合为基础评估信用风险是否显著增加。以金融工具组合为 基础进行评估时，本公司可基于共同信用风险特征对金融工具进行分类，例如逾期信息和信用风险评级。</w:t>
      </w:r>
    </w:p>
    <w:p>
      <w:pPr>
        <w:pStyle w:val="Style34"/>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 努力即可获得合理且有依据的信息，证明虽然超过合同约定的付款期限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34"/>
        <w:keepNext w:val="0"/>
        <w:keepLines w:val="0"/>
        <w:widowControl w:val="0"/>
        <w:shd w:val="clear" w:color="auto" w:fill="auto"/>
        <w:tabs>
          <w:tab w:pos="818" w:val="left"/>
        </w:tabs>
        <w:bidi w:val="0"/>
        <w:spacing w:before="0" w:after="0" w:line="360" w:lineRule="auto"/>
        <w:ind w:left="0" w:right="0" w:firstLine="440"/>
        <w:jc w:val="both"/>
      </w:pPr>
      <w:bookmarkStart w:id="860" w:name="bookmark860"/>
      <w:r>
        <w:rPr>
          <w:rFonts w:ascii="Times New Roman" w:eastAsia="Times New Roman" w:hAnsi="Times New Roman" w:cs="Times New Roman"/>
          <w:color w:val="000000"/>
          <w:spacing w:val="0"/>
          <w:w w:val="100"/>
          <w:position w:val="0"/>
          <w:sz w:val="18"/>
          <w:szCs w:val="18"/>
        </w:rPr>
        <w:t>C</w:t>
      </w:r>
      <w:bookmarkEnd w:id="860"/>
      <w:r>
        <w:rPr>
          <w:color w:val="000000"/>
          <w:spacing w:val="0"/>
          <w:w w:val="100"/>
          <w:position w:val="0"/>
        </w:rPr>
        <w:t>、</w:t>
        <w:tab/>
      </w:r>
      <w:r>
        <w:rPr>
          <w:color w:val="000000"/>
          <w:spacing w:val="0"/>
          <w:w w:val="100"/>
          <w:position w:val="0"/>
        </w:rPr>
        <w:t>已发生信用减值的金融资产</w:t>
      </w:r>
    </w:p>
    <w:p>
      <w:pPr>
        <w:pStyle w:val="Style34"/>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的金融资产。金融资产已发生信用减值的证据包括下列可观察信息：发行方或债务人发生重大财务困难；债务人违反合同， 如偿付利息或本金违约或逾期等；债权人出于与债务人财务困难有关的经济或合同考虑，给予债务人在任何其他情况下都不 会做出的让步；债务人很可能破产或进行其他财务重组；发行方或债务人财务困难导致该金融资产的活跃市场消失；以大幅 折扣购买或源生一项金融资产，该折扣反映了发生信用损失的事实。</w:t>
      </w:r>
    </w:p>
    <w:p>
      <w:pPr>
        <w:pStyle w:val="Style34"/>
        <w:keepNext w:val="0"/>
        <w:keepLines w:val="0"/>
        <w:widowControl w:val="0"/>
        <w:shd w:val="clear" w:color="auto" w:fill="auto"/>
        <w:tabs>
          <w:tab w:pos="832" w:val="left"/>
        </w:tabs>
        <w:bidi w:val="0"/>
        <w:spacing w:before="0" w:after="100" w:line="312" w:lineRule="exact"/>
        <w:ind w:left="0" w:right="0" w:firstLine="440"/>
        <w:jc w:val="both"/>
      </w:pPr>
      <w:bookmarkStart w:id="861" w:name="bookmark861"/>
      <w:r>
        <w:rPr>
          <w:rFonts w:ascii="Times New Roman" w:eastAsia="Times New Roman" w:hAnsi="Times New Roman" w:cs="Times New Roman"/>
          <w:color w:val="000000"/>
          <w:spacing w:val="0"/>
          <w:w w:val="100"/>
          <w:position w:val="0"/>
          <w:sz w:val="18"/>
          <w:szCs w:val="18"/>
        </w:rPr>
        <w:t>D</w:t>
      </w:r>
      <w:bookmarkEnd w:id="861"/>
      <w:r>
        <w:rPr>
          <w:color w:val="000000"/>
          <w:spacing w:val="0"/>
          <w:w w:val="100"/>
          <w:position w:val="0"/>
        </w:rPr>
        <w:t>、</w:t>
        <w:tab/>
      </w:r>
      <w:r>
        <w:rPr>
          <w:color w:val="000000"/>
          <w:spacing w:val="0"/>
          <w:w w:val="100"/>
          <w:position w:val="0"/>
        </w:rPr>
        <w:t>预期信用损失准备的列报</w:t>
      </w:r>
    </w:p>
    <w:p>
      <w:pPr>
        <w:pStyle w:val="Style3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失准备的增加或转回金额，应当作为减值损失或利得计入当期损益。对于以摊余成本计量的金融资产，损失准备抵减该金融 资产在资产负债表中列示的账面价值；对于以公允价值计量且其变动计入其他综合收益的债权投资，本公司在其他综合收益 中确认其损失准备，不抵减该金融资产的账面价值。</w:t>
      </w:r>
    </w:p>
    <w:p>
      <w:pPr>
        <w:pStyle w:val="Style34"/>
        <w:keepNext w:val="0"/>
        <w:keepLines w:val="0"/>
        <w:widowControl w:val="0"/>
        <w:shd w:val="clear" w:color="auto" w:fill="auto"/>
        <w:tabs>
          <w:tab w:pos="832" w:val="left"/>
        </w:tabs>
        <w:bidi w:val="0"/>
        <w:spacing w:before="0" w:after="100" w:line="312" w:lineRule="exact"/>
        <w:ind w:left="0" w:right="0" w:firstLine="440"/>
        <w:jc w:val="both"/>
      </w:pPr>
      <w:bookmarkStart w:id="862" w:name="bookmark862"/>
      <w:r>
        <w:rPr>
          <w:rFonts w:ascii="Times New Roman" w:eastAsia="Times New Roman" w:hAnsi="Times New Roman" w:cs="Times New Roman"/>
          <w:color w:val="000000"/>
          <w:spacing w:val="0"/>
          <w:w w:val="100"/>
          <w:position w:val="0"/>
          <w:sz w:val="18"/>
          <w:szCs w:val="18"/>
        </w:rPr>
        <w:t>E</w:t>
      </w:r>
      <w:bookmarkEnd w:id="862"/>
      <w:r>
        <w:rPr>
          <w:color w:val="000000"/>
          <w:spacing w:val="0"/>
          <w:w w:val="100"/>
          <w:position w:val="0"/>
        </w:rPr>
        <w:t>、</w:t>
        <w:tab/>
      </w:r>
      <w:r>
        <w:rPr>
          <w:color w:val="000000"/>
          <w:spacing w:val="0"/>
          <w:w w:val="100"/>
          <w:position w:val="0"/>
        </w:rPr>
        <w:t>核销</w:t>
      </w:r>
    </w:p>
    <w:p>
      <w:pPr>
        <w:pStyle w:val="Style3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如果本公司不再合理预期金融资产合同现金流量能够全部或部分收回，则直接减记该金融资产的账面余额，这种减记 构成相关金融资产的终止确认。这种情况通常发生在本公司确定债务人没有资产或收入来源可产生足够的现金流量以偿还将 被减记的金额。已减记的金融资产以后又收回的，作为减值损失的转回计入收回当期的损益。</w:t>
      </w:r>
    </w:p>
    <w:p>
      <w:pPr>
        <w:pStyle w:val="Style37"/>
        <w:keepNext/>
        <w:keepLines/>
        <w:widowControl w:val="0"/>
        <w:shd w:val="clear" w:color="auto" w:fill="auto"/>
        <w:tabs>
          <w:tab w:pos="474" w:val="left"/>
        </w:tabs>
        <w:bidi w:val="0"/>
        <w:spacing w:before="0" w:after="26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3"/>
      <w:bookmarkEnd w:id="864"/>
      <w:bookmarkEnd w:id="866"/>
    </w:p>
    <w:p>
      <w:pPr>
        <w:pStyle w:val="Style34"/>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本公司对于应收票据按照相当于整个存续期内的预期信用损失金额计量损失准备。应收票据的预期信用损失的确定方 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74" w:val="left"/>
        </w:tabs>
        <w:bidi w:val="0"/>
        <w:spacing w:before="0" w:after="2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7"/>
      <w:bookmarkEnd w:id="868"/>
      <w:bookmarkEnd w:id="870"/>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应收账款的预期信用损失的确定方法及会计处理方法详见本附注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74" w:val="left"/>
        </w:tabs>
        <w:bidi w:val="0"/>
        <w:spacing w:before="0" w:after="26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1"/>
      <w:bookmarkEnd w:id="872"/>
      <w:bookmarkEnd w:id="874"/>
    </w:p>
    <w:p>
      <w:pPr>
        <w:pStyle w:val="Style3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当应收票据和应收账款同时满足以下条件时，本公司将其划分为以公允价值计量且其变动计入其他综合收益的金融资 产，相关具体会计处理方式见金融工具，在报表中列示为应收款项融资：</w:t>
      </w:r>
    </w:p>
    <w:p>
      <w:pPr>
        <w:pStyle w:val="Style34"/>
        <w:keepNext w:val="0"/>
        <w:keepLines w:val="0"/>
        <w:widowControl w:val="0"/>
        <w:shd w:val="clear" w:color="auto" w:fill="auto"/>
        <w:tabs>
          <w:tab w:pos="880" w:val="left"/>
        </w:tabs>
        <w:bidi w:val="0"/>
        <w:spacing w:before="0" w:after="100" w:line="312"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合同现金流量为对本金和以未偿付本金金额为基础的利息的支付；</w:t>
      </w:r>
    </w:p>
    <w:p>
      <w:pPr>
        <w:pStyle w:val="Style34"/>
        <w:keepNext w:val="0"/>
        <w:keepLines w:val="0"/>
        <w:widowControl w:val="0"/>
        <w:shd w:val="clear" w:color="auto" w:fill="auto"/>
        <w:tabs>
          <w:tab w:pos="880" w:val="left"/>
        </w:tabs>
        <w:bidi w:val="0"/>
        <w:spacing w:before="0" w:after="380" w:line="312" w:lineRule="exact"/>
        <w:ind w:left="0" w:right="0" w:firstLine="4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本公司管理应收票据和应收账款的业务模式既以收取合同现金流量为目标又以出售为目标。</w:t>
      </w:r>
    </w:p>
    <w:p>
      <w:pPr>
        <w:pStyle w:val="Style37"/>
        <w:keepNext/>
        <w:keepLines/>
        <w:widowControl w:val="0"/>
        <w:shd w:val="clear" w:color="auto" w:fill="auto"/>
        <w:tabs>
          <w:tab w:pos="474"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7"/>
      <w:bookmarkEnd w:id="878"/>
      <w:bookmarkEnd w:id="880"/>
    </w:p>
    <w:p>
      <w:pPr>
        <w:pStyle w:val="Style3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380" w:line="322" w:lineRule="exact"/>
        <w:ind w:left="0" w:right="0" w:firstLine="30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 损失的金额计量减值损失。其他应收款的预期信用损失的确定方法及会计处理方法详见本附注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1"/>
      <w:bookmarkEnd w:id="882"/>
      <w:bookmarkEnd w:id="884"/>
    </w:p>
    <w:p>
      <w:pPr>
        <w:pStyle w:val="Style37"/>
        <w:keepNext/>
        <w:keepLines/>
        <w:widowControl w:val="0"/>
        <w:shd w:val="clear" w:color="auto" w:fill="auto"/>
        <w:tabs>
          <w:tab w:pos="933" w:val="left"/>
        </w:tabs>
        <w:bidi w:val="0"/>
        <w:spacing w:before="0" w:after="100" w:line="240" w:lineRule="auto"/>
        <w:ind w:left="0" w:right="0" w:firstLine="440"/>
        <w:jc w:val="both"/>
      </w:pPr>
      <w:bookmarkStart w:id="881" w:name="bookmark881"/>
      <w:bookmarkStart w:id="882" w:name="bookmark882"/>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81"/>
      <w:bookmarkEnd w:id="882"/>
      <w:bookmarkEnd w:id="886"/>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公司存货包括生产经营过程中为销售或耗用而持有的原材料、低值易耗品、在产品、库存商品等。</w:t>
      </w:r>
    </w:p>
    <w:p>
      <w:pPr>
        <w:pStyle w:val="Style37"/>
        <w:keepNext/>
        <w:keepLines/>
        <w:widowControl w:val="0"/>
        <w:shd w:val="clear" w:color="auto" w:fill="auto"/>
        <w:tabs>
          <w:tab w:pos="933" w:val="left"/>
        </w:tabs>
        <w:bidi w:val="0"/>
        <w:spacing w:before="0" w:after="100" w:line="240" w:lineRule="auto"/>
        <w:ind w:left="0" w:right="0" w:firstLine="440"/>
        <w:jc w:val="both"/>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887"/>
      <w:bookmarkEnd w:id="888"/>
      <w:bookmarkEnd w:id="890"/>
    </w:p>
    <w:p>
      <w:pPr>
        <w:pStyle w:val="Style34"/>
        <w:keepNext w:val="0"/>
        <w:keepLines w:val="0"/>
        <w:widowControl w:val="0"/>
        <w:numPr>
          <w:ilvl w:val="0"/>
          <w:numId w:val="23"/>
        </w:numPr>
        <w:shd w:val="clear" w:color="auto" w:fill="auto"/>
        <w:tabs>
          <w:tab w:pos="813" w:val="left"/>
        </w:tabs>
        <w:bidi w:val="0"/>
        <w:spacing w:before="0" w:after="100" w:line="312" w:lineRule="exact"/>
        <w:ind w:left="0" w:right="0" w:firstLine="440"/>
        <w:jc w:val="both"/>
      </w:pPr>
      <w:bookmarkStart w:id="891" w:name="bookmark891"/>
      <w:bookmarkEnd w:id="891"/>
      <w:r>
        <w:rPr>
          <w:color w:val="000000"/>
          <w:spacing w:val="0"/>
          <w:w w:val="100"/>
          <w:position w:val="0"/>
        </w:rPr>
        <w:t>库存商品入库时按实际成本记账，发出时采用个别认定法核算。</w:t>
      </w:r>
    </w:p>
    <w:p>
      <w:pPr>
        <w:pStyle w:val="Style34"/>
        <w:keepNext w:val="0"/>
        <w:keepLines w:val="0"/>
        <w:widowControl w:val="0"/>
        <w:numPr>
          <w:ilvl w:val="0"/>
          <w:numId w:val="23"/>
        </w:numPr>
        <w:shd w:val="clear" w:color="auto" w:fill="auto"/>
        <w:tabs>
          <w:tab w:pos="813" w:val="left"/>
        </w:tabs>
        <w:bidi w:val="0"/>
        <w:spacing w:before="0" w:after="200" w:line="312" w:lineRule="exact"/>
        <w:ind w:left="0" w:right="0" w:firstLine="440"/>
        <w:jc w:val="both"/>
      </w:pPr>
      <w:bookmarkStart w:id="892" w:name="bookmark892"/>
      <w:bookmarkEnd w:id="892"/>
      <w:r>
        <w:rPr>
          <w:color w:val="000000"/>
          <w:spacing w:val="0"/>
          <w:w w:val="100"/>
          <w:position w:val="0"/>
        </w:rPr>
        <w:t>除库存商品外的其他存货按实际成本记账，发出时采用加权平均法核算。</w:t>
      </w:r>
    </w:p>
    <w:p>
      <w:pPr>
        <w:pStyle w:val="Style37"/>
        <w:keepNext/>
        <w:keepLines/>
        <w:widowControl w:val="0"/>
        <w:shd w:val="clear" w:color="auto" w:fill="auto"/>
        <w:tabs>
          <w:tab w:pos="933" w:val="left"/>
        </w:tabs>
        <w:bidi w:val="0"/>
        <w:spacing w:before="0" w:after="240" w:line="240" w:lineRule="auto"/>
        <w:ind w:left="0" w:right="0" w:firstLine="440"/>
        <w:jc w:val="both"/>
        <w:rPr>
          <w:sz w:val="24"/>
          <w:szCs w:val="24"/>
        </w:rPr>
      </w:pPr>
      <w:bookmarkStart w:id="893" w:name="bookmark893"/>
      <w:bookmarkStart w:id="894" w:name="bookmark894"/>
      <w:bookmarkStart w:id="895" w:name="bookmark895"/>
      <w:bookmarkStart w:id="896" w:name="bookmark896"/>
      <w:r>
        <w:rPr>
          <w:color w:val="000000"/>
          <w:spacing w:val="0"/>
          <w:w w:val="100"/>
          <w:position w:val="0"/>
          <w:sz w:val="20"/>
          <w:szCs w:val="20"/>
        </w:rPr>
        <w:t>（</w:t>
      </w:r>
      <w:bookmarkEnd w:id="89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存货跌价准备的计提方</w:t>
      </w:r>
      <w:r>
        <w:rPr>
          <w:color w:val="000000"/>
          <w:spacing w:val="0"/>
          <w:w w:val="100"/>
          <w:position w:val="0"/>
          <w:sz w:val="24"/>
          <w:szCs w:val="24"/>
        </w:rPr>
        <w:t>法</w:t>
      </w:r>
      <w:bookmarkEnd w:id="893"/>
      <w:bookmarkEnd w:id="894"/>
      <w:bookmarkEnd w:id="896"/>
    </w:p>
    <w:p>
      <w:pPr>
        <w:pStyle w:val="Style3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资产负债表日，公司存货按照成本与可变现净值孰低计量，并按单个存货项目的可变现净值低于存货成本的差额，计 提存货跌价准备，计入当期损益；以前减记存货价值的影响因素已经消失的，减记的金额予以恢复，并在原已计提的存货跌 价准备金额内转回，转回的金额计入当期损益。</w:t>
      </w:r>
    </w:p>
    <w:p>
      <w:pPr>
        <w:pStyle w:val="Style34"/>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存货可变现净值是指在日常活动中，存货的估计售价减去至完工时估计将要发生的成本、估计的销售费用以及相关税 费后的金额。</w:t>
      </w:r>
    </w:p>
    <w:p>
      <w:pPr>
        <w:pStyle w:val="Style37"/>
        <w:keepNext/>
        <w:keepLines/>
        <w:widowControl w:val="0"/>
        <w:shd w:val="clear" w:color="auto" w:fill="auto"/>
        <w:tabs>
          <w:tab w:pos="921" w:val="left"/>
        </w:tabs>
        <w:bidi w:val="0"/>
        <w:spacing w:before="0" w:after="100" w:line="240" w:lineRule="auto"/>
        <w:ind w:left="0" w:right="0" w:firstLine="44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897"/>
      <w:bookmarkEnd w:id="898"/>
      <w:bookmarkEnd w:id="900"/>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本公司的存货盘存制度为永续盘存制。</w:t>
      </w:r>
    </w:p>
    <w:p>
      <w:pPr>
        <w:pStyle w:val="Style37"/>
        <w:keepNext/>
        <w:keepLines/>
        <w:widowControl w:val="0"/>
        <w:shd w:val="clear" w:color="auto" w:fill="auto"/>
        <w:tabs>
          <w:tab w:pos="921" w:val="left"/>
        </w:tabs>
        <w:bidi w:val="0"/>
        <w:spacing w:before="0" w:after="0" w:line="240" w:lineRule="auto"/>
        <w:ind w:left="0" w:right="0" w:firstLine="440"/>
        <w:jc w:val="both"/>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901"/>
      <w:bookmarkEnd w:id="902"/>
      <w:bookmarkEnd w:id="904"/>
    </w:p>
    <w:p>
      <w:pPr>
        <w:pStyle w:val="Style3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本公司对低值易耗品和包装物采用一次转销法摊销。</w:t>
      </w:r>
    </w:p>
    <w:p>
      <w:pPr>
        <w:pStyle w:val="Style37"/>
        <w:keepNext/>
        <w:keepLines/>
        <w:widowControl w:val="0"/>
        <w:shd w:val="clear" w:color="auto" w:fill="auto"/>
        <w:tabs>
          <w:tab w:pos="462" w:val="left"/>
        </w:tabs>
        <w:bidi w:val="0"/>
        <w:spacing w:before="0" w:after="26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5"/>
      <w:bookmarkEnd w:id="906"/>
      <w:bookmarkEnd w:id="908"/>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公司将拥有的、无条件（即，仅取决于时间流逝）向客户收取对价的权利作为应收款项列示，将已向客户转让商品而有 权收取对价的权利，且该权利取决于时间流逝之外的其他因素的作为合同资产列示。向客户销售两项可明确区分的商品，因 已交付其中一项商品而有权收取款项，但收取该款项还取决于交付另一项商品的，本公司将该收款权利作为合同资产。</w:t>
      </w:r>
    </w:p>
    <w:p>
      <w:pPr>
        <w:pStyle w:val="Style34"/>
        <w:keepNext w:val="0"/>
        <w:keepLines w:val="0"/>
        <w:widowControl w:val="0"/>
        <w:shd w:val="clear" w:color="auto" w:fill="auto"/>
        <w:bidi w:val="0"/>
        <w:spacing w:before="0" w:after="400" w:line="314" w:lineRule="exact"/>
        <w:ind w:left="0" w:right="0"/>
        <w:jc w:val="both"/>
      </w:pPr>
      <w:r>
        <w:rPr>
          <w:color w:val="000000"/>
          <w:spacing w:val="0"/>
          <w:w w:val="100"/>
          <w:position w:val="0"/>
        </w:rPr>
        <w:t>本公司对于因销售商品、提供劳务等日常经营活动形成的合同资产，无论是否存在重大融资成分，均按照整个存续期的 预期信用损失计量损失准备。</w:t>
      </w:r>
    </w:p>
    <w:p>
      <w:pPr>
        <w:pStyle w:val="Style37"/>
        <w:keepNext/>
        <w:keepLines/>
        <w:widowControl w:val="0"/>
        <w:shd w:val="clear" w:color="auto" w:fill="auto"/>
        <w:tabs>
          <w:tab w:pos="462" w:val="left"/>
        </w:tabs>
        <w:bidi w:val="0"/>
        <w:spacing w:before="0" w:after="2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9"/>
      <w:bookmarkEnd w:id="910"/>
      <w:bookmarkEnd w:id="912"/>
    </w:p>
    <w:p>
      <w:pPr>
        <w:pStyle w:val="Style3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462" w:val="left"/>
        </w:tabs>
        <w:bidi w:val="0"/>
        <w:spacing w:before="0" w:after="40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3"/>
      <w:bookmarkEnd w:id="914"/>
      <w:bookmarkEnd w:id="916"/>
    </w:p>
    <w:p>
      <w:pPr>
        <w:pStyle w:val="Style37"/>
        <w:keepNext/>
        <w:keepLines/>
        <w:widowControl w:val="0"/>
        <w:shd w:val="clear" w:color="auto" w:fill="auto"/>
        <w:bidi w:val="0"/>
        <w:spacing w:before="0" w:after="100" w:line="240" w:lineRule="auto"/>
        <w:ind w:left="0" w:right="0" w:firstLine="440"/>
        <w:jc w:val="both"/>
      </w:pPr>
      <w:bookmarkStart w:id="913" w:name="bookmark913"/>
      <w:bookmarkStart w:id="914" w:name="bookmark914"/>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）持有待售的非流动资产或处置组的分类与计量</w:t>
      </w:r>
      <w:bookmarkEnd w:id="913"/>
      <w:bookmarkEnd w:id="914"/>
      <w:bookmarkEnd w:id="918"/>
    </w:p>
    <w:p>
      <w:pPr>
        <w:pStyle w:val="Style3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本公司主要通过出售（包括具有商业实质的非货币性资产交换）而非持续使用一项非流动资产或处置组收回其账面价 值时，将该非流动资产或处置组被划分为持有待售类别。</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处置组，是指在一项交易中作为整体通过出售或其他方式一并处置的一组资产，以及在该交易中转让的与这些资产直 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资产减值》分摊了企业合并中取得的商誉 的，该处置组应当包含分摊至处置组的商誉。</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本公司将同时满足下列条件的非流动资产或处置组划分为持有待售类别：根据本公司类似交易中出售此类资产或处置 组的惯例，该非流动资产或处置组在当前状况下即可立即出售；出售极可能发生，即本公司已经就一项出售计划作出决议且 获得确定的购买承诺，预计出售将在一年内完成。</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因出售对子公司的投资等原因导致丧失对子公司控制权的，无论出售后本公司是否保留部分权益性投资，在拟出售的 对子公司投资满足持有待售类别划分条件时，本公司在个别财务报表中将对子公司投资整体划分为持有待售类别，在合并财 务报表中将子公司所有资产和负债划分为持有待售类别。</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初始计量或在资产负债表日重新计量持有待售的非流动资产或处置组时，本公司将账面价值高于公允价值减去出售费 用后净额的差额确认为资产减值损失。对于持有待售的处置组确认的资产减值损失金额，先抵减处置组中商誉的账面价值， 再根据处置组中的各项非流动资产账面价值所占比重，按比例抵减其账面价值。</w:t>
      </w:r>
    </w:p>
    <w:p>
      <w:pPr>
        <w:pStyle w:val="Style34"/>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 xml:space="preserve">后续资产负债表日持有待售的非流动资产或处置组公允价值减去出售费用后的净额增加的，本公司将以前减记的金额 予以恢复，并在划分为持有待售类别后确认的资产减值损失金额内转回，转回金额计入当期损益。已抵减的商誉账面价值和 </w:t>
      </w:r>
      <w:r>
        <w:rPr>
          <w:color w:val="000000"/>
          <w:spacing w:val="0"/>
          <w:w w:val="100"/>
          <w:position w:val="0"/>
        </w:rPr>
        <w:t>划分为持有待售类别前确认的资产减值损失不得转回。</w:t>
      </w:r>
    </w:p>
    <w:p>
      <w:pPr>
        <w:pStyle w:val="Style3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本公司对持有待售的非流动资产和持有待售的处置组中的资产不计提折旧或进行摊销；持有待售的处置组中负债的利 息和其他费用继续予以确认。</w:t>
      </w:r>
    </w:p>
    <w:p>
      <w:pPr>
        <w:pStyle w:val="Style3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某项非流动资产或处置组被划分为持有待售类别，但后来不再满足持有待售类别划分条件的，本公司停止将其划分为 持有待售类别，并按照下列两项金额中较低者计量：</w:t>
      </w:r>
    </w:p>
    <w:p>
      <w:pPr>
        <w:pStyle w:val="Style34"/>
        <w:keepNext w:val="0"/>
        <w:keepLines w:val="0"/>
        <w:widowControl w:val="0"/>
        <w:numPr>
          <w:ilvl w:val="0"/>
          <w:numId w:val="25"/>
        </w:numPr>
        <w:shd w:val="clear" w:color="auto" w:fill="auto"/>
        <w:tabs>
          <w:tab w:pos="790" w:val="left"/>
        </w:tabs>
        <w:bidi w:val="0"/>
        <w:spacing w:before="0" w:after="120" w:line="307" w:lineRule="exact"/>
        <w:ind w:left="0" w:right="0" w:firstLine="440"/>
        <w:jc w:val="both"/>
      </w:pPr>
      <w:bookmarkStart w:id="919" w:name="bookmark919"/>
      <w:bookmarkEnd w:id="919"/>
      <w:r>
        <w:rPr>
          <w:color w:val="000000"/>
          <w:spacing w:val="0"/>
          <w:w w:val="100"/>
          <w:position w:val="0"/>
        </w:rPr>
        <w:t>该资产或处置组被划分为持有待售类别之前的账面价值，按照其假定在没有被划分为持有待售类别的情况下本应确 认的折旧、摊销或减值进行调整后的金额；</w:t>
      </w:r>
    </w:p>
    <w:p>
      <w:pPr>
        <w:pStyle w:val="Style34"/>
        <w:keepNext w:val="0"/>
        <w:keepLines w:val="0"/>
        <w:widowControl w:val="0"/>
        <w:numPr>
          <w:ilvl w:val="0"/>
          <w:numId w:val="25"/>
        </w:numPr>
        <w:shd w:val="clear" w:color="auto" w:fill="auto"/>
        <w:tabs>
          <w:tab w:pos="813" w:val="left"/>
        </w:tabs>
        <w:bidi w:val="0"/>
        <w:spacing w:before="0" w:after="120" w:line="313" w:lineRule="exact"/>
        <w:ind w:left="0" w:right="0" w:firstLine="440"/>
        <w:jc w:val="both"/>
      </w:pPr>
      <w:bookmarkStart w:id="920" w:name="bookmark920"/>
      <w:bookmarkEnd w:id="920"/>
      <w:r>
        <w:rPr>
          <w:color w:val="000000"/>
          <w:spacing w:val="0"/>
          <w:w w:val="100"/>
          <w:position w:val="0"/>
        </w:rPr>
        <w:t>可收回金额。</w:t>
      </w:r>
    </w:p>
    <w:p>
      <w:pPr>
        <w:pStyle w:val="Style37"/>
        <w:keepNext/>
        <w:keepLines/>
        <w:widowControl w:val="0"/>
        <w:shd w:val="clear" w:color="auto" w:fill="auto"/>
        <w:tabs>
          <w:tab w:pos="933" w:val="left"/>
        </w:tabs>
        <w:bidi w:val="0"/>
        <w:spacing w:before="0" w:after="0" w:line="313" w:lineRule="exact"/>
        <w:ind w:left="0" w:right="0" w:firstLine="440"/>
        <w:jc w:val="both"/>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终止经营</w:t>
      </w:r>
      <w:bookmarkEnd w:id="921"/>
      <w:bookmarkEnd w:id="922"/>
      <w:bookmarkEnd w:id="924"/>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终止经营，是指满足下列条件之一的已被本公司处置或被本公司划分为持有待售类别的、能够单独区分的组成部分：</w:t>
      </w:r>
    </w:p>
    <w:p>
      <w:pPr>
        <w:pStyle w:val="Style34"/>
        <w:keepNext w:val="0"/>
        <w:keepLines w:val="0"/>
        <w:widowControl w:val="0"/>
        <w:numPr>
          <w:ilvl w:val="0"/>
          <w:numId w:val="27"/>
        </w:numPr>
        <w:shd w:val="clear" w:color="auto" w:fill="auto"/>
        <w:tabs>
          <w:tab w:pos="753" w:val="left"/>
        </w:tabs>
        <w:bidi w:val="0"/>
        <w:spacing w:before="0" w:after="0" w:line="313" w:lineRule="exact"/>
        <w:ind w:left="0" w:right="0"/>
        <w:jc w:val="both"/>
      </w:pPr>
      <w:bookmarkStart w:id="925" w:name="bookmark925"/>
      <w:bookmarkEnd w:id="925"/>
      <w:r>
        <w:rPr>
          <w:color w:val="000000"/>
          <w:spacing w:val="0"/>
          <w:w w:val="100"/>
          <w:position w:val="0"/>
        </w:rPr>
        <w:t>该组成部分代表本公司一项独立的主要业务或一个单独的主要经营地区。</w:t>
      </w:r>
    </w:p>
    <w:p>
      <w:pPr>
        <w:pStyle w:val="Style34"/>
        <w:keepNext w:val="0"/>
        <w:keepLines w:val="0"/>
        <w:widowControl w:val="0"/>
        <w:numPr>
          <w:ilvl w:val="0"/>
          <w:numId w:val="27"/>
        </w:numPr>
        <w:shd w:val="clear" w:color="auto" w:fill="auto"/>
        <w:tabs>
          <w:tab w:pos="753" w:val="left"/>
        </w:tabs>
        <w:bidi w:val="0"/>
        <w:spacing w:before="0" w:after="0" w:line="313" w:lineRule="exact"/>
        <w:ind w:left="0" w:right="0"/>
        <w:jc w:val="both"/>
      </w:pPr>
      <w:bookmarkStart w:id="926" w:name="bookmark926"/>
      <w:bookmarkEnd w:id="926"/>
      <w:r>
        <w:rPr>
          <w:color w:val="000000"/>
          <w:spacing w:val="0"/>
          <w:w w:val="100"/>
          <w:position w:val="0"/>
        </w:rPr>
        <w:t>该组成部分是拟对本公司一项独立的主要业务或一个单独的主要经营地区进行处置的一项相关联计划的一部分。</w:t>
      </w:r>
    </w:p>
    <w:p>
      <w:pPr>
        <w:pStyle w:val="Style34"/>
        <w:keepNext w:val="0"/>
        <w:keepLines w:val="0"/>
        <w:widowControl w:val="0"/>
        <w:numPr>
          <w:ilvl w:val="0"/>
          <w:numId w:val="27"/>
        </w:numPr>
        <w:shd w:val="clear" w:color="auto" w:fill="auto"/>
        <w:tabs>
          <w:tab w:pos="753" w:val="left"/>
        </w:tabs>
        <w:bidi w:val="0"/>
        <w:spacing w:before="0" w:after="0" w:line="313" w:lineRule="exact"/>
        <w:ind w:left="0" w:right="0"/>
        <w:jc w:val="both"/>
      </w:pPr>
      <w:bookmarkStart w:id="927" w:name="bookmark927"/>
      <w:bookmarkEnd w:id="927"/>
      <w:r>
        <w:rPr>
          <w:color w:val="000000"/>
          <w:spacing w:val="0"/>
          <w:w w:val="100"/>
          <w:position w:val="0"/>
        </w:rPr>
        <w:t>该组成部分是本公司专为转售而取得的子公司。</w:t>
      </w:r>
    </w:p>
    <w:p>
      <w:pPr>
        <w:pStyle w:val="Style37"/>
        <w:keepNext/>
        <w:keepLines/>
        <w:widowControl w:val="0"/>
        <w:shd w:val="clear" w:color="auto" w:fill="auto"/>
        <w:tabs>
          <w:tab w:pos="933" w:val="left"/>
        </w:tabs>
        <w:bidi w:val="0"/>
        <w:spacing w:before="0" w:after="0" w:line="313" w:lineRule="exact"/>
        <w:ind w:left="0" w:right="0" w:firstLine="440"/>
        <w:jc w:val="both"/>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列报</w:t>
      </w:r>
      <w:bookmarkEnd w:id="928"/>
      <w:bookmarkEnd w:id="929"/>
      <w:bookmarkEnd w:id="931"/>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本公司在资产负债表中将持有待售的非流动资产或持有待售的处置组中的资产列报于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，将持有待售的处 置组中的负债列报于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持有待售负债</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本公司在利润表中分别列示持续经营损益和终止经营损益。不符合终止经营定义的持有待售的非流动资产或处置组，其 减值损失和转回金额及处置损益作为持续经营损益列报。终止经营的减值损失和转回金额等经营损益及处置损益作为终止经 营损益列报。</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本公司对拟结束使用而非出售且满足终止经营定义中有关组成部分的条件的处置组，自其停止使用日起作为终止经营列 报。</w:t>
      </w:r>
    </w:p>
    <w:p>
      <w:pPr>
        <w:pStyle w:val="Style34"/>
        <w:keepNext w:val="0"/>
        <w:keepLines w:val="0"/>
        <w:widowControl w:val="0"/>
        <w:shd w:val="clear" w:color="auto" w:fill="auto"/>
        <w:bidi w:val="0"/>
        <w:spacing w:before="0" w:after="400" w:line="313" w:lineRule="exact"/>
        <w:ind w:left="0" w:right="0"/>
        <w:jc w:val="both"/>
      </w:pPr>
      <w:r>
        <w:rPr>
          <w:color w:val="000000"/>
          <w:spacing w:val="0"/>
          <w:w w:val="100"/>
          <w:position w:val="0"/>
        </w:rPr>
        <w:t>对于当期列报的终止经营，在当期财务报表中，本公司将原来作为持续经营损益列报的信息重新作为可比会计期间的终 止经营损益列报。终止经营不再满足持有待售类别划分条件的，在当期财务报表中，本公司将原来作为终止经营损益列报的 信息重新作为可比会计期间的持续经营损益列报。</w:t>
      </w:r>
    </w:p>
    <w:p>
      <w:pPr>
        <w:pStyle w:val="Style37"/>
        <w:keepNext/>
        <w:keepLines/>
        <w:widowControl w:val="0"/>
        <w:shd w:val="clear" w:color="auto" w:fill="auto"/>
        <w:tabs>
          <w:tab w:pos="508" w:val="left"/>
        </w:tabs>
        <w:bidi w:val="0"/>
        <w:spacing w:before="0" w:after="180" w:line="326"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32"/>
      <w:bookmarkEnd w:id="933"/>
      <w:bookmarkEnd w:id="935"/>
    </w:p>
    <w:p>
      <w:pPr>
        <w:pStyle w:val="Style34"/>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508" w:val="left"/>
        </w:tabs>
        <w:bidi w:val="0"/>
        <w:spacing w:before="0" w:after="180" w:line="326"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6"/>
      <w:bookmarkEnd w:id="937"/>
      <w:bookmarkEnd w:id="939"/>
    </w:p>
    <w:p>
      <w:pPr>
        <w:pStyle w:val="Style34"/>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508" w:val="left"/>
        </w:tabs>
        <w:bidi w:val="0"/>
        <w:spacing w:before="0" w:after="180" w:line="326"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40"/>
      <w:bookmarkEnd w:id="941"/>
      <w:bookmarkEnd w:id="943"/>
    </w:p>
    <w:p>
      <w:pPr>
        <w:pStyle w:val="Style34"/>
        <w:keepNext w:val="0"/>
        <w:keepLines w:val="0"/>
        <w:widowControl w:val="0"/>
        <w:shd w:val="clear" w:color="auto" w:fill="auto"/>
        <w:bidi w:val="0"/>
        <w:spacing w:before="0" w:after="400" w:line="313" w:lineRule="exact"/>
        <w:ind w:left="0" w:right="0"/>
        <w:jc w:val="both"/>
      </w:pPr>
      <w:r>
        <w:rPr>
          <w:color w:val="000000"/>
          <w:spacing w:val="0"/>
          <w:w w:val="100"/>
          <w:position w:val="0"/>
        </w:rPr>
        <w:t>长期应收款的预期信用损失的确定方法及会计处理方法详见本附注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508" w:val="left"/>
        </w:tabs>
        <w:bidi w:val="0"/>
        <w:spacing w:before="0" w:after="180" w:line="326"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44"/>
      <w:bookmarkEnd w:id="945"/>
      <w:bookmarkEnd w:id="947"/>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本部分所指的长期股权投资是指本公司对被投资单位具有控制、共同控制或重大影响的长期股权投资。</w:t>
      </w:r>
    </w:p>
    <w:p>
      <w:pPr>
        <w:pStyle w:val="Style37"/>
        <w:keepNext/>
        <w:keepLines/>
        <w:widowControl w:val="0"/>
        <w:shd w:val="clear" w:color="auto" w:fill="auto"/>
        <w:bidi w:val="0"/>
        <w:spacing w:before="0" w:after="0" w:line="313" w:lineRule="exact"/>
        <w:ind w:left="0" w:right="0" w:firstLine="440"/>
        <w:jc w:val="both"/>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）初始投资成本确定</w:t>
      </w:r>
      <w:bookmarkEnd w:id="948"/>
      <w:bookmarkEnd w:id="949"/>
      <w:bookmarkEnd w:id="951"/>
    </w:p>
    <w:p>
      <w:pPr>
        <w:pStyle w:val="Style34"/>
        <w:keepNext w:val="0"/>
        <w:keepLines w:val="0"/>
        <w:widowControl w:val="0"/>
        <w:numPr>
          <w:ilvl w:val="0"/>
          <w:numId w:val="29"/>
        </w:numPr>
        <w:shd w:val="clear" w:color="auto" w:fill="auto"/>
        <w:bidi w:val="0"/>
        <w:spacing w:before="0" w:after="180" w:line="317" w:lineRule="exact"/>
        <w:ind w:left="0" w:right="0"/>
        <w:jc w:val="both"/>
      </w:pPr>
      <w:bookmarkStart w:id="952" w:name="bookmark952"/>
      <w:bookmarkEnd w:id="952"/>
      <w:r>
        <w:rPr>
          <w:color w:val="000000"/>
          <w:spacing w:val="0"/>
          <w:w w:val="100"/>
          <w:position w:val="0"/>
        </w:rPr>
        <w:t>对于本公司合并取得的长期股权投资，如为同一控制下的企业合并，按照取得被合并方所有者权益账面价值的份额确 认为初始成本；如为非同一控制下的企业合并，按购买日确定的合并成本确认为初始成本；</w:t>
      </w:r>
    </w:p>
    <w:p>
      <w:pPr>
        <w:pStyle w:val="Style34"/>
        <w:keepNext w:val="0"/>
        <w:keepLines w:val="0"/>
        <w:widowControl w:val="0"/>
        <w:numPr>
          <w:ilvl w:val="0"/>
          <w:numId w:val="29"/>
        </w:numPr>
        <w:shd w:val="clear" w:color="auto" w:fill="auto"/>
        <w:bidi w:val="0"/>
        <w:spacing w:before="0" w:after="0" w:line="313" w:lineRule="exact"/>
        <w:ind w:left="0" w:right="0"/>
        <w:jc w:val="both"/>
      </w:pPr>
      <w:bookmarkStart w:id="953" w:name="bookmark953"/>
      <w:bookmarkEnd w:id="953"/>
      <w:r>
        <w:rPr>
          <w:color w:val="000000"/>
          <w:spacing w:val="0"/>
          <w:w w:val="100"/>
          <w:position w:val="0"/>
        </w:rPr>
        <w:t>本公司对于除合并形成的长期股权投资外的其他股权投资，以支付现金取得的长期股权投资，初始投资成本为实际支 付的购买价款；以发行权益性证券取得的长期股权投资，初始投资成本为发行权益性证券的公允价值；通过债务重组取得的 长期股权投资，其初始投资成本应当按照《企业会计准则第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号——债务重组》的有关规定确定；非货币性资产交换取得， 初始投资成本根据准则相关规定确定。</w:t>
      </w:r>
    </w:p>
    <w:p>
      <w:pPr>
        <w:pStyle w:val="Style37"/>
        <w:keepNext/>
        <w:keepLines/>
        <w:widowControl w:val="0"/>
        <w:shd w:val="clear" w:color="auto" w:fill="auto"/>
        <w:tabs>
          <w:tab w:pos="873" w:val="left"/>
        </w:tabs>
        <w:bidi w:val="0"/>
        <w:spacing w:before="0" w:after="0" w:line="313" w:lineRule="exact"/>
        <w:ind w:left="0" w:right="0" w:firstLine="44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bookmarkEnd w:id="954"/>
      <w:bookmarkEnd w:id="955"/>
      <w:bookmarkEnd w:id="957"/>
    </w:p>
    <w:p>
      <w:pPr>
        <w:pStyle w:val="Style34"/>
        <w:keepNext w:val="0"/>
        <w:keepLines w:val="0"/>
        <w:widowControl w:val="0"/>
        <w:numPr>
          <w:ilvl w:val="0"/>
          <w:numId w:val="31"/>
        </w:numPr>
        <w:shd w:val="clear" w:color="auto" w:fill="auto"/>
        <w:tabs>
          <w:tab w:pos="693" w:val="left"/>
        </w:tabs>
        <w:bidi w:val="0"/>
        <w:spacing w:before="0" w:after="0" w:line="313" w:lineRule="exact"/>
        <w:ind w:left="0" w:right="0"/>
        <w:jc w:val="left"/>
      </w:pPr>
      <w:bookmarkStart w:id="958" w:name="bookmark958"/>
      <w:bookmarkEnd w:id="958"/>
      <w:r>
        <w:rPr>
          <w:color w:val="000000"/>
          <w:spacing w:val="0"/>
          <w:w w:val="100"/>
          <w:position w:val="0"/>
        </w:rPr>
        <w:t>成本法核算</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本公司能够对被投资单位实施控制的长期股权投资应当采用成本法核算。采用成本法核算的长期股权投资，除追加或收 回投资外，账面价值一般不变。对被投资企业宣告分派的利润或现金股利，本公司计算应分得的部分，确认为投资收益。</w:t>
      </w:r>
    </w:p>
    <w:p>
      <w:pPr>
        <w:pStyle w:val="Style34"/>
        <w:keepNext w:val="0"/>
        <w:keepLines w:val="0"/>
        <w:widowControl w:val="0"/>
        <w:numPr>
          <w:ilvl w:val="0"/>
          <w:numId w:val="31"/>
        </w:numPr>
        <w:shd w:val="clear" w:color="auto" w:fill="auto"/>
        <w:tabs>
          <w:tab w:pos="693" w:val="left"/>
        </w:tabs>
        <w:bidi w:val="0"/>
        <w:spacing w:before="0" w:after="0" w:line="313" w:lineRule="exact"/>
        <w:ind w:left="0" w:right="0"/>
        <w:jc w:val="left"/>
      </w:pPr>
      <w:bookmarkStart w:id="959" w:name="bookmark959"/>
      <w:bookmarkEnd w:id="959"/>
      <w:r>
        <w:rPr>
          <w:color w:val="000000"/>
          <w:spacing w:val="0"/>
          <w:w w:val="100"/>
          <w:position w:val="0"/>
        </w:rPr>
        <w:t>权益法核算</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本公司对联营企业和合营企业的长期股权投资采用权益法核算。采用权益法核算时，长期股权投资的初始投资成本大于 投资时应享有被投资单位可辨认净资产公允价值份额的，不调整长期股权投资的初始投资成本；初始投资成本小于投资时应 享有被投资单位可辨认净资产公允价值份额的，其差额计入当期损益，同时调整长期股权投资的成本。</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采用权益法核算时，本公司按照应享有或应分担的被投资单位实现的净损益和其他综合收益的份额，分别确认投资收益 和其他综合收益，同时调整长期股权投资的账面价值；按照被投资单位宣告分派的利润或现金股利计算应享有的部分，相应 减少长期股权投资的账面价值；对于被投资单位除净损益、其他综合收益和利润分配以外所有者权益的其他变动，调整长期 股权投资的账面价值并计入资本公积。本公司在确认应享有被投资单位净损益的份额时，以取得投资时被投资单位各项可辨 认资产等的公允价值为基础，对被投资单位的净利润进行调整后确认。被投资单位采用的会计政策及会计期间与本公司不一 致的，按照本公司的会计政策及会计期间对被投资单位的财务报表进行调整，并据以确认投资收益和其他综合收益。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本公司在确认应分担被投资单位发生的净亏损时，以长期股权投资的账面价值和其他实质上构成对被投资单位净投资的 长期权益减记至零为限。此外，如本公司对被投资单位负有承担额外损失的义务，则按预计承担的义务确认预计负债，计入 当期投资损失。被投资单位以后期间实现净利润的,本公司在收益分享额弥补未确认的亏损分担额后，恢复确认收益分享额。</w:t>
      </w:r>
    </w:p>
    <w:p>
      <w:pPr>
        <w:pStyle w:val="Style37"/>
        <w:keepNext/>
        <w:keepLines/>
        <w:widowControl w:val="0"/>
        <w:shd w:val="clear" w:color="auto" w:fill="auto"/>
        <w:tabs>
          <w:tab w:pos="873" w:val="left"/>
        </w:tabs>
        <w:bidi w:val="0"/>
        <w:spacing w:before="0" w:after="0" w:line="313" w:lineRule="exact"/>
        <w:ind w:left="0" w:right="0" w:firstLine="44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长期股权投资核算方法的转换</w:t>
      </w:r>
      <w:bookmarkEnd w:id="960"/>
      <w:bookmarkEnd w:id="961"/>
      <w:bookmarkEnd w:id="963"/>
    </w:p>
    <w:p>
      <w:pPr>
        <w:pStyle w:val="Style34"/>
        <w:keepNext w:val="0"/>
        <w:keepLines w:val="0"/>
        <w:widowControl w:val="0"/>
        <w:numPr>
          <w:ilvl w:val="0"/>
          <w:numId w:val="33"/>
        </w:numPr>
        <w:shd w:val="clear" w:color="auto" w:fill="auto"/>
        <w:tabs>
          <w:tab w:pos="668" w:val="left"/>
        </w:tabs>
        <w:bidi w:val="0"/>
        <w:spacing w:before="0" w:after="0" w:line="313" w:lineRule="exact"/>
        <w:ind w:left="0" w:right="0"/>
        <w:jc w:val="left"/>
      </w:pPr>
      <w:bookmarkStart w:id="964" w:name="bookmark964"/>
      <w:bookmarkEnd w:id="964"/>
      <w:r>
        <w:rPr>
          <w:color w:val="000000"/>
          <w:spacing w:val="0"/>
          <w:w w:val="100"/>
          <w:position w:val="0"/>
        </w:rPr>
        <w:t>公允价值计量转权益法核算：本公司原持有的对被投资单位的股权投资（不具有控制、共同控制或重大影响的），按 照金融工具确认和计量准则进行会计处理的，因追加投资等原因导致持股比例上升，能够对被投资单位施加共同控制或重大 影响的，在转按权益法核算时，本公司应当按照金融工具确认和计量准则确定的原股权投资的公允价值加上为取得新增投资 而应支付对价的公允价值，作为改按权益法核算的初始投资成本。</w:t>
      </w:r>
    </w:p>
    <w:p>
      <w:pPr>
        <w:pStyle w:val="Style34"/>
        <w:keepNext w:val="0"/>
        <w:keepLines w:val="0"/>
        <w:widowControl w:val="0"/>
        <w:numPr>
          <w:ilvl w:val="0"/>
          <w:numId w:val="33"/>
        </w:numPr>
        <w:shd w:val="clear" w:color="auto" w:fill="auto"/>
        <w:tabs>
          <w:tab w:pos="663" w:val="left"/>
        </w:tabs>
        <w:bidi w:val="0"/>
        <w:spacing w:before="0" w:after="0" w:line="313" w:lineRule="exact"/>
        <w:ind w:left="0" w:right="0"/>
        <w:jc w:val="left"/>
      </w:pPr>
      <w:bookmarkStart w:id="965" w:name="bookmark965"/>
      <w:bookmarkEnd w:id="965"/>
      <w:r>
        <w:rPr>
          <w:color w:val="000000"/>
          <w:spacing w:val="0"/>
          <w:w w:val="100"/>
          <w:position w:val="0"/>
        </w:rPr>
        <w:t>公允价值计量或权益法核算转成本法核算：本公司原持有的对被投资单位不具有控制、共同控制或重大影响的按照金 融工具确认和计量准则进行会计处理的权益性投资，或者原持有对联营企业、合营企业的长期股权投资，因追加投资等原因， 能够对被投资单位实施控制的，按有关企业合并形成的长期股权投资进行会计处理。</w:t>
      </w:r>
    </w:p>
    <w:p>
      <w:pPr>
        <w:pStyle w:val="Style34"/>
        <w:keepNext w:val="0"/>
        <w:keepLines w:val="0"/>
        <w:widowControl w:val="0"/>
        <w:numPr>
          <w:ilvl w:val="0"/>
          <w:numId w:val="33"/>
        </w:numPr>
        <w:shd w:val="clear" w:color="auto" w:fill="auto"/>
        <w:tabs>
          <w:tab w:pos="668" w:val="left"/>
        </w:tabs>
        <w:bidi w:val="0"/>
        <w:spacing w:before="0" w:after="0" w:line="313" w:lineRule="exact"/>
        <w:ind w:left="0" w:right="0"/>
        <w:jc w:val="left"/>
      </w:pPr>
      <w:bookmarkStart w:id="966" w:name="bookmark966"/>
      <w:bookmarkEnd w:id="966"/>
      <w:r>
        <w:rPr>
          <w:color w:val="000000"/>
          <w:spacing w:val="0"/>
          <w:w w:val="100"/>
          <w:position w:val="0"/>
        </w:rPr>
        <w:t>权益法核算转公允价值计量：本公司原持有的对被投资单位具有共同控制或重大影响的长期股权投资，因部分处置等 原因导致持股比例下降，不能再对被投资单位实施共同控制或重大影响的，改按金融工具确认和计量准则对剩余股权投资进 行会计处理，其在丧失共同控制或重大影响之日的公允价值与账面价值之间的差额计入当期损益。</w:t>
      </w:r>
    </w:p>
    <w:p>
      <w:pPr>
        <w:pStyle w:val="Style34"/>
        <w:keepNext w:val="0"/>
        <w:keepLines w:val="0"/>
        <w:widowControl w:val="0"/>
        <w:numPr>
          <w:ilvl w:val="0"/>
          <w:numId w:val="33"/>
        </w:numPr>
        <w:shd w:val="clear" w:color="auto" w:fill="auto"/>
        <w:tabs>
          <w:tab w:pos="668" w:val="left"/>
        </w:tabs>
        <w:bidi w:val="0"/>
        <w:spacing w:before="0" w:after="0" w:line="313" w:lineRule="exact"/>
        <w:ind w:left="0" w:right="0"/>
        <w:jc w:val="left"/>
      </w:pPr>
      <w:bookmarkStart w:id="967" w:name="bookmark967"/>
      <w:bookmarkEnd w:id="967"/>
      <w:r>
        <w:rPr>
          <w:color w:val="000000"/>
          <w:spacing w:val="0"/>
          <w:w w:val="100"/>
          <w:position w:val="0"/>
        </w:rPr>
        <w:t>成本法转权益法或公允价值计量：本公司因处置部分权益性投资等原因丧失了对被投资单位的控制的，在编制个别 财务报表时，处置后的剩余股权能够对被投资单位实施共同控制或施加重大影响的，本公司改按权益法核算，并对该剩余股 权视同自取得时即采用权益法核算进行调整；处置后的剩余股权不能对被投资单位实施共同控制或施加重大影响的，本公司 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号——金融工具确认和计量》的有关规定进行会计处理，其在丧失控制之日的公允价值与账面价值 间的差额计入当期损益。在编制合并财务报表时，应当按照《企业会计准则第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号——合并财务报表》的有关规定进行会计 处理。</w:t>
      </w:r>
    </w:p>
    <w:p>
      <w:pPr>
        <w:pStyle w:val="Style37"/>
        <w:keepNext/>
        <w:keepLines/>
        <w:widowControl w:val="0"/>
        <w:shd w:val="clear" w:color="auto" w:fill="auto"/>
        <w:tabs>
          <w:tab w:pos="873" w:val="left"/>
        </w:tabs>
        <w:bidi w:val="0"/>
        <w:spacing w:before="0" w:after="0" w:line="313" w:lineRule="exact"/>
        <w:ind w:left="0" w:right="0" w:firstLine="44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确定对被投资单位具有共同控制、重大影响的依据</w:t>
      </w:r>
      <w:bookmarkEnd w:id="968"/>
      <w:bookmarkEnd w:id="969"/>
      <w:bookmarkEnd w:id="971"/>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后才能决策。如果所有参与方或一组参与方必须一致行动才能决定某项安排的相关活动，则认为所有参与方或一组参与方集 体控制该安排。在判断是否存在共同控制时，首先判断是否由所有参与方或参与方组合集体控制该安排，其次再判断该安排 相关活动的决策是否必须经过这些集体控制该安排的参与方一致同意。如果存在两个或两个以上的参与方组合能够集体控制 某项安排的，不构成共同控制。判断是否存在共同控制时，不考虑享有的保护性权利。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这些政策的制定。本公司在确定能否对被投资单位施加重大影响时，考虑直接或间接持有被投资单位的表决权股份以及本公 司及其他方持有的当期可执行潜在表决权在假定转换为对被投资方单位的股权后产生的影响，包括被投资单位发行的当期可 转换的认股权证、股份期权及可转换公司债券等的影响。</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本公司通常通过以下一种或几种情形来判断是否对被投资单位具有重大影响：</w:t>
      </w:r>
    </w:p>
    <w:p>
      <w:pPr>
        <w:pStyle w:val="Style3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972" w:name="bookmark972"/>
      <w:bookmarkEnd w:id="972"/>
      <w:r>
        <w:rPr>
          <w:color w:val="000000"/>
          <w:spacing w:val="0"/>
          <w:w w:val="100"/>
          <w:position w:val="0"/>
        </w:rPr>
        <w:t>在被投资单位的董事会或类似权力机构中派有代表。</w:t>
      </w:r>
    </w:p>
    <w:p>
      <w:pPr>
        <w:pStyle w:val="Style3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973" w:name="bookmark973"/>
      <w:bookmarkEnd w:id="973"/>
      <w:r>
        <w:rPr>
          <w:color w:val="000000"/>
          <w:spacing w:val="0"/>
          <w:w w:val="100"/>
          <w:position w:val="0"/>
        </w:rPr>
        <w:t>参与被投资单位财务和经营政策制定过程。</w:t>
      </w:r>
    </w:p>
    <w:p>
      <w:pPr>
        <w:pStyle w:val="Style3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974" w:name="bookmark974"/>
      <w:bookmarkEnd w:id="974"/>
      <w:r>
        <w:rPr>
          <w:color w:val="000000"/>
          <w:spacing w:val="0"/>
          <w:w w:val="100"/>
          <w:position w:val="0"/>
        </w:rPr>
        <w:t>与被投资单位之间发生重要交易。</w:t>
      </w:r>
    </w:p>
    <w:p>
      <w:pPr>
        <w:pStyle w:val="Style3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975" w:name="bookmark975"/>
      <w:bookmarkEnd w:id="975"/>
      <w:r>
        <w:rPr>
          <w:color w:val="000000"/>
          <w:spacing w:val="0"/>
          <w:w w:val="100"/>
          <w:position w:val="0"/>
        </w:rPr>
        <w:t>向被投资单位派出管理人员。</w:t>
      </w:r>
    </w:p>
    <w:p>
      <w:pPr>
        <w:pStyle w:val="Style3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976" w:name="bookmark976"/>
      <w:bookmarkEnd w:id="976"/>
      <w:r>
        <w:rPr>
          <w:color w:val="000000"/>
          <w:spacing w:val="0"/>
          <w:w w:val="100"/>
          <w:position w:val="0"/>
        </w:rPr>
        <w:t>向被投资单位提供关键技术资料。</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存在上述一种或多种情形并不意味着本公司一定对被投资单位具有重大影响，本公司需要综合考虑所有事实和情况来做 出恰当的判断。</w:t>
      </w:r>
    </w:p>
    <w:p>
      <w:pPr>
        <w:pStyle w:val="Style37"/>
        <w:keepNext/>
        <w:keepLines/>
        <w:widowControl w:val="0"/>
        <w:shd w:val="clear" w:color="auto" w:fill="auto"/>
        <w:tabs>
          <w:tab w:pos="933" w:val="left"/>
        </w:tabs>
        <w:bidi w:val="0"/>
        <w:spacing w:before="0" w:after="0" w:line="314" w:lineRule="exact"/>
        <w:ind w:left="0" w:right="0" w:firstLine="44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bookmarkEnd w:id="977"/>
      <w:bookmarkEnd w:id="978"/>
      <w:bookmarkEnd w:id="980"/>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资产负债表日，本公司对长期股权投资检查是否存在可能发生减值的迹象，当存在减值迹象时应进行减值测试确认其可 收回金额，按可收回金额低于账面价值部分计提减值准备，减值损失一经计提，在以后会计期间不再转回。</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可收回金额按照长期股权投资出售的公允价值净额与预计未来现金流量的现值之间孰高确定。</w:t>
      </w:r>
    </w:p>
    <w:p>
      <w:pPr>
        <w:pStyle w:val="Style37"/>
        <w:keepNext/>
        <w:keepLines/>
        <w:widowControl w:val="0"/>
        <w:shd w:val="clear" w:color="auto" w:fill="auto"/>
        <w:tabs>
          <w:tab w:pos="933" w:val="left"/>
        </w:tabs>
        <w:bidi w:val="0"/>
        <w:spacing w:before="0" w:after="0" w:line="314" w:lineRule="exact"/>
        <w:ind w:left="0" w:right="0" w:firstLine="44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6</w:t>
      </w:r>
      <w:r>
        <w:rPr>
          <w:color w:val="000000"/>
          <w:spacing w:val="0"/>
          <w:w w:val="100"/>
          <w:position w:val="0"/>
        </w:rPr>
        <w:t>）</w:t>
        <w:tab/>
        <w:t>长期股权投资处置</w:t>
      </w:r>
      <w:bookmarkEnd w:id="981"/>
      <w:bookmarkEnd w:id="982"/>
      <w:bookmarkEnd w:id="984"/>
    </w:p>
    <w:p>
      <w:pPr>
        <w:pStyle w:val="Style34"/>
        <w:keepNext w:val="0"/>
        <w:keepLines w:val="0"/>
        <w:widowControl w:val="0"/>
        <w:shd w:val="clear" w:color="auto" w:fill="auto"/>
        <w:bidi w:val="0"/>
        <w:spacing w:before="0" w:after="380" w:line="314" w:lineRule="exact"/>
        <w:ind w:left="0" w:right="0"/>
        <w:jc w:val="left"/>
      </w:pPr>
      <w:r>
        <w:rPr>
          <w:color w:val="000000"/>
          <w:spacing w:val="0"/>
          <w:w w:val="100"/>
          <w:position w:val="0"/>
        </w:rPr>
        <w:t>本公司处置长期股权投资时，将投资账面价值与实际取得价款之间的差额计入当期损益。采用权益法核算的长期股权投 资，在处置该项投资时，采用与被投资单位直接处置相关资产或负债相同的基础，按相应比例对原计入其他综合收益的部分 进行会计处理。</w:t>
      </w:r>
    </w:p>
    <w:p>
      <w:pPr>
        <w:pStyle w:val="Style37"/>
        <w:keepNext/>
        <w:keepLines/>
        <w:widowControl w:val="0"/>
        <w:shd w:val="clear" w:color="auto" w:fill="auto"/>
        <w:bidi w:val="0"/>
        <w:spacing w:before="0" w:after="140" w:line="329"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85"/>
      <w:bookmarkEnd w:id="986"/>
      <w:bookmarkEnd w:id="988"/>
    </w:p>
    <w:p>
      <w:pPr>
        <w:pStyle w:val="Style34"/>
        <w:keepNext w:val="0"/>
        <w:keepLines w:val="0"/>
        <w:widowControl w:val="0"/>
        <w:shd w:val="clear" w:color="auto" w:fill="auto"/>
        <w:bidi w:val="0"/>
        <w:spacing w:before="0" w:after="0" w:line="353" w:lineRule="exact"/>
        <w:ind w:left="0" w:right="0" w:firstLine="0"/>
        <w:jc w:val="left"/>
      </w:pPr>
      <w:r>
        <w:rPr>
          <w:color w:val="000000"/>
          <w:spacing w:val="0"/>
          <w:w w:val="100"/>
          <w:position w:val="0"/>
        </w:rPr>
        <w:t>投资性房地产计量模式 成本法计量 折旧或摊销方法</w:t>
      </w:r>
    </w:p>
    <w:p>
      <w:pPr>
        <w:pStyle w:val="Style37"/>
        <w:keepNext/>
        <w:keepLines/>
        <w:widowControl w:val="0"/>
        <w:shd w:val="clear" w:color="auto" w:fill="auto"/>
        <w:tabs>
          <w:tab w:pos="933" w:val="left"/>
        </w:tabs>
        <w:bidi w:val="0"/>
        <w:spacing w:before="0" w:after="0" w:line="353" w:lineRule="exact"/>
        <w:ind w:left="0" w:right="0" w:firstLine="44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投资性房地产的种类和计量模式</w:t>
      </w:r>
      <w:bookmarkEnd w:id="989"/>
      <w:bookmarkEnd w:id="990"/>
      <w:bookmarkEnd w:id="992"/>
    </w:p>
    <w:p>
      <w:pPr>
        <w:pStyle w:val="Style34"/>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本公司投资性房地产的种类有：出租的土地使用权、出租的建筑物、持有并准备增值后转让的土地使用权。 本公司投资性房地产按照成本进行初始计量，采用成本模式进行后续计量。</w:t>
      </w:r>
    </w:p>
    <w:p>
      <w:pPr>
        <w:pStyle w:val="Style37"/>
        <w:keepNext/>
        <w:keepLines/>
        <w:widowControl w:val="0"/>
        <w:shd w:val="clear" w:color="auto" w:fill="auto"/>
        <w:tabs>
          <w:tab w:pos="933" w:val="left"/>
        </w:tabs>
        <w:bidi w:val="0"/>
        <w:spacing w:before="0" w:after="0" w:line="312" w:lineRule="exact"/>
        <w:ind w:left="0" w:right="0" w:firstLine="44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采用成本模式核算政策</w:t>
      </w:r>
      <w:bookmarkEnd w:id="993"/>
      <w:bookmarkEnd w:id="994"/>
      <w:bookmarkEnd w:id="996"/>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本公司投资性房地产中出租的建筑物采用年限平均法计提折旧，具体核算政策与固定资产部分相同。投资性房地产中出 租的土地使用权、持有并准备增值后转让的土地使用权采用直线法摊销，具体核算政策与无形资产部分相同。</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资产负债表日，本公司对投资性房地产检查是否存在可能发生减值的迹象，当存在减值迹象时应进行减值测试确认其可 收回金额，按可收回金额低于账面价值部分计提减值准备，减值损失一经计提，在以后会计期间不再转回。</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投资性房地产出售、转让、报废或毁损的处置收入扣除其账面价值和相关税费后的差额计入当期损益。</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本公司在有证据表明将自用的房屋及建筑物改用于出租或将持有的房地产开发产品以经营租赁的方式出租时，固定资产、 无形资产或存货以转换前的账面价值转换为投资性房地产。本公司在有证据表明将原本用于赚取租金或资本增值的房屋及建 筑物改为自用或将用于经营租出的房屋及建筑物重新用于对外销售的，投资性房地产以转换前的账面价值转换为固定资产、 无形资产或存货。</w:t>
      </w:r>
    </w:p>
    <w:p>
      <w:pPr>
        <w:pStyle w:val="Style37"/>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00"/>
      <w:bookmarkEnd w:id="997"/>
      <w:bookmarkEnd w:id="998"/>
    </w:p>
    <w:p>
      <w:pPr>
        <w:pStyle w:val="Style37"/>
        <w:keepNext/>
        <w:keepLines/>
        <w:widowControl w:val="0"/>
        <w:shd w:val="clear" w:color="auto" w:fill="auto"/>
        <w:bidi w:val="0"/>
        <w:spacing w:before="0" w:after="260" w:line="240" w:lineRule="auto"/>
        <w:ind w:left="0" w:right="0" w:firstLine="0"/>
        <w:jc w:val="left"/>
      </w:pPr>
      <w:bookmarkStart w:id="1001" w:name="bookmark1001"/>
      <w:bookmarkStart w:id="1002" w:name="bookmark1002"/>
      <w:bookmarkStart w:id="997" w:name="bookmark997"/>
      <w:bookmarkStart w:id="998" w:name="bookmark998"/>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2"/>
      <w:bookmarkEnd w:id="997"/>
      <w:bookmarkEnd w:id="998"/>
    </w:p>
    <w:p>
      <w:pPr>
        <w:pStyle w:val="Style34"/>
        <w:keepNext w:val="0"/>
        <w:keepLines w:val="0"/>
        <w:widowControl w:val="0"/>
        <w:shd w:val="clear" w:color="auto" w:fill="auto"/>
        <w:bidi w:val="0"/>
        <w:spacing w:before="0" w:after="380" w:line="309" w:lineRule="exact"/>
        <w:ind w:left="0" w:right="0"/>
        <w:jc w:val="both"/>
      </w:pPr>
      <w:r>
        <w:rPr>
          <w:color w:val="000000"/>
          <w:spacing w:val="0"/>
          <w:w w:val="100"/>
          <w:position w:val="0"/>
        </w:rPr>
        <w:t>本公司固定资产指为生产商品、提供劳务、出租或经营管理而持有的，使用寿命超过一个会计年度的有形资产，同时满 足以下条件时予以确认：①与该固定资产有关的经济利益很可能流入本公司；②该固定资产的成本能够可靠地计量。与固定 资产有关的后续支出，符合上述确认条件的，计入固定资产成本，并终止确认被替换部分的账面价值；否则，在发生时计入 当期损益。本公司固定资产按照成本进行初始计量。固定资产的成本一般包括购买价款、相关税费、以及为使固定资产达到 预定可使用状态前所发生的可直接归属于该资产的其他支出，如运输费、安装费等。但购买的固定资产如果超过正常的信用 条件延期支付，固定资产的成本以各期付款额的现值之和为基础确定。实际支付的价款与购买价款的现值之间的差额，除按 照《企业会计准则第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号——借款费用》应予资本化的以外，在信用期内计入当期损益。（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）固定资产分类和折旧方法本 公司固定资产主要分为：房屋及建筑物、机器设备、办公设备、运输设备等；折旧方法采用年限平均法。根据各类固定资产 的性质和使用情况，确定固定资产的使用寿命和预计净残值。并在年度终了，对固定资产的使用寿命、预计净残值和折旧方 法进行复核，如与原先估计数存在差异的，进行相应的调整。除已提足折旧仍继续使用的固定资产和单独计价入账的土地之 外，本公司对所有固定资产计提折旧。</w:t>
      </w:r>
    </w:p>
    <w:p>
      <w:pPr>
        <w:pStyle w:val="Style37"/>
        <w:keepNext/>
        <w:keepLines/>
        <w:widowControl w:val="0"/>
        <w:shd w:val="clear" w:color="auto" w:fill="auto"/>
        <w:bidi w:val="0"/>
        <w:spacing w:before="0" w:after="320" w:line="240" w:lineRule="auto"/>
        <w:ind w:left="0" w:right="0" w:firstLine="14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3"/>
      <w:bookmarkEnd w:id="1004"/>
      <w:bookmarkEnd w:id="1006"/>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2.71%-12.13%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7.92%-19.40%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9.50%-24.25%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9.50%-16.17%</w:t>
            </w:r>
          </w:p>
        </w:tc>
      </w:tr>
    </w:tbl>
    <w:p>
      <w:pPr>
        <w:widowControl w:val="0"/>
        <w:spacing w:after="259" w:line="1" w:lineRule="exact"/>
      </w:pPr>
    </w:p>
    <w:p>
      <w:pPr>
        <w:pStyle w:val="Style37"/>
        <w:keepNext/>
        <w:keepLines/>
        <w:widowControl w:val="0"/>
        <w:shd w:val="clear" w:color="auto" w:fill="auto"/>
        <w:bidi w:val="0"/>
        <w:spacing w:before="0" w:after="260" w:line="312" w:lineRule="exact"/>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07"/>
      <w:bookmarkEnd w:id="1008"/>
      <w:bookmarkEnd w:id="1010"/>
    </w:p>
    <w:p>
      <w:pPr>
        <w:pStyle w:val="Style34"/>
        <w:keepNext w:val="0"/>
        <w:keepLines w:val="0"/>
        <w:widowControl w:val="0"/>
        <w:shd w:val="clear" w:color="auto" w:fill="auto"/>
        <w:bidi w:val="0"/>
        <w:spacing w:before="0" w:after="320" w:line="313" w:lineRule="exact"/>
        <w:ind w:left="0" w:right="0"/>
        <w:jc w:val="both"/>
      </w:pPr>
      <w:r>
        <w:rPr>
          <w:color w:val="000000"/>
          <w:spacing w:val="0"/>
          <w:w w:val="100"/>
          <w:position w:val="0"/>
        </w:rPr>
        <w:t>本公司融资租入固定资产是指实质上转移了与资产所有权有关的全部风险和报酬的租赁，具体认定依据为符合下列一项 或数项条件的：①在租赁期届满时，租赁资产的所有权转移给承租人；②承租人有购买租赁资产的选择权，所订立的购买价 款预计将远低于行使选择权时租赁资产的公允价值，因而在租赁开始日就可以合理确定承租人会行使这种选择权；③即使资 产的所有权不转移，但租赁期占租赁资产使用寿命的大部分；④承租人在租赁开始日的最低租赁付款额现值，几乎相当于租 赁开始日租赁资产公允价值；⑤租赁资产性质特殊，如不作较大改造只有承租人才能使用。本公司融资租入固定资产的计价 方法：融资租入固定资产初始计价为租赁期开始日租赁资产公允价值与最低租赁付款额现值较低者作为入账价值；融资租入 固定资产后续计价采用与自有固定资产相一致的折旧政策计提折旧及减值准备。</w:t>
      </w:r>
    </w:p>
    <w:p>
      <w:pPr>
        <w:pStyle w:val="Style37"/>
        <w:keepNext/>
        <w:keepLines/>
        <w:widowControl w:val="0"/>
        <w:shd w:val="clear" w:color="auto" w:fill="auto"/>
        <w:bidi w:val="0"/>
        <w:spacing w:before="0" w:after="320" w:line="312" w:lineRule="exact"/>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11"/>
      <w:bookmarkEnd w:id="1012"/>
      <w:bookmarkEnd w:id="1014"/>
    </w:p>
    <w:p>
      <w:pPr>
        <w:pStyle w:val="Style37"/>
        <w:keepNext/>
        <w:keepLines/>
        <w:widowControl w:val="0"/>
        <w:shd w:val="clear" w:color="auto" w:fill="auto"/>
        <w:tabs>
          <w:tab w:pos="887" w:val="left"/>
        </w:tabs>
        <w:bidi w:val="0"/>
        <w:spacing w:before="0" w:after="0" w:line="312" w:lineRule="exact"/>
        <w:ind w:left="0" w:right="0" w:firstLine="440"/>
        <w:jc w:val="both"/>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w:t>
        <w:tab/>
        <w:t>在建工程的计量</w:t>
      </w:r>
      <w:bookmarkEnd w:id="1011"/>
      <w:bookmarkEnd w:id="1012"/>
      <w:bookmarkEnd w:id="1016"/>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37"/>
        <w:keepNext/>
        <w:keepLines/>
        <w:widowControl w:val="0"/>
        <w:shd w:val="clear" w:color="auto" w:fill="auto"/>
        <w:tabs>
          <w:tab w:pos="887" w:val="left"/>
        </w:tabs>
        <w:bidi w:val="0"/>
        <w:spacing w:before="0" w:after="0" w:line="312" w:lineRule="exact"/>
        <w:ind w:left="0" w:right="0" w:firstLine="44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在建工程结转固定资产的标准和时点</w:t>
      </w:r>
      <w:bookmarkEnd w:id="1017"/>
      <w:bookmarkEnd w:id="1018"/>
      <w:bookmarkEnd w:id="102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本公司在建工程在工程完工达到预定可使用状态时，结转固定资产。预定可使用状态的判断标准，应符合下列情况之一：</w:t>
      </w:r>
    </w:p>
    <w:p>
      <w:pPr>
        <w:pStyle w:val="Style34"/>
        <w:keepNext w:val="0"/>
        <w:keepLines w:val="0"/>
        <w:widowControl w:val="0"/>
        <w:numPr>
          <w:ilvl w:val="0"/>
          <w:numId w:val="37"/>
        </w:numPr>
        <w:shd w:val="clear" w:color="auto" w:fill="auto"/>
        <w:tabs>
          <w:tab w:pos="707" w:val="left"/>
        </w:tabs>
        <w:bidi w:val="0"/>
        <w:spacing w:before="0" w:after="0" w:line="312" w:lineRule="exact"/>
        <w:ind w:left="0" w:right="0"/>
        <w:jc w:val="both"/>
      </w:pPr>
      <w:bookmarkStart w:id="1021" w:name="bookmark1021"/>
      <w:bookmarkEnd w:id="1021"/>
      <w:r>
        <w:rPr>
          <w:color w:val="000000"/>
          <w:spacing w:val="0"/>
          <w:w w:val="100"/>
          <w:position w:val="0"/>
        </w:rPr>
        <w:t>固定资产的实体建造（包括安装）工作已经全部完成或实质上已经全部完成；</w:t>
      </w:r>
    </w:p>
    <w:p>
      <w:pPr>
        <w:pStyle w:val="Style34"/>
        <w:keepNext w:val="0"/>
        <w:keepLines w:val="0"/>
        <w:widowControl w:val="0"/>
        <w:numPr>
          <w:ilvl w:val="0"/>
          <w:numId w:val="37"/>
        </w:numPr>
        <w:shd w:val="clear" w:color="auto" w:fill="auto"/>
        <w:tabs>
          <w:tab w:pos="327" w:val="left"/>
        </w:tabs>
        <w:bidi w:val="0"/>
        <w:spacing w:before="0" w:after="0" w:line="312" w:lineRule="exact"/>
        <w:ind w:left="0" w:right="0"/>
        <w:jc w:val="both"/>
      </w:pPr>
      <w:bookmarkStart w:id="1022" w:name="bookmark1022"/>
      <w:bookmarkEnd w:id="1022"/>
      <w:r>
        <w:rPr>
          <w:color w:val="000000"/>
          <w:spacing w:val="0"/>
          <w:w w:val="100"/>
          <w:position w:val="0"/>
        </w:rPr>
        <w:t xml:space="preserve">已经试生产或试运行，并且其结果表明资产能够正常运行或能够稳定地生产出合格产品，或者试运行结果表明其能够 </w:t>
      </w:r>
      <w:r>
        <w:rPr>
          <w:color w:val="000000"/>
          <w:spacing w:val="0"/>
          <w:w w:val="100"/>
          <w:position w:val="0"/>
        </w:rPr>
        <w:t>正常运转或营业；</w:t>
      </w:r>
    </w:p>
    <w:p>
      <w:pPr>
        <w:pStyle w:val="Style34"/>
        <w:keepNext w:val="0"/>
        <w:keepLines w:val="0"/>
        <w:widowControl w:val="0"/>
        <w:numPr>
          <w:ilvl w:val="0"/>
          <w:numId w:val="37"/>
        </w:numPr>
        <w:shd w:val="clear" w:color="auto" w:fill="auto"/>
        <w:tabs>
          <w:tab w:pos="753" w:val="left"/>
        </w:tabs>
        <w:bidi w:val="0"/>
        <w:spacing w:before="0" w:after="0" w:line="314" w:lineRule="exact"/>
        <w:ind w:left="0" w:right="0"/>
        <w:jc w:val="left"/>
      </w:pPr>
      <w:bookmarkStart w:id="1023" w:name="bookmark1023"/>
      <w:bookmarkEnd w:id="1023"/>
      <w:r>
        <w:rPr>
          <w:color w:val="000000"/>
          <w:spacing w:val="0"/>
          <w:w w:val="100"/>
          <w:position w:val="0"/>
        </w:rPr>
        <w:t>该项建造的固定资产上的支出金额很少或者几乎不再发生；</w:t>
      </w:r>
    </w:p>
    <w:p>
      <w:pPr>
        <w:pStyle w:val="Style34"/>
        <w:keepNext w:val="0"/>
        <w:keepLines w:val="0"/>
        <w:widowControl w:val="0"/>
        <w:numPr>
          <w:ilvl w:val="0"/>
          <w:numId w:val="37"/>
        </w:numPr>
        <w:shd w:val="clear" w:color="auto" w:fill="auto"/>
        <w:tabs>
          <w:tab w:pos="753" w:val="left"/>
        </w:tabs>
        <w:bidi w:val="0"/>
        <w:spacing w:before="0" w:after="0" w:line="314" w:lineRule="exact"/>
        <w:ind w:left="0" w:right="0"/>
        <w:jc w:val="left"/>
      </w:pPr>
      <w:bookmarkStart w:id="1024" w:name="bookmark1024"/>
      <w:bookmarkEnd w:id="1024"/>
      <w:r>
        <w:rPr>
          <w:color w:val="000000"/>
          <w:spacing w:val="0"/>
          <w:w w:val="100"/>
          <w:position w:val="0"/>
        </w:rPr>
        <w:t>所购建的固定资产已经达到设计或合同要求，或与设计或合同要求基本相符。</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本公司所建造工程已达到预定可使用状态，但尚未办理竣工决算的，自达到预定可使用状态之日起，根据工程预算、造 价或者工程实际成本等，按估计的价值转入固定资产，并按本公司固定资产折旧政策计提固定资产的折旧。待办理竣工决算 后，再按实际成本调整原来的暂估价值，但不调整原已计提的折旧额。</w:t>
      </w:r>
    </w:p>
    <w:p>
      <w:pPr>
        <w:pStyle w:val="Style37"/>
        <w:keepNext/>
        <w:keepLines/>
        <w:widowControl w:val="0"/>
        <w:shd w:val="clear" w:color="auto" w:fill="auto"/>
        <w:bidi w:val="0"/>
        <w:spacing w:before="0" w:after="0" w:line="314" w:lineRule="exact"/>
        <w:ind w:left="0" w:right="0" w:firstLine="44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）在建工程减值测试方法、减值准备计提方法</w:t>
      </w:r>
      <w:bookmarkEnd w:id="1025"/>
      <w:bookmarkEnd w:id="1026"/>
      <w:bookmarkEnd w:id="1028"/>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资产负债表日，本公司对在建工程检查是否存在可能发生减值的迹象，当存在减值迹象时应进行减值测试确认其可收回 金额，按可收回金额低于账面价值部分计提减值准备，减值损失一经计提，在以后会计期间不再转回。</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在建工程可收回金额根据资产公允价值减去处置费用后的净额与资产预计未来现金流量的现值两者孰高确定。</w:t>
      </w:r>
    </w:p>
    <w:p>
      <w:pPr>
        <w:pStyle w:val="Style34"/>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号——上市公司从事固体矿产资源相关业务》的披露要求</w:t>
      </w:r>
    </w:p>
    <w:p>
      <w:pPr>
        <w:pStyle w:val="Style37"/>
        <w:keepNext/>
        <w:keepLines/>
        <w:widowControl w:val="0"/>
        <w:shd w:val="clear" w:color="auto" w:fill="auto"/>
        <w:tabs>
          <w:tab w:pos="521" w:val="left"/>
        </w:tabs>
        <w:bidi w:val="0"/>
        <w:spacing w:before="0" w:after="200" w:line="329"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29"/>
      <w:bookmarkEnd w:id="1030"/>
      <w:bookmarkEnd w:id="1032"/>
    </w:p>
    <w:p>
      <w:pPr>
        <w:pStyle w:val="Style37"/>
        <w:keepNext/>
        <w:keepLines/>
        <w:widowControl w:val="0"/>
        <w:shd w:val="clear" w:color="auto" w:fill="auto"/>
        <w:tabs>
          <w:tab w:pos="933" w:val="left"/>
        </w:tabs>
        <w:bidi w:val="0"/>
        <w:spacing w:before="0" w:after="0" w:line="314" w:lineRule="exact"/>
        <w:ind w:left="0" w:right="0" w:firstLine="440"/>
        <w:jc w:val="left"/>
      </w:pPr>
      <w:bookmarkStart w:id="1029" w:name="bookmark1029"/>
      <w:bookmarkStart w:id="1030" w:name="bookmark1030"/>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029"/>
      <w:bookmarkEnd w:id="1030"/>
      <w:bookmarkEnd w:id="1034"/>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本公司借款费用，包括借款利息、折价或者溢价的摊销、辅助费用以及因外币借款而发生的汇兑差额等。本公司发生的 借款费用，可直接归属于符合资本化条件的资产的购建或者生产的，予以资本化，计入相关资产成本；其他借款费用，在发 生时根据其发生额确认为费用，计入当期损益。符合资本化条件的资产，是指需要经过相当长时间的购建或者生产活动才能 达到预定可使用或者可销售状态的固定资产、投资性房地产和存货等资产。</w:t>
      </w:r>
    </w:p>
    <w:p>
      <w:pPr>
        <w:pStyle w:val="Style37"/>
        <w:keepNext/>
        <w:keepLines/>
        <w:widowControl w:val="0"/>
        <w:shd w:val="clear" w:color="auto" w:fill="auto"/>
        <w:tabs>
          <w:tab w:pos="933" w:val="left"/>
        </w:tabs>
        <w:bidi w:val="0"/>
        <w:spacing w:before="0" w:after="0" w:line="314" w:lineRule="exact"/>
        <w:ind w:left="0" w:right="0" w:firstLine="44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资本化金额计算方法</w:t>
      </w:r>
      <w:bookmarkEnd w:id="1035"/>
      <w:bookmarkEnd w:id="1036"/>
      <w:bookmarkEnd w:id="1038"/>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本公司借款费用同时满足下列条件时开始资本化：</w:t>
      </w:r>
    </w:p>
    <w:p>
      <w:pPr>
        <w:pStyle w:val="Style34"/>
        <w:keepNext w:val="0"/>
        <w:keepLines w:val="0"/>
        <w:widowControl w:val="0"/>
        <w:numPr>
          <w:ilvl w:val="0"/>
          <w:numId w:val="39"/>
        </w:numPr>
        <w:shd w:val="clear" w:color="auto" w:fill="auto"/>
        <w:tabs>
          <w:tab w:pos="723" w:val="left"/>
        </w:tabs>
        <w:bidi w:val="0"/>
        <w:spacing w:before="0" w:after="0" w:line="314" w:lineRule="exact"/>
        <w:ind w:left="0" w:right="0"/>
        <w:jc w:val="left"/>
      </w:pPr>
      <w:bookmarkStart w:id="1039" w:name="bookmark1039"/>
      <w:bookmarkEnd w:id="1039"/>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34"/>
        <w:keepNext w:val="0"/>
        <w:keepLines w:val="0"/>
        <w:widowControl w:val="0"/>
        <w:numPr>
          <w:ilvl w:val="0"/>
          <w:numId w:val="39"/>
        </w:numPr>
        <w:shd w:val="clear" w:color="auto" w:fill="auto"/>
        <w:tabs>
          <w:tab w:pos="753" w:val="left"/>
        </w:tabs>
        <w:bidi w:val="0"/>
        <w:spacing w:before="0" w:after="0" w:line="314" w:lineRule="exact"/>
        <w:ind w:left="0" w:right="0"/>
        <w:jc w:val="left"/>
      </w:pPr>
      <w:bookmarkStart w:id="1040" w:name="bookmark1040"/>
      <w:bookmarkEnd w:id="1040"/>
      <w:r>
        <w:rPr>
          <w:color w:val="000000"/>
          <w:spacing w:val="0"/>
          <w:w w:val="100"/>
          <w:position w:val="0"/>
        </w:rPr>
        <w:t>借款费用已经发生；</w:t>
      </w:r>
    </w:p>
    <w:p>
      <w:pPr>
        <w:pStyle w:val="Style34"/>
        <w:keepNext w:val="0"/>
        <w:keepLines w:val="0"/>
        <w:widowControl w:val="0"/>
        <w:numPr>
          <w:ilvl w:val="0"/>
          <w:numId w:val="39"/>
        </w:numPr>
        <w:shd w:val="clear" w:color="auto" w:fill="auto"/>
        <w:tabs>
          <w:tab w:pos="753" w:val="left"/>
        </w:tabs>
        <w:bidi w:val="0"/>
        <w:spacing w:before="0" w:after="0" w:line="314" w:lineRule="exact"/>
        <w:ind w:left="0" w:right="0"/>
        <w:jc w:val="left"/>
      </w:pPr>
      <w:bookmarkStart w:id="1041" w:name="bookmark1041"/>
      <w:bookmarkEnd w:id="1041"/>
      <w:r>
        <w:rPr>
          <w:color w:val="000000"/>
          <w:spacing w:val="0"/>
          <w:w w:val="100"/>
          <w:position w:val="0"/>
        </w:rPr>
        <w:t>为使资产达到预定可使用或者可销售状态所必要的购建或者生产活动已经开始。</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个月的，本公司暂停借款费用的资本化。</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资本化金额计算：</w:t>
      </w:r>
    </w:p>
    <w:p>
      <w:pPr>
        <w:pStyle w:val="Style34"/>
        <w:keepNext w:val="0"/>
        <w:keepLines w:val="0"/>
        <w:widowControl w:val="0"/>
        <w:numPr>
          <w:ilvl w:val="0"/>
          <w:numId w:val="41"/>
        </w:numPr>
        <w:shd w:val="clear" w:color="auto" w:fill="auto"/>
        <w:tabs>
          <w:tab w:pos="728" w:val="left"/>
        </w:tabs>
        <w:bidi w:val="0"/>
        <w:spacing w:before="0" w:after="0" w:line="314" w:lineRule="exact"/>
        <w:ind w:left="0" w:right="0"/>
        <w:jc w:val="left"/>
      </w:pPr>
      <w:bookmarkStart w:id="1042" w:name="bookmark1042"/>
      <w:bookmarkEnd w:id="1042"/>
      <w:r>
        <w:rPr>
          <w:color w:val="000000"/>
          <w:spacing w:val="0"/>
          <w:w w:val="100"/>
          <w:position w:val="0"/>
        </w:rPr>
        <w:t>借入专门借款，按照专门借款当期实际发生的利息费用，减去将尚未动用的借款资金存入银行取得的利息收入或进行 暂时性投资取得的投资收益后的金额确定；</w:t>
      </w:r>
    </w:p>
    <w:p>
      <w:pPr>
        <w:pStyle w:val="Style34"/>
        <w:keepNext w:val="0"/>
        <w:keepLines w:val="0"/>
        <w:widowControl w:val="0"/>
        <w:numPr>
          <w:ilvl w:val="0"/>
          <w:numId w:val="41"/>
        </w:numPr>
        <w:shd w:val="clear" w:color="auto" w:fill="auto"/>
        <w:tabs>
          <w:tab w:pos="728" w:val="left"/>
        </w:tabs>
        <w:bidi w:val="0"/>
        <w:spacing w:before="0" w:after="0" w:line="314" w:lineRule="exact"/>
        <w:ind w:left="0" w:right="0"/>
        <w:jc w:val="left"/>
      </w:pPr>
      <w:bookmarkStart w:id="1043" w:name="bookmark1043"/>
      <w:bookmarkEnd w:id="1043"/>
      <w:r>
        <w:rPr>
          <w:color w:val="000000"/>
          <w:spacing w:val="0"/>
          <w:w w:val="100"/>
          <w:position w:val="0"/>
        </w:rPr>
        <w:t>占用一般借款按照累计资产支出超过专门借款部分的资产支出加权平均数乘以所占用一般借款的资本化率计算确定， 资本化率为一般借款的加权平均利率；</w:t>
      </w:r>
    </w:p>
    <w:p>
      <w:pPr>
        <w:pStyle w:val="Style34"/>
        <w:keepNext w:val="0"/>
        <w:keepLines w:val="0"/>
        <w:widowControl w:val="0"/>
        <w:numPr>
          <w:ilvl w:val="0"/>
          <w:numId w:val="41"/>
        </w:numPr>
        <w:shd w:val="clear" w:color="auto" w:fill="auto"/>
        <w:tabs>
          <w:tab w:pos="753" w:val="left"/>
        </w:tabs>
        <w:bidi w:val="0"/>
        <w:spacing w:before="0" w:after="400" w:line="314" w:lineRule="exact"/>
        <w:ind w:left="0" w:right="0"/>
        <w:jc w:val="left"/>
      </w:pPr>
      <w:bookmarkStart w:id="1044" w:name="bookmark1044"/>
      <w:bookmarkEnd w:id="1044"/>
      <w:r>
        <w:rPr>
          <w:color w:val="000000"/>
          <w:spacing w:val="0"/>
          <w:w w:val="100"/>
          <w:position w:val="0"/>
        </w:rPr>
        <w:t>借款存在折价或溢价的，按照实际利率法确定每一会计期间应摊销的折价或溢价金额，调整每期利息金额。</w:t>
      </w:r>
    </w:p>
    <w:p>
      <w:pPr>
        <w:pStyle w:val="Style37"/>
        <w:keepNext/>
        <w:keepLines/>
        <w:widowControl w:val="0"/>
        <w:shd w:val="clear" w:color="auto" w:fill="auto"/>
        <w:tabs>
          <w:tab w:pos="521" w:val="left"/>
        </w:tabs>
        <w:bidi w:val="0"/>
        <w:spacing w:before="0" w:after="200" w:line="329"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45"/>
      <w:bookmarkEnd w:id="1046"/>
      <w:bookmarkEnd w:id="1048"/>
    </w:p>
    <w:p>
      <w:pPr>
        <w:pStyle w:val="Style34"/>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无</w:t>
      </w:r>
    </w:p>
    <w:p>
      <w:pPr>
        <w:pStyle w:val="Style37"/>
        <w:keepNext/>
        <w:keepLines/>
        <w:widowControl w:val="0"/>
        <w:shd w:val="clear" w:color="auto" w:fill="auto"/>
        <w:tabs>
          <w:tab w:pos="521" w:val="left"/>
        </w:tabs>
        <w:bidi w:val="0"/>
        <w:spacing w:before="0" w:after="200" w:line="329"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49"/>
      <w:bookmarkEnd w:id="1050"/>
      <w:bookmarkEnd w:id="1052"/>
    </w:p>
    <w:p>
      <w:pPr>
        <w:pStyle w:val="Style34"/>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无</w:t>
      </w:r>
    </w:p>
    <w:p>
      <w:pPr>
        <w:pStyle w:val="Style37"/>
        <w:keepNext/>
        <w:keepLines/>
        <w:widowControl w:val="0"/>
        <w:shd w:val="clear" w:color="auto" w:fill="auto"/>
        <w:tabs>
          <w:tab w:pos="513" w:val="left"/>
        </w:tabs>
        <w:bidi w:val="0"/>
        <w:spacing w:before="0" w:after="2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53"/>
      <w:bookmarkEnd w:id="1054"/>
      <w:bookmarkEnd w:id="1056"/>
    </w:p>
    <w:p>
      <w:pPr>
        <w:pStyle w:val="Style34"/>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37"/>
        <w:keepNext/>
        <w:keepLines/>
        <w:widowControl w:val="0"/>
        <w:shd w:val="clear" w:color="auto" w:fill="auto"/>
        <w:tabs>
          <w:tab w:pos="513" w:val="left"/>
        </w:tabs>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57"/>
      <w:bookmarkEnd w:id="1058"/>
      <w:bookmarkEnd w:id="1060"/>
    </w:p>
    <w:p>
      <w:pPr>
        <w:pStyle w:val="Style37"/>
        <w:keepNext/>
        <w:keepLines/>
        <w:widowControl w:val="0"/>
        <w:shd w:val="clear" w:color="auto" w:fill="auto"/>
        <w:bidi w:val="0"/>
        <w:spacing w:before="0" w:after="260" w:line="240" w:lineRule="auto"/>
        <w:ind w:left="0" w:right="0" w:firstLine="0"/>
        <w:jc w:val="left"/>
      </w:pPr>
      <w:bookmarkStart w:id="1057" w:name="bookmark1057"/>
      <w:bookmarkStart w:id="1058" w:name="bookmark1058"/>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57"/>
      <w:bookmarkEnd w:id="1058"/>
      <w:bookmarkEnd w:id="1062"/>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无形资产是指本公司拥有或者控制的没有实物形态的可辨认非货币性资产。</w:t>
      </w:r>
    </w:p>
    <w:p>
      <w:pPr>
        <w:pStyle w:val="Style34"/>
        <w:keepNext w:val="0"/>
        <w:keepLines w:val="0"/>
        <w:widowControl w:val="0"/>
        <w:numPr>
          <w:ilvl w:val="0"/>
          <w:numId w:val="43"/>
        </w:numPr>
        <w:shd w:val="clear" w:color="auto" w:fill="auto"/>
        <w:tabs>
          <w:tab w:pos="753" w:val="left"/>
        </w:tabs>
        <w:bidi w:val="0"/>
        <w:spacing w:before="0" w:after="0" w:line="316" w:lineRule="exact"/>
        <w:ind w:left="0" w:right="0"/>
        <w:jc w:val="left"/>
      </w:pPr>
      <w:bookmarkStart w:id="1063" w:name="bookmark1063"/>
      <w:bookmarkEnd w:id="1063"/>
      <w:r>
        <w:rPr>
          <w:color w:val="000000"/>
          <w:spacing w:val="0"/>
          <w:w w:val="100"/>
          <w:position w:val="0"/>
        </w:rPr>
        <w:t>无形资产的计价方法</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本公司无形资产按照成本进行初始计量。购入的无形资产，按实际支付的价款和相关支出作为实际成本。投资者投入的 无形资产，按投资合同或协议约定的价值确定实际成本，但合同或协议约定价值不公允的，按公允价值确定实际成本。自行 开发的无形资产，其成本为达到预定用途前所发生的支出总额。</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本公司无形资产后续计量，分别为：</w:t>
      </w:r>
    </w:p>
    <w:p>
      <w:pPr>
        <w:pStyle w:val="Style34"/>
        <w:keepNext w:val="0"/>
        <w:keepLines w:val="0"/>
        <w:widowControl w:val="0"/>
        <w:numPr>
          <w:ilvl w:val="0"/>
          <w:numId w:val="45"/>
        </w:numPr>
        <w:shd w:val="clear" w:color="auto" w:fill="auto"/>
        <w:tabs>
          <w:tab w:pos="661" w:val="left"/>
        </w:tabs>
        <w:bidi w:val="0"/>
        <w:spacing w:before="0" w:after="0" w:line="316" w:lineRule="exact"/>
        <w:ind w:left="0" w:right="0"/>
        <w:jc w:val="left"/>
      </w:pPr>
      <w:bookmarkStart w:id="1064" w:name="bookmark1064"/>
      <w:bookmarkEnd w:id="1064"/>
      <w:r>
        <w:rPr>
          <w:color w:val="000000"/>
          <w:spacing w:val="0"/>
          <w:w w:val="100"/>
          <w:position w:val="0"/>
        </w:rPr>
        <w:t>使用寿命有限无形资产采用直线法摊销，并在年度终了，对无形资产的使用寿命和摊销方法进行复核，如与原先估计 数存在差异的，进行相应的调整。</w:t>
      </w:r>
    </w:p>
    <w:p>
      <w:pPr>
        <w:pStyle w:val="Style34"/>
        <w:keepNext w:val="0"/>
        <w:keepLines w:val="0"/>
        <w:widowControl w:val="0"/>
        <w:numPr>
          <w:ilvl w:val="0"/>
          <w:numId w:val="45"/>
        </w:numPr>
        <w:shd w:val="clear" w:color="auto" w:fill="auto"/>
        <w:tabs>
          <w:tab w:pos="675" w:val="left"/>
        </w:tabs>
        <w:bidi w:val="0"/>
        <w:spacing w:before="0" w:after="0" w:line="316" w:lineRule="exact"/>
        <w:ind w:left="0" w:right="0"/>
        <w:jc w:val="left"/>
      </w:pPr>
      <w:bookmarkStart w:id="1065" w:name="bookmark1065"/>
      <w:bookmarkEnd w:id="1065"/>
      <w:r>
        <w:rPr>
          <w:color w:val="000000"/>
          <w:spacing w:val="0"/>
          <w:w w:val="100"/>
          <w:position w:val="0"/>
        </w:rPr>
        <w:t>使用寿命不确定的无形资产不摊销，但在年度终了，对使用寿命进行复核，当有确凿证据表明其使用寿命是有限的， 则估计其使用寿命，按直线法进行摊销。</w:t>
      </w:r>
    </w:p>
    <w:p>
      <w:pPr>
        <w:pStyle w:val="Style34"/>
        <w:keepNext w:val="0"/>
        <w:keepLines w:val="0"/>
        <w:widowControl w:val="0"/>
        <w:numPr>
          <w:ilvl w:val="0"/>
          <w:numId w:val="43"/>
        </w:numPr>
        <w:shd w:val="clear" w:color="auto" w:fill="auto"/>
        <w:tabs>
          <w:tab w:pos="753" w:val="left"/>
        </w:tabs>
        <w:bidi w:val="0"/>
        <w:spacing w:before="0" w:after="0" w:line="316" w:lineRule="exact"/>
        <w:ind w:left="0" w:right="0"/>
        <w:jc w:val="left"/>
      </w:pPr>
      <w:bookmarkStart w:id="1066" w:name="bookmark1066"/>
      <w:bookmarkEnd w:id="1066"/>
      <w:r>
        <w:rPr>
          <w:color w:val="000000"/>
          <w:spacing w:val="0"/>
          <w:w w:val="100"/>
          <w:position w:val="0"/>
        </w:rPr>
        <w:t>使用寿命不确定的判断依据</w:t>
      </w:r>
    </w:p>
    <w:p>
      <w:pPr>
        <w:pStyle w:val="Style34"/>
        <w:keepNext w:val="0"/>
        <w:keepLines w:val="0"/>
        <w:widowControl w:val="0"/>
        <w:shd w:val="clear" w:color="auto" w:fill="auto"/>
        <w:bidi w:val="0"/>
        <w:spacing w:before="0" w:after="0" w:line="316" w:lineRule="exact"/>
        <w:ind w:left="380" w:right="0" w:firstLine="0"/>
        <w:jc w:val="left"/>
      </w:pPr>
      <w:r>
        <w:rPr>
          <w:color w:val="000000"/>
          <w:spacing w:val="0"/>
          <w:w w:val="100"/>
          <w:position w:val="0"/>
        </w:rPr>
        <w:t>本公司将无法预见该资产为公司带来经济利益的期限，或使用期限不确定等无形资产确定为使用寿命不确定的无形资产。 使用寿命不确定的判断依据：</w:t>
      </w:r>
    </w:p>
    <w:p>
      <w:pPr>
        <w:pStyle w:val="Style34"/>
        <w:keepNext w:val="0"/>
        <w:keepLines w:val="0"/>
        <w:widowControl w:val="0"/>
        <w:numPr>
          <w:ilvl w:val="0"/>
          <w:numId w:val="47"/>
        </w:numPr>
        <w:shd w:val="clear" w:color="auto" w:fill="auto"/>
        <w:tabs>
          <w:tab w:pos="681" w:val="left"/>
        </w:tabs>
        <w:bidi w:val="0"/>
        <w:spacing w:before="0" w:after="0" w:line="316" w:lineRule="exact"/>
        <w:ind w:left="380" w:right="0" w:firstLine="0"/>
        <w:jc w:val="left"/>
      </w:pPr>
      <w:bookmarkStart w:id="1067" w:name="bookmark1067"/>
      <w:bookmarkEnd w:id="1067"/>
      <w:r>
        <w:rPr>
          <w:color w:val="000000"/>
          <w:spacing w:val="0"/>
          <w:w w:val="100"/>
          <w:position w:val="0"/>
        </w:rPr>
        <w:t>来源于合同性权利或其他法定权利，但合同规定或法律规定无明确使用年限；</w:t>
      </w:r>
    </w:p>
    <w:p>
      <w:pPr>
        <w:pStyle w:val="Style34"/>
        <w:keepNext w:val="0"/>
        <w:keepLines w:val="0"/>
        <w:widowControl w:val="0"/>
        <w:numPr>
          <w:ilvl w:val="0"/>
          <w:numId w:val="47"/>
        </w:numPr>
        <w:shd w:val="clear" w:color="auto" w:fill="auto"/>
        <w:tabs>
          <w:tab w:pos="700" w:val="left"/>
        </w:tabs>
        <w:bidi w:val="0"/>
        <w:spacing w:before="0" w:after="0" w:line="316" w:lineRule="exact"/>
        <w:ind w:left="380" w:right="0" w:firstLine="0"/>
        <w:jc w:val="left"/>
      </w:pPr>
      <w:bookmarkStart w:id="1068" w:name="bookmark1068"/>
      <w:bookmarkEnd w:id="1068"/>
      <w:r>
        <w:rPr>
          <w:color w:val="000000"/>
          <w:spacing w:val="0"/>
          <w:w w:val="100"/>
          <w:position w:val="0"/>
        </w:rPr>
        <w:t>综合同行业情况或相关专家论证等，仍无法判断无形资产为公司带来经济利益的期限。</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每年年末，本公司对使用寿命不确定无形资产使用寿命进行复核，主要采取自下而上的方式，由无形资产使用相关部门 进行基础复核，评价使用寿命不确定判断依据是否存在变化等。</w:t>
      </w:r>
    </w:p>
    <w:p>
      <w:pPr>
        <w:pStyle w:val="Style34"/>
        <w:keepNext w:val="0"/>
        <w:keepLines w:val="0"/>
        <w:widowControl w:val="0"/>
        <w:numPr>
          <w:ilvl w:val="0"/>
          <w:numId w:val="43"/>
        </w:numPr>
        <w:shd w:val="clear" w:color="auto" w:fill="auto"/>
        <w:tabs>
          <w:tab w:pos="753" w:val="left"/>
        </w:tabs>
        <w:bidi w:val="0"/>
        <w:spacing w:before="0" w:after="0" w:line="316" w:lineRule="exact"/>
        <w:ind w:left="0" w:right="0"/>
        <w:jc w:val="both"/>
      </w:pPr>
      <w:bookmarkStart w:id="1069" w:name="bookmark1069"/>
      <w:bookmarkEnd w:id="1069"/>
      <w:r>
        <w:rPr>
          <w:color w:val="000000"/>
          <w:spacing w:val="0"/>
          <w:w w:val="100"/>
          <w:position w:val="0"/>
        </w:rPr>
        <w:t>无形资产的减值测试方法及减值准备计提方法</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资产负债表日，本公司对无形资产检查是否存在可能发生减值的迹象，当存在减值迹象时应进行减值测试确认其可收回 金额，按可收回金额低于账面价值部分计提减值准备，减值损失一经计提，在以后会计期间不再转回。</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无形资产可收回金额根据资产公允价值减去处置费用后的净额与资产预计未来现金流量的现值两者孰高确定。</w:t>
      </w:r>
    </w:p>
    <w:p>
      <w:pPr>
        <w:pStyle w:val="Style34"/>
        <w:keepNext w:val="0"/>
        <w:keepLines w:val="0"/>
        <w:widowControl w:val="0"/>
        <w:numPr>
          <w:ilvl w:val="0"/>
          <w:numId w:val="43"/>
        </w:numPr>
        <w:shd w:val="clear" w:color="auto" w:fill="auto"/>
        <w:tabs>
          <w:tab w:pos="753" w:val="left"/>
        </w:tabs>
        <w:bidi w:val="0"/>
        <w:spacing w:before="0" w:after="0" w:line="316" w:lineRule="exact"/>
        <w:ind w:left="0" w:right="0"/>
        <w:jc w:val="both"/>
      </w:pPr>
      <w:bookmarkStart w:id="1070" w:name="bookmark1070"/>
      <w:bookmarkEnd w:id="1070"/>
      <w:r>
        <w:rPr>
          <w:color w:val="000000"/>
          <w:spacing w:val="0"/>
          <w:w w:val="100"/>
          <w:position w:val="0"/>
        </w:rPr>
        <w:t>内部研究开发项目的研究阶段和开发阶段具体标准，以及开发阶段支出符合资本化条件的具体标准</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内部研究开发项目研究阶段的支出，于发生时计入当期损益；开发阶段的支出，同时满足下列条件的，确认为无形资产：</w:t>
      </w:r>
    </w:p>
    <w:p>
      <w:pPr>
        <w:pStyle w:val="Style34"/>
        <w:keepNext w:val="0"/>
        <w:keepLines w:val="0"/>
        <w:widowControl w:val="0"/>
        <w:numPr>
          <w:ilvl w:val="0"/>
          <w:numId w:val="49"/>
        </w:numPr>
        <w:shd w:val="clear" w:color="auto" w:fill="auto"/>
        <w:tabs>
          <w:tab w:pos="681" w:val="left"/>
        </w:tabs>
        <w:bidi w:val="0"/>
        <w:spacing w:before="0" w:after="0" w:line="316" w:lineRule="exact"/>
        <w:ind w:left="0" w:right="0"/>
        <w:jc w:val="both"/>
      </w:pPr>
      <w:bookmarkStart w:id="1071" w:name="bookmark1071"/>
      <w:bookmarkEnd w:id="1071"/>
      <w:r>
        <w:rPr>
          <w:color w:val="000000"/>
          <w:spacing w:val="0"/>
          <w:w w:val="100"/>
          <w:position w:val="0"/>
        </w:rPr>
        <w:t>完成该无形资产以使其能够使用或出售在技术上具有可行性；</w:t>
      </w:r>
    </w:p>
    <w:p>
      <w:pPr>
        <w:pStyle w:val="Style34"/>
        <w:keepNext w:val="0"/>
        <w:keepLines w:val="0"/>
        <w:widowControl w:val="0"/>
        <w:numPr>
          <w:ilvl w:val="0"/>
          <w:numId w:val="49"/>
        </w:numPr>
        <w:shd w:val="clear" w:color="auto" w:fill="auto"/>
        <w:tabs>
          <w:tab w:pos="700" w:val="left"/>
        </w:tabs>
        <w:bidi w:val="0"/>
        <w:spacing w:before="0" w:after="0" w:line="316" w:lineRule="exact"/>
        <w:ind w:left="0" w:right="0"/>
        <w:jc w:val="both"/>
      </w:pPr>
      <w:bookmarkStart w:id="1072" w:name="bookmark1072"/>
      <w:bookmarkEnd w:id="1072"/>
      <w:r>
        <w:rPr>
          <w:color w:val="000000"/>
          <w:spacing w:val="0"/>
          <w:w w:val="100"/>
          <w:position w:val="0"/>
        </w:rPr>
        <w:t>具有完成该无形资产并使用或出售的意图；</w:t>
      </w:r>
    </w:p>
    <w:p>
      <w:pPr>
        <w:pStyle w:val="Style34"/>
        <w:keepNext w:val="0"/>
        <w:keepLines w:val="0"/>
        <w:widowControl w:val="0"/>
        <w:numPr>
          <w:ilvl w:val="0"/>
          <w:numId w:val="49"/>
        </w:numPr>
        <w:shd w:val="clear" w:color="auto" w:fill="auto"/>
        <w:tabs>
          <w:tab w:pos="680" w:val="left"/>
        </w:tabs>
        <w:bidi w:val="0"/>
        <w:spacing w:before="0" w:after="0" w:line="316" w:lineRule="exact"/>
        <w:ind w:left="0" w:right="0"/>
        <w:jc w:val="both"/>
      </w:pPr>
      <w:bookmarkStart w:id="1073" w:name="bookmark1073"/>
      <w:bookmarkEnd w:id="1073"/>
      <w:r>
        <w:rPr>
          <w:color w:val="000000"/>
          <w:spacing w:val="0"/>
          <w:w w:val="100"/>
          <w:position w:val="0"/>
        </w:rPr>
        <w:t>无形资产产生经济利益的方式，包括能够证明运用该无形资产生产的产品存在市场或无形资产自身存在市场，无形资 产将在内部使用的，能证明其有用性；</w:t>
      </w:r>
    </w:p>
    <w:p>
      <w:pPr>
        <w:pStyle w:val="Style34"/>
        <w:keepNext w:val="0"/>
        <w:keepLines w:val="0"/>
        <w:widowControl w:val="0"/>
        <w:numPr>
          <w:ilvl w:val="0"/>
          <w:numId w:val="49"/>
        </w:numPr>
        <w:shd w:val="clear" w:color="auto" w:fill="auto"/>
        <w:tabs>
          <w:tab w:pos="700" w:val="left"/>
        </w:tabs>
        <w:bidi w:val="0"/>
        <w:spacing w:before="0" w:after="0" w:line="316" w:lineRule="exact"/>
        <w:ind w:left="0" w:right="0"/>
        <w:jc w:val="both"/>
      </w:pPr>
      <w:bookmarkStart w:id="1074" w:name="bookmark1074"/>
      <w:bookmarkEnd w:id="1074"/>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numPr>
          <w:ilvl w:val="0"/>
          <w:numId w:val="49"/>
        </w:numPr>
        <w:shd w:val="clear" w:color="auto" w:fill="auto"/>
        <w:tabs>
          <w:tab w:pos="700" w:val="left"/>
        </w:tabs>
        <w:bidi w:val="0"/>
        <w:spacing w:before="0" w:after="0" w:line="316" w:lineRule="exact"/>
        <w:ind w:left="0" w:right="0"/>
        <w:jc w:val="both"/>
      </w:pPr>
      <w:bookmarkStart w:id="1075" w:name="bookmark1075"/>
      <w:bookmarkEnd w:id="1075"/>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34"/>
        <w:keepNext w:val="0"/>
        <w:keepLines w:val="0"/>
        <w:widowControl w:val="0"/>
        <w:shd w:val="clear" w:color="auto" w:fill="auto"/>
        <w:bidi w:val="0"/>
        <w:spacing w:before="0" w:after="320" w:line="316" w:lineRule="exact"/>
        <w:ind w:left="0" w:right="0"/>
        <w:jc w:val="left"/>
      </w:pPr>
      <w:r>
        <w:rPr>
          <w:color w:val="000000"/>
          <w:spacing w:val="0"/>
          <w:w w:val="100"/>
          <w:position w:val="0"/>
        </w:rPr>
        <w:t>无法区分研究阶段支出和开发阶段支出的，将发生的研发支出全部计入当期损益。</w:t>
      </w:r>
    </w:p>
    <w:p>
      <w:pPr>
        <w:pStyle w:val="Style37"/>
        <w:keepNext/>
        <w:keepLines/>
        <w:widowControl w:val="0"/>
        <w:shd w:val="clear" w:color="auto" w:fill="auto"/>
        <w:bidi w:val="0"/>
        <w:spacing w:before="0" w:after="2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76"/>
      <w:bookmarkEnd w:id="1077"/>
      <w:bookmarkEnd w:id="1079"/>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公司内部研究开发项目开发阶段的支出，同时满足下列条件的，才能确认为无形资产：</w:t>
      </w:r>
    </w:p>
    <w:p>
      <w:pPr>
        <w:pStyle w:val="Style34"/>
        <w:keepNext w:val="0"/>
        <w:keepLines w:val="0"/>
        <w:widowControl w:val="0"/>
        <w:numPr>
          <w:ilvl w:val="0"/>
          <w:numId w:val="51"/>
        </w:numPr>
        <w:shd w:val="clear" w:color="auto" w:fill="auto"/>
        <w:tabs>
          <w:tab w:pos="752" w:val="left"/>
        </w:tabs>
        <w:bidi w:val="0"/>
        <w:spacing w:before="0" w:after="0" w:line="312" w:lineRule="exact"/>
        <w:ind w:left="0" w:right="0"/>
        <w:jc w:val="both"/>
      </w:pPr>
      <w:bookmarkStart w:id="1080" w:name="bookmark1080"/>
      <w:bookmarkEnd w:id="1080"/>
      <w:r>
        <w:rPr>
          <w:color w:val="000000"/>
          <w:spacing w:val="0"/>
          <w:w w:val="100"/>
          <w:position w:val="0"/>
        </w:rPr>
        <w:t>完成该无形资产以使其能够使用或出售在技术上具有可行性；</w:t>
      </w:r>
    </w:p>
    <w:p>
      <w:pPr>
        <w:pStyle w:val="Style34"/>
        <w:keepNext w:val="0"/>
        <w:keepLines w:val="0"/>
        <w:widowControl w:val="0"/>
        <w:numPr>
          <w:ilvl w:val="0"/>
          <w:numId w:val="51"/>
        </w:numPr>
        <w:shd w:val="clear" w:color="auto" w:fill="auto"/>
        <w:tabs>
          <w:tab w:pos="752" w:val="left"/>
        </w:tabs>
        <w:bidi w:val="0"/>
        <w:spacing w:before="0" w:after="0" w:line="312" w:lineRule="exact"/>
        <w:ind w:left="0" w:right="0"/>
        <w:jc w:val="both"/>
      </w:pPr>
      <w:bookmarkStart w:id="1081" w:name="bookmark1081"/>
      <w:bookmarkEnd w:id="1081"/>
      <w:r>
        <w:rPr>
          <w:color w:val="000000"/>
          <w:spacing w:val="0"/>
          <w:w w:val="100"/>
          <w:position w:val="0"/>
        </w:rPr>
        <w:t>具有完成该无形资产并使用或出售的意图；</w:t>
      </w:r>
    </w:p>
    <w:p>
      <w:pPr>
        <w:pStyle w:val="Style34"/>
        <w:keepNext w:val="0"/>
        <w:keepLines w:val="0"/>
        <w:widowControl w:val="0"/>
        <w:numPr>
          <w:ilvl w:val="0"/>
          <w:numId w:val="51"/>
        </w:numPr>
        <w:shd w:val="clear" w:color="auto" w:fill="auto"/>
        <w:tabs>
          <w:tab w:pos="732" w:val="left"/>
        </w:tabs>
        <w:bidi w:val="0"/>
        <w:spacing w:before="0" w:after="0" w:line="312" w:lineRule="exact"/>
        <w:ind w:left="0" w:right="0"/>
        <w:jc w:val="both"/>
      </w:pPr>
      <w:bookmarkStart w:id="1082" w:name="bookmark1082"/>
      <w:bookmarkEnd w:id="1082"/>
      <w:r>
        <w:rPr>
          <w:color w:val="000000"/>
          <w:spacing w:val="0"/>
          <w:w w:val="100"/>
          <w:position w:val="0"/>
        </w:rPr>
        <w:t>无形资产产生经济利益的方式，包括能够证明运用该无形资产生产的产品存在市场或无形资产自身存在市场，无形资 产将在内部使用的，应当证明其有用性；</w:t>
      </w:r>
    </w:p>
    <w:p>
      <w:pPr>
        <w:pStyle w:val="Style34"/>
        <w:keepNext w:val="0"/>
        <w:keepLines w:val="0"/>
        <w:widowControl w:val="0"/>
        <w:numPr>
          <w:ilvl w:val="0"/>
          <w:numId w:val="51"/>
        </w:numPr>
        <w:shd w:val="clear" w:color="auto" w:fill="auto"/>
        <w:tabs>
          <w:tab w:pos="752" w:val="left"/>
        </w:tabs>
        <w:bidi w:val="0"/>
        <w:spacing w:before="0" w:after="0" w:line="312" w:lineRule="exact"/>
        <w:ind w:left="0" w:right="0"/>
        <w:jc w:val="both"/>
      </w:pPr>
      <w:bookmarkStart w:id="1083" w:name="bookmark1083"/>
      <w:bookmarkEnd w:id="1083"/>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numPr>
          <w:ilvl w:val="0"/>
          <w:numId w:val="51"/>
        </w:numPr>
        <w:shd w:val="clear" w:color="auto" w:fill="auto"/>
        <w:tabs>
          <w:tab w:pos="752" w:val="left"/>
        </w:tabs>
        <w:bidi w:val="0"/>
        <w:spacing w:before="0" w:after="0" w:line="312" w:lineRule="exact"/>
        <w:ind w:left="0" w:right="0"/>
        <w:jc w:val="both"/>
      </w:pPr>
      <w:bookmarkStart w:id="1084" w:name="bookmark1084"/>
      <w:bookmarkEnd w:id="1084"/>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除满足上述条件的开发阶段的支出外，其他研究、开发支出均于发生时计入当期损益。</w:t>
      </w:r>
    </w:p>
    <w:p>
      <w:pPr>
        <w:pStyle w:val="Style37"/>
        <w:keepNext/>
        <w:keepLines/>
        <w:widowControl w:val="0"/>
        <w:shd w:val="clear" w:color="auto" w:fill="auto"/>
        <w:tabs>
          <w:tab w:pos="497" w:val="left"/>
        </w:tabs>
        <w:bidi w:val="0"/>
        <w:spacing w:before="0" w:after="26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85"/>
      <w:bookmarkEnd w:id="1086"/>
      <w:bookmarkEnd w:id="1088"/>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本公司对长期股权投资、采用成本模式计量的投资性房地产、固定资产、在建工程、无形资产等长期资产，于资产负债 表日存在减值迹象的，进行减值测试。减值测试结果表明资产的可收回金额低于其账面价值的，按其差额计提减值准备并计 入减值损失。可收回金额为资产的公允价值减去处置费用后的净额与资产预计未来现金流量的现值两者之间的较高者。资产 减值准备按单项资产为基础计算并确认，如果难以对单项资产的可收回金额进行估计的，以该资产所属的资产组确定资产组 的可收回金额。资产组是能够独立产生现金流入的最小资产组合。</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商誉至少在每年年度终了进行减值测试。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本公司进行商誉减值测试时，对于因企业合并形成的商誉的账面价值，自购买日起按照合理的方法分摊至相关的资产组；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本公司在对包含商誉的相关资产组或者资产组组合进行减值测试时，如与商誉相关的资产组或者资产组组合存在减值迹 象的，先对不包含商誉的资产组或者资产组组合进行减值测试，计算可收回金额，并与相关账面价值相比较，确认相应的减 值损失。再对包含商誉的资产组或者资产组组合进行减值测试，比较这些相关资产组或者资产组组合的账面价值（包括所分 摊的商誉的账面价值部分）与其可收回金额，如相关资产组或者资产组组合的可收回金额低于其账面价值的，确认商誉的减 值损失。上述资产减值损失一经确认，在以后会计期间不予转回。</w:t>
      </w:r>
    </w:p>
    <w:p>
      <w:pPr>
        <w:pStyle w:val="Style37"/>
        <w:keepNext/>
        <w:keepLines/>
        <w:widowControl w:val="0"/>
        <w:shd w:val="clear" w:color="auto" w:fill="auto"/>
        <w:tabs>
          <w:tab w:pos="497" w:val="left"/>
        </w:tabs>
        <w:bidi w:val="0"/>
        <w:spacing w:before="0" w:after="2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89"/>
      <w:bookmarkEnd w:id="1090"/>
      <w:bookmarkEnd w:id="1092"/>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本公司长期待摊费用是指已经支出，但受益期限在一年以上（不含一年）的各项费用。长期待摊费用按费用项目的受益 期限分期摊销。若长期待摊的费用项目不能使以后会计期间受益，本公司将尚未摊销的该项目的摊余价值全部转入当期损益。</w:t>
      </w:r>
    </w:p>
    <w:p>
      <w:pPr>
        <w:pStyle w:val="Style37"/>
        <w:keepNext/>
        <w:keepLines/>
        <w:widowControl w:val="0"/>
        <w:shd w:val="clear" w:color="auto" w:fill="auto"/>
        <w:tabs>
          <w:tab w:pos="497" w:val="left"/>
        </w:tabs>
        <w:bidi w:val="0"/>
        <w:spacing w:before="0" w:after="26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3</w:t>
      </w:r>
      <w:bookmarkEnd w:id="109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93"/>
      <w:bookmarkEnd w:id="1094"/>
      <w:bookmarkEnd w:id="1096"/>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7"/>
        <w:keepNext/>
        <w:keepLines/>
        <w:widowControl w:val="0"/>
        <w:shd w:val="clear" w:color="auto" w:fill="auto"/>
        <w:tabs>
          <w:tab w:pos="497" w:val="left"/>
        </w:tabs>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3</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97"/>
      <w:bookmarkEnd w:id="1098"/>
      <w:bookmarkEnd w:id="1100"/>
    </w:p>
    <w:p>
      <w:pPr>
        <w:pStyle w:val="Style37"/>
        <w:keepNext/>
        <w:keepLines/>
        <w:widowControl w:val="0"/>
        <w:shd w:val="clear" w:color="auto" w:fill="auto"/>
        <w:bidi w:val="0"/>
        <w:spacing w:before="0" w:after="260" w:line="240" w:lineRule="auto"/>
        <w:ind w:left="0" w:right="0" w:firstLine="0"/>
        <w:jc w:val="left"/>
      </w:pPr>
      <w:bookmarkStart w:id="1097" w:name="bookmark1097"/>
      <w:bookmarkStart w:id="1098" w:name="bookmark1098"/>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97"/>
      <w:bookmarkEnd w:id="1098"/>
      <w:bookmarkEnd w:id="1102"/>
    </w:p>
    <w:p>
      <w:pPr>
        <w:pStyle w:val="Style34"/>
        <w:keepNext w:val="0"/>
        <w:keepLines w:val="0"/>
        <w:widowControl w:val="0"/>
        <w:shd w:val="clear" w:color="auto" w:fill="auto"/>
        <w:bidi w:val="0"/>
        <w:spacing w:before="0" w:after="260" w:line="314" w:lineRule="exact"/>
        <w:ind w:left="0" w:right="0"/>
        <w:jc w:val="both"/>
      </w:pPr>
      <w:r>
        <w:rPr>
          <w:color w:val="000000"/>
          <w:spacing w:val="0"/>
          <w:w w:val="100"/>
          <w:position w:val="0"/>
        </w:rPr>
        <w:t>本公司短期薪酬包括短期工资、奖金、津贴、补贴、职工福利费、住房公积金、工会经费和职工教育经费、医疗保险费、 工伤保险费、生育保险费、短期带薪缺勤、短期利润分享计划等。本公司在职工提供服务的会计期间，将实际发生的应付的 短期薪酬确认为负债，并按照受益对象和权责发生制原则计入当期损益或相关资产成本。</w:t>
      </w:r>
    </w:p>
    <w:p>
      <w:pPr>
        <w:pStyle w:val="Style37"/>
        <w:keepNext/>
        <w:keepLines/>
        <w:widowControl w:val="0"/>
        <w:shd w:val="clear" w:color="auto" w:fill="auto"/>
        <w:tabs>
          <w:tab w:pos="493" w:val="left"/>
        </w:tabs>
        <w:bidi w:val="0"/>
        <w:spacing w:before="0" w:after="300" w:line="314" w:lineRule="exact"/>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03"/>
      <w:bookmarkEnd w:id="1104"/>
      <w:bookmarkEnd w:id="1106"/>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离职后福利主要包括基本养老保险费、企业年金等，按照本公司承担的风险和义务，分类为设定提存计划、设定受益计 划。</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设定提存计划：本公司在资产负债表日为换取职工在会计期间提供的服务而向单独主体缴存的提存金确认为负债，并按 照受益对象计入当期损益或相关资产成本。</w:t>
      </w:r>
    </w:p>
    <w:p>
      <w:pPr>
        <w:pStyle w:val="Style34"/>
        <w:keepNext w:val="0"/>
        <w:keepLines w:val="0"/>
        <w:widowControl w:val="0"/>
        <w:shd w:val="clear" w:color="auto" w:fill="auto"/>
        <w:bidi w:val="0"/>
        <w:spacing w:before="0" w:after="0" w:line="278" w:lineRule="exact"/>
        <w:ind w:left="0" w:right="0"/>
        <w:jc w:val="both"/>
      </w:pPr>
      <w:r>
        <w:rPr>
          <w:color w:val="000000"/>
          <w:spacing w:val="0"/>
          <w:w w:val="100"/>
          <w:position w:val="0"/>
        </w:rPr>
        <w:t>设定受益计划：本公司在半年和年度资产负债表日由独立精算师进行精算估值，以预期累积福利单位法确定提供福利的 成本。本公司设定受益计划导致的职工薪酬成本包括下列组成部分：</w:t>
      </w:r>
    </w:p>
    <w:p>
      <w:pPr>
        <w:pStyle w:val="Style34"/>
        <w:keepNext w:val="0"/>
        <w:keepLines w:val="0"/>
        <w:widowControl w:val="0"/>
        <w:numPr>
          <w:ilvl w:val="0"/>
          <w:numId w:val="53"/>
        </w:numPr>
        <w:shd w:val="clear" w:color="auto" w:fill="auto"/>
        <w:tabs>
          <w:tab w:pos="733" w:val="left"/>
        </w:tabs>
        <w:bidi w:val="0"/>
        <w:spacing w:before="0" w:after="0" w:line="309" w:lineRule="exact"/>
        <w:ind w:left="0" w:right="0"/>
        <w:jc w:val="both"/>
      </w:pPr>
      <w:bookmarkStart w:id="1107" w:name="bookmark1107"/>
      <w:bookmarkEnd w:id="1107"/>
      <w:r>
        <w:rPr>
          <w:color w:val="000000"/>
          <w:spacing w:val="0"/>
          <w:w w:val="100"/>
          <w:position w:val="0"/>
        </w:rPr>
        <w:t>服务成本，包括当期服务成本、过去服务成本和结算利得或损失。其中，当期服务成本是指，职工当期提供服务所导 致的设定受益义务现值的增加额；过去服务成本是指，设定受益计划修改所导致的与以前期间职工服务相关的设定受益义务 现值的增加或减少；</w:t>
      </w:r>
    </w:p>
    <w:p>
      <w:pPr>
        <w:pStyle w:val="Style34"/>
        <w:keepNext w:val="0"/>
        <w:keepLines w:val="0"/>
        <w:widowControl w:val="0"/>
        <w:numPr>
          <w:ilvl w:val="0"/>
          <w:numId w:val="53"/>
        </w:numPr>
        <w:shd w:val="clear" w:color="auto" w:fill="auto"/>
        <w:tabs>
          <w:tab w:pos="753" w:val="left"/>
        </w:tabs>
        <w:bidi w:val="0"/>
        <w:spacing w:before="0" w:after="0" w:line="309" w:lineRule="exact"/>
        <w:ind w:left="0" w:right="0"/>
        <w:jc w:val="both"/>
      </w:pPr>
      <w:bookmarkStart w:id="1108" w:name="bookmark1108"/>
      <w:bookmarkEnd w:id="1108"/>
      <w:r>
        <w:rPr>
          <w:color w:val="000000"/>
          <w:spacing w:val="0"/>
          <w:w w:val="100"/>
          <w:position w:val="0"/>
        </w:rPr>
        <w:t>设定受益义务的利息费用；</w:t>
      </w:r>
    </w:p>
    <w:p>
      <w:pPr>
        <w:pStyle w:val="Style34"/>
        <w:keepNext w:val="0"/>
        <w:keepLines w:val="0"/>
        <w:widowControl w:val="0"/>
        <w:numPr>
          <w:ilvl w:val="0"/>
          <w:numId w:val="53"/>
        </w:numPr>
        <w:shd w:val="clear" w:color="auto" w:fill="auto"/>
        <w:tabs>
          <w:tab w:pos="738" w:val="left"/>
        </w:tabs>
        <w:bidi w:val="0"/>
        <w:spacing w:before="0" w:after="300" w:line="309" w:lineRule="exact"/>
        <w:ind w:left="0" w:right="0"/>
        <w:jc w:val="both"/>
      </w:pPr>
      <w:bookmarkStart w:id="1109" w:name="bookmark1109"/>
      <w:bookmarkEnd w:id="1109"/>
      <w:r>
        <w:rPr>
          <w:color w:val="000000"/>
          <w:spacing w:val="0"/>
          <w:w w:val="100"/>
          <w:position w:val="0"/>
        </w:rPr>
        <w:t>重新计量设定受益计划负债导致的变动。除非其他会计准则要求或允许职工福利成本计入资产成本，本公司将上述第 ①和②项计入当期损益；第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项计入其他综合收益且不会在后续会计期间转回至损益。</w:t>
      </w:r>
    </w:p>
    <w:p>
      <w:pPr>
        <w:pStyle w:val="Style37"/>
        <w:keepNext/>
        <w:keepLines/>
        <w:widowControl w:val="0"/>
        <w:shd w:val="clear" w:color="auto" w:fill="auto"/>
        <w:tabs>
          <w:tab w:pos="493" w:val="left"/>
        </w:tabs>
        <w:bidi w:val="0"/>
        <w:spacing w:before="0" w:after="300" w:line="314" w:lineRule="exact"/>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10"/>
      <w:bookmarkEnd w:id="1111"/>
      <w:bookmarkEnd w:id="1113"/>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辞退福利是指本公司在职工劳动合同到期之前解除与职工的劳动关系，或者为鼓励职工自愿接受裁减而提出给予补偿的 建议。本公司在不能单方面撤回因解除劳动关系计划或裁减建议所提供的辞退福利时，或确认与涉及支付辞退福利的重组相 关的成本或费用时（两者孰早），确认辞退福利产生的职工薪酬负债，并计入当期损益。</w:t>
      </w:r>
    </w:p>
    <w:p>
      <w:pPr>
        <w:pStyle w:val="Style37"/>
        <w:keepNext/>
        <w:keepLines/>
        <w:widowControl w:val="0"/>
        <w:shd w:val="clear" w:color="auto" w:fill="auto"/>
        <w:tabs>
          <w:tab w:pos="493" w:val="left"/>
        </w:tabs>
        <w:bidi w:val="0"/>
        <w:spacing w:before="0" w:after="300" w:line="314" w:lineRule="exact"/>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14"/>
      <w:bookmarkEnd w:id="1115"/>
      <w:bookmarkEnd w:id="1117"/>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净负债或资产。在报告期末，企业应当将其他长期职工福利产生的职工薪酬成本确认为下列组成部分：</w:t>
      </w:r>
    </w:p>
    <w:p>
      <w:pPr>
        <w:pStyle w:val="Style34"/>
        <w:keepNext w:val="0"/>
        <w:keepLines w:val="0"/>
        <w:widowControl w:val="0"/>
        <w:numPr>
          <w:ilvl w:val="0"/>
          <w:numId w:val="55"/>
        </w:numPr>
        <w:shd w:val="clear" w:color="auto" w:fill="auto"/>
        <w:tabs>
          <w:tab w:pos="753" w:val="left"/>
        </w:tabs>
        <w:bidi w:val="0"/>
        <w:spacing w:before="0" w:after="0" w:line="312" w:lineRule="exact"/>
        <w:ind w:left="0" w:right="0"/>
        <w:jc w:val="both"/>
      </w:pPr>
      <w:bookmarkStart w:id="1118" w:name="bookmark1118"/>
      <w:bookmarkEnd w:id="1118"/>
      <w:r>
        <w:rPr>
          <w:color w:val="000000"/>
          <w:spacing w:val="0"/>
          <w:w w:val="100"/>
          <w:position w:val="0"/>
        </w:rPr>
        <w:t>服务成本。</w:t>
      </w:r>
    </w:p>
    <w:p>
      <w:pPr>
        <w:pStyle w:val="Style34"/>
        <w:keepNext w:val="0"/>
        <w:keepLines w:val="0"/>
        <w:widowControl w:val="0"/>
        <w:numPr>
          <w:ilvl w:val="0"/>
          <w:numId w:val="55"/>
        </w:numPr>
        <w:shd w:val="clear" w:color="auto" w:fill="auto"/>
        <w:tabs>
          <w:tab w:pos="753" w:val="left"/>
        </w:tabs>
        <w:bidi w:val="0"/>
        <w:spacing w:before="0" w:after="0" w:line="312" w:lineRule="exact"/>
        <w:ind w:left="0" w:right="0"/>
        <w:jc w:val="both"/>
      </w:pPr>
      <w:bookmarkStart w:id="1119" w:name="bookmark1119"/>
      <w:bookmarkEnd w:id="1119"/>
      <w:r>
        <w:rPr>
          <w:color w:val="000000"/>
          <w:spacing w:val="0"/>
          <w:w w:val="100"/>
          <w:position w:val="0"/>
        </w:rPr>
        <w:t>其他长期职工福利净负债或净资产的利息净额。</w:t>
      </w:r>
    </w:p>
    <w:p>
      <w:pPr>
        <w:pStyle w:val="Style34"/>
        <w:keepNext w:val="0"/>
        <w:keepLines w:val="0"/>
        <w:widowControl w:val="0"/>
        <w:numPr>
          <w:ilvl w:val="0"/>
          <w:numId w:val="55"/>
        </w:numPr>
        <w:shd w:val="clear" w:color="auto" w:fill="auto"/>
        <w:tabs>
          <w:tab w:pos="753" w:val="left"/>
        </w:tabs>
        <w:bidi w:val="0"/>
        <w:spacing w:before="0" w:after="0" w:line="312" w:lineRule="exact"/>
        <w:ind w:left="0" w:right="0"/>
        <w:jc w:val="both"/>
      </w:pPr>
      <w:bookmarkStart w:id="1120" w:name="bookmark1120"/>
      <w:bookmarkEnd w:id="1120"/>
      <w:r>
        <w:rPr>
          <w:color w:val="000000"/>
          <w:spacing w:val="0"/>
          <w:w w:val="100"/>
          <w:position w:val="0"/>
        </w:rPr>
        <w:t>重新计量跟其他长期职工福利净负债或净资产所产生的变动。</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上述项目的总净额应计入当期损益或相关资产成本。</w:t>
      </w:r>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长期残疾福利水平取决于职工提供服务期间长短的，企业应在职工提供服务的期间确认应付长期残疾福利义务，计量时 应当考虑长期残疾福利支付的可能性和预期支付的期限；与职工提供服务期间长短无关的，企业应当在导致职工长期残疾的 事件的当期确认应付长期残疾福利义务。</w:t>
      </w:r>
    </w:p>
    <w:p>
      <w:pPr>
        <w:pStyle w:val="Style37"/>
        <w:keepNext/>
        <w:keepLines/>
        <w:widowControl w:val="0"/>
        <w:shd w:val="clear" w:color="auto" w:fill="auto"/>
        <w:tabs>
          <w:tab w:pos="492" w:val="left"/>
        </w:tabs>
        <w:bidi w:val="0"/>
        <w:spacing w:before="0" w:after="300" w:line="314" w:lineRule="exact"/>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3</w:t>
      </w:r>
      <w:bookmarkEnd w:id="112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21"/>
      <w:bookmarkEnd w:id="1122"/>
      <w:bookmarkEnd w:id="1124"/>
    </w:p>
    <w:p>
      <w:pPr>
        <w:pStyle w:val="Style3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492" w:val="left"/>
        </w:tabs>
        <w:bidi w:val="0"/>
        <w:spacing w:before="0" w:after="300" w:line="314" w:lineRule="exact"/>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25"/>
      <w:bookmarkEnd w:id="1126"/>
      <w:bookmarkEnd w:id="1128"/>
    </w:p>
    <w:p>
      <w:pPr>
        <w:pStyle w:val="Style37"/>
        <w:keepNext/>
        <w:keepLines/>
        <w:widowControl w:val="0"/>
        <w:shd w:val="clear" w:color="auto" w:fill="auto"/>
        <w:tabs>
          <w:tab w:pos="933" w:val="left"/>
        </w:tabs>
        <w:bidi w:val="0"/>
        <w:spacing w:before="0" w:after="0" w:line="314" w:lineRule="exact"/>
        <w:ind w:left="0" w:right="0" w:firstLine="440"/>
        <w:jc w:val="both"/>
      </w:pPr>
      <w:bookmarkStart w:id="1125" w:name="bookmark1125"/>
      <w:bookmarkStart w:id="1126" w:name="bookmark1126"/>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125"/>
      <w:bookmarkEnd w:id="1126"/>
      <w:bookmarkEnd w:id="1130"/>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当与或有事项相关的义务是本公司承担的现时义务，且履行该义务很可能导致经济利益流出，同时其金额能够可靠地计 量时确认该义务为预计负债。</w:t>
      </w:r>
    </w:p>
    <w:p>
      <w:pPr>
        <w:pStyle w:val="Style37"/>
        <w:keepNext/>
        <w:keepLines/>
        <w:widowControl w:val="0"/>
        <w:shd w:val="clear" w:color="auto" w:fill="auto"/>
        <w:tabs>
          <w:tab w:pos="933" w:val="left"/>
        </w:tabs>
        <w:bidi w:val="0"/>
        <w:spacing w:before="0" w:after="0" w:line="314" w:lineRule="exact"/>
        <w:ind w:left="0" w:right="0" w:firstLine="440"/>
        <w:jc w:val="both"/>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1131"/>
      <w:bookmarkEnd w:id="1132"/>
      <w:bookmarkEnd w:id="1134"/>
    </w:p>
    <w:p>
      <w:pPr>
        <w:pStyle w:val="Style34"/>
        <w:keepNext w:val="0"/>
        <w:keepLines w:val="0"/>
        <w:widowControl w:val="0"/>
        <w:shd w:val="clear" w:color="auto" w:fill="auto"/>
        <w:bidi w:val="0"/>
        <w:spacing w:before="0" w:after="300" w:line="314" w:lineRule="exact"/>
        <w:ind w:left="0" w:right="0"/>
        <w:jc w:val="both"/>
      </w:pPr>
      <w:r>
        <w:rPr>
          <w:color w:val="000000"/>
          <w:spacing w:val="0"/>
          <w:w w:val="100"/>
          <w:position w:val="0"/>
        </w:rPr>
        <w:t>本公司预计负债按照履行相关现时义务所需支出的最佳估计数进行初始计量，如所需支出存在一个连续范围，且该范围 内各种结果发生的可能性相同，最佳估计数按照该范围内的中间值确定；如涉及多个项目，按照各种可能结果及相关概率计 算确定最佳估计数。</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本公司于资产负债表日对预计负债账面价值进行复核，有确凿证据表明该账面价值不能真实反映当前最佳估计数，按照 当前最佳估计数对该账面价值进行调整。</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7"/>
        <w:keepNext/>
        <w:keepLines/>
        <w:widowControl w:val="0"/>
        <w:shd w:val="clear" w:color="auto" w:fill="auto"/>
        <w:tabs>
          <w:tab w:pos="458" w:val="left"/>
        </w:tabs>
        <w:bidi w:val="0"/>
        <w:spacing w:before="0" w:after="2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35"/>
      <w:bookmarkEnd w:id="1136"/>
      <w:bookmarkEnd w:id="1138"/>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458" w:val="left"/>
        </w:tabs>
        <w:bidi w:val="0"/>
        <w:spacing w:before="0" w:after="2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39"/>
      <w:bookmarkEnd w:id="1140"/>
      <w:bookmarkEnd w:id="1142"/>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458" w:val="left"/>
        </w:tabs>
        <w:bidi w:val="0"/>
        <w:spacing w:before="0" w:after="2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43"/>
      <w:bookmarkEnd w:id="1144"/>
      <w:bookmarkEnd w:id="1146"/>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本公司与客户之间的合同同时满足下列条件时，在客户取得相关商品控制权时确认收入：合同各方已批准该合同并承 诺将履行各自义务；合同明确了合同各方与所转让商品或提供劳务相关的权利和义务；合同有明确的与所转让商品相关的支 付条款；合同具有商业实质，即履行该合同将改变公司未来现金流量的风险、时间分布或金额；本公司因向客户转让商品而 有权取得的对价很可能收回。</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在合同开始日，本公司识别合同中存在的各单项履约义务，并将交易价格按照各单项履约义务所承诺商品的单独售价 的相对比例分摊至各单项履约义务。本公司在确定交易价格时考虑了可变对价、合同中存在的重大融资成分、非现金对价、 应付客户对价等因素的影响。</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对于合同中的每个单项履约义务，如果满足下列条件之一的，本公司在相关履约时段内按照履约进度将分摊至该单项 履约义务的交易价格确认为收入：客户在本公司履约的同时即取得并消耗公司履约所带来的经济利益；客户能够控制本公司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3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在判断客户是否已取得商品控制权时，本公司考虑下列迹象：本公司就该商品享有现时收款权利，即客户就该商品负有现时 付款义务；本公司已将该商品的法定所有权转移给客户，即客户已拥有该商品的法定所有权；本公司已将该商品实物转移给 客户，即客户已实物占有该商品；本公司已将该商品所有权上的主要风险和报酬转移给客户，即客户已取得该商品所有权上 的主要风险和报酬；客户已接受该商品；其他表明客户已取得商品控制权的迹象。</w:t>
      </w:r>
    </w:p>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与本公司取得收入的主要活动相关的具体会计政策描述如下：</w:t>
      </w:r>
    </w:p>
    <w:p>
      <w:pPr>
        <w:pStyle w:val="Style34"/>
        <w:keepNext w:val="0"/>
        <w:keepLines w:val="0"/>
        <w:widowControl w:val="0"/>
        <w:shd w:val="clear" w:color="auto" w:fill="auto"/>
        <w:tabs>
          <w:tab w:pos="860" w:val="left"/>
        </w:tabs>
        <w:bidi w:val="0"/>
        <w:spacing w:before="0" w:after="0" w:line="312" w:lineRule="exact"/>
        <w:ind w:left="0" w:right="0" w:firstLine="44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销售商品收入确认方法：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本公司在履行了合同中的履约义务，即在客户取得相关商品控制权时确认收入。取得相关商品的控制权，是指能够主 导该商品的使用并从中获得几乎全部的经济利益。</w:t>
      </w:r>
    </w:p>
    <w:p>
      <w:pPr>
        <w:pStyle w:val="Style34"/>
        <w:keepNext w:val="0"/>
        <w:keepLines w:val="0"/>
        <w:widowControl w:val="0"/>
        <w:shd w:val="clear" w:color="auto" w:fill="auto"/>
        <w:tabs>
          <w:tab w:pos="860" w:val="left"/>
        </w:tabs>
        <w:bidi w:val="0"/>
        <w:spacing w:before="0" w:after="0" w:line="312" w:lineRule="exact"/>
        <w:ind w:left="0" w:right="0" w:firstLine="44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建造合同、提供服务合同收入确认方法：</w:t>
      </w:r>
    </w:p>
    <w:p>
      <w:pPr>
        <w:pStyle w:val="Style3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满足下列条件之一的，属于在某一时间段内履行的履约义务，本公司按照履约进度，在一段时间内确认收入（履约进 度不能合理确定的除外）：</w:t>
      </w:r>
    </w:p>
    <w:p>
      <w:pPr>
        <w:pStyle w:val="Style34"/>
        <w:keepNext w:val="0"/>
        <w:keepLines w:val="0"/>
        <w:widowControl w:val="0"/>
        <w:numPr>
          <w:ilvl w:val="0"/>
          <w:numId w:val="57"/>
        </w:numPr>
        <w:shd w:val="clear" w:color="auto" w:fill="auto"/>
        <w:tabs>
          <w:tab w:pos="788" w:val="left"/>
        </w:tabs>
        <w:bidi w:val="0"/>
        <w:spacing w:before="0" w:after="120" w:line="240" w:lineRule="auto"/>
        <w:ind w:left="0" w:right="0" w:firstLine="440"/>
        <w:jc w:val="both"/>
      </w:pPr>
      <w:bookmarkStart w:id="1149" w:name="bookmark1149"/>
      <w:bookmarkEnd w:id="1149"/>
      <w:r>
        <w:rPr>
          <w:color w:val="000000"/>
          <w:spacing w:val="0"/>
          <w:w w:val="100"/>
          <w:position w:val="0"/>
        </w:rPr>
        <w:t>客户在本公司履约的同时即取得并消耗本公司履约所带来的经济利益；</w:t>
      </w:r>
    </w:p>
    <w:p>
      <w:pPr>
        <w:pStyle w:val="Style34"/>
        <w:keepNext w:val="0"/>
        <w:keepLines w:val="0"/>
        <w:widowControl w:val="0"/>
        <w:numPr>
          <w:ilvl w:val="0"/>
          <w:numId w:val="57"/>
        </w:numPr>
        <w:shd w:val="clear" w:color="auto" w:fill="auto"/>
        <w:tabs>
          <w:tab w:pos="788" w:val="left"/>
        </w:tabs>
        <w:bidi w:val="0"/>
        <w:spacing w:before="0" w:after="0" w:line="240" w:lineRule="auto"/>
        <w:ind w:left="0" w:right="0" w:firstLine="440"/>
        <w:jc w:val="both"/>
      </w:pPr>
      <w:bookmarkStart w:id="1150" w:name="bookmark1150"/>
      <w:bookmarkEnd w:id="1150"/>
      <w:r>
        <w:rPr>
          <w:color w:val="000000"/>
          <w:spacing w:val="0"/>
          <w:w w:val="100"/>
          <w:position w:val="0"/>
        </w:rPr>
        <w:t>客户能够控制本公司履约过程中在建的商品；</w:t>
      </w:r>
    </w:p>
    <w:p>
      <w:pPr>
        <w:pStyle w:val="Style34"/>
        <w:keepNext w:val="0"/>
        <w:keepLines w:val="0"/>
        <w:widowControl w:val="0"/>
        <w:numPr>
          <w:ilvl w:val="0"/>
          <w:numId w:val="57"/>
        </w:numPr>
        <w:shd w:val="clear" w:color="auto" w:fill="auto"/>
        <w:tabs>
          <w:tab w:pos="761" w:val="left"/>
        </w:tabs>
        <w:bidi w:val="0"/>
        <w:spacing w:before="0" w:after="200" w:line="346" w:lineRule="exact"/>
        <w:ind w:left="0" w:right="0" w:firstLine="440"/>
        <w:jc w:val="both"/>
      </w:pPr>
      <w:bookmarkStart w:id="1151" w:name="bookmark1151"/>
      <w:bookmarkEnd w:id="1151"/>
      <w:r>
        <w:rPr>
          <w:color w:val="000000"/>
          <w:spacing w:val="0"/>
          <w:w w:val="100"/>
          <w:position w:val="0"/>
        </w:rPr>
        <w:t>本公司履约过程中所产出的商品具有不可替代用途，且本公司在整个合同期间内有权就累计至今已完成的履约部分 收取款项。</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除上述情况，本公司在客户取得相关商品或服务控制权的时点确认收入。本公司按照投入法，根据发生的成本确定提 供服务的履约进度。对于履约进度不能合理确定时，本公司已经发生的成本预计能够得到补偿的，按照已经发生的成本金额 确认收入，直到履约进度能够合理确定为止。</w:t>
      </w:r>
    </w:p>
    <w:p>
      <w:pPr>
        <w:pStyle w:val="Style34"/>
        <w:keepNext w:val="0"/>
        <w:keepLines w:val="0"/>
        <w:widowControl w:val="0"/>
        <w:shd w:val="clear" w:color="auto" w:fill="auto"/>
        <w:bidi w:val="0"/>
        <w:spacing w:before="0" w:after="0" w:line="312" w:lineRule="exact"/>
        <w:ind w:left="0" w:right="0" w:firstLine="44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）让渡资产使用权收入确认方法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本公司在让渡资产使用权相关的经济利益很可能流入并且收入的金额能够可靠地计量时确认让渡资产使用权收入。同 类业务采用不同经营模式导致收入确认会计政策存在差异的情况。</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同类业务采用不同经营模式导致收入确认会计政策存在差异的情况</w:t>
      </w:r>
    </w:p>
    <w:p>
      <w:pPr>
        <w:pStyle w:val="Style3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号——上市公司从事固体矿产资源相关业务》的披露要求</w:t>
      </w:r>
    </w:p>
    <w:p>
      <w:pPr>
        <w:pStyle w:val="Style37"/>
        <w:keepNext/>
        <w:keepLines/>
        <w:widowControl w:val="0"/>
        <w:shd w:val="clear" w:color="auto" w:fill="auto"/>
        <w:tabs>
          <w:tab w:pos="482" w:val="left"/>
        </w:tabs>
        <w:bidi w:val="0"/>
        <w:spacing w:before="0" w:after="200" w:line="326"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4</w:t>
      </w:r>
      <w:bookmarkEnd w:id="115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53"/>
      <w:bookmarkEnd w:id="1154"/>
      <w:bookmarkEnd w:id="1156"/>
    </w:p>
    <w:p>
      <w:pPr>
        <w:pStyle w:val="Style37"/>
        <w:keepNext/>
        <w:keepLines/>
        <w:widowControl w:val="0"/>
        <w:shd w:val="clear" w:color="auto" w:fill="auto"/>
        <w:tabs>
          <w:tab w:pos="931" w:val="left"/>
        </w:tabs>
        <w:bidi w:val="0"/>
        <w:spacing w:before="0" w:after="0" w:line="312" w:lineRule="exact"/>
        <w:ind w:left="0" w:right="0" w:firstLine="440"/>
        <w:jc w:val="both"/>
      </w:pPr>
      <w:bookmarkStart w:id="1153" w:name="bookmark1153"/>
      <w:bookmarkStart w:id="1154" w:name="bookmark1154"/>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w:t>
        <w:tab/>
        <w:t>政府补助类型</w:t>
      </w:r>
      <w:bookmarkEnd w:id="1153"/>
      <w:bookmarkEnd w:id="1154"/>
      <w:bookmarkEnd w:id="1158"/>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政府补助是指本公司从政府无偿取得的货币性资产或非货币性资产（但不包括政府作为所有者投入的资本），主要划分 为与资产相关的政府补助和与收益相关的政府补助两种类型。政府补助为货币性资产的，按照收到或应收的金额计量。政府 补助为非货币性资产的，按照公允价值计量；公允价值不能够可靠取得的，按照名义金额计量。按照名义金额计量的政府补 助，直接计入当期损益。</w:t>
      </w:r>
    </w:p>
    <w:p>
      <w:pPr>
        <w:pStyle w:val="Style37"/>
        <w:keepNext/>
        <w:keepLines/>
        <w:widowControl w:val="0"/>
        <w:shd w:val="clear" w:color="auto" w:fill="auto"/>
        <w:tabs>
          <w:tab w:pos="931" w:val="left"/>
        </w:tabs>
        <w:bidi w:val="0"/>
        <w:spacing w:before="0" w:after="0" w:line="312" w:lineRule="exact"/>
        <w:ind w:left="0" w:right="0" w:firstLine="44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w:t>
        <w:tab/>
        <w:t>与资产相关的政府补助的会计处理方法</w:t>
      </w:r>
      <w:bookmarkEnd w:id="1159"/>
      <w:bookmarkEnd w:id="1160"/>
      <w:bookmarkEnd w:id="1162"/>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与资产相关的政府补助，是指本公司取得的、用于购建或以其他方式形成长期资产的政府补助。本公司对与资产相关的 政府补助，冲减相关资产账面价值或确认为递延收益，确认为递延收益的，在相关资产使用寿命内按照合理、系统的方法分 期计入当期损益（与本公司日常活动相关的，计入其他收益；与本公司日常活动无关的，计入营业外收入）。</w:t>
      </w:r>
    </w:p>
    <w:p>
      <w:pPr>
        <w:pStyle w:val="Style37"/>
        <w:keepNext/>
        <w:keepLines/>
        <w:widowControl w:val="0"/>
        <w:shd w:val="clear" w:color="auto" w:fill="auto"/>
        <w:tabs>
          <w:tab w:pos="931" w:val="left"/>
        </w:tabs>
        <w:bidi w:val="0"/>
        <w:spacing w:before="0" w:after="0" w:line="312" w:lineRule="exact"/>
        <w:ind w:left="0" w:right="0" w:firstLine="44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w:t>
        <w:tab/>
        <w:t>与收益相关的政府补助的会计处理方法</w:t>
      </w:r>
      <w:bookmarkEnd w:id="1163"/>
      <w:bookmarkEnd w:id="1164"/>
      <w:bookmarkEnd w:id="1166"/>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与收益相关的政府补助，是指本公司取得的除与资产相关的政府补助之外的政府补助。本公司对与收益相关的政府补助， 用于补偿本公司以后期间的相关成本费用或损失的，确认为递延收益，并在确认相关成本费用或损失的期间，计入当期损益 （与本公司日常活动相关的，计入其他收益；与本公司日常活动无关的，计入营业外收入）或冲减相关成本费用或损失；用 于补偿本公司已发生的相关成本费用或损失的，直接计入当期损益（与本公司日常活动相关的，计入其他收益；与本公司日 常活动无关的，计入营业外收入）或冲减相关成本费用或损失。</w:t>
      </w:r>
    </w:p>
    <w:p>
      <w:pPr>
        <w:pStyle w:val="Style37"/>
        <w:keepNext/>
        <w:keepLines/>
        <w:widowControl w:val="0"/>
        <w:shd w:val="clear" w:color="auto" w:fill="auto"/>
        <w:tabs>
          <w:tab w:pos="931" w:val="left"/>
        </w:tabs>
        <w:bidi w:val="0"/>
        <w:spacing w:before="0" w:after="0" w:line="312" w:lineRule="exact"/>
        <w:ind w:left="0" w:right="0" w:firstLine="440"/>
        <w:jc w:val="both"/>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w:t>
        <w:tab/>
        <w:t>区分与资产相关政府补助和与收益相关政府补助的判断依据</w:t>
      </w:r>
      <w:bookmarkEnd w:id="1167"/>
      <w:bookmarkEnd w:id="1168"/>
      <w:bookmarkEnd w:id="117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本公司取得的、用于购建或以其他方式形成长期资产的政府补助，确认为与资产相关的政府补助。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本公司取得的除与资产相关的政府补助之外的政府补助，确认为与收益相关的政府补助。若政府文件未明确规定补助对 象，将该政府补助划分为与资产相关或与收益相关的判断依据：</w:t>
      </w:r>
    </w:p>
    <w:p>
      <w:pPr>
        <w:pStyle w:val="Style34"/>
        <w:keepNext w:val="0"/>
        <w:keepLines w:val="0"/>
        <w:widowControl w:val="0"/>
        <w:numPr>
          <w:ilvl w:val="0"/>
          <w:numId w:val="59"/>
        </w:numPr>
        <w:shd w:val="clear" w:color="auto" w:fill="auto"/>
        <w:tabs>
          <w:tab w:pos="731" w:val="left"/>
        </w:tabs>
        <w:bidi w:val="0"/>
        <w:spacing w:before="0" w:after="0" w:line="312" w:lineRule="exact"/>
        <w:ind w:left="0" w:right="0"/>
        <w:jc w:val="both"/>
      </w:pPr>
      <w:bookmarkStart w:id="1171" w:name="bookmark1171"/>
      <w:bookmarkEnd w:id="1171"/>
      <w:r>
        <w:rPr>
          <w:color w:val="000000"/>
          <w:spacing w:val="0"/>
          <w:w w:val="100"/>
          <w:position w:val="0"/>
        </w:rPr>
        <w:t>政府文件明确了补助所针对的特定项目的，根据该特定项目的预算中将形成资产的支出金额和计入费用的支出金额的 相对比例进行划分，对该划分比例需在每个资产负债表日进行复核，必要时进行变更；</w:t>
      </w:r>
    </w:p>
    <w:p>
      <w:pPr>
        <w:pStyle w:val="Style34"/>
        <w:keepNext w:val="0"/>
        <w:keepLines w:val="0"/>
        <w:widowControl w:val="0"/>
        <w:numPr>
          <w:ilvl w:val="0"/>
          <w:numId w:val="59"/>
        </w:numPr>
        <w:shd w:val="clear" w:color="auto" w:fill="auto"/>
        <w:tabs>
          <w:tab w:pos="751" w:val="left"/>
        </w:tabs>
        <w:bidi w:val="0"/>
        <w:spacing w:before="0" w:after="0" w:line="312" w:lineRule="exact"/>
        <w:ind w:left="0" w:right="0"/>
        <w:jc w:val="both"/>
      </w:pPr>
      <w:bookmarkStart w:id="1172" w:name="bookmark1172"/>
      <w:bookmarkEnd w:id="1172"/>
      <w:r>
        <w:rPr>
          <w:color w:val="000000"/>
          <w:spacing w:val="0"/>
          <w:w w:val="100"/>
          <w:position w:val="0"/>
        </w:rPr>
        <w:t>政府文件中对用途仅作一般性表述，没有指明特定项目的，作为与收益相关的政府补助。</w:t>
      </w:r>
    </w:p>
    <w:p>
      <w:pPr>
        <w:pStyle w:val="Style37"/>
        <w:keepNext/>
        <w:keepLines/>
        <w:widowControl w:val="0"/>
        <w:shd w:val="clear" w:color="auto" w:fill="auto"/>
        <w:tabs>
          <w:tab w:pos="931" w:val="left"/>
        </w:tabs>
        <w:bidi w:val="0"/>
        <w:spacing w:before="0" w:after="0" w:line="312" w:lineRule="exact"/>
        <w:ind w:left="0" w:right="0" w:firstLine="440"/>
        <w:jc w:val="both"/>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5</w:t>
      </w:r>
      <w:r>
        <w:rPr>
          <w:color w:val="000000"/>
          <w:spacing w:val="0"/>
          <w:w w:val="100"/>
          <w:position w:val="0"/>
        </w:rPr>
        <w:t>）</w:t>
        <w:tab/>
        <w:t>政府补助的确认时点</w:t>
      </w:r>
      <w:bookmarkEnd w:id="1173"/>
      <w:bookmarkEnd w:id="1174"/>
      <w:bookmarkEnd w:id="1176"/>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按照应收金额计量的政府补助，在期末有确凿证据表明能够符合财政扶持政策规定的相关条件且预计能够收到财政扶持 资金时予以确认。</w:t>
      </w:r>
    </w:p>
    <w:p>
      <w:pPr>
        <w:pStyle w:val="Style34"/>
        <w:keepNext w:val="0"/>
        <w:keepLines w:val="0"/>
        <w:widowControl w:val="0"/>
        <w:shd w:val="clear" w:color="auto" w:fill="auto"/>
        <w:bidi w:val="0"/>
        <w:spacing w:before="0" w:after="400" w:line="312" w:lineRule="exact"/>
        <w:ind w:left="0" w:right="0"/>
        <w:jc w:val="both"/>
      </w:pPr>
      <w:r>
        <w:rPr>
          <w:color w:val="000000"/>
          <w:spacing w:val="0"/>
          <w:w w:val="100"/>
          <w:position w:val="0"/>
        </w:rPr>
        <w:t>除按照应收金额计量的政府补助外的其他政府补助，本公司在实际收到补助款项时予以确认。</w:t>
      </w:r>
    </w:p>
    <w:p>
      <w:pPr>
        <w:pStyle w:val="Style37"/>
        <w:keepNext/>
        <w:keepLines/>
        <w:widowControl w:val="0"/>
        <w:shd w:val="clear" w:color="auto" w:fill="auto"/>
        <w:tabs>
          <w:tab w:pos="482" w:val="left"/>
        </w:tabs>
        <w:bidi w:val="0"/>
        <w:spacing w:before="0" w:after="200" w:line="326"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7"/>
      <w:bookmarkEnd w:id="1178"/>
      <w:bookmarkEnd w:id="118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34"/>
        <w:keepNext w:val="0"/>
        <w:keepLines w:val="0"/>
        <w:widowControl w:val="0"/>
        <w:shd w:val="clear" w:color="auto" w:fill="auto"/>
        <w:bidi w:val="0"/>
        <w:spacing w:before="0" w:after="0" w:line="312" w:lineRule="exact"/>
        <w:ind w:left="0" w:right="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）本公司对于可抵扣暂时性差异确认递延所得税资产，以未来期间很可能取得的用来抵扣可抵扣暂时性差异的应纳 税所得额为限。对于能够结转以后年度的可抵扣亏损和税款抵减，以很可能获得用来抵扣可抵扣亏损和税款抵减的未来应纳 税所得额为限，确认相应的递延所得税资产。对于应纳税暂时性差异，除特殊情况外，确认递延所得税负债。</w:t>
      </w:r>
    </w:p>
    <w:p>
      <w:pPr>
        <w:pStyle w:val="Style34"/>
        <w:keepNext w:val="0"/>
        <w:keepLines w:val="0"/>
        <w:widowControl w:val="0"/>
        <w:shd w:val="clear" w:color="auto" w:fill="auto"/>
        <w:bidi w:val="0"/>
        <w:spacing w:before="0" w:after="0" w:line="317" w:lineRule="exact"/>
        <w:ind w:left="0" w:right="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本公司递延所得税资产的确认以很可能取得用来抵扣可抵扣暂时性差异的应纳税所得额为限。资产负债表日，有 确凿证据表明未来期间很可能获得足够的应纳税所得额用来抵扣可抵扣暂时性差异的，确认以前会计期间未确认的递延所得 税资产。如未来期间很可能无法获得足够的应纳税所得额用以抵扣递延所得税资产的，则减记递延所得税资产的账面价值。</w:t>
      </w:r>
    </w:p>
    <w:p>
      <w:pPr>
        <w:pStyle w:val="Style34"/>
        <w:keepNext w:val="0"/>
        <w:keepLines w:val="0"/>
        <w:widowControl w:val="0"/>
        <w:shd w:val="clear" w:color="auto" w:fill="auto"/>
        <w:bidi w:val="0"/>
        <w:spacing w:before="0" w:after="0" w:line="317" w:lineRule="exact"/>
        <w:ind w:left="0" w:right="0"/>
        <w:jc w:val="both"/>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本公司对与子公司及联营企业投资相关的应纳税暂时性差异，确认递延所得税负债，除非本公司能够控制暂时性 差异转回的时间且该暂时性差异在可预见的未来很可能不会转回。本公司对与子公司及联营企业投资相关的可抵扣暂时性差 异，当该暂时性差异在可预见的未来很可能转回且未来很可能获得用来抵扣可抵扣暂时性差异的应纳税所得额时，确认递延 所得税资产。</w:t>
      </w:r>
    </w:p>
    <w:p>
      <w:pPr>
        <w:pStyle w:val="Style34"/>
        <w:keepNext w:val="0"/>
        <w:keepLines w:val="0"/>
        <w:widowControl w:val="0"/>
        <w:shd w:val="clear" w:color="auto" w:fill="auto"/>
        <w:tabs>
          <w:tab w:pos="862" w:val="left"/>
        </w:tabs>
        <w:bidi w:val="0"/>
        <w:spacing w:before="0" w:after="0" w:line="317" w:lineRule="exact"/>
        <w:ind w:left="0" w:right="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本公司对于商誉的初始确认产生的暂时性差异，不确认相应的递延所得税负债。对于既不影响会计利润也不影响 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 得税资产和递延所得税负债。资产负债表日，本公司递延所得税资产和递延所得税负债按照预期收回该资产或清偿该负债期 间的适用税率计量。</w:t>
      </w:r>
    </w:p>
    <w:p>
      <w:pPr>
        <w:pStyle w:val="Style34"/>
        <w:keepNext w:val="0"/>
        <w:keepLines w:val="0"/>
        <w:widowControl w:val="0"/>
        <w:shd w:val="clear" w:color="auto" w:fill="auto"/>
        <w:tabs>
          <w:tab w:pos="783" w:val="left"/>
        </w:tabs>
        <w:bidi w:val="0"/>
        <w:spacing w:before="0" w:after="0" w:line="317" w:lineRule="exact"/>
        <w:ind w:left="0" w:right="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同时满足下列条件的递延所得税资产和递延所得税负债以抵销后的净额列示：</w:t>
      </w:r>
    </w:p>
    <w:p>
      <w:pPr>
        <w:pStyle w:val="Style34"/>
        <w:keepNext w:val="0"/>
        <w:keepLines w:val="0"/>
        <w:widowControl w:val="0"/>
        <w:numPr>
          <w:ilvl w:val="0"/>
          <w:numId w:val="61"/>
        </w:numPr>
        <w:shd w:val="clear" w:color="auto" w:fill="auto"/>
        <w:tabs>
          <w:tab w:pos="714" w:val="left"/>
        </w:tabs>
        <w:bidi w:val="0"/>
        <w:spacing w:before="0" w:after="80" w:line="317" w:lineRule="exact"/>
        <w:ind w:left="0" w:right="0"/>
        <w:jc w:val="both"/>
      </w:pPr>
      <w:bookmarkStart w:id="1186" w:name="bookmark1186"/>
      <w:bookmarkEnd w:id="1186"/>
      <w:r>
        <w:rPr>
          <w:color w:val="000000"/>
          <w:spacing w:val="0"/>
          <w:w w:val="100"/>
          <w:position w:val="0"/>
        </w:rPr>
        <w:t>递延所得税资产和递延所得税负债与同一税收征管部门对本公司内同一纳税主体征收的所得税相关；</w:t>
      </w:r>
    </w:p>
    <w:p>
      <w:pPr>
        <w:pStyle w:val="Style34"/>
        <w:keepNext w:val="0"/>
        <w:keepLines w:val="0"/>
        <w:widowControl w:val="0"/>
        <w:numPr>
          <w:ilvl w:val="0"/>
          <w:numId w:val="61"/>
        </w:numPr>
        <w:shd w:val="clear" w:color="auto" w:fill="auto"/>
        <w:tabs>
          <w:tab w:pos="714" w:val="left"/>
        </w:tabs>
        <w:bidi w:val="0"/>
        <w:spacing w:before="0" w:after="380" w:line="240" w:lineRule="auto"/>
        <w:ind w:left="0" w:right="0"/>
        <w:jc w:val="both"/>
      </w:pPr>
      <w:bookmarkStart w:id="1187" w:name="bookmark1187"/>
      <w:bookmarkEnd w:id="1187"/>
      <w:r>
        <w:rPr>
          <w:color w:val="000000"/>
          <w:spacing w:val="0"/>
          <w:w w:val="100"/>
          <w:position w:val="0"/>
        </w:rPr>
        <w:t>本公司内该纳税主体拥有以净额结算当期所得税资产及当期所得税负债的法定权利。</w:t>
      </w:r>
    </w:p>
    <w:p>
      <w:pPr>
        <w:pStyle w:val="Style37"/>
        <w:keepNext/>
        <w:keepLines/>
        <w:widowControl w:val="0"/>
        <w:shd w:val="clear" w:color="auto" w:fill="auto"/>
        <w:tabs>
          <w:tab w:pos="497" w:val="left"/>
        </w:tabs>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88"/>
      <w:bookmarkEnd w:id="1189"/>
      <w:bookmarkEnd w:id="1191"/>
    </w:p>
    <w:p>
      <w:pPr>
        <w:pStyle w:val="Style37"/>
        <w:keepNext/>
        <w:keepLines/>
        <w:widowControl w:val="0"/>
        <w:shd w:val="clear" w:color="auto" w:fill="auto"/>
        <w:tabs>
          <w:tab w:pos="497" w:val="left"/>
        </w:tabs>
        <w:bidi w:val="0"/>
        <w:spacing w:before="0" w:after="260" w:line="240" w:lineRule="auto"/>
        <w:ind w:left="0" w:right="0" w:firstLine="0"/>
        <w:jc w:val="left"/>
      </w:pPr>
      <w:bookmarkStart w:id="1188" w:name="bookmark1188"/>
      <w:bookmarkStart w:id="1189" w:name="bookmark1189"/>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88"/>
      <w:bookmarkEnd w:id="1189"/>
      <w:bookmarkEnd w:id="1193"/>
    </w:p>
    <w:p>
      <w:pPr>
        <w:pStyle w:val="Style34"/>
        <w:keepNext w:val="0"/>
        <w:keepLines w:val="0"/>
        <w:widowControl w:val="0"/>
        <w:numPr>
          <w:ilvl w:val="0"/>
          <w:numId w:val="63"/>
        </w:numPr>
        <w:shd w:val="clear" w:color="auto" w:fill="auto"/>
        <w:tabs>
          <w:tab w:pos="689" w:val="left"/>
        </w:tabs>
        <w:bidi w:val="0"/>
        <w:spacing w:before="0" w:after="0" w:line="313" w:lineRule="exact"/>
        <w:ind w:left="0" w:right="0"/>
        <w:jc w:val="both"/>
      </w:pPr>
      <w:bookmarkStart w:id="1194" w:name="bookmark1194"/>
      <w:bookmarkEnd w:id="1194"/>
      <w:r>
        <w:rPr>
          <w:color w:val="000000"/>
          <w:spacing w:val="0"/>
          <w:w w:val="100"/>
          <w:position w:val="0"/>
        </w:rPr>
        <w:t>本公司租入资产所支付的租赁费，在不扣除免租期的整个租赁期内，按直线法进行分摊，计入当期费用。公司支付的 与租赁交易相关的初始直接费用，计入当期费用。</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资产出租方承担了应由本公司公司承担的与租赁相关的费用时，本公司将该部分费用从租金总额中扣除，按扣除后的租 金费用在租赁期内分摊，计入当期费用。</w:t>
      </w:r>
    </w:p>
    <w:p>
      <w:pPr>
        <w:pStyle w:val="Style34"/>
        <w:keepNext w:val="0"/>
        <w:keepLines w:val="0"/>
        <w:widowControl w:val="0"/>
        <w:numPr>
          <w:ilvl w:val="0"/>
          <w:numId w:val="63"/>
        </w:numPr>
        <w:shd w:val="clear" w:color="auto" w:fill="auto"/>
        <w:tabs>
          <w:tab w:pos="694" w:val="left"/>
        </w:tabs>
        <w:bidi w:val="0"/>
        <w:spacing w:before="0" w:after="0" w:line="313" w:lineRule="exact"/>
        <w:ind w:left="0" w:right="0"/>
        <w:jc w:val="both"/>
      </w:pPr>
      <w:bookmarkStart w:id="1195" w:name="bookmark1195"/>
      <w:bookmarkEnd w:id="1195"/>
      <w:r>
        <w:rPr>
          <w:color w:val="000000"/>
          <w:spacing w:val="0"/>
          <w:w w:val="100"/>
          <w:position w:val="0"/>
        </w:rPr>
        <w:t>本公司出租资产所收取的租赁费，在不扣除免租期的整个租赁期内，按直线法进行分摊，确认为租赁收入。本公司支 付的与租赁交易相关的初始直接费用，计入当期费用；如金额较大的，则予以资本化，在整个租赁期间内按照与租赁收入确 认相同的基础分期计入当期收益。</w:t>
      </w:r>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本公司承担了应由承租方承担的与租赁相关的费用时，将该部分费用从租金收入总额中扣除，按扣除后的租金费用在租 赁期内分配。</w:t>
      </w:r>
    </w:p>
    <w:p>
      <w:pPr>
        <w:pStyle w:val="Style37"/>
        <w:keepNext/>
        <w:keepLines/>
        <w:widowControl w:val="0"/>
        <w:shd w:val="clear" w:color="auto" w:fill="auto"/>
        <w:tabs>
          <w:tab w:pos="497" w:val="left"/>
        </w:tabs>
        <w:bidi w:val="0"/>
        <w:spacing w:before="0" w:after="26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96"/>
      <w:bookmarkEnd w:id="1197"/>
      <w:bookmarkEnd w:id="1199"/>
    </w:p>
    <w:p>
      <w:pPr>
        <w:pStyle w:val="Style34"/>
        <w:keepNext w:val="0"/>
        <w:keepLines w:val="0"/>
        <w:widowControl w:val="0"/>
        <w:numPr>
          <w:ilvl w:val="0"/>
          <w:numId w:val="65"/>
        </w:numPr>
        <w:shd w:val="clear" w:color="auto" w:fill="auto"/>
        <w:tabs>
          <w:tab w:pos="694" w:val="left"/>
        </w:tabs>
        <w:bidi w:val="0"/>
        <w:spacing w:before="0" w:after="0" w:line="314" w:lineRule="exact"/>
        <w:ind w:left="0" w:right="0"/>
        <w:jc w:val="left"/>
      </w:pPr>
      <w:bookmarkStart w:id="1200" w:name="bookmark1200"/>
      <w:bookmarkEnd w:id="1200"/>
      <w:r>
        <w:rPr>
          <w:color w:val="000000"/>
          <w:spacing w:val="0"/>
          <w:w w:val="100"/>
          <w:position w:val="0"/>
        </w:rPr>
        <w:t>融资租入资产：本公司在承租开始日，将租赁资产公允价值与最低租赁付款额现值两者中较低者作为租入资产的入账 价值，将最低租赁付款额作为长期应付款的入账价值，其差额作为未确认的融资费用。</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本公司采用实际利率法对未确认的融资费用，在资产租赁期间内摊销，计入财务费用。公司发生的初始直接费用，计入 租入资产价值。</w:t>
      </w:r>
    </w:p>
    <w:p>
      <w:pPr>
        <w:pStyle w:val="Style34"/>
        <w:keepNext w:val="0"/>
        <w:keepLines w:val="0"/>
        <w:widowControl w:val="0"/>
        <w:numPr>
          <w:ilvl w:val="0"/>
          <w:numId w:val="65"/>
        </w:numPr>
        <w:shd w:val="clear" w:color="auto" w:fill="auto"/>
        <w:tabs>
          <w:tab w:pos="699" w:val="left"/>
        </w:tabs>
        <w:bidi w:val="0"/>
        <w:spacing w:before="0" w:after="380" w:line="314" w:lineRule="exact"/>
        <w:ind w:left="0" w:right="0"/>
        <w:jc w:val="left"/>
      </w:pPr>
      <w:bookmarkStart w:id="1201" w:name="bookmark1201"/>
      <w:bookmarkEnd w:id="1201"/>
      <w:r>
        <w:rPr>
          <w:color w:val="000000"/>
          <w:spacing w:val="0"/>
          <w:w w:val="100"/>
          <w:position w:val="0"/>
        </w:rPr>
        <w:t>融资租出资产：本公司在租赁开始日，将应收融资租赁款，未担保余值之和与其现值的差额确认为未实现融资收益，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7"/>
        <w:keepNext/>
        <w:keepLines/>
        <w:widowControl w:val="0"/>
        <w:shd w:val="clear" w:color="auto" w:fill="auto"/>
        <w:tabs>
          <w:tab w:pos="497" w:val="left"/>
        </w:tabs>
        <w:bidi w:val="0"/>
        <w:spacing w:before="0" w:after="26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02"/>
      <w:bookmarkEnd w:id="1203"/>
      <w:bookmarkEnd w:id="1205"/>
    </w:p>
    <w:p>
      <w:pPr>
        <w:pStyle w:val="Style34"/>
        <w:keepNext w:val="0"/>
        <w:keepLines w:val="0"/>
        <w:widowControl w:val="0"/>
        <w:shd w:val="clear" w:color="auto" w:fill="auto"/>
        <w:bidi w:val="0"/>
        <w:spacing w:before="0" w:after="320" w:line="315" w:lineRule="exact"/>
        <w:ind w:left="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大调整。</w:t>
      </w:r>
    </w:p>
    <w:p>
      <w:pPr>
        <w:pStyle w:val="Style34"/>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4"/>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于资产负债表日，本公司需对财务报表项目金额进行判断、估计和假设的重要领域如下：</w:t>
      </w:r>
    </w:p>
    <w:p>
      <w:pPr>
        <w:pStyle w:val="Style37"/>
        <w:keepNext/>
        <w:keepLines/>
        <w:widowControl w:val="0"/>
        <w:shd w:val="clear" w:color="auto" w:fill="auto"/>
        <w:tabs>
          <w:tab w:pos="858" w:val="left"/>
        </w:tabs>
        <w:bidi w:val="0"/>
        <w:spacing w:before="0" w:after="0" w:line="312" w:lineRule="exact"/>
        <w:ind w:left="0" w:right="0" w:firstLine="38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w:t>
        <w:tab/>
        <w:t>存货跌价准备</w:t>
      </w:r>
      <w:bookmarkEnd w:id="1206"/>
      <w:bookmarkEnd w:id="1207"/>
      <w:bookmarkEnd w:id="1209"/>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7"/>
        <w:keepNext/>
        <w:keepLines/>
        <w:widowControl w:val="0"/>
        <w:shd w:val="clear" w:color="auto" w:fill="auto"/>
        <w:tabs>
          <w:tab w:pos="878" w:val="left"/>
        </w:tabs>
        <w:bidi w:val="0"/>
        <w:spacing w:before="0" w:after="0" w:line="313" w:lineRule="exact"/>
        <w:ind w:left="0" w:right="0" w:firstLine="400"/>
        <w:jc w:val="both"/>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w:t>
        <w:tab/>
        <w:t>非金融非流动资产减值准备</w:t>
      </w:r>
      <w:bookmarkEnd w:id="1210"/>
      <w:bookmarkEnd w:id="1211"/>
      <w:bookmarkEnd w:id="1213"/>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当资产或资产组的账面价值高于可收回金额，即公允价值减去处置费用后的净额和预计未来现金流量的现值中的较高者, 表明发生了减值。</w:t>
      </w:r>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本公司至少每年测试商誉是否发生减值。这要求对分配了商誉的资产组或者资产组组合的未来现金流量的现值进行预计。 对未来现金流量的现值进行预计时，本公司需要预计未来资产组或者资产组组合产生的现金流量，同时选择恰当的折现率确 定未来现金流量的现值。</w:t>
      </w:r>
    </w:p>
    <w:p>
      <w:pPr>
        <w:pStyle w:val="Style37"/>
        <w:keepNext/>
        <w:keepLines/>
        <w:widowControl w:val="0"/>
        <w:shd w:val="clear" w:color="auto" w:fill="auto"/>
        <w:tabs>
          <w:tab w:pos="858" w:val="left"/>
        </w:tabs>
        <w:bidi w:val="0"/>
        <w:spacing w:before="0" w:after="0" w:line="313" w:lineRule="exact"/>
        <w:ind w:left="0" w:right="0" w:firstLine="38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w:t>
        <w:tab/>
        <w:t>折旧和摊销</w:t>
      </w:r>
      <w:bookmarkEnd w:id="1214"/>
      <w:bookmarkEnd w:id="1215"/>
      <w:bookmarkEnd w:id="1217"/>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7"/>
        <w:keepNext/>
        <w:keepLines/>
        <w:widowControl w:val="0"/>
        <w:shd w:val="clear" w:color="auto" w:fill="auto"/>
        <w:tabs>
          <w:tab w:pos="858" w:val="left"/>
        </w:tabs>
        <w:bidi w:val="0"/>
        <w:spacing w:before="0" w:after="0" w:line="313" w:lineRule="exact"/>
        <w:ind w:left="0" w:right="0" w:firstLine="38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w:t>
        <w:tab/>
        <w:t>所得税</w:t>
      </w:r>
      <w:bookmarkEnd w:id="1218"/>
      <w:bookmarkEnd w:id="1219"/>
      <w:bookmarkEnd w:id="1221"/>
    </w:p>
    <w:p>
      <w:pPr>
        <w:pStyle w:val="Style3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7"/>
        <w:keepNext/>
        <w:keepLines/>
        <w:widowControl w:val="0"/>
        <w:shd w:val="clear" w:color="auto" w:fill="auto"/>
        <w:tabs>
          <w:tab w:pos="878" w:val="left"/>
        </w:tabs>
        <w:bidi w:val="0"/>
        <w:spacing w:before="0" w:after="0" w:line="313" w:lineRule="exact"/>
        <w:ind w:left="0" w:right="0" w:firstLine="40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w:t>
        <w:tab/>
        <w:t>内部退养福利及补充退休福利</w:t>
      </w:r>
      <w:bookmarkEnd w:id="1222"/>
      <w:bookmarkEnd w:id="1223"/>
      <w:bookmarkEnd w:id="1225"/>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本公司内部退养福利和补充退休福利费用支出及负债的金额依据各种假设条件确定。这些假设条件包括折现率、平均医疗费 用增长率、内退人员及离退人员补贴增长率和其他因素。实际结果和假设的差异将在发生时立即确认并计入当年费用。尽管 管理层认为已采用了合理假设，但实际经验值及假设条件的变化仍将影响本公司内部退养福利和补充退休福利的费用及负债 余额。</w:t>
      </w:r>
    </w:p>
    <w:p>
      <w:pPr>
        <w:pStyle w:val="Style34"/>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号——上市公司从事固体矿产资源相关业务》的披露要求</w:t>
      </w:r>
    </w:p>
    <w:p>
      <w:pPr>
        <w:pStyle w:val="Style37"/>
        <w:keepNext/>
        <w:keepLines/>
        <w:widowControl w:val="0"/>
        <w:shd w:val="clear" w:color="auto" w:fill="auto"/>
        <w:bidi w:val="0"/>
        <w:spacing w:before="0" w:after="220" w:line="326"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26"/>
      <w:bookmarkEnd w:id="1227"/>
      <w:bookmarkEnd w:id="1229"/>
    </w:p>
    <w:p>
      <w:pPr>
        <w:pStyle w:val="Style37"/>
        <w:keepNext/>
        <w:keepLines/>
        <w:widowControl w:val="0"/>
        <w:shd w:val="clear" w:color="auto" w:fill="auto"/>
        <w:bidi w:val="0"/>
        <w:spacing w:before="0" w:after="400" w:line="313" w:lineRule="exact"/>
        <w:ind w:left="0" w:right="0" w:firstLine="0"/>
        <w:jc w:val="both"/>
      </w:pPr>
      <w:bookmarkStart w:id="1226" w:name="bookmark1226"/>
      <w:bookmarkStart w:id="1227" w:name="bookmark1227"/>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26"/>
      <w:bookmarkEnd w:id="1227"/>
      <w:bookmarkEnd w:id="1231"/>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3202"/>
        <w:gridCol w:w="3187"/>
        <w:gridCol w:w="3197"/>
      </w:tblGrid>
      <w:tr>
        <w:trPr>
          <w:trHeight w:val="32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第三届董事会第二十四次会议和第三届 监事会第十四次会议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 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 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color w:val="000000"/>
                <w:spacing w:val="0"/>
                <w:w w:val="100"/>
                <w:position w:val="0"/>
              </w:rPr>
              <w:t>''），</w:t>
            </w:r>
            <w:r>
              <w:rPr>
                <w:color w:val="000000"/>
                <w:spacing w:val="0"/>
                <w:w w:val="100"/>
                <w:position w:val="0"/>
              </w:rPr>
              <w:t>要求在境内外同时上市的 企业以及在境外上市并采用国际财务报 告准则或企业会计准则编制财务报表的 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 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行；执行企业会计准则的非上市企业，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r>
    </w:tbl>
    <w:p>
      <w:pPr>
        <w:widowControl w:val="0"/>
        <w:spacing w:after="31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32"/>
      <w:bookmarkEnd w:id="1233"/>
      <w:bookmarkEnd w:id="1235"/>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236"/>
      <w:bookmarkEnd w:id="1237"/>
      <w:bookmarkEnd w:id="123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485,463,809.94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485,463,809.94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98,575,000.00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904,501,409.24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904,501,409.24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47,172,380.99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47,172,380.99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6,089,316.18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6,089,316.18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2,635,367,730.55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213,147,698.72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-2,422,220,031.83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2,280,320,186.54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2,280,320,186.54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214,441,568.63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214,441,568.63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4,391,611,215.53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4,249,711,370.24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-141,899,845.29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13,391,666.74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13,391,666.74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26,877,756.19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26,877,756.19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3,353,979.34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3,353,979.34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122,101,079.30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122,101,079.30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455,985,520.74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455,985,520.74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532,276,223.76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532,276,223.76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4,532,897.48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4,532,897.48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134,151,785.30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134,151,785.30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33,935,026.91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33,935,026.91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1,355,196,735.76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1,355,196,735.76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5,746,807,951.29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5,604,908,106.00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-141,899,845.29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1,127,994,510.40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1,127,994,510.40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63,601,425.04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63,601,425.04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935,306,507.92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935,306,507.92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146,494,276.78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-146,494,276.78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4,065,868.58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4,065,868.58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5,007,072.24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5,007,072.24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83,542,042.95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83,542,042.95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1,015,737,315.57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1,015,737,315.57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28,280,526.40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28,280,526.40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72,833,997.78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73,362,560.69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528,562.91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3,450,517,148.68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3,308,617,303.39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-141,899,845.29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12,767,201.69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12,767,201.69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413,767,201.69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413,767,201.69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3,864,284,350.37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3,722,384,505.08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-141,899,845.29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-6,280,444.74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-6,280,444.74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11,314,777.33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11,314,777.33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807,179,991.62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807,179,991.62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1,868,356,276.84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1,868,356,276.84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14,167,324.08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14,167,324.08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1,882,523,600.92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1,882,523,600.92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5,746,807,951.29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5,604,908,106.00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-141,899,845.29</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460,254,515.20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460,254,515.20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414,235,775.23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414,235,775.23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30,206,123.24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30,206,123.24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294,747,723.48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294,747,723.48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1,633,272,066.63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31,012,652.51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-1,602,259,414.12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1,602,259,414.12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1,602,259,414.12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192,947,906.68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192,947,906.68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3,055,364,110.46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3,055,364,110.46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13,391,666.74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13,391,666.74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1,761,524,507.20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1,761,524,507.20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96,562,692.06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96,562,692.06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5,894,773.90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5,894,773.90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4,050,703.46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4,050,703.46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94,700,225.00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94,700,225.00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35,964,800.16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35,964,800.16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2,016,099,368.52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2,016,099,368.52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5,071,463,478.98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5,071,463,478.98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1,127,994,510.40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1,127,994,510.40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63,601,425.04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63,601,425.04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754,997,827.12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754,997,827.12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-70,082.56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62,019.96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3,438,249.91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3,438,249.91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887,911.48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887,911.48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1,169,302,669.82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1,169,302,669.82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27,782,193.06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27,782,193.06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342,060.38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3,120,626,674.11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3,120,626,674.11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12,767,201.69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12,767,201.69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413,767,201.69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413,767,201.69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3,534,393,875.80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3,534,393,875.80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203,877,440.46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203,877,440.46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11,314,777.33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11,314,777.33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473,501,004.88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473,501,004.88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1,537,069,603.18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1,537,069,603.18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5,071,463,478.98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5,071,463,478.98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0" w:line="32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日开始执行新收入准则，本公司根据工程项目履约进度确认的收入金额超过已办理结算价款的金额由存 货重分类为合同资产，同一合同下的合同资产和合同负债应当以净额列示。</w:t>
      </w:r>
    </w:p>
    <w:p>
      <w:pPr>
        <w:pStyle w:val="Style34"/>
        <w:keepNext w:val="0"/>
        <w:keepLines w:val="0"/>
        <w:widowControl w:val="0"/>
        <w:shd w:val="clear" w:color="auto" w:fill="auto"/>
        <w:bidi w:val="0"/>
        <w:spacing w:before="0" w:after="300" w:line="324" w:lineRule="exact"/>
        <w:ind w:left="0" w:right="0"/>
        <w:jc w:val="both"/>
      </w:pPr>
      <w:r>
        <w:rPr>
          <w:color w:val="000000"/>
          <w:spacing w:val="0"/>
          <w:w w:val="100"/>
          <w:position w:val="0"/>
        </w:rPr>
        <w:t>本公司将</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日适用新收入准则的预收款项中不含增值税金额于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日重分类至合同负债，增值税金额 按照流动性重分类为其他流动负债。</w:t>
      </w:r>
    </w:p>
    <w:p>
      <w:pPr>
        <w:pStyle w:val="Style37"/>
        <w:keepNext/>
        <w:keepLines/>
        <w:widowControl w:val="0"/>
        <w:shd w:val="clear" w:color="auto" w:fill="auto"/>
        <w:bidi w:val="0"/>
        <w:spacing w:before="0" w:after="300" w:line="313" w:lineRule="exact"/>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40"/>
      <w:bookmarkEnd w:id="1241"/>
      <w:bookmarkEnd w:id="1243"/>
    </w:p>
    <w:p>
      <w:pPr>
        <w:pStyle w:val="Style34"/>
        <w:keepNext w:val="0"/>
        <w:keepLines w:val="0"/>
        <w:widowControl w:val="0"/>
        <w:shd w:val="clear" w:color="auto" w:fill="auto"/>
        <w:bidi w:val="0"/>
        <w:spacing w:before="0" w:after="30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313" w:lineRule="exact"/>
        <w:ind w:left="0" w:right="0" w:firstLine="0"/>
        <w:jc w:val="left"/>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44"/>
      <w:bookmarkEnd w:id="1245"/>
      <w:bookmarkEnd w:id="1246"/>
    </w:p>
    <w:p>
      <w:pPr>
        <w:pStyle w:val="Style37"/>
        <w:keepNext/>
        <w:keepLines/>
        <w:widowControl w:val="0"/>
        <w:shd w:val="clear" w:color="auto" w:fill="auto"/>
        <w:bidi w:val="0"/>
        <w:spacing w:before="0" w:after="0" w:line="313" w:lineRule="exact"/>
        <w:ind w:left="0" w:right="0" w:firstLine="500"/>
        <w:jc w:val="left"/>
      </w:pPr>
      <w:bookmarkStart w:id="1244" w:name="bookmark1244"/>
      <w:bookmarkStart w:id="1245" w:name="bookmark1245"/>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）安全生产费用</w:t>
      </w:r>
      <w:bookmarkEnd w:id="1244"/>
      <w:bookmarkEnd w:id="1245"/>
      <w:bookmarkEnd w:id="1248"/>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本公司根据财政部、国家安全生产监督管理总局《关于印发</w:t>
      </w:r>
      <w:r>
        <w:rPr>
          <w:color w:val="000000"/>
          <w:spacing w:val="0"/>
          <w:w w:val="100"/>
          <w:position w:val="0"/>
          <w:sz w:val="18"/>
          <w:szCs w:val="18"/>
        </w:rPr>
        <w:t>〈</w:t>
      </w:r>
      <w:r>
        <w:rPr>
          <w:color w:val="000000"/>
          <w:spacing w:val="0"/>
          <w:w w:val="100"/>
          <w:position w:val="0"/>
        </w:rPr>
        <w:t xml:space="preserve">企业安全生产费用提取和使用管理办法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的通知》及《企 业安全生产费用提取和使用管理办法》的规定计提安全生产费用，安全生产费用专门用于完善和改进企业安全生产条件。 本公司提取的安全生产费计入相关产品的成本或当期损益，同时计入专项储备。使用提取的安全生产费用属于费用性支出的， 直接冲减专项储备。使用提取的安全生产费形成固定资产的，通过在建工程归集所发生的支出，待安全项目完工达到预定可 使用状态时确认为固定资产，同时按照形成固定资产的成本冲减专项储备，并确认相同金额的累计折旧。该固定资产在以后 期间不再计提折旧。</w:t>
      </w:r>
    </w:p>
    <w:p>
      <w:pPr>
        <w:pStyle w:val="Style37"/>
        <w:keepNext/>
        <w:keepLines/>
        <w:widowControl w:val="0"/>
        <w:shd w:val="clear" w:color="auto" w:fill="auto"/>
        <w:bidi w:val="0"/>
        <w:spacing w:before="0" w:after="0" w:line="313" w:lineRule="exact"/>
        <w:ind w:left="0" w:right="0" w:firstLine="44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1249"/>
      <w:bookmarkEnd w:id="1250"/>
      <w:bookmarkEnd w:id="1252"/>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债务重组，是指在不改变交易对手方的情况下，经债权人和债务人协定或法院裁定，就清偿债务的时间、金额或方式等 重新达成协议的交易。</w:t>
      </w:r>
    </w:p>
    <w:p>
      <w:pPr>
        <w:pStyle w:val="Style34"/>
        <w:keepNext w:val="0"/>
        <w:keepLines w:val="0"/>
        <w:widowControl w:val="0"/>
        <w:numPr>
          <w:ilvl w:val="0"/>
          <w:numId w:val="67"/>
        </w:numPr>
        <w:shd w:val="clear" w:color="auto" w:fill="auto"/>
        <w:tabs>
          <w:tab w:pos="737" w:val="left"/>
        </w:tabs>
        <w:bidi w:val="0"/>
        <w:spacing w:before="0" w:after="0" w:line="240" w:lineRule="auto"/>
        <w:ind w:left="0" w:right="0"/>
        <w:jc w:val="both"/>
      </w:pPr>
      <w:bookmarkStart w:id="1253" w:name="bookmark1253"/>
      <w:bookmarkEnd w:id="1253"/>
      <w:r>
        <w:rPr>
          <w:color w:val="000000"/>
          <w:spacing w:val="0"/>
          <w:w w:val="100"/>
          <w:position w:val="0"/>
        </w:rPr>
        <w:t>本公司作为债务人记录债务重组</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本公司以资产清偿债务的债务重组，在相关资产和所清偿债务符合终止确认条件时予以终止确认，所清偿债务账面价值 与转让资产账面价值之间的差额计入当期损益。</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本公司将债务转为权益工具的债务重组，在所清偿债务符合终止确认条件时予以终止确认。初始确认权益工具时按照权 益工具的公允价值计量，权益工具的公允价值不能可靠计量的，按照所清偿债务的公允价值计量。所清偿债务账面价值与权 益工具确认金额之间的差额，计入当期损益。</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采用修改其他条款方式进行债务重组的，按照《企业会计准则第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号——金融工具的确认和计量》、《企业会计准则 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号——金融工具列报》的规定，确认和计量重组债务。</w:t>
      </w:r>
    </w:p>
    <w:p>
      <w:pPr>
        <w:pStyle w:val="Style34"/>
        <w:keepNext w:val="0"/>
        <w:keepLines w:val="0"/>
        <w:widowControl w:val="0"/>
        <w:shd w:val="clear" w:color="auto" w:fill="auto"/>
        <w:bidi w:val="0"/>
        <w:spacing w:before="0" w:after="80" w:line="310" w:lineRule="exact"/>
        <w:ind w:left="0" w:right="0"/>
        <w:jc w:val="both"/>
      </w:pPr>
      <w:r>
        <w:rPr>
          <w:color w:val="000000"/>
          <w:spacing w:val="0"/>
          <w:w w:val="100"/>
          <w:position w:val="0"/>
        </w:rPr>
        <w:t>采用多项资产清偿债务或者组合方式进行债务重组的，本公司按照前述方法确认和计量权益工具和重组债务，所清偿债 务的账面价值与转让资产的账面价值以及权益工具和重组债务的确认金额之和的差额，计入当期损益。</w:t>
      </w:r>
    </w:p>
    <w:p>
      <w:pPr>
        <w:pStyle w:val="Style34"/>
        <w:keepNext w:val="0"/>
        <w:keepLines w:val="0"/>
        <w:widowControl w:val="0"/>
        <w:numPr>
          <w:ilvl w:val="0"/>
          <w:numId w:val="67"/>
        </w:numPr>
        <w:shd w:val="clear" w:color="auto" w:fill="auto"/>
        <w:tabs>
          <w:tab w:pos="737" w:val="left"/>
        </w:tabs>
        <w:bidi w:val="0"/>
        <w:spacing w:before="0" w:after="0" w:line="240" w:lineRule="auto"/>
        <w:ind w:left="0" w:right="0"/>
        <w:jc w:val="both"/>
      </w:pPr>
      <w:bookmarkStart w:id="1254" w:name="bookmark1254"/>
      <w:bookmarkEnd w:id="1254"/>
      <w:r>
        <w:rPr>
          <w:color w:val="000000"/>
          <w:spacing w:val="0"/>
          <w:w w:val="100"/>
          <w:position w:val="0"/>
        </w:rPr>
        <w:t>本公司作为债权人记录债务重组</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债务人以资产清偿债务或者将债务转为权益工具方式进行债务重组的，本公司在相关资产符合其定义和确认条件时予以 确认。</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债务人以资产清偿债务方式进行债务重组的，本公司初始确认受让的金融资产以外的资产时，应当按照下列原则以成本 </w:t>
      </w:r>
      <w:r>
        <w:rPr>
          <w:color w:val="000000"/>
          <w:spacing w:val="0"/>
          <w:w w:val="100"/>
          <w:position w:val="0"/>
        </w:rPr>
        <w:t>计量：</w:t>
      </w:r>
    </w:p>
    <w:p>
      <w:pPr>
        <w:pStyle w:val="Style34"/>
        <w:keepNext w:val="0"/>
        <w:keepLines w:val="0"/>
        <w:widowControl w:val="0"/>
        <w:shd w:val="clear" w:color="auto" w:fill="auto"/>
        <w:tabs>
          <w:tab w:pos="679" w:val="left"/>
        </w:tabs>
        <w:bidi w:val="0"/>
        <w:spacing w:before="0" w:after="0" w:line="314" w:lineRule="exact"/>
        <w:ind w:left="0" w:right="0"/>
        <w:jc w:val="both"/>
      </w:pPr>
      <w:bookmarkStart w:id="1255" w:name="bookmark1255"/>
      <w:r>
        <w:rPr>
          <w:rFonts w:ascii="Times New Roman" w:eastAsia="Times New Roman" w:hAnsi="Times New Roman" w:cs="Times New Roman"/>
          <w:color w:val="000000"/>
          <w:spacing w:val="0"/>
          <w:w w:val="100"/>
          <w:position w:val="0"/>
          <w:sz w:val="18"/>
          <w:szCs w:val="18"/>
        </w:rPr>
        <w:t>A</w:t>
      </w:r>
      <w:bookmarkEnd w:id="1255"/>
      <w:r>
        <w:rPr>
          <w:color w:val="000000"/>
          <w:spacing w:val="0"/>
          <w:w w:val="100"/>
          <w:position w:val="0"/>
        </w:rPr>
        <w:t>、</w:t>
        <w:tab/>
      </w:r>
      <w:r>
        <w:rPr>
          <w:color w:val="000000"/>
          <w:spacing w:val="0"/>
          <w:w w:val="100"/>
          <w:position w:val="0"/>
        </w:rPr>
        <w:t>存货的成本，包括放弃债权的公允价值和使该资产达到当前位置和状态所发生的可直接归属于该资产的税金、运输 费、装卸费、保险费等其他成本。</w:t>
      </w:r>
    </w:p>
    <w:p>
      <w:pPr>
        <w:pStyle w:val="Style34"/>
        <w:keepNext w:val="0"/>
        <w:keepLines w:val="0"/>
        <w:widowControl w:val="0"/>
        <w:shd w:val="clear" w:color="auto" w:fill="auto"/>
        <w:tabs>
          <w:tab w:pos="723" w:val="left"/>
        </w:tabs>
        <w:bidi w:val="0"/>
        <w:spacing w:before="0" w:after="0" w:line="314" w:lineRule="exact"/>
        <w:ind w:left="0" w:right="0"/>
        <w:jc w:val="both"/>
      </w:pPr>
      <w:bookmarkStart w:id="1256" w:name="bookmark1256"/>
      <w:r>
        <w:rPr>
          <w:rFonts w:ascii="Times New Roman" w:eastAsia="Times New Roman" w:hAnsi="Times New Roman" w:cs="Times New Roman"/>
          <w:color w:val="000000"/>
          <w:spacing w:val="0"/>
          <w:w w:val="100"/>
          <w:position w:val="0"/>
          <w:sz w:val="18"/>
          <w:szCs w:val="18"/>
        </w:rPr>
        <w:t>B</w:t>
      </w:r>
      <w:bookmarkEnd w:id="1256"/>
      <w:r>
        <w:rPr>
          <w:color w:val="000000"/>
          <w:spacing w:val="0"/>
          <w:w w:val="100"/>
          <w:position w:val="0"/>
        </w:rPr>
        <w:t>、</w:t>
        <w:tab/>
      </w:r>
      <w:r>
        <w:rPr>
          <w:color w:val="000000"/>
          <w:spacing w:val="0"/>
          <w:w w:val="100"/>
          <w:position w:val="0"/>
        </w:rPr>
        <w:t>对联营企业或合营企业投资的成本，包括放弃债权的公允价值和可直接归属于该资产的税金等其他成本。</w:t>
      </w:r>
    </w:p>
    <w:p>
      <w:pPr>
        <w:pStyle w:val="Style34"/>
        <w:keepNext w:val="0"/>
        <w:keepLines w:val="0"/>
        <w:widowControl w:val="0"/>
        <w:shd w:val="clear" w:color="auto" w:fill="auto"/>
        <w:tabs>
          <w:tab w:pos="723" w:val="left"/>
        </w:tabs>
        <w:bidi w:val="0"/>
        <w:spacing w:before="0" w:after="0" w:line="314" w:lineRule="exact"/>
        <w:ind w:left="0" w:right="0"/>
        <w:jc w:val="both"/>
      </w:pPr>
      <w:bookmarkStart w:id="1257" w:name="bookmark1257"/>
      <w:r>
        <w:rPr>
          <w:rFonts w:ascii="Times New Roman" w:eastAsia="Times New Roman" w:hAnsi="Times New Roman" w:cs="Times New Roman"/>
          <w:color w:val="000000"/>
          <w:spacing w:val="0"/>
          <w:w w:val="100"/>
          <w:position w:val="0"/>
          <w:sz w:val="18"/>
          <w:szCs w:val="18"/>
        </w:rPr>
        <w:t>C</w:t>
      </w:r>
      <w:bookmarkEnd w:id="1257"/>
      <w:r>
        <w:rPr>
          <w:color w:val="000000"/>
          <w:spacing w:val="0"/>
          <w:w w:val="100"/>
          <w:position w:val="0"/>
        </w:rPr>
        <w:t>、</w:t>
        <w:tab/>
      </w:r>
      <w:r>
        <w:rPr>
          <w:color w:val="000000"/>
          <w:spacing w:val="0"/>
          <w:w w:val="100"/>
          <w:position w:val="0"/>
        </w:rPr>
        <w:t>投资性房地产的成本，包括放弃债权的公允价值和可直接归属于该资产的税金等其他成本。</w:t>
      </w:r>
    </w:p>
    <w:p>
      <w:pPr>
        <w:pStyle w:val="Style34"/>
        <w:keepNext w:val="0"/>
        <w:keepLines w:val="0"/>
        <w:widowControl w:val="0"/>
        <w:shd w:val="clear" w:color="auto" w:fill="auto"/>
        <w:tabs>
          <w:tab w:pos="694" w:val="left"/>
        </w:tabs>
        <w:bidi w:val="0"/>
        <w:spacing w:before="0" w:after="0" w:line="314" w:lineRule="exact"/>
        <w:ind w:left="0" w:right="0"/>
        <w:jc w:val="both"/>
      </w:pPr>
      <w:bookmarkStart w:id="1258" w:name="bookmark1258"/>
      <w:r>
        <w:rPr>
          <w:rFonts w:ascii="Times New Roman" w:eastAsia="Times New Roman" w:hAnsi="Times New Roman" w:cs="Times New Roman"/>
          <w:color w:val="000000"/>
          <w:spacing w:val="0"/>
          <w:w w:val="100"/>
          <w:position w:val="0"/>
          <w:sz w:val="18"/>
          <w:szCs w:val="18"/>
        </w:rPr>
        <w:t>D</w:t>
      </w:r>
      <w:bookmarkEnd w:id="1258"/>
      <w:r>
        <w:rPr>
          <w:color w:val="000000"/>
          <w:spacing w:val="0"/>
          <w:w w:val="100"/>
          <w:position w:val="0"/>
        </w:rPr>
        <w:t>、</w:t>
        <w:tab/>
      </w:r>
      <w:r>
        <w:rPr>
          <w:color w:val="000000"/>
          <w:spacing w:val="0"/>
          <w:w w:val="100"/>
          <w:position w:val="0"/>
        </w:rPr>
        <w:t>固定资产的成本，包括放弃债权的公允价值和使该资产达到预定可使用状态前所发生的可直接归属于该资产的税金、 运输费、装卸费、安装费、专业人员服务费等其他成本。</w:t>
      </w:r>
    </w:p>
    <w:p>
      <w:pPr>
        <w:pStyle w:val="Style34"/>
        <w:keepNext w:val="0"/>
        <w:keepLines w:val="0"/>
        <w:widowControl w:val="0"/>
        <w:shd w:val="clear" w:color="auto" w:fill="auto"/>
        <w:tabs>
          <w:tab w:pos="719" w:val="left"/>
        </w:tabs>
        <w:bidi w:val="0"/>
        <w:spacing w:before="0" w:after="0" w:line="314" w:lineRule="exact"/>
        <w:ind w:left="0" w:right="0"/>
        <w:jc w:val="left"/>
      </w:pPr>
      <w:bookmarkStart w:id="1259" w:name="bookmark1259"/>
      <w:r>
        <w:rPr>
          <w:rFonts w:ascii="Times New Roman" w:eastAsia="Times New Roman" w:hAnsi="Times New Roman" w:cs="Times New Roman"/>
          <w:color w:val="000000"/>
          <w:spacing w:val="0"/>
          <w:w w:val="100"/>
          <w:position w:val="0"/>
          <w:sz w:val="18"/>
          <w:szCs w:val="18"/>
        </w:rPr>
        <w:t>E</w:t>
      </w:r>
      <w:bookmarkEnd w:id="1259"/>
      <w:r>
        <w:rPr>
          <w:color w:val="000000"/>
          <w:spacing w:val="0"/>
          <w:w w:val="100"/>
          <w:position w:val="0"/>
        </w:rPr>
        <w:t>、</w:t>
        <w:tab/>
      </w:r>
      <w:r>
        <w:rPr>
          <w:color w:val="000000"/>
          <w:spacing w:val="0"/>
          <w:w w:val="100"/>
          <w:position w:val="0"/>
        </w:rPr>
        <w:t>生物资产的成本，包括放弃债权的公允价值和可直接归属于该资产的税金、运输费、保险费等其他成本。</w:t>
      </w:r>
    </w:p>
    <w:p>
      <w:pPr>
        <w:pStyle w:val="Style34"/>
        <w:keepNext w:val="0"/>
        <w:keepLines w:val="0"/>
        <w:widowControl w:val="0"/>
        <w:shd w:val="clear" w:color="auto" w:fill="auto"/>
        <w:tabs>
          <w:tab w:pos="689" w:val="left"/>
        </w:tabs>
        <w:bidi w:val="0"/>
        <w:spacing w:before="0" w:after="0" w:line="314" w:lineRule="exact"/>
        <w:ind w:left="0" w:right="0"/>
        <w:jc w:val="left"/>
      </w:pPr>
      <w:bookmarkStart w:id="1260" w:name="bookmark1260"/>
      <w:r>
        <w:rPr>
          <w:rFonts w:ascii="Times New Roman" w:eastAsia="Times New Roman" w:hAnsi="Times New Roman" w:cs="Times New Roman"/>
          <w:color w:val="000000"/>
          <w:spacing w:val="0"/>
          <w:w w:val="100"/>
          <w:position w:val="0"/>
          <w:sz w:val="18"/>
          <w:szCs w:val="18"/>
        </w:rPr>
        <w:t>F</w:t>
      </w:r>
      <w:bookmarkEnd w:id="1260"/>
      <w:r>
        <w:rPr>
          <w:color w:val="000000"/>
          <w:spacing w:val="0"/>
          <w:w w:val="100"/>
          <w:position w:val="0"/>
        </w:rPr>
        <w:t>、</w:t>
        <w:tab/>
      </w:r>
      <w:r>
        <w:rPr>
          <w:color w:val="000000"/>
          <w:spacing w:val="0"/>
          <w:w w:val="100"/>
          <w:position w:val="0"/>
        </w:rPr>
        <w:t>无形资产的成本，包括放弃债权的公允价值和可直接归属于使该资产达到预定用途所发生的税金等其他成本。放弃 债权的公允价值与账面价值之间的差额，应当计入当期损益。</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将债务转为权益工具的债务重组导致本公司将债权转为对联营企业或合营企业的权益性投资的，按照放弃债权的公允价 值和可直接归属于该资产的税金等其他成本计量其初始投资成本。放弃债权的公允价值与账面价值之间的差额，计入当期损 </w:t>
      </w:r>
      <w:r>
        <w:rPr>
          <w:color w:val="000000"/>
          <w:spacing w:val="0"/>
          <w:w w:val="100"/>
          <w:position w:val="0"/>
          <w:u w:val="single"/>
        </w:rPr>
        <w:t>益</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采用修改其他条款方式进行债务重组的，本公司按照《企业会计准则第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号——金融工具的确认和计量》的规定，确 认和计量重组债权。</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采用多项资产清偿债务或者组合方式进行债务重组的，首先按照《企业会计准则第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号——金融工具的确认和计量》 的规定确认和计量受让的金融资产和重组债权，然后按照受让的金融资产以外的各项资产的公允价值比例，对放弃债权的公 允价值扣除受让金融资产和重组债权确认金额后的净额进行分配，并以此为基础按照前述方法分别确定各项资产的成本。放 弃债权的公允价值与账面价值之间的差额，计入当期损益。</w:t>
      </w:r>
    </w:p>
    <w:p>
      <w:pPr>
        <w:pStyle w:val="Style37"/>
        <w:keepNext/>
        <w:keepLines/>
        <w:widowControl w:val="0"/>
        <w:shd w:val="clear" w:color="auto" w:fill="auto"/>
        <w:bidi w:val="0"/>
        <w:spacing w:before="0" w:after="0" w:line="314" w:lineRule="exact"/>
        <w:ind w:left="0" w:right="0" w:firstLine="440"/>
        <w:jc w:val="both"/>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）非货币性资产交换</w:t>
      </w:r>
      <w:bookmarkEnd w:id="1261"/>
      <w:bookmarkEnd w:id="1262"/>
      <w:bookmarkEnd w:id="1264"/>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如果非货币性资产交换具有商业实质，并且换入资产或换出资产的公允价值能够可靠地计量，非货币性资产交换以公允 价值为基础计量。对于换入资产，以换出资产的公允价值和应支付的相关税费作为换入资产的成本进行初始计量；对于换出 资产，在终止确认时，将换出资产公允价值与账面价值的差额计入当期损益。有确凿证据表明换入资产的公允价值更加可靠 的，对于换入资产，以换入资产的公允价值和应支付的相关税费作为换入资产的初始计量金额；对于换出资产，在终止确认 时，将换入资产的公允价值与换出资产账面价值之间的差额计入当期损益。</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不满足以公允价值为基础计量的条件的非货币性资产交换，以账面价值为基础计量。对于换入资产，以换出资产的账面 价值和应支付的相关税费作为换入资产的初始计量金额；对于换出资产，终止确认时不确认损益。</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非货币性资产交换同时换入多项资产的，如果以公允价值为基础计量，按照换入的金融资产以外的各项换入资产公允价 值相对比例，将换出资产公允价值总额扣除换入金融资产公允价值后的净额进行分摊，以分摊至各项换入资产的金额，加上 应支付的相关税费，作为各项换入资产的成本进行初始计量；有确凿证据表明换入资产的公允价值更加可靠的，以各项换入 资产的公允价值和应支付的相关税费作为各项换入资产的成本进行初始计量。非货币性资产交换以账面价值为基础计量的， 按照各项换入资产的公允价值的相对比例，将换出资产的账面价值总额分摊至各项换入资产，加上应支付的相关税费，作为 各项换入资产的初始计量金额。</w:t>
      </w:r>
    </w:p>
    <w:p>
      <w:pPr>
        <w:pStyle w:val="Style34"/>
        <w:keepNext w:val="0"/>
        <w:keepLines w:val="0"/>
        <w:widowControl w:val="0"/>
        <w:shd w:val="clear" w:color="auto" w:fill="auto"/>
        <w:bidi w:val="0"/>
        <w:spacing w:before="0" w:after="380" w:line="314" w:lineRule="exact"/>
        <w:ind w:left="0" w:right="0"/>
        <w:jc w:val="left"/>
      </w:pPr>
      <w:r>
        <w:rPr>
          <w:color w:val="000000"/>
          <w:spacing w:val="0"/>
          <w:w w:val="100"/>
          <w:position w:val="0"/>
        </w:rPr>
        <w:t>非货币性资产交换同时换出多项资产的，如果以公允价值为基础计量，将各项换出资产的公允价值与其账面价值之间的 差额，在各项换出资产终止确认时计入当期损益；有确凿证据表明换入资产的公允价值更加可靠的，按照各项换出资产的公 允价值的相对比例，将换入资产的公允价值总额分摊至各项换出资产，分摊至各项换出资产的金额与各项换出资产账面价值 之间的差额，在各项换出资产终止确认时计入当期损益。非货币性资产交换以账面价值为基础计量的，各项换出资产终止确 认时均不确认损益。</w:t>
      </w:r>
    </w:p>
    <w:p>
      <w:pPr>
        <w:pStyle w:val="Style30"/>
        <w:keepNext/>
        <w:keepLines/>
        <w:widowControl w:val="0"/>
        <w:shd w:val="clear" w:color="auto" w:fill="auto"/>
        <w:bidi w:val="0"/>
        <w:spacing w:before="0" w:after="30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sz w:val="24"/>
          <w:szCs w:val="24"/>
        </w:rPr>
        <w:t>六</w:t>
      </w:r>
      <w:bookmarkEnd w:id="1267"/>
      <w:r>
        <w:rPr>
          <w:color w:val="000000"/>
          <w:spacing w:val="0"/>
          <w:w w:val="100"/>
          <w:position w:val="0"/>
          <w:sz w:val="24"/>
          <w:szCs w:val="24"/>
        </w:rPr>
        <w:t>、税项</w:t>
      </w:r>
      <w:bookmarkEnd w:id="1265"/>
      <w:bookmarkEnd w:id="1266"/>
      <w:bookmarkEnd w:id="1268"/>
    </w:p>
    <w:p>
      <w:pPr>
        <w:pStyle w:val="Style37"/>
        <w:keepNext/>
        <w:keepLines/>
        <w:widowControl w:val="0"/>
        <w:shd w:val="clear" w:color="auto" w:fill="auto"/>
        <w:bidi w:val="0"/>
        <w:spacing w:before="0" w:after="300" w:line="314" w:lineRule="exact"/>
        <w:ind w:left="0" w:right="0" w:firstLine="0"/>
        <w:jc w:val="left"/>
      </w:pPr>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69"/>
      <w:bookmarkEnd w:id="1270"/>
      <w:bookmarkEnd w:id="1271"/>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津巴布韦境内公司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72"/>
      <w:bookmarkEnd w:id="1273"/>
      <w:bookmarkEnd w:id="1274"/>
    </w:p>
    <w:p>
      <w:pPr>
        <w:pStyle w:val="Style3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根据《中华人民共和国企业所得税法》以及《中华人民共和国企业所得税法实施条例》，公司为开发新技术、新产品、 新工艺发生的研究开发费，未形成无形资产计入当期损益的，在按照规定据实扣除的基础上，按照研究开发费用的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加计 扣除。</w:t>
      </w:r>
    </w:p>
    <w:p>
      <w:pPr>
        <w:pStyle w:val="Style3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青岛中资中程集团股份有限公司出口产品实行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税政策。子公司青岛中资中程进出口有限公司出口产品实行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 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税政策。</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根据青岛市财政局、国家税务总局青岛市税务局关于明确疫情防控期间城镇土地使用税、房产税困难减免税政策的通知 （青财税</w:t>
      </w:r>
      <w:r>
        <w:rPr>
          <w:rFonts w:ascii="Times New Roman" w:eastAsia="Times New Roman" w:hAnsi="Times New Roman" w:cs="Times New Roman"/>
          <w:color w:val="000000"/>
          <w:spacing w:val="0"/>
          <w:w w:val="100"/>
          <w:position w:val="0"/>
          <w:sz w:val="18"/>
          <w:szCs w:val="18"/>
        </w:rPr>
        <w:t>[2020]5</w:t>
      </w:r>
      <w:r>
        <w:rPr>
          <w:color w:val="000000"/>
          <w:spacing w:val="0"/>
          <w:w w:val="100"/>
          <w:position w:val="0"/>
        </w:rPr>
        <w:t>号），对受疫情影响较大的纳税人可申请免征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年第一季度自有土地、房产的城镇土地使用税、房产税。</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青岛中资中程集团股份有限公司符合政策要求，减按</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的比例缴纳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年第一季度自有土地、房产的城镇土地使用税、房 产税。</w:t>
      </w:r>
    </w:p>
    <w:p>
      <w:pPr>
        <w:pStyle w:val="Style4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根据印尼政府</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号条例规定，自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日起，印尼境内企业及常设机构纳税人所得税率降低为：</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适用于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年和</w:t>
      </w:r>
      <w:r>
        <w:rPr>
          <w:color w:val="000000"/>
          <w:spacing w:val="0"/>
          <w:w w:val="100"/>
          <w:position w:val="0"/>
          <w:sz w:val="18"/>
          <w:szCs w:val="18"/>
        </w:rPr>
        <w:t>2021</w:t>
      </w:r>
      <w:r>
        <w:rPr>
          <w:rFonts w:ascii="SimSun" w:eastAsia="SimSun" w:hAnsi="SimSun" w:cs="SimSun"/>
          <w:color w:val="000000"/>
          <w:spacing w:val="0"/>
          <w:w w:val="100"/>
          <w:position w:val="0"/>
          <w:sz w:val="17"/>
          <w:szCs w:val="17"/>
        </w:rPr>
        <w:t>年的纳税年度；</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color w:val="000000"/>
          <w:spacing w:val="0"/>
          <w:w w:val="100"/>
          <w:position w:val="0"/>
          <w:sz w:val="18"/>
          <w:szCs w:val="18"/>
        </w:rPr>
        <w:t>20%-</w:t>
      </w:r>
      <w:r>
        <w:rPr>
          <w:rFonts w:ascii="SimSun" w:eastAsia="SimSun" w:hAnsi="SimSun" w:cs="SimSun"/>
          <w:color w:val="000000"/>
          <w:spacing w:val="0"/>
          <w:w w:val="100"/>
          <w:position w:val="0"/>
          <w:sz w:val="17"/>
          <w:szCs w:val="17"/>
        </w:rPr>
        <w:t>适用于</w:t>
      </w:r>
      <w:r>
        <w:rPr>
          <w:color w:val="000000"/>
          <w:spacing w:val="0"/>
          <w:w w:val="100"/>
          <w:position w:val="0"/>
          <w:sz w:val="18"/>
          <w:szCs w:val="18"/>
        </w:rPr>
        <w:t>2022</w:t>
      </w:r>
      <w:r>
        <w:rPr>
          <w:rFonts w:ascii="SimSun" w:eastAsia="SimSun" w:hAnsi="SimSun" w:cs="SimSun"/>
          <w:color w:val="000000"/>
          <w:spacing w:val="0"/>
          <w:w w:val="100"/>
          <w:position w:val="0"/>
          <w:sz w:val="17"/>
          <w:szCs w:val="17"/>
        </w:rPr>
        <w:t>的纳税年度。</w:t>
      </w:r>
      <w:r>
        <w:rPr>
          <w:color w:val="000000"/>
          <w:spacing w:val="0"/>
          <w:w w:val="100"/>
          <w:position w:val="0"/>
          <w:sz w:val="18"/>
          <w:szCs w:val="18"/>
        </w:rPr>
        <w:t xml:space="preserve">PT. Transon Energy Kapitalindo </w:t>
      </w:r>
      <w:r>
        <w:rPr>
          <w:rFonts w:ascii="SimSun" w:eastAsia="SimSun" w:hAnsi="SimSun" w:cs="SimSun"/>
          <w:color w:val="000000"/>
          <w:spacing w:val="0"/>
          <w:w w:val="100"/>
          <w:position w:val="0"/>
          <w:sz w:val="17"/>
          <w:szCs w:val="17"/>
        </w:rPr>
        <w:t>（青岛中资中程印尼安 能有限公司）、</w:t>
      </w:r>
      <w:r>
        <w:rPr>
          <w:color w:val="000000"/>
          <w:spacing w:val="0"/>
          <w:w w:val="100"/>
          <w:position w:val="0"/>
          <w:sz w:val="18"/>
          <w:szCs w:val="18"/>
        </w:rPr>
        <w:t xml:space="preserve">PT. Transon Bumindo Resources </w:t>
      </w:r>
      <w:r>
        <w:rPr>
          <w:rFonts w:ascii="SimSun" w:eastAsia="SimSun" w:hAnsi="SimSun" w:cs="SimSun"/>
          <w:color w:val="000000"/>
          <w:spacing w:val="0"/>
          <w:w w:val="100"/>
          <w:position w:val="0"/>
          <w:sz w:val="17"/>
          <w:szCs w:val="17"/>
        </w:rPr>
        <w:t>（青岛中资中程印尼资源有限公司）、</w:t>
      </w:r>
      <w:r>
        <w:rPr>
          <w:color w:val="000000"/>
          <w:spacing w:val="0"/>
          <w:w w:val="100"/>
          <w:position w:val="0"/>
          <w:sz w:val="18"/>
          <w:szCs w:val="18"/>
        </w:rPr>
        <w:t xml:space="preserve">PT.Transon Daya Indomining </w:t>
      </w:r>
      <w:r>
        <w:rPr>
          <w:rFonts w:ascii="SimSun" w:eastAsia="SimSun" w:hAnsi="SimSun" w:cs="SimSun"/>
          <w:color w:val="000000"/>
          <w:spacing w:val="0"/>
          <w:w w:val="100"/>
          <w:position w:val="0"/>
          <w:sz w:val="17"/>
          <w:szCs w:val="17"/>
        </w:rPr>
        <w:t>（青岛中 资中程印尼矿业服务有限公司）、</w:t>
      </w:r>
      <w:r>
        <w:rPr>
          <w:color w:val="000000"/>
          <w:spacing w:val="0"/>
          <w:w w:val="100"/>
          <w:position w:val="0"/>
          <w:sz w:val="18"/>
          <w:szCs w:val="18"/>
        </w:rPr>
        <w:t xml:space="preserve">PT. Transon Mining Development </w:t>
      </w:r>
      <w:r>
        <w:rPr>
          <w:rFonts w:ascii="SimSun" w:eastAsia="SimSun" w:hAnsi="SimSun" w:cs="SimSun"/>
          <w:color w:val="000000"/>
          <w:spacing w:val="0"/>
          <w:w w:val="100"/>
          <w:position w:val="0"/>
          <w:sz w:val="17"/>
          <w:szCs w:val="17"/>
        </w:rPr>
        <w:t>（青岛中资中程印尼安宁有限公司）、</w:t>
      </w:r>
      <w:r>
        <w:rPr>
          <w:color w:val="000000"/>
          <w:spacing w:val="0"/>
          <w:w w:val="100"/>
          <w:position w:val="0"/>
          <w:sz w:val="18"/>
          <w:szCs w:val="18"/>
        </w:rPr>
        <w:t xml:space="preserve">PT. Transon Global Resources </w:t>
      </w:r>
      <w:r>
        <w:rPr>
          <w:rFonts w:ascii="SimSun" w:eastAsia="SimSun" w:hAnsi="SimSun" w:cs="SimSun"/>
          <w:color w:val="000000"/>
          <w:spacing w:val="0"/>
          <w:w w:val="100"/>
          <w:position w:val="0"/>
          <w:sz w:val="17"/>
          <w:szCs w:val="17"/>
        </w:rPr>
        <w:t>（青岛中资中程印尼环宇资源有限公司）、</w:t>
      </w:r>
      <w:r>
        <w:rPr>
          <w:color w:val="000000"/>
          <w:spacing w:val="0"/>
          <w:w w:val="100"/>
          <w:position w:val="0"/>
          <w:sz w:val="18"/>
          <w:szCs w:val="18"/>
        </w:rPr>
        <w:t xml:space="preserve">PT.Transon Ocean Industry Park </w:t>
      </w:r>
      <w:r>
        <w:rPr>
          <w:rFonts w:ascii="SimSun" w:eastAsia="SimSun" w:hAnsi="SimSun" w:cs="SimSun"/>
          <w:color w:val="000000"/>
          <w:spacing w:val="0"/>
          <w:w w:val="100"/>
          <w:position w:val="0"/>
          <w:sz w:val="17"/>
          <w:szCs w:val="17"/>
        </w:rPr>
        <w:t>（青岛中资中程印尼海源有限公司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PT. W </w:t>
      </w:r>
      <w:r>
        <w:rPr>
          <w:color w:val="000000"/>
          <w:spacing w:val="0"/>
          <w:w w:val="100"/>
          <w:position w:val="0"/>
          <w:sz w:val="18"/>
          <w:szCs w:val="18"/>
        </w:rPr>
        <w:t xml:space="preserve">&amp; </w:t>
      </w:r>
      <w:r>
        <w:rPr>
          <w:color w:val="000000"/>
          <w:spacing w:val="0"/>
          <w:w w:val="100"/>
          <w:position w:val="0"/>
          <w:sz w:val="18"/>
          <w:szCs w:val="18"/>
        </w:rPr>
        <w:t xml:space="preserve">H Brothers Mining </w:t>
      </w:r>
      <w:r>
        <w:rPr>
          <w:rFonts w:ascii="SimSun" w:eastAsia="SimSun" w:hAnsi="SimSun" w:cs="SimSun"/>
          <w:color w:val="000000"/>
          <w:spacing w:val="0"/>
          <w:w w:val="100"/>
          <w:position w:val="0"/>
          <w:sz w:val="17"/>
          <w:szCs w:val="17"/>
        </w:rPr>
        <w:t>（青岛中资中程印尼兄弟矿业有限公司）、</w:t>
      </w:r>
      <w:r>
        <w:rPr>
          <w:color w:val="000000"/>
          <w:spacing w:val="0"/>
          <w:w w:val="100"/>
          <w:position w:val="0"/>
          <w:sz w:val="18"/>
          <w:szCs w:val="18"/>
        </w:rPr>
        <w:t xml:space="preserve">PT. Kutal Nyala Resources </w:t>
      </w:r>
      <w:r>
        <w:rPr>
          <w:rFonts w:ascii="SimSun" w:eastAsia="SimSun" w:hAnsi="SimSun" w:cs="SimSun"/>
          <w:color w:val="000000"/>
          <w:spacing w:val="0"/>
          <w:w w:val="100"/>
          <w:position w:val="0"/>
          <w:sz w:val="17"/>
          <w:szCs w:val="17"/>
        </w:rPr>
        <w:t>（青岛中资中程印尼东加码 头有限公司）、</w:t>
      </w:r>
      <w:r>
        <w:rPr>
          <w:color w:val="000000"/>
          <w:spacing w:val="0"/>
          <w:w w:val="100"/>
          <w:position w:val="0"/>
          <w:sz w:val="18"/>
          <w:szCs w:val="18"/>
        </w:rPr>
        <w:t xml:space="preserve">PT.CIS Resources </w:t>
      </w:r>
      <w:r>
        <w:rPr>
          <w:rFonts w:ascii="SimSun" w:eastAsia="SimSun" w:hAnsi="SimSun" w:cs="SimSun"/>
          <w:color w:val="000000"/>
          <w:spacing w:val="0"/>
          <w:w w:val="100"/>
          <w:position w:val="0"/>
          <w:sz w:val="17"/>
          <w:szCs w:val="17"/>
        </w:rPr>
        <w:t>（青岛中资中程印尼中加煤矿有限公司）、</w:t>
      </w:r>
      <w:r>
        <w:rPr>
          <w:color w:val="000000"/>
          <w:spacing w:val="0"/>
          <w:w w:val="100"/>
          <w:position w:val="0"/>
          <w:sz w:val="18"/>
          <w:szCs w:val="18"/>
        </w:rPr>
        <w:t xml:space="preserve">PT.Madani Sejahtera </w:t>
      </w:r>
      <w:r>
        <w:rPr>
          <w:rFonts w:ascii="SimSun" w:eastAsia="SimSun" w:hAnsi="SimSun" w:cs="SimSun"/>
          <w:color w:val="000000"/>
          <w:spacing w:val="0"/>
          <w:w w:val="100"/>
          <w:position w:val="0"/>
          <w:sz w:val="17"/>
          <w:szCs w:val="17"/>
        </w:rPr>
        <w:t>（青岛中资中程印尼苏岛镍 矿有限公司）、</w:t>
      </w:r>
      <w:r>
        <w:rPr>
          <w:color w:val="000000"/>
          <w:spacing w:val="0"/>
          <w:w w:val="100"/>
          <w:position w:val="0"/>
          <w:sz w:val="18"/>
          <w:szCs w:val="18"/>
        </w:rPr>
        <w:t>PT. Bumi Morowali Utama（</w:t>
      </w:r>
      <w:r>
        <w:rPr>
          <w:rFonts w:ascii="SimSun" w:eastAsia="SimSun" w:hAnsi="SimSun" w:cs="SimSun"/>
          <w:color w:val="000000"/>
          <w:spacing w:val="0"/>
          <w:w w:val="100"/>
          <w:position w:val="0"/>
          <w:sz w:val="17"/>
          <w:szCs w:val="17"/>
        </w:rPr>
        <w:t>青岛中资中程印尼中苏镍矿有限公司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PT.Integra Prima Coal </w:t>
      </w:r>
      <w:r>
        <w:rPr>
          <w:rFonts w:ascii="SimSun" w:eastAsia="SimSun" w:hAnsi="SimSun" w:cs="SimSun"/>
          <w:color w:val="000000"/>
          <w:spacing w:val="0"/>
          <w:w w:val="100"/>
          <w:position w:val="0"/>
          <w:sz w:val="17"/>
          <w:szCs w:val="17"/>
        </w:rPr>
        <w:t>（青岛中资中程印尼 东加煤矿有限公司）、</w:t>
      </w:r>
      <w:r>
        <w:rPr>
          <w:color w:val="000000"/>
          <w:spacing w:val="0"/>
          <w:w w:val="100"/>
          <w:position w:val="0"/>
          <w:sz w:val="18"/>
          <w:szCs w:val="18"/>
        </w:rPr>
        <w:t xml:space="preserve">PT.Aset Sulawesi Mineralindo </w:t>
      </w:r>
      <w:r>
        <w:rPr>
          <w:rFonts w:ascii="SimSun" w:eastAsia="SimSun" w:hAnsi="SimSun" w:cs="SimSun"/>
          <w:color w:val="000000"/>
          <w:spacing w:val="0"/>
          <w:w w:val="100"/>
          <w:position w:val="0"/>
          <w:sz w:val="17"/>
          <w:szCs w:val="17"/>
        </w:rPr>
        <w:t>（青岛中资中程印尼苏拉威西石灰石矿有限公司）符合政策要求，自</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日起按照</w:t>
      </w:r>
      <w:r>
        <w:rPr>
          <w:color w:val="000000"/>
          <w:spacing w:val="0"/>
          <w:w w:val="100"/>
          <w:position w:val="0"/>
          <w:sz w:val="18"/>
          <w:szCs w:val="18"/>
        </w:rPr>
        <w:t>22%</w:t>
      </w:r>
      <w:r>
        <w:rPr>
          <w:rFonts w:ascii="SimSun" w:eastAsia="SimSun" w:hAnsi="SimSun" w:cs="SimSun"/>
          <w:color w:val="000000"/>
          <w:spacing w:val="0"/>
          <w:w w:val="100"/>
          <w:position w:val="0"/>
          <w:sz w:val="17"/>
          <w:szCs w:val="17"/>
        </w:rPr>
        <w:t>核算企业所得税。</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根据津巴布韦政府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年财政预算第</w:t>
      </w:r>
      <w:r>
        <w:rPr>
          <w:rFonts w:ascii="Times New Roman" w:eastAsia="Times New Roman" w:hAnsi="Times New Roman" w:cs="Times New Roman"/>
          <w:color w:val="000000"/>
          <w:spacing w:val="0"/>
          <w:w w:val="100"/>
          <w:position w:val="0"/>
          <w:sz w:val="18"/>
          <w:szCs w:val="18"/>
        </w:rPr>
        <w:t>553</w:t>
      </w:r>
      <w:r>
        <w:rPr>
          <w:color w:val="000000"/>
          <w:spacing w:val="0"/>
          <w:w w:val="100"/>
          <w:position w:val="0"/>
        </w:rPr>
        <w:t>条例规定，自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日起，津境内企业及常设机构纳税人所得税率降低为 </w:t>
      </w:r>
      <w:r>
        <w:rPr>
          <w:rStyle w:val="CharStyle46"/>
        </w:rPr>
        <w:t>24%</w:t>
      </w:r>
      <w:r>
        <w:rPr>
          <w:rStyle w:val="CharStyle46"/>
          <w:rFonts w:ascii="SimSun" w:eastAsia="SimSun" w:hAnsi="SimSun" w:cs="SimSun"/>
          <w:sz w:val="17"/>
          <w:szCs w:val="17"/>
        </w:rPr>
        <w:t xml:space="preserve">, </w:t>
      </w:r>
      <w:r>
        <w:rPr>
          <w:rStyle w:val="CharStyle46"/>
        </w:rPr>
        <w:t xml:space="preserve">Qingdao Zhongcheng Zimbabwe (Private) Limited </w:t>
      </w:r>
      <w:r>
        <w:rPr>
          <w:rStyle w:val="CharStyle46"/>
          <w:rFonts w:ascii="SimSun" w:eastAsia="SimSun" w:hAnsi="SimSun" w:cs="SimSun"/>
          <w:sz w:val="17"/>
          <w:szCs w:val="17"/>
        </w:rPr>
        <w:t>(青岛中资中程集团津巴布韦有限公司)、</w:t>
      </w:r>
      <w:r>
        <w:rPr>
          <w:rStyle w:val="CharStyle46"/>
        </w:rPr>
        <w:t xml:space="preserve">China Africa Cigarette Company (Private) Limited </w:t>
      </w:r>
      <w:r>
        <w:rPr>
          <w:rStyle w:val="CharStyle46"/>
          <w:rFonts w:ascii="SimSun" w:eastAsia="SimSun" w:hAnsi="SimSun" w:cs="SimSun"/>
          <w:sz w:val="17"/>
          <w:szCs w:val="17"/>
        </w:rPr>
        <w:t>(</w:t>
      </w:r>
      <w:r>
        <w:rPr>
          <w:rStyle w:val="CharStyle46"/>
          <w:rFonts w:ascii="SimSun" w:eastAsia="SimSun" w:hAnsi="SimSun" w:cs="SimSun"/>
          <w:sz w:val="17"/>
          <w:szCs w:val="17"/>
        </w:rPr>
        <w:t>中非香烟有限公司)符合政策要求，自</w:t>
      </w:r>
      <w:r>
        <w:rPr>
          <w:rStyle w:val="CharStyle46"/>
        </w:rPr>
        <w:t>2020</w:t>
      </w:r>
      <w:r>
        <w:rPr>
          <w:rStyle w:val="CharStyle46"/>
          <w:rFonts w:ascii="SimSun" w:eastAsia="SimSun" w:hAnsi="SimSun" w:cs="SimSun"/>
          <w:sz w:val="17"/>
          <w:szCs w:val="17"/>
        </w:rPr>
        <w:t>年</w:t>
      </w:r>
      <w:r>
        <w:rPr>
          <w:rStyle w:val="CharStyle46"/>
        </w:rPr>
        <w:t>1</w:t>
      </w:r>
      <w:r>
        <w:rPr>
          <w:rStyle w:val="CharStyle46"/>
          <w:rFonts w:ascii="SimSun" w:eastAsia="SimSun" w:hAnsi="SimSun" w:cs="SimSun"/>
          <w:sz w:val="17"/>
          <w:szCs w:val="17"/>
        </w:rPr>
        <w:t>月</w:t>
      </w:r>
      <w:r>
        <w:rPr>
          <w:rStyle w:val="CharStyle46"/>
        </w:rPr>
        <w:t>1</w:t>
      </w:r>
      <w:r>
        <w:rPr>
          <w:rStyle w:val="CharStyle46"/>
          <w:rFonts w:ascii="SimSun" w:eastAsia="SimSun" w:hAnsi="SimSun" w:cs="SimSun"/>
          <w:sz w:val="17"/>
          <w:szCs w:val="17"/>
        </w:rPr>
        <w:t>日起按照</w:t>
      </w:r>
      <w:r>
        <w:rPr>
          <w:rStyle w:val="CharStyle46"/>
        </w:rPr>
        <w:t>24%</w:t>
      </w:r>
      <w:r>
        <w:rPr>
          <w:rStyle w:val="CharStyle46"/>
          <w:rFonts w:ascii="SimSun" w:eastAsia="SimSun" w:hAnsi="SimSun" w:cs="SimSun"/>
          <w:sz w:val="17"/>
          <w:szCs w:val="17"/>
        </w:rPr>
        <w:t>核算企业所得税。</w:t>
      </w:r>
    </w:p>
    <w:p>
      <w:pPr>
        <w:pStyle w:val="Style45"/>
        <w:keepNext w:val="0"/>
        <w:keepLines w:val="0"/>
        <w:widowControl w:val="0"/>
        <w:shd w:val="clear" w:color="auto" w:fill="auto"/>
        <w:bidi w:val="0"/>
        <w:spacing w:before="0" w:after="380" w:line="312" w:lineRule="exact"/>
        <w:ind w:left="0" w:right="0" w:firstLine="380"/>
        <w:jc w:val="left"/>
        <w:rPr>
          <w:sz w:val="17"/>
          <w:szCs w:val="17"/>
        </w:rPr>
      </w:pPr>
      <w:r>
        <w:rPr>
          <w:rFonts w:ascii="SimSun" w:eastAsia="SimSun" w:hAnsi="SimSun" w:cs="SimSun"/>
          <w:color w:val="000000"/>
          <w:spacing w:val="0"/>
          <w:w w:val="100"/>
          <w:position w:val="0"/>
          <w:sz w:val="17"/>
          <w:szCs w:val="17"/>
        </w:rPr>
        <w:t>根据津巴布韦政府</w:t>
      </w:r>
      <w:r>
        <w:rPr>
          <w:color w:val="000000"/>
          <w:spacing w:val="0"/>
          <w:w w:val="100"/>
          <w:position w:val="0"/>
          <w:sz w:val="18"/>
          <w:szCs w:val="18"/>
        </w:rPr>
        <w:t>2020</w:t>
      </w:r>
      <w:r>
        <w:rPr>
          <w:rFonts w:ascii="SimSun" w:eastAsia="SimSun" w:hAnsi="SimSun" w:cs="SimSun"/>
          <w:color w:val="000000"/>
          <w:spacing w:val="0"/>
          <w:w w:val="100"/>
          <w:position w:val="0"/>
          <w:sz w:val="17"/>
          <w:szCs w:val="17"/>
        </w:rPr>
        <w:t>年财政预算第</w:t>
      </w:r>
      <w:r>
        <w:rPr>
          <w:color w:val="000000"/>
          <w:spacing w:val="0"/>
          <w:w w:val="100"/>
          <w:position w:val="0"/>
          <w:sz w:val="18"/>
          <w:szCs w:val="18"/>
        </w:rPr>
        <w:t>560</w:t>
      </w:r>
      <w:r>
        <w:rPr>
          <w:rFonts w:ascii="SimSun" w:eastAsia="SimSun" w:hAnsi="SimSun" w:cs="SimSun"/>
          <w:color w:val="000000"/>
          <w:spacing w:val="0"/>
          <w:w w:val="100"/>
          <w:position w:val="0"/>
          <w:sz w:val="17"/>
          <w:szCs w:val="17"/>
        </w:rPr>
        <w:t>条例规定，自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日起，津境内企业及常设机构增值税税率降低为</w:t>
      </w:r>
      <w:r>
        <w:rPr>
          <w:color w:val="000000"/>
          <w:spacing w:val="0"/>
          <w:w w:val="100"/>
          <w:position w:val="0"/>
          <w:sz w:val="18"/>
          <w:szCs w:val="18"/>
        </w:rPr>
        <w:t>14.5%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Qingdao Zhongcheng Zimbabwe (Private) Limited </w:t>
      </w:r>
      <w:r>
        <w:rPr>
          <w:rFonts w:ascii="SimSun" w:eastAsia="SimSun" w:hAnsi="SimSun" w:cs="SimSun"/>
          <w:color w:val="000000"/>
          <w:spacing w:val="0"/>
          <w:w w:val="100"/>
          <w:position w:val="0"/>
          <w:sz w:val="17"/>
          <w:szCs w:val="17"/>
        </w:rPr>
        <w:t>(青岛中资中程集团津巴布韦有限公司)、</w:t>
      </w:r>
      <w:r>
        <w:rPr>
          <w:color w:val="000000"/>
          <w:spacing w:val="0"/>
          <w:w w:val="100"/>
          <w:position w:val="0"/>
          <w:sz w:val="18"/>
          <w:szCs w:val="18"/>
        </w:rPr>
        <w:t xml:space="preserve">China Africa Cigarette Company (Private) Limited </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中非香烟有限公司)符合政策要求，自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日起按照</w:t>
      </w:r>
      <w:r>
        <w:rPr>
          <w:color w:val="000000"/>
          <w:spacing w:val="0"/>
          <w:w w:val="100"/>
          <w:position w:val="0"/>
          <w:sz w:val="18"/>
          <w:szCs w:val="18"/>
        </w:rPr>
        <w:t>14.5%</w:t>
      </w:r>
      <w:r>
        <w:rPr>
          <w:rFonts w:ascii="SimSun" w:eastAsia="SimSun" w:hAnsi="SimSun" w:cs="SimSun"/>
          <w:color w:val="000000"/>
          <w:spacing w:val="0"/>
          <w:w w:val="100"/>
          <w:position w:val="0"/>
          <w:sz w:val="17"/>
          <w:szCs w:val="17"/>
        </w:rPr>
        <w:t>核算企业增值税。</w:t>
      </w:r>
    </w:p>
    <w:p>
      <w:pPr>
        <w:pStyle w:val="Style37"/>
        <w:keepNext/>
        <w:keepLines/>
        <w:widowControl w:val="0"/>
        <w:shd w:val="clear" w:color="auto" w:fill="auto"/>
        <w:bidi w:val="0"/>
        <w:spacing w:before="0" w:after="26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color w:val="000000"/>
          <w:spacing w:val="0"/>
          <w:w w:val="100"/>
          <w:position w:val="0"/>
        </w:rPr>
        <w:t>、其他</w:t>
      </w:r>
      <w:bookmarkEnd w:id="1275"/>
      <w:bookmarkEnd w:id="1276"/>
      <w:bookmarkEnd w:id="1278"/>
    </w:p>
    <w:p>
      <w:pPr>
        <w:pStyle w:val="Style34"/>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增值税税率说明：</w:t>
      </w:r>
    </w:p>
    <w:tbl>
      <w:tblPr>
        <w:tblOverlap w:val="never"/>
        <w:jc w:val="left"/>
        <w:tblLayout w:type="fixed"/>
      </w:tblPr>
      <w:tblGrid>
        <w:gridCol w:w="4834"/>
        <w:gridCol w:w="4258"/>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增值税税率</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津巴布韦境内公司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279" w:name="bookmark1279"/>
      <w:bookmarkStart w:id="1280" w:name="bookmark1280"/>
      <w:bookmarkStart w:id="1281" w:name="bookmark1281"/>
      <w:bookmarkStart w:id="1282" w:name="bookmark1282"/>
      <w:r>
        <w:rPr>
          <w:color w:val="000000"/>
          <w:spacing w:val="0"/>
          <w:w w:val="100"/>
          <w:position w:val="0"/>
          <w:sz w:val="24"/>
          <w:szCs w:val="24"/>
        </w:rPr>
        <w:t>七</w:t>
      </w:r>
      <w:bookmarkEnd w:id="1281"/>
      <w:r>
        <w:rPr>
          <w:color w:val="000000"/>
          <w:spacing w:val="0"/>
          <w:w w:val="100"/>
          <w:position w:val="0"/>
          <w:sz w:val="24"/>
          <w:szCs w:val="24"/>
        </w:rPr>
        <w:t>、合并财务报表项目注释</w:t>
      </w:r>
      <w:bookmarkEnd w:id="1279"/>
      <w:bookmarkEnd w:id="1280"/>
      <w:bookmarkEnd w:id="1282"/>
    </w:p>
    <w:p>
      <w:pPr>
        <w:pStyle w:val="Style37"/>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83"/>
      <w:bookmarkEnd w:id="1284"/>
      <w:bookmarkEnd w:id="1285"/>
    </w:p>
    <w:p>
      <w:pPr>
        <w:pStyle w:val="Style3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306,405.05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115,740,161.05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451,489,522.37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21,770,543.90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33,667,882.52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137,752,644.98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485,463,809.94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33,127,943.67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8,455,877.57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27,197,433.13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41,147,882.52</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69"/>
        </w:numPr>
        <w:shd w:val="clear" w:color="auto" w:fill="auto"/>
        <w:tabs>
          <w:tab w:pos="373" w:val="left"/>
        </w:tabs>
        <w:bidi w:val="0"/>
        <w:spacing w:before="0" w:after="100" w:line="240" w:lineRule="auto"/>
        <w:ind w:left="0" w:right="0" w:firstLine="0"/>
        <w:jc w:val="left"/>
      </w:pPr>
      <w:bookmarkStart w:id="1286" w:name="bookmark1286"/>
      <w:bookmarkEnd w:id="1286"/>
      <w:r>
        <w:rPr>
          <w:color w:val="000000"/>
          <w:spacing w:val="0"/>
          <w:w w:val="100"/>
          <w:position w:val="0"/>
        </w:rPr>
        <w:t>公司其他货币资金</w:t>
      </w:r>
      <w:r>
        <w:rPr>
          <w:rFonts w:ascii="Times New Roman" w:eastAsia="Times New Roman" w:hAnsi="Times New Roman" w:cs="Times New Roman"/>
          <w:color w:val="000000"/>
          <w:spacing w:val="0"/>
          <w:w w:val="100"/>
          <w:position w:val="0"/>
          <w:sz w:val="18"/>
          <w:szCs w:val="18"/>
        </w:rPr>
        <w:t>21,770,543.90</w:t>
      </w:r>
      <w:r>
        <w:rPr>
          <w:color w:val="000000"/>
          <w:spacing w:val="0"/>
          <w:w w:val="100"/>
          <w:position w:val="0"/>
        </w:rPr>
        <w:t>元为支付的银行汇票保证金。</w:t>
      </w:r>
    </w:p>
    <w:p>
      <w:pPr>
        <w:pStyle w:val="Style34"/>
        <w:keepNext w:val="0"/>
        <w:keepLines w:val="0"/>
        <w:widowControl w:val="0"/>
        <w:numPr>
          <w:ilvl w:val="0"/>
          <w:numId w:val="69"/>
        </w:numPr>
        <w:shd w:val="clear" w:color="auto" w:fill="auto"/>
        <w:tabs>
          <w:tab w:pos="373" w:val="left"/>
        </w:tabs>
        <w:bidi w:val="0"/>
        <w:spacing w:before="0" w:after="380" w:line="240" w:lineRule="auto"/>
        <w:ind w:left="0" w:right="0" w:firstLine="0"/>
        <w:jc w:val="left"/>
      </w:pPr>
      <w:bookmarkStart w:id="1287" w:name="bookmark1287"/>
      <w:bookmarkEnd w:id="1287"/>
      <w:r>
        <w:rPr>
          <w:color w:val="000000"/>
          <w:spacing w:val="0"/>
          <w:w w:val="100"/>
          <w:position w:val="0"/>
        </w:rPr>
        <w:t>公司因冻结对使用有限制款项金额为</w:t>
      </w:r>
      <w:r>
        <w:rPr>
          <w:rFonts w:ascii="Times New Roman" w:eastAsia="Times New Roman" w:hAnsi="Times New Roman" w:cs="Times New Roman"/>
          <w:color w:val="000000"/>
          <w:spacing w:val="0"/>
          <w:w w:val="100"/>
          <w:position w:val="0"/>
          <w:sz w:val="18"/>
          <w:szCs w:val="18"/>
        </w:rPr>
        <w:t>5,426,889.23</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88"/>
      <w:bookmarkEnd w:id="1289"/>
      <w:bookmarkEnd w:id="1290"/>
    </w:p>
    <w:p>
      <w:pPr>
        <w:pStyle w:val="Style3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期末交易性金融资产较期初增加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，主要由于本期购买银行理财产品增加所致。</w:t>
      </w:r>
    </w:p>
    <w:p>
      <w:pPr>
        <w:pStyle w:val="Style37"/>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color w:val="000000"/>
          <w:spacing w:val="0"/>
          <w:w w:val="100"/>
          <w:position w:val="0"/>
        </w:rPr>
        <w:t>、应收票据</w:t>
      </w:r>
      <w:bookmarkEnd w:id="1291"/>
      <w:bookmarkEnd w:id="1292"/>
      <w:bookmarkEnd w:id="1294"/>
    </w:p>
    <w:p>
      <w:pPr>
        <w:pStyle w:val="Style37"/>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91"/>
      <w:bookmarkEnd w:id="1292"/>
      <w:bookmarkEnd w:id="129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98,575,000.00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98,575,000.00</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68,875,00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68,875,00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98,575,00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7"/>
      <w:bookmarkEnd w:id="1298"/>
      <w:bookmarkEnd w:id="130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71"/>
        </w:numPr>
        <w:shd w:val="clear" w:color="auto" w:fill="auto"/>
        <w:bidi w:val="0"/>
        <w:spacing w:before="0" w:after="380" w:line="240" w:lineRule="auto"/>
        <w:ind w:left="0" w:right="0" w:firstLine="14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期末公司已背书或贴现且在资产负债表日尚未到期的应收票据</w:t>
      </w:r>
      <w:bookmarkEnd w:id="1301"/>
      <w:bookmarkEnd w:id="1302"/>
      <w:bookmarkEnd w:id="1304"/>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73"/>
        </w:numPr>
        <w:shd w:val="clear" w:color="auto" w:fill="auto"/>
        <w:tabs>
          <w:tab w:pos="373" w:val="left"/>
        </w:tabs>
        <w:bidi w:val="0"/>
        <w:spacing w:before="0" w:after="100" w:line="240" w:lineRule="auto"/>
        <w:ind w:left="0" w:right="0" w:firstLine="0"/>
        <w:jc w:val="left"/>
      </w:pPr>
      <w:bookmarkStart w:id="1305" w:name="bookmark1305"/>
      <w:bookmarkEnd w:id="1305"/>
      <w:r>
        <w:rPr>
          <w:color w:val="000000"/>
          <w:spacing w:val="0"/>
          <w:w w:val="100"/>
          <w:position w:val="0"/>
        </w:rPr>
        <w:t>期末公司无已质押的应收票据。</w:t>
      </w:r>
    </w:p>
    <w:p>
      <w:pPr>
        <w:pStyle w:val="Style34"/>
        <w:keepNext w:val="0"/>
        <w:keepLines w:val="0"/>
        <w:widowControl w:val="0"/>
        <w:numPr>
          <w:ilvl w:val="0"/>
          <w:numId w:val="73"/>
        </w:numPr>
        <w:shd w:val="clear" w:color="auto" w:fill="auto"/>
        <w:tabs>
          <w:tab w:pos="373" w:val="left"/>
        </w:tabs>
        <w:bidi w:val="0"/>
        <w:spacing w:before="0" w:after="380" w:line="240" w:lineRule="auto"/>
        <w:ind w:left="0" w:right="0" w:firstLine="0"/>
        <w:jc w:val="left"/>
      </w:pPr>
      <w:bookmarkStart w:id="1306" w:name="bookmark1306"/>
      <w:bookmarkEnd w:id="1306"/>
      <w:r>
        <w:rPr>
          <w:color w:val="000000"/>
          <w:spacing w:val="0"/>
          <w:w w:val="100"/>
          <w:position w:val="0"/>
        </w:rPr>
        <w:t>报告期内公司无因出票人无力履约而将票据转为应收账款的应收票据。</w:t>
      </w:r>
    </w:p>
    <w:p>
      <w:pPr>
        <w:pStyle w:val="Style37"/>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color w:val="000000"/>
          <w:spacing w:val="0"/>
          <w:w w:val="100"/>
          <w:position w:val="0"/>
        </w:rPr>
        <w:t>、应收账款</w:t>
      </w:r>
      <w:bookmarkEnd w:id="1307"/>
      <w:bookmarkEnd w:id="1308"/>
      <w:bookmarkEnd w:id="1310"/>
    </w:p>
    <w:p>
      <w:pPr>
        <w:pStyle w:val="Style37"/>
        <w:keepNext/>
        <w:keepLines/>
        <w:widowControl w:val="0"/>
        <w:numPr>
          <w:ilvl w:val="0"/>
          <w:numId w:val="75"/>
        </w:numPr>
        <w:shd w:val="clear" w:color="auto" w:fill="auto"/>
        <w:bidi w:val="0"/>
        <w:spacing w:before="0" w:after="380" w:line="240" w:lineRule="auto"/>
        <w:ind w:left="0" w:right="0" w:firstLine="140"/>
        <w:jc w:val="left"/>
      </w:pPr>
      <w:bookmarkStart w:id="1307" w:name="bookmark1307"/>
      <w:bookmarkStart w:id="1308" w:name="bookmark1308"/>
      <w:bookmarkStart w:id="1311" w:name="bookmark1311"/>
      <w:bookmarkStart w:id="1312" w:name="bookmark1312"/>
      <w:bookmarkEnd w:id="1311"/>
      <w:r>
        <w:rPr>
          <w:color w:val="000000"/>
          <w:spacing w:val="0"/>
          <w:w w:val="100"/>
          <w:position w:val="0"/>
        </w:rPr>
        <w:t>应收账款分类披露</w:t>
      </w:r>
      <w:bookmarkEnd w:id="1307"/>
      <w:bookmarkEnd w:id="1308"/>
      <w:bookmarkEnd w:id="1312"/>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268,739,</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266,052,3</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505,459,5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5,054,595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500,404,99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268,739,</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266,052,3</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505,459,5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5,054,595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500,404,99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429,057,</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202,750,5</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652,265,2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404,096,41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652,265,2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404,096,41</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697,797,</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285.44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228,994,</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386.28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253,223,4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904,501,40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268,739,742.43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2,687,397.42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268,739,742.43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2,687,397.42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429,057,543.01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226,306,988.86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429,057,543.01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226,306,988.86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218,830,373.81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148,126,678.99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70,483,395.84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260,356,836.80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13,601,510.24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76,466,817.57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170,288,508.99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697,797,285.44</w:t>
            </w:r>
          </w:p>
        </w:tc>
      </w:tr>
    </w:tbl>
    <w:p>
      <w:pPr>
        <w:pStyle w:val="Style34"/>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报告期末，公司应收客户</w:t>
      </w:r>
      <w:r>
        <w:rPr>
          <w:rFonts w:ascii="Times New Roman" w:eastAsia="Times New Roman" w:hAnsi="Times New Roman" w:cs="Times New Roman"/>
          <w:color w:val="000000"/>
          <w:spacing w:val="0"/>
          <w:w w:val="100"/>
          <w:position w:val="0"/>
          <w:sz w:val="18"/>
          <w:szCs w:val="18"/>
        </w:rPr>
        <w:t>PT.Pacific Metalurgi Indo Smelter</w:t>
      </w:r>
      <w:r>
        <w:rPr>
          <w:color w:val="000000"/>
          <w:spacing w:val="0"/>
          <w:w w:val="100"/>
          <w:position w:val="0"/>
        </w:rPr>
        <w:t>款项余额为</w:t>
      </w:r>
      <w:r>
        <w:rPr>
          <w:rFonts w:ascii="Times New Roman" w:eastAsia="Times New Roman" w:hAnsi="Times New Roman" w:cs="Times New Roman"/>
          <w:color w:val="000000"/>
          <w:spacing w:val="0"/>
          <w:w w:val="100"/>
          <w:position w:val="0"/>
          <w:sz w:val="18"/>
          <w:szCs w:val="18"/>
        </w:rPr>
        <w:t>175,665,570.32</w:t>
      </w:r>
      <w:r>
        <w:rPr>
          <w:color w:val="000000"/>
          <w:spacing w:val="0"/>
          <w:w w:val="100"/>
          <w:position w:val="0"/>
        </w:rPr>
        <w:t>元，账龄超过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年。应收该客户的款项 为公司销售机械成套装备所产生，公司正积极协调客户回款，回款风险适中。</w:t>
      </w:r>
    </w:p>
    <w:p>
      <w:pPr>
        <w:pStyle w:val="Style37"/>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13"/>
      <w:bookmarkEnd w:id="1314"/>
      <w:bookmarkEnd w:id="1316"/>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5,054,595.90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-174,066.38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2,687,397.42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248,168,883.24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-14,797,634.53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-7,084,035.45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226,306,988.86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253,223,479.14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-16,990,766.63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19,775.60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-7,258,101.83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228,994,386.28</w:t>
            </w:r>
          </w:p>
        </w:tc>
      </w:tr>
    </w:tbl>
    <w:p>
      <w:pPr>
        <w:widowControl w:val="0"/>
        <w:spacing w:after="319" w:line="1" w:lineRule="exact"/>
      </w:pPr>
    </w:p>
    <w:p>
      <w:pPr>
        <w:pStyle w:val="Style37"/>
        <w:keepNext/>
        <w:keepLines/>
        <w:widowControl w:val="0"/>
        <w:numPr>
          <w:ilvl w:val="0"/>
          <w:numId w:val="77"/>
        </w:numPr>
        <w:shd w:val="clear" w:color="auto" w:fill="auto"/>
        <w:bidi w:val="0"/>
        <w:spacing w:before="0" w:after="380" w:line="240" w:lineRule="auto"/>
        <w:ind w:left="0" w:right="0" w:firstLine="14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按欠款方归集的期末余额前五名的应收账款情况</w:t>
      </w:r>
      <w:bookmarkEnd w:id="1317"/>
      <w:bookmarkEnd w:id="1318"/>
      <w:bookmarkEnd w:id="132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278,366,250.57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3,573,361.90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PT.Pacific Metalurgi 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Smelter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175,665,570.32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166,215,570.32</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PT.Artabumi Sentra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Industri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174,191,887.07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40,136,213.39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青岛虎森科技发展有限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10,176,212.63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508,810.63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青岛新光耀电气集团有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646,909,920.59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92.71%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w:t>
      </w:r>
    </w:p>
    <w:p>
      <w:pPr>
        <w:pStyle w:val="Style34"/>
        <w:keepNext w:val="0"/>
        <w:keepLines w:val="0"/>
        <w:widowControl w:val="0"/>
        <w:numPr>
          <w:ilvl w:val="0"/>
          <w:numId w:val="79"/>
        </w:numPr>
        <w:shd w:val="clear" w:color="auto" w:fill="auto"/>
        <w:tabs>
          <w:tab w:pos="373" w:val="left"/>
        </w:tabs>
        <w:bidi w:val="0"/>
        <w:spacing w:before="0" w:after="0" w:line="307" w:lineRule="exact"/>
        <w:ind w:left="0" w:right="0" w:firstLine="0"/>
        <w:jc w:val="both"/>
      </w:pPr>
      <w:bookmarkStart w:id="1321" w:name="bookmark1321"/>
      <w:bookmarkEnd w:id="1321"/>
      <w:r>
        <w:rPr>
          <w:color w:val="000000"/>
          <w:spacing w:val="0"/>
          <w:w w:val="100"/>
          <w:position w:val="0"/>
        </w:rPr>
        <w:t>报告期内公司无实际核销的应收账款。</w:t>
      </w:r>
    </w:p>
    <w:p>
      <w:pPr>
        <w:pStyle w:val="Style45"/>
        <w:keepNext w:val="0"/>
        <w:keepLines w:val="0"/>
        <w:widowControl w:val="0"/>
        <w:numPr>
          <w:ilvl w:val="0"/>
          <w:numId w:val="79"/>
        </w:numPr>
        <w:shd w:val="clear" w:color="auto" w:fill="auto"/>
        <w:tabs>
          <w:tab w:pos="373" w:val="left"/>
        </w:tabs>
        <w:bidi w:val="0"/>
        <w:spacing w:before="0" w:after="0" w:line="307" w:lineRule="exact"/>
        <w:ind w:left="0" w:right="0" w:firstLine="0"/>
        <w:jc w:val="both"/>
        <w:rPr>
          <w:sz w:val="17"/>
          <w:szCs w:val="17"/>
        </w:rPr>
      </w:pPr>
      <w:bookmarkStart w:id="1322" w:name="bookmark1322"/>
      <w:bookmarkEnd w:id="1322"/>
      <w:r>
        <w:rPr>
          <w:rFonts w:ascii="SimSun" w:eastAsia="SimSun" w:hAnsi="SimSun" w:cs="SimSun"/>
          <w:color w:val="000000"/>
          <w:spacing w:val="0"/>
          <w:w w:val="100"/>
          <w:position w:val="0"/>
          <w:sz w:val="17"/>
          <w:szCs w:val="17"/>
        </w:rPr>
        <w:t>报告期内应收账款中应收关联方公司款项的情况：应收关联方</w:t>
      </w:r>
      <w:r>
        <w:rPr>
          <w:color w:val="000000"/>
          <w:spacing w:val="0"/>
          <w:w w:val="100"/>
          <w:position w:val="0"/>
          <w:sz w:val="18"/>
          <w:szCs w:val="18"/>
        </w:rPr>
        <w:t>PT. Metal Smeltindo Selaras278,366,250.57</w:t>
      </w:r>
      <w:r>
        <w:rPr>
          <w:rFonts w:ascii="SimSun" w:eastAsia="SimSun" w:hAnsi="SimSun" w:cs="SimSun"/>
          <w:color w:val="000000"/>
          <w:spacing w:val="0"/>
          <w:w w:val="100"/>
          <w:position w:val="0"/>
          <w:sz w:val="17"/>
          <w:szCs w:val="17"/>
        </w:rPr>
        <w:t xml:space="preserve">元，占应收账款总 额的 </w:t>
      </w:r>
      <w:r>
        <w:rPr>
          <w:color w:val="000000"/>
          <w:spacing w:val="0"/>
          <w:w w:val="100"/>
          <w:position w:val="0"/>
          <w:sz w:val="18"/>
          <w:szCs w:val="18"/>
        </w:rPr>
        <w:t>39.89%</w:t>
      </w:r>
      <w:r>
        <w:rPr>
          <w:rFonts w:ascii="SimSun" w:eastAsia="SimSun" w:hAnsi="SimSun" w:cs="SimSun"/>
          <w:color w:val="000000"/>
          <w:spacing w:val="0"/>
          <w:w w:val="100"/>
          <w:position w:val="0"/>
          <w:sz w:val="17"/>
          <w:szCs w:val="17"/>
        </w:rPr>
        <w:t>。</w:t>
      </w:r>
    </w:p>
    <w:p>
      <w:pPr>
        <w:pStyle w:val="Style34"/>
        <w:keepNext w:val="0"/>
        <w:keepLines w:val="0"/>
        <w:widowControl w:val="0"/>
        <w:numPr>
          <w:ilvl w:val="0"/>
          <w:numId w:val="79"/>
        </w:numPr>
        <w:shd w:val="clear" w:color="auto" w:fill="auto"/>
        <w:tabs>
          <w:tab w:pos="373" w:val="left"/>
        </w:tabs>
        <w:bidi w:val="0"/>
        <w:spacing w:before="0" w:after="0" w:line="307" w:lineRule="exact"/>
        <w:ind w:left="0" w:right="0" w:firstLine="0"/>
        <w:jc w:val="both"/>
      </w:pPr>
      <w:bookmarkStart w:id="1323" w:name="bookmark1323"/>
      <w:bookmarkEnd w:id="1323"/>
      <w:r>
        <w:rPr>
          <w:color w:val="000000"/>
          <w:spacing w:val="0"/>
          <w:w w:val="100"/>
          <w:position w:val="0"/>
        </w:rPr>
        <w:t>报告期内公司应收账款中无持有公司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)以上表决权股份的股东单位欠款情况。</w:t>
      </w:r>
    </w:p>
    <w:p>
      <w:pPr>
        <w:pStyle w:val="Style34"/>
        <w:keepNext w:val="0"/>
        <w:keepLines w:val="0"/>
        <w:widowControl w:val="0"/>
        <w:numPr>
          <w:ilvl w:val="0"/>
          <w:numId w:val="79"/>
        </w:numPr>
        <w:shd w:val="clear" w:color="auto" w:fill="auto"/>
        <w:tabs>
          <w:tab w:pos="373" w:val="left"/>
        </w:tabs>
        <w:bidi w:val="0"/>
        <w:spacing w:before="0" w:after="0" w:line="307" w:lineRule="exact"/>
        <w:ind w:left="0" w:right="0" w:firstLine="0"/>
        <w:jc w:val="both"/>
      </w:pPr>
      <w:bookmarkStart w:id="1324" w:name="bookmark1324"/>
      <w:bookmarkEnd w:id="1324"/>
      <w:r>
        <w:rPr>
          <w:color w:val="000000"/>
          <w:spacing w:val="0"/>
          <w:w w:val="100"/>
          <w:position w:val="0"/>
        </w:rPr>
        <w:t>报告期内无金融资产转移而终止确认的应收账款。</w:t>
      </w:r>
    </w:p>
    <w:p>
      <w:pPr>
        <w:pStyle w:val="Style34"/>
        <w:keepNext w:val="0"/>
        <w:keepLines w:val="0"/>
        <w:widowControl w:val="0"/>
        <w:numPr>
          <w:ilvl w:val="0"/>
          <w:numId w:val="79"/>
        </w:numPr>
        <w:shd w:val="clear" w:color="auto" w:fill="auto"/>
        <w:tabs>
          <w:tab w:pos="373" w:val="left"/>
        </w:tabs>
        <w:bidi w:val="0"/>
        <w:spacing w:before="0" w:after="380" w:line="307" w:lineRule="exact"/>
        <w:ind w:left="0" w:right="0" w:firstLine="0"/>
        <w:jc w:val="both"/>
      </w:pPr>
      <w:bookmarkStart w:id="1325" w:name="bookmark1325"/>
      <w:bookmarkEnd w:id="1325"/>
      <w:r>
        <w:rPr>
          <w:color w:val="000000"/>
          <w:spacing w:val="0"/>
          <w:w w:val="100"/>
          <w:position w:val="0"/>
        </w:rPr>
        <w:t>报告期内公司无转移应收账款且继续涉入形成的资产、负债。</w:t>
      </w:r>
    </w:p>
    <w:p>
      <w:pPr>
        <w:pStyle w:val="Style37"/>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5</w:t>
      </w:r>
      <w:bookmarkEnd w:id="1328"/>
      <w:r>
        <w:rPr>
          <w:color w:val="000000"/>
          <w:spacing w:val="0"/>
          <w:w w:val="100"/>
          <w:position w:val="0"/>
        </w:rPr>
        <w:t>、应收款项融资</w:t>
      </w:r>
      <w:bookmarkEnd w:id="1326"/>
      <w:bookmarkEnd w:id="1327"/>
      <w:bookmarkEnd w:id="132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6</w:t>
      </w:r>
      <w:bookmarkEnd w:id="1332"/>
      <w:r>
        <w:rPr>
          <w:color w:val="000000"/>
          <w:spacing w:val="0"/>
          <w:w w:val="100"/>
          <w:position w:val="0"/>
        </w:rPr>
        <w:t>、预付款项</w:t>
      </w:r>
      <w:bookmarkEnd w:id="1330"/>
      <w:bookmarkEnd w:id="1331"/>
      <w:bookmarkEnd w:id="1333"/>
    </w:p>
    <w:p>
      <w:pPr>
        <w:pStyle w:val="Style37"/>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30"/>
      <w:bookmarkEnd w:id="1331"/>
      <w:bookmarkEnd w:id="13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36,658,254.88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45,951,542.11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2,079,145.83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719,118.24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578,730.05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412,768.64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481,720.64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39,728,899.40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47,172,380.99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sz w:val="18"/>
          <w:szCs w:val="18"/>
        </w:rPr>
        <w:t>28,370,321.34</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sz w:val="18"/>
          <w:szCs w:val="18"/>
        </w:rPr>
        <w:t>71.41%</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7</w:t>
      </w:r>
      <w:bookmarkEnd w:id="1337"/>
      <w:r>
        <w:rPr>
          <w:color w:val="000000"/>
          <w:spacing w:val="0"/>
          <w:w w:val="100"/>
          <w:position w:val="0"/>
        </w:rPr>
        <w:t>、其他应收款</w:t>
      </w:r>
      <w:bookmarkEnd w:id="1335"/>
      <w:bookmarkEnd w:id="1336"/>
      <w:bookmarkEnd w:id="133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2,827,564.95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6,089,316.18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2,827,564.95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6,089,316.18</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39"/>
      <w:bookmarkEnd w:id="1340"/>
      <w:bookmarkEnd w:id="1341"/>
    </w:p>
    <w:p>
      <w:pPr>
        <w:pStyle w:val="Style37"/>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color w:val="000000"/>
          <w:spacing w:val="0"/>
          <w:w w:val="100"/>
          <w:position w:val="0"/>
        </w:rPr>
        <w:t>）其他应收款按款项性质分类情况</w:t>
      </w:r>
      <w:bookmarkEnd w:id="1339"/>
      <w:bookmarkEnd w:id="1340"/>
      <w:bookmarkEnd w:id="134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2,451,143.47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2,761,316.55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11,869,993.07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13,320,378.86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14,321,136.54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16,081,695.41</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color w:val="000000"/>
          <w:spacing w:val="0"/>
          <w:w w:val="100"/>
          <w:position w:val="0"/>
        </w:rPr>
        <w:t>）坏账准备计提情况</w:t>
      </w:r>
      <w:bookmarkEnd w:id="1344"/>
      <w:bookmarkEnd w:id="1345"/>
      <w:bookmarkEnd w:id="1347"/>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1,813,864.10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8,178,515.13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9,992,379.23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-1,316,837.05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1,316,837.05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865,049.71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1,316,837.04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2,181,886.75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-158,796.53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-521,897.86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-680,694.39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1,203,280.23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10,290,291.36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11,493,571.59</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1,303,847.61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793,627.49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1,733,796.45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10,489,864.99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199,573.63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10,290,291.36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14,321,136.54</w:t>
            </w:r>
          </w:p>
        </w:tc>
      </w:tr>
    </w:tbl>
    <w:p>
      <w:pPr>
        <w:pStyle w:val="Style34"/>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报告期末，公司应收供应商</w:t>
      </w:r>
      <w:r>
        <w:rPr>
          <w:rFonts w:ascii="Times New Roman" w:eastAsia="Times New Roman" w:hAnsi="Times New Roman" w:cs="Times New Roman"/>
          <w:color w:val="000000"/>
          <w:spacing w:val="0"/>
          <w:w w:val="100"/>
          <w:position w:val="0"/>
          <w:sz w:val="18"/>
          <w:szCs w:val="18"/>
        </w:rPr>
        <w:t>PT.Rama Energy Perkasa</w:t>
      </w:r>
      <w:r>
        <w:rPr>
          <w:color w:val="000000"/>
          <w:spacing w:val="0"/>
          <w:w w:val="100"/>
          <w:position w:val="0"/>
        </w:rPr>
        <w:t>款项余额为</w:t>
      </w:r>
      <w:r>
        <w:rPr>
          <w:rFonts w:ascii="Times New Roman" w:eastAsia="Times New Roman" w:hAnsi="Times New Roman" w:cs="Times New Roman"/>
          <w:color w:val="000000"/>
          <w:spacing w:val="0"/>
          <w:w w:val="100"/>
          <w:position w:val="0"/>
          <w:sz w:val="18"/>
          <w:szCs w:val="18"/>
        </w:rPr>
        <w:t>6,930,000.00</w:t>
      </w:r>
      <w:r>
        <w:rPr>
          <w:color w:val="000000"/>
          <w:spacing w:val="0"/>
          <w:w w:val="100"/>
          <w:position w:val="0"/>
        </w:rPr>
        <w:t>元，该款项系子公司</w:t>
      </w:r>
      <w:r>
        <w:rPr>
          <w:rFonts w:ascii="Times New Roman" w:eastAsia="Times New Roman" w:hAnsi="Times New Roman" w:cs="Times New Roman"/>
          <w:color w:val="000000"/>
          <w:spacing w:val="0"/>
          <w:w w:val="100"/>
          <w:position w:val="0"/>
          <w:sz w:val="18"/>
          <w:szCs w:val="18"/>
        </w:rPr>
        <w:t>PT.CIS.Resources</w:t>
      </w:r>
      <w:r>
        <w:rPr>
          <w:color w:val="000000"/>
          <w:spacing w:val="0"/>
          <w:w w:val="100"/>
          <w:position w:val="0"/>
        </w:rPr>
        <w:t>根据签 署的煤矿包采备忘录预付的包采款</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印尼盾，按照报告期末汇率折算人民币金额为</w:t>
      </w:r>
      <w:r>
        <w:rPr>
          <w:rFonts w:ascii="Times New Roman" w:eastAsia="Times New Roman" w:hAnsi="Times New Roman" w:cs="Times New Roman"/>
          <w:color w:val="000000"/>
          <w:spacing w:val="0"/>
          <w:w w:val="100"/>
          <w:position w:val="0"/>
          <w:sz w:val="18"/>
          <w:szCs w:val="18"/>
        </w:rPr>
        <w:t>6,930,000.00</w:t>
      </w:r>
      <w:r>
        <w:rPr>
          <w:color w:val="000000"/>
          <w:spacing w:val="0"/>
          <w:w w:val="100"/>
          <w:position w:val="0"/>
        </w:rPr>
        <w:t>元。该笔业务 时间较长，收回可能性较小，回款风险大，目前已经全额计提坏账准备。</w:t>
      </w:r>
    </w:p>
    <w:p>
      <w:pPr>
        <w:pStyle w:val="Style37"/>
        <w:keepNext/>
        <w:keepLines/>
        <w:widowControl w:val="0"/>
        <w:shd w:val="clear" w:color="auto" w:fill="auto"/>
        <w:bidi w:val="0"/>
        <w:spacing w:before="0" w:after="260" w:line="240" w:lineRule="auto"/>
        <w:ind w:left="0" w:right="0" w:firstLine="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color w:val="000000"/>
          <w:spacing w:val="0"/>
          <w:w w:val="100"/>
          <w:position w:val="0"/>
        </w:rPr>
        <w:t>）本期计提、收回或转回的坏账准备情况</w:t>
      </w:r>
      <w:bookmarkEnd w:id="1348"/>
      <w:bookmarkEnd w:id="1349"/>
      <w:bookmarkEnd w:id="1351"/>
    </w:p>
    <w:p>
      <w:pPr>
        <w:pStyle w:val="Style34"/>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9,992,379.23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1,501,192.36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11,493,571.59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9,992,379.23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1,501,192.36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11,493,571.59</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color w:val="000000"/>
          <w:spacing w:val="0"/>
          <w:w w:val="100"/>
          <w:position w:val="0"/>
        </w:rPr>
        <w:t>）按欠款方归集的期末余额前五名的其他应收款情况</w:t>
      </w:r>
      <w:bookmarkEnd w:id="1352"/>
      <w:bookmarkEnd w:id="1353"/>
      <w:bookmarkEnd w:id="135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PT.Rama Energy</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Perkasa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PT.Pam Auto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Mobilindo</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1,557,862.31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1,557,862.31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青岛海沃置业有限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1,478,509.35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295,701.87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浙江启商网络科技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1,061,000.00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QINGJIAN GROUP</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PHILIPPINE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BRANCH</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31,913.00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11,346,501.66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9,876,477.18</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4"/>
        <w:keepNext w:val="0"/>
        <w:keepLines w:val="0"/>
        <w:widowControl w:val="0"/>
        <w:numPr>
          <w:ilvl w:val="0"/>
          <w:numId w:val="81"/>
        </w:numPr>
        <w:shd w:val="clear" w:color="auto" w:fill="auto"/>
        <w:tabs>
          <w:tab w:pos="373" w:val="left"/>
        </w:tabs>
        <w:bidi w:val="0"/>
        <w:spacing w:before="0" w:after="100" w:line="240" w:lineRule="auto"/>
        <w:ind w:left="0" w:right="0" w:firstLine="0"/>
        <w:jc w:val="both"/>
      </w:pPr>
      <w:bookmarkStart w:id="1356" w:name="bookmark1356"/>
      <w:bookmarkEnd w:id="1356"/>
      <w:r>
        <w:rPr>
          <w:color w:val="000000"/>
          <w:spacing w:val="0"/>
          <w:w w:val="100"/>
          <w:position w:val="0"/>
        </w:rPr>
        <w:t>报告期内公司无实际核销的其他应收款。</w:t>
      </w:r>
    </w:p>
    <w:p>
      <w:pPr>
        <w:pStyle w:val="Style34"/>
        <w:keepNext w:val="0"/>
        <w:keepLines w:val="0"/>
        <w:widowControl w:val="0"/>
        <w:numPr>
          <w:ilvl w:val="0"/>
          <w:numId w:val="81"/>
        </w:numPr>
        <w:shd w:val="clear" w:color="auto" w:fill="auto"/>
        <w:tabs>
          <w:tab w:pos="373" w:val="left"/>
        </w:tabs>
        <w:bidi w:val="0"/>
        <w:spacing w:before="0" w:after="100" w:line="240" w:lineRule="auto"/>
        <w:ind w:left="0" w:right="0" w:firstLine="0"/>
        <w:jc w:val="both"/>
      </w:pPr>
      <w:bookmarkStart w:id="1357" w:name="bookmark1357"/>
      <w:bookmarkEnd w:id="1357"/>
      <w:r>
        <w:rPr>
          <w:color w:val="000000"/>
          <w:spacing w:val="0"/>
          <w:w w:val="100"/>
          <w:position w:val="0"/>
        </w:rPr>
        <w:t>报告期内公司无涉及政府补助的应收款项。</w:t>
      </w:r>
    </w:p>
    <w:p>
      <w:pPr>
        <w:pStyle w:val="Style34"/>
        <w:keepNext w:val="0"/>
        <w:keepLines w:val="0"/>
        <w:widowControl w:val="0"/>
        <w:numPr>
          <w:ilvl w:val="0"/>
          <w:numId w:val="81"/>
        </w:numPr>
        <w:shd w:val="clear" w:color="auto" w:fill="auto"/>
        <w:tabs>
          <w:tab w:pos="373" w:val="left"/>
        </w:tabs>
        <w:bidi w:val="0"/>
        <w:spacing w:before="0" w:after="100" w:line="240" w:lineRule="auto"/>
        <w:ind w:left="0" w:right="0" w:firstLine="0"/>
        <w:jc w:val="both"/>
      </w:pPr>
      <w:bookmarkStart w:id="1358" w:name="bookmark1358"/>
      <w:bookmarkEnd w:id="1358"/>
      <w:r>
        <w:rPr>
          <w:color w:val="000000"/>
          <w:spacing w:val="0"/>
          <w:w w:val="100"/>
          <w:position w:val="0"/>
        </w:rPr>
        <w:t>报告期内公司无因金融资产转移而终止确认的其他应收款。</w:t>
      </w:r>
    </w:p>
    <w:p>
      <w:pPr>
        <w:pStyle w:val="Style34"/>
        <w:keepNext w:val="0"/>
        <w:keepLines w:val="0"/>
        <w:widowControl w:val="0"/>
        <w:numPr>
          <w:ilvl w:val="0"/>
          <w:numId w:val="81"/>
        </w:numPr>
        <w:shd w:val="clear" w:color="auto" w:fill="auto"/>
        <w:tabs>
          <w:tab w:pos="373" w:val="left"/>
        </w:tabs>
        <w:bidi w:val="0"/>
        <w:spacing w:before="0" w:after="380" w:line="240" w:lineRule="auto"/>
        <w:ind w:left="0" w:right="0" w:firstLine="0"/>
        <w:jc w:val="both"/>
      </w:pPr>
      <w:bookmarkStart w:id="1359" w:name="bookmark1359"/>
      <w:bookmarkEnd w:id="1359"/>
      <w:r>
        <w:rPr>
          <w:color w:val="000000"/>
          <w:spacing w:val="0"/>
          <w:w w:val="100"/>
          <w:position w:val="0"/>
        </w:rPr>
        <w:t>报告期内公司无转移其他应收款且继续涉入形成的资产、负债。</w:t>
      </w:r>
    </w:p>
    <w:p>
      <w:pPr>
        <w:pStyle w:val="Style37"/>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8</w:t>
      </w:r>
      <w:bookmarkEnd w:id="1362"/>
      <w:r>
        <w:rPr>
          <w:color w:val="000000"/>
          <w:spacing w:val="0"/>
          <w:w w:val="100"/>
          <w:position w:val="0"/>
        </w:rPr>
        <w:t>、存货</w:t>
      </w:r>
      <w:bookmarkEnd w:id="1360"/>
      <w:bookmarkEnd w:id="1361"/>
      <w:bookmarkEnd w:id="1363"/>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4"/>
      <w:bookmarkEnd w:id="1365"/>
      <w:bookmarkEnd w:id="136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152,886,878.99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1,019,066.69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151,867,812.30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207,970,728.50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408,569.39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207,562,159.11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251,255.56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2,868,164.54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2,868,164.54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22,340,778.25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2,742,998.04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19,597,780.21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3,023,103.13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305,728.06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2,717,375.07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175,478,912.80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3,762,064.73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171,716,848.07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213,861,996.17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714,297.45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213,147,698.72</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7"/>
      <w:bookmarkEnd w:id="1368"/>
      <w:bookmarkEnd w:id="13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408,569.39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610,497.30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1,019,066.69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305,728.06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2,437,269.98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2,742,998.04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714,297.45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3,047,767.28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3,762,064.73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报告期期末存货余额中无利息资本化金额。</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9</w:t>
      </w:r>
      <w:bookmarkEnd w:id="1372"/>
      <w:r>
        <w:rPr>
          <w:color w:val="000000"/>
          <w:spacing w:val="0"/>
          <w:w w:val="100"/>
          <w:position w:val="0"/>
        </w:rPr>
        <w:t>、合同资产</w:t>
      </w:r>
      <w:bookmarkEnd w:id="1370"/>
      <w:bookmarkEnd w:id="1371"/>
      <w:bookmarkEnd w:id="1373"/>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136,934,874.37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1,369,348.74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135,565,525.63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170,953,832.55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170,953,832.55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燃煤电厂设备成 套项目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110,815,520.36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1,108,155.20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109,707,365.16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99,792,149.90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99,792,149.90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 xml:space="preserve">一期 </w:t>
            </w:r>
            <w:r>
              <w:rPr>
                <w:rFonts w:ascii="Times New Roman" w:eastAsia="Times New Roman" w:hAnsi="Times New Roman" w:cs="Times New Roman"/>
                <w:color w:val="000000"/>
                <w:spacing w:val="0"/>
                <w:w w:val="100"/>
                <w:position w:val="0"/>
                <w:sz w:val="18"/>
                <w:szCs w:val="18"/>
              </w:rPr>
              <w:t xml:space="preserve">4*33MVA </w:t>
            </w:r>
            <w:r>
              <w:rPr>
                <w:color w:val="000000"/>
                <w:spacing w:val="0"/>
                <w:w w:val="100"/>
                <w:position w:val="0"/>
              </w:rPr>
              <w:t>镍铁 矿热炉项目施工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10,214,860.73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102,148.61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10,112,712.12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20,207,752.73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20,207,752.73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燃煤电厂项目施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62,238,175.13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603,944.21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61,634,230.92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10,204,010.55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10,204,010.55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r>
              <w:rPr>
                <w:rFonts w:ascii="Times New Roman" w:eastAsia="Times New Roman" w:hAnsi="Times New Roman" w:cs="Times New Roman"/>
                <w:color w:val="000000"/>
                <w:spacing w:val="0"/>
                <w:w w:val="100"/>
                <w:position w:val="0"/>
                <w:sz w:val="18"/>
                <w:szCs w:val="18"/>
              </w:rPr>
              <w:t>132MW</w:t>
            </w:r>
            <w:r>
              <w:rPr>
                <w:color w:val="000000"/>
                <w:spacing w:val="0"/>
                <w:w w:val="100"/>
                <w:position w:val="0"/>
              </w:rPr>
              <w:t>风电项目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771,986,285.10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38,599,314.28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733,386,970.82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1,037,893,954.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76,080,782.43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961,813,171.58</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光伏项目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1,179,986,041.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11,799,860.42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1,168,186,181.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1,017,349,269.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1,017,349,269.23</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2,272,175,757.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53,582,771.46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2,218,592,985.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2,356,400,968.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76,080,782.43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2,280,320,186.54</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-22,498,010.97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-22,498,010.97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74"/>
      <w:bookmarkEnd w:id="1375"/>
      <w:bookmarkEnd w:id="137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738,138.97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2,715,182.12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22,303,634.48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210,926,132.14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被代扣所得税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737,230.94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798,142.08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671,099.24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代扣职工社保和公积金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311,398.73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24,761,502.36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214,441,568.63</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378"/>
      <w:bookmarkEnd w:id="1379"/>
      <w:bookmarkEnd w:id="1381"/>
    </w:p>
    <w:p>
      <w:pPr>
        <w:pStyle w:val="Style37"/>
        <w:keepNext/>
        <w:keepLines/>
        <w:widowControl w:val="0"/>
        <w:shd w:val="clear" w:color="auto" w:fill="auto"/>
        <w:bidi w:val="0"/>
        <w:spacing w:before="0" w:after="400" w:line="240" w:lineRule="auto"/>
        <w:ind w:left="0" w:right="0" w:firstLine="0"/>
        <w:jc w:val="left"/>
      </w:pPr>
      <w:bookmarkStart w:id="1378" w:name="bookmark1378"/>
      <w:bookmarkStart w:id="1379" w:name="bookmark1379"/>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78"/>
      <w:bookmarkEnd w:id="1379"/>
      <w:bookmarkEnd w:id="138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30,216,666.62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18,591,666.66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13,391,666.74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30,216,666.62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18,591,666.66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13,391,666.74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13,391,666.74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5,199,999.92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18,591,666.66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-11,624,999.96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11,624,999.96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11,624,999.96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11,624,999.96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28,449,999.84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30,216,666.62</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83"/>
        </w:numPr>
        <w:shd w:val="clear" w:color="auto" w:fill="auto"/>
        <w:tabs>
          <w:tab w:pos="373" w:val="left"/>
        </w:tabs>
        <w:bidi w:val="0"/>
        <w:spacing w:before="0" w:after="140" w:line="240" w:lineRule="auto"/>
        <w:ind w:left="0" w:right="0" w:firstLine="0"/>
        <w:jc w:val="left"/>
      </w:pPr>
      <w:bookmarkStart w:id="1383" w:name="bookmark1383"/>
      <w:bookmarkEnd w:id="1383"/>
      <w:r>
        <w:rPr>
          <w:color w:val="000000"/>
          <w:spacing w:val="0"/>
          <w:w w:val="100"/>
          <w:position w:val="0"/>
        </w:rPr>
        <w:t>报告期内公司无因金融资产转移而终止确认的长期应收款。</w:t>
      </w:r>
    </w:p>
    <w:p>
      <w:pPr>
        <w:pStyle w:val="Style34"/>
        <w:keepNext w:val="0"/>
        <w:keepLines w:val="0"/>
        <w:widowControl w:val="0"/>
        <w:numPr>
          <w:ilvl w:val="0"/>
          <w:numId w:val="83"/>
        </w:numPr>
        <w:shd w:val="clear" w:color="auto" w:fill="auto"/>
        <w:tabs>
          <w:tab w:pos="373" w:val="left"/>
        </w:tabs>
        <w:bidi w:val="0"/>
        <w:spacing w:before="0" w:after="140" w:line="240" w:lineRule="auto"/>
        <w:ind w:left="0" w:right="0" w:firstLine="0"/>
        <w:jc w:val="left"/>
      </w:pPr>
      <w:bookmarkStart w:id="1384" w:name="bookmark1384"/>
      <w:bookmarkEnd w:id="1384"/>
      <w:r>
        <w:rPr>
          <w:color w:val="000000"/>
          <w:spacing w:val="0"/>
          <w:w w:val="100"/>
          <w:position w:val="0"/>
        </w:rPr>
        <w:t>报告期内公司无转移长期应收款且继续涉入形成的资产、负债。</w:t>
      </w:r>
      <w:r>
        <w:br w:type="page"/>
      </w:r>
    </w:p>
    <w:p>
      <w:pPr>
        <w:pStyle w:val="Style37"/>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385"/>
      <w:bookmarkEnd w:id="1386"/>
      <w:bookmarkEnd w:id="13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北京科程 电子商务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9,716,468</w:t>
            </w:r>
          </w:p>
        </w:tc>
      </w:tr>
      <w:tr>
        <w:trPr>
          <w:trHeight w:val="66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河南远海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滨江恒顺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16,531,07</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扬州远海 滨江中程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1,684,177</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供应链有 限公司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9,716,468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37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9,716,468</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389"/>
      <w:bookmarkEnd w:id="1390"/>
      <w:bookmarkEnd w:id="1392"/>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信托保障基金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393"/>
      <w:bookmarkEnd w:id="1394"/>
      <w:bookmarkEnd w:id="1396"/>
    </w:p>
    <w:p>
      <w:pPr>
        <w:pStyle w:val="Style37"/>
        <w:keepNext/>
        <w:keepLines/>
        <w:widowControl w:val="0"/>
        <w:shd w:val="clear" w:color="auto" w:fill="auto"/>
        <w:bidi w:val="0"/>
        <w:spacing w:before="0" w:after="380" w:line="240" w:lineRule="auto"/>
        <w:ind w:left="0" w:right="0" w:firstLine="0"/>
        <w:jc w:val="both"/>
      </w:pPr>
      <w:bookmarkStart w:id="1393" w:name="bookmark1393"/>
      <w:bookmarkStart w:id="1394" w:name="bookmark1394"/>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93"/>
      <w:bookmarkEnd w:id="1394"/>
      <w:bookmarkEnd w:id="1397"/>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4,192,474.17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4,192,474.17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57,558,594.18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57,558,594.18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57,558,594.18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57,558,594.18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326,360.26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326,360.26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61,424,708.09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61,424,708.09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838,494.83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838,494.83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1,265,721.26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1,265,721.26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1,265,721.26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1,265,721.26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102,499.14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102,499.14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2,001,716.95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59,422,991.14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3,353,979.34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3,353,979.34</w:t>
            </w:r>
          </w:p>
        </w:tc>
      </w:tr>
    </w:tbl>
    <w:p>
      <w:pPr>
        <w:widowControl w:val="0"/>
        <w:spacing w:after="319" w:line="1" w:lineRule="exact"/>
      </w:pPr>
    </w:p>
    <w:p>
      <w:pPr>
        <w:pStyle w:val="Style37"/>
        <w:keepNext/>
        <w:keepLines/>
        <w:widowControl w:val="0"/>
        <w:numPr>
          <w:ilvl w:val="0"/>
          <w:numId w:val="85"/>
        </w:numPr>
        <w:shd w:val="clear" w:color="auto" w:fill="auto"/>
        <w:tabs>
          <w:tab w:pos="493"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采用公允价值计量模式的投资性房地产</w:t>
      </w:r>
      <w:bookmarkEnd w:id="1398"/>
      <w:bookmarkEnd w:id="1399"/>
      <w:bookmarkEnd w:id="1401"/>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numPr>
          <w:ilvl w:val="0"/>
          <w:numId w:val="85"/>
        </w:numPr>
        <w:shd w:val="clear" w:color="auto" w:fill="auto"/>
        <w:tabs>
          <w:tab w:pos="493" w:val="left"/>
        </w:tabs>
        <w:bidi w:val="0"/>
        <w:spacing w:before="0" w:after="38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未办妥产权证书的投资性房地产情况</w:t>
      </w:r>
      <w:bookmarkEnd w:id="1402"/>
      <w:bookmarkEnd w:id="1403"/>
      <w:bookmarkEnd w:id="140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已签订征地合同，土地证相关手续正在 办理中</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406"/>
      <w:bookmarkEnd w:id="1407"/>
      <w:bookmarkEnd w:id="140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104,590,473.46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122,101,079.30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104,590,473.46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122,101,079.30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10"/>
      <w:bookmarkEnd w:id="1411"/>
      <w:bookmarkEnd w:id="141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129,554,343.81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188,050,067.93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34,509,510.08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8,236,256.94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360,350,178.76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3,640,007.05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1,043,206.18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507,147.49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5,190,360.72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3,640,007.05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1,043,206.18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507,147.49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5,190,360.72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546,373.13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7,560,723.69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6,033,069.27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187,101.04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14,327,267.13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4,800,072.22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4,820,762.22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546,373.13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7,560,723.69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1,232,997.05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166,411.04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9,506,504.91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129,007,970.68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184,129,351.29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29,519,646.99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8,556,303.39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351,213,272.35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50,514,967.70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165,107,558.96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18,013,199.56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4,613,373.24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238,249,099.46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6,009,617.30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8,746,935.51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3,427,495.74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888,176.93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19,072,225.48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6,009,617.30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8,746,935.51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3,427,495.74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888,176.93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19,072,225.48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358,147.33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6,887,007.49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4,827,186.75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124,163.90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12,196,505.47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4,227,198.61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4,242,325.68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358,147.33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6,887,007.49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599,988.14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109,036.83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7,954,179.79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56,166,437.67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166,967,486.98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16,613,508.55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5,377,386.27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245,124,819.47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613,274.16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884,705.26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1,497,979.42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613,274.16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884,705.26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1,497,979.42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613,274.16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884,705.26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1,497,979.42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72,841,533.01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16,548,590.15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12,906,138.44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2,294,211.86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104,590,473.46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79,039,376.11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22,942,508.97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16,496,310.52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3,622,883.70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122,101,079.30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13"/>
      <w:bookmarkEnd w:id="1414"/>
      <w:bookmarkEnd w:id="141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90,110,476.28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80,379,065.94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613,274.16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9,118,136.18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公司期末无通过融资租赁租入的固定资产、无通过经营租赁租出的固定资产、无持有待售的固定资产、无未办妥产权证书的 固定资产。</w:t>
      </w:r>
      <w:r>
        <w:br w:type="page"/>
      </w:r>
    </w:p>
    <w:p>
      <w:pPr>
        <w:pStyle w:val="Style37"/>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416"/>
      <w:bookmarkEnd w:id="1417"/>
      <w:bookmarkEnd w:id="141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455,985,520.74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455,985,520.74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20"/>
      <w:bookmarkEnd w:id="1421"/>
      <w:bookmarkEnd w:id="14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码头工程项目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12,933,913.57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12,933,913.57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13,085,151.61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13,085,151.61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青岛印尼综合产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业园项目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436,378,208.18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436,378,208.18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437,795,087.79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437,795,087.79</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新疆棉杆沼气化 资源综合利用项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4,019,584.13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4,019,584.13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3,935,754.13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3,935,754.13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1,169,527.21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1,169,527.21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1,169,527.21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454,501,233.09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5,189,111.34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455,985,520.74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455,985,520.74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23"/>
      <w:bookmarkEnd w:id="1424"/>
      <w:bookmarkEnd w:id="142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码头工 程项目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788,452,</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13,085,1</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12,933,9</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青岛印 尼综合 产业园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436,378,</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新疆棉 杆沼气 化资源 综合利 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3,935,75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83,830.0</w:t>
            </w:r>
          </w:p>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4,019,58</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展厅项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1,549,64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455,985,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6"/>
      <w:bookmarkEnd w:id="1427"/>
      <w:bookmarkEnd w:id="142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新疆棉杆沼气化资源综合利用项目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4,019,584.13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该土地已被政府收回，建筑工程全额计 提减值。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1,169,527.21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该公司正在办理注销，相应项目全额计 提减值。</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5,189,111.34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4"/>
        <w:keepNext w:val="0"/>
        <w:keepLines w:val="0"/>
        <w:widowControl w:val="0"/>
        <w:numPr>
          <w:ilvl w:val="0"/>
          <w:numId w:val="87"/>
        </w:numPr>
        <w:shd w:val="clear" w:color="auto" w:fill="auto"/>
        <w:tabs>
          <w:tab w:pos="373" w:val="left"/>
        </w:tabs>
        <w:bidi w:val="0"/>
        <w:spacing w:before="0" w:after="140" w:line="240" w:lineRule="auto"/>
        <w:ind w:left="0" w:right="0" w:firstLine="0"/>
        <w:jc w:val="both"/>
      </w:pPr>
      <w:bookmarkStart w:id="1430" w:name="bookmark1430"/>
      <w:bookmarkEnd w:id="1430"/>
      <w:r>
        <w:rPr>
          <w:color w:val="000000"/>
          <w:spacing w:val="0"/>
          <w:w w:val="100"/>
          <w:position w:val="0"/>
        </w:rPr>
        <w:t>期末在建工程中无利息资本化金额。</w:t>
      </w:r>
    </w:p>
    <w:p>
      <w:pPr>
        <w:pStyle w:val="Style34"/>
        <w:keepNext w:val="0"/>
        <w:keepLines w:val="0"/>
        <w:widowControl w:val="0"/>
        <w:numPr>
          <w:ilvl w:val="0"/>
          <w:numId w:val="87"/>
        </w:numPr>
        <w:shd w:val="clear" w:color="auto" w:fill="auto"/>
        <w:tabs>
          <w:tab w:pos="373" w:val="left"/>
        </w:tabs>
        <w:bidi w:val="0"/>
        <w:spacing w:before="0" w:after="380" w:line="240" w:lineRule="auto"/>
        <w:ind w:left="0" w:right="0" w:firstLine="0"/>
        <w:jc w:val="both"/>
      </w:pPr>
      <w:bookmarkStart w:id="1431" w:name="bookmark1431"/>
      <w:bookmarkEnd w:id="1431"/>
      <w:r>
        <w:rPr>
          <w:color w:val="000000"/>
          <w:spacing w:val="0"/>
          <w:w w:val="100"/>
          <w:position w:val="0"/>
        </w:rPr>
        <w:t>其他减少金额主要为因持有目的不同而进行的重分类以及汇率变动影响的金额。</w:t>
      </w:r>
    </w:p>
    <w:p>
      <w:pPr>
        <w:pStyle w:val="Style37"/>
        <w:keepNext/>
        <w:keepLines/>
        <w:widowControl w:val="0"/>
        <w:shd w:val="clear" w:color="auto" w:fill="auto"/>
        <w:bidi w:val="0"/>
        <w:spacing w:before="0" w:after="38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bookmarkEnd w:id="1434"/>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432"/>
      <w:bookmarkEnd w:id="1433"/>
      <w:bookmarkEnd w:id="1435"/>
    </w:p>
    <w:p>
      <w:pPr>
        <w:pStyle w:val="Style37"/>
        <w:keepNext/>
        <w:keepLines/>
        <w:widowControl w:val="0"/>
        <w:shd w:val="clear" w:color="auto" w:fill="auto"/>
        <w:bidi w:val="0"/>
        <w:spacing w:before="0" w:after="380" w:line="240" w:lineRule="auto"/>
        <w:ind w:left="0" w:right="0" w:firstLine="0"/>
        <w:jc w:val="both"/>
      </w:pPr>
      <w:bookmarkStart w:id="1432" w:name="bookmark1432"/>
      <w:bookmarkStart w:id="1433" w:name="bookmark1433"/>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32"/>
      <w:bookmarkEnd w:id="1433"/>
      <w:bookmarkEnd w:id="143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管理软件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矿的特许经营权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11,131,773.00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5,516,280.14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2,312,247.08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524,764,100.00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543,724,400.22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11,131,773.00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5,516,280.14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2,312,247.08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524,764,100.00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543,724,400.22</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1,980,387.19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633,429.37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1,557,582.24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7,276,777.66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11,448,176.46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201,707.01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674,969.31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201,707.01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674,969.31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2,182,094.20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914,551.87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1,749,722.04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7,276,777.66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12,123,145.77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3,948,491.58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4,601,728.27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8,550,219.85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3,948,491.58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4,601,728.27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8,550,219.85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3,948,491.58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4,601,728.27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8,550,219.85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5,001,187.22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562,525.04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517,487,322.34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523,051,034.60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9,151,385.81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4,882,850.77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754,664.84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517,487,322.34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532,276,223.76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本报告期公司计入无形资产的土地使用权不存在未办妥产权证书的情况。</w:t>
      </w:r>
    </w:p>
    <w:p>
      <w:pPr>
        <w:pStyle w:val="Style37"/>
        <w:keepNext/>
        <w:keepLines/>
        <w:widowControl w:val="0"/>
        <w:shd w:val="clear" w:color="auto" w:fill="auto"/>
        <w:bidi w:val="0"/>
        <w:spacing w:before="0" w:after="380" w:line="240" w:lineRule="auto"/>
        <w:ind w:left="0" w:right="0" w:firstLine="0"/>
        <w:jc w:val="both"/>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437"/>
      <w:bookmarkEnd w:id="1438"/>
      <w:bookmarkEnd w:id="1439"/>
    </w:p>
    <w:p>
      <w:pPr>
        <w:pStyle w:val="Style37"/>
        <w:keepNext/>
        <w:keepLines/>
        <w:widowControl w:val="0"/>
        <w:shd w:val="clear" w:color="auto" w:fill="auto"/>
        <w:bidi w:val="0"/>
        <w:spacing w:before="0" w:after="380" w:line="240" w:lineRule="auto"/>
        <w:ind w:left="0" w:right="0" w:firstLine="0"/>
        <w:jc w:val="both"/>
      </w:pPr>
      <w:bookmarkStart w:id="1437" w:name="bookmark1437"/>
      <w:bookmarkStart w:id="1438" w:name="bookmark1438"/>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37"/>
      <w:bookmarkEnd w:id="1438"/>
      <w:bookmarkEnd w:id="144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2736"/>
        <w:gridCol w:w="2736"/>
        <w:gridCol w:w="137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2"/>
        <w:keepNext w:val="0"/>
        <w:keepLines w:val="0"/>
        <w:widowControl w:val="0"/>
        <w:numPr>
          <w:ilvl w:val="0"/>
          <w:numId w:val="89"/>
        </w:numPr>
        <w:shd w:val="clear" w:color="auto" w:fill="auto"/>
        <w:tabs>
          <w:tab w:pos="1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月公司全资子公司</w:t>
      </w:r>
      <w:r>
        <w:rPr>
          <w:rFonts w:ascii="Times New Roman" w:eastAsia="Times New Roman" w:hAnsi="Times New Roman" w:cs="Times New Roman"/>
          <w:color w:val="000000"/>
          <w:spacing w:val="0"/>
          <w:w w:val="100"/>
          <w:position w:val="0"/>
          <w:sz w:val="18"/>
          <w:szCs w:val="18"/>
        </w:rPr>
        <w:t>Zhongzi Zhongcheng International Holdings Pte.Ltd （</w:t>
      </w:r>
      <w:r>
        <w:rPr>
          <w:color w:val="000000"/>
          <w:spacing w:val="0"/>
          <w:w w:val="100"/>
          <w:position w:val="0"/>
        </w:rPr>
        <w:t>青岛中资中程新加坡国际控股有限公司）完 成收购</w:t>
      </w:r>
      <w:r>
        <w:rPr>
          <w:rFonts w:ascii="Times New Roman" w:eastAsia="Times New Roman" w:hAnsi="Times New Roman" w:cs="Times New Roman"/>
          <w:color w:val="000000"/>
          <w:spacing w:val="0"/>
          <w:w w:val="100"/>
          <w:position w:val="0"/>
          <w:sz w:val="18"/>
          <w:szCs w:val="18"/>
        </w:rPr>
        <w:t xml:space="preserve">PT. Kutal Nyala Resources </w:t>
      </w:r>
      <w:r>
        <w:rPr>
          <w:color w:val="000000"/>
          <w:spacing w:val="0"/>
          <w:w w:val="100"/>
          <w:position w:val="0"/>
        </w:rPr>
        <w:t>（青岛中资中程印尼东加码头有限公司）</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股权，合并日合并成本与被购买方可辩认净资 产公允价值份额的差额为</w:t>
      </w:r>
      <w:r>
        <w:rPr>
          <w:rFonts w:ascii="Times New Roman" w:eastAsia="Times New Roman" w:hAnsi="Times New Roman" w:cs="Times New Roman"/>
          <w:color w:val="000000"/>
          <w:spacing w:val="0"/>
          <w:w w:val="100"/>
          <w:position w:val="0"/>
          <w:sz w:val="18"/>
          <w:szCs w:val="18"/>
        </w:rPr>
        <w:t>2,458.08</w:t>
      </w:r>
      <w:r>
        <w:rPr>
          <w:color w:val="000000"/>
          <w:spacing w:val="0"/>
          <w:w w:val="100"/>
          <w:position w:val="0"/>
        </w:rPr>
        <w:t>万元。</w:t>
      </w:r>
    </w:p>
    <w:p>
      <w:pPr>
        <w:pStyle w:val="Style34"/>
        <w:keepNext w:val="0"/>
        <w:keepLines w:val="0"/>
        <w:widowControl w:val="0"/>
        <w:numPr>
          <w:ilvl w:val="0"/>
          <w:numId w:val="91"/>
        </w:numPr>
        <w:shd w:val="clear" w:color="auto" w:fill="auto"/>
        <w:tabs>
          <w:tab w:pos="373" w:val="left"/>
        </w:tabs>
        <w:bidi w:val="0"/>
        <w:spacing w:before="0" w:after="0" w:line="317" w:lineRule="exact"/>
        <w:ind w:left="0" w:right="0" w:firstLine="0"/>
        <w:jc w:val="both"/>
      </w:pPr>
      <w:bookmarkStart w:id="1441" w:name="bookmark1441"/>
      <w:bookmarkEnd w:id="1441"/>
      <w:r>
        <w:rPr>
          <w:color w:val="000000"/>
          <w:spacing w:val="0"/>
          <w:w w:val="100"/>
          <w:position w:val="0"/>
        </w:rPr>
        <w:t>资产组认定，公司以存在商誉的东加码头整体作为资产组组合进行商誉减值测试。期末商誉所在资产组与收购日形成商誉 时所确定的资产组一致，其构成未发生变化。</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4"/>
        <w:keepNext w:val="0"/>
        <w:keepLines w:val="0"/>
        <w:widowControl w:val="0"/>
        <w:shd w:val="clear" w:color="auto" w:fill="auto"/>
        <w:bidi w:val="0"/>
        <w:spacing w:before="0" w:after="0" w:line="309" w:lineRule="exact"/>
        <w:ind w:left="0" w:right="0" w:firstLine="0"/>
        <w:jc w:val="both"/>
      </w:pPr>
      <w:r>
        <w:rPr>
          <w:color w:val="000000"/>
          <w:spacing w:val="0"/>
          <w:w w:val="100"/>
          <w:position w:val="0"/>
        </w:rPr>
        <w:t>东加码头公司的可收回金额按照预计未来现金流量的现值确定。未来现金流量现值基于财务预算确定，以及印度尼西亚加里 曼丹当地市场价格和折现率为基准计算。</w:t>
      </w:r>
      <w:r>
        <w:rPr>
          <w:rFonts w:ascii="Times New Roman" w:eastAsia="Times New Roman" w:hAnsi="Times New Roman" w:cs="Times New Roman"/>
          <w:color w:val="000000"/>
          <w:spacing w:val="0"/>
          <w:w w:val="100"/>
          <w:position w:val="0"/>
          <w:sz w:val="18"/>
          <w:szCs w:val="18"/>
        </w:rPr>
        <w:t xml:space="preserve">PT. Kutal Nyala Resources </w:t>
      </w:r>
      <w:r>
        <w:rPr>
          <w:color w:val="000000"/>
          <w:spacing w:val="0"/>
          <w:w w:val="100"/>
          <w:position w:val="0"/>
        </w:rPr>
        <w:t>（青岛中资中程印尼东加码头有限公司）运营所取得的收 入以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年当地市场价格为基准，按预计码头运载能力计算预计未来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年的收入，以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年政府公布的运营成本费用计算未 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年的成本。折算率通过</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模型计算。</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商誉减值测试的影响</w:t>
      </w:r>
    </w:p>
    <w:p>
      <w:pPr>
        <w:pStyle w:val="Style3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期末对商誉进行减值测试不存在减值情况，故未计提商誉减值准备。</w:t>
      </w:r>
    </w:p>
    <w:p>
      <w:pPr>
        <w:pStyle w:val="Style37"/>
        <w:keepNext/>
        <w:keepLines/>
        <w:widowControl w:val="0"/>
        <w:shd w:val="clear" w:color="auto" w:fill="auto"/>
        <w:bidi w:val="0"/>
        <w:spacing w:before="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42"/>
      <w:bookmarkEnd w:id="1443"/>
      <w:bookmarkEnd w:id="144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3,376,701.86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2,396,986.54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景观及绿化费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护坡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15,083,775.58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15,083,775.58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1,155,280.18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1,006,659.52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4,532,897.48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15,208,179.25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1,253,655.09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18,487,421.64</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46"/>
      <w:bookmarkEnd w:id="1447"/>
      <w:bookmarkEnd w:id="1449"/>
    </w:p>
    <w:p>
      <w:pPr>
        <w:pStyle w:val="Style37"/>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46"/>
      <w:bookmarkEnd w:id="1447"/>
      <w:bookmarkEnd w:id="145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56,273,655.25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13,291,607.67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76,795,079.82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16,299,341.40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868,888.88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130,333.33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868,888.88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130,333.33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549,180,468.21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136,522,415.46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223,156,391.46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55,789,097.87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7,200,523.64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1,800,130.91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8,864,762.29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2,216,190.57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262,646,928.97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64,199,071.25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240,094,057.41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59,716,822.13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876,170,464.95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215,943,558.62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549,779,179.86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134,151,785.30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451"/>
      <w:bookmarkEnd w:id="1452"/>
      <w:bookmarkEnd w:id="14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215,943,558.62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134,151,785.30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4"/>
      <w:bookmarkEnd w:id="1455"/>
      <w:bookmarkEnd w:id="145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预付公司收购款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9,446,836.41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9,446,836.41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9,911,381.54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9,911,381.54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56,520,711.1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56,520,711.1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21,997,495.6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21,997,495.6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2,026,149.68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2,026,149.68</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65,967,547.5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65,967,547.5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33,935,026.9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33,935,026.9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8"/>
      <w:bookmarkEnd w:id="1459"/>
      <w:bookmarkEnd w:id="1461"/>
    </w:p>
    <w:p>
      <w:pPr>
        <w:pStyle w:val="Style37"/>
        <w:keepNext/>
        <w:keepLines/>
        <w:widowControl w:val="0"/>
        <w:shd w:val="clear" w:color="auto" w:fill="auto"/>
        <w:bidi w:val="0"/>
        <w:spacing w:before="0" w:after="380" w:line="240" w:lineRule="auto"/>
        <w:ind w:left="0" w:right="0" w:firstLine="0"/>
        <w:jc w:val="both"/>
      </w:pPr>
      <w:bookmarkStart w:id="1458" w:name="bookmark1458"/>
      <w:bookmarkStart w:id="1459" w:name="bookmark1459"/>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8"/>
      <w:bookmarkEnd w:id="1459"/>
      <w:bookmarkEnd w:id="146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314,701,696.46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626,239,334.00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609,252,712.80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501,755,176.40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1,127,994,510.40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463"/>
      <w:bookmarkEnd w:id="1464"/>
      <w:bookmarkEnd w:id="146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63,601,425.04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63,601,425.04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467"/>
      <w:bookmarkEnd w:id="1468"/>
      <w:bookmarkEnd w:id="1470"/>
    </w:p>
    <w:p>
      <w:pPr>
        <w:pStyle w:val="Style37"/>
        <w:keepNext/>
        <w:keepLines/>
        <w:widowControl w:val="0"/>
        <w:shd w:val="clear" w:color="auto" w:fill="auto"/>
        <w:bidi w:val="0"/>
        <w:spacing w:before="0" w:after="380" w:line="240" w:lineRule="auto"/>
        <w:ind w:left="0" w:right="0" w:firstLine="0"/>
        <w:jc w:val="both"/>
      </w:pPr>
      <w:bookmarkStart w:id="1467" w:name="bookmark1467"/>
      <w:bookmarkStart w:id="1468" w:name="bookmark1468"/>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67"/>
      <w:bookmarkEnd w:id="1468"/>
      <w:bookmarkEnd w:id="147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144,385,303.97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171,826,730.25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128,691,796.53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191,427,282.57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71,529,902.17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337,641,203.52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344,024,667.31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234,411,291.58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688,631,669.98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935,306,507.92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2"/>
      <w:bookmarkEnd w:id="1473"/>
      <w:bookmarkEnd w:id="147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上海电力设计院物资有限公司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143,441,005.54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PT.Indo Fudong Konstruksi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35,819,816.17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山东雅百特科技有限公司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32,752,122.00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PT.Indonesia Anhui Energy Construction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15,623,319.00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通化建新科技有限公司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13,942,000.00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241,578,262.71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应付账款中无应付持有公司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）以上表决权股份的股东单位或关联方的款项。</w:t>
      </w:r>
    </w:p>
    <w:p>
      <w:pPr>
        <w:pStyle w:val="Style37"/>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475"/>
      <w:bookmarkEnd w:id="1476"/>
      <w:bookmarkEnd w:id="147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贸易货款及其他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78,339,817.07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4,065,868.58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78,339,817.07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4,065,868.58</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479"/>
      <w:bookmarkEnd w:id="1480"/>
      <w:bookmarkEnd w:id="1482"/>
    </w:p>
    <w:p>
      <w:pPr>
        <w:pStyle w:val="Style37"/>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79"/>
      <w:bookmarkEnd w:id="1480"/>
      <w:bookmarkEnd w:id="14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4,991,375.36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62,350,624.97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61,720,553.29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5,621,447.04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15,696.88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458,900.21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5,007,072.24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62,859,936.97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62,241,053.50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5,625,955.71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4"/>
      <w:bookmarkEnd w:id="1485"/>
      <w:bookmarkEnd w:id="14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2,250,626.74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53,081,432.95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52,833,019.24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2,499,040.45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3,179,311.67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3,179,311.67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117,231.77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3,991,526.92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4,007,778.32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100,980.37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12,730.38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1,460,056.41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1,468,495.16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外其他保险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2,524,633.48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2,531,343.96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96,397.62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1,524,273.00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1,505,359.00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2,642,430.85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574,080.43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3,021,426.22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4,991,375.36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62,350,624.97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61,720,553.29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5,621,447.04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87"/>
      <w:bookmarkEnd w:id="1488"/>
      <w:bookmarkEnd w:id="149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14,955.36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417,621.33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428,244.37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15,584.03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16,149.20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14,506.64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14,506.64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15,696.88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447,712.00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458,900.21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4,508.67</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491"/>
      <w:bookmarkEnd w:id="1492"/>
      <w:bookmarkEnd w:id="149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2,683,643.85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257,981.23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44,601,177.99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81,901,968.56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96,967.86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110,031.90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361,675.30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404,679.51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337,178.96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7,739.44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108,292.76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407,379.34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48,535,383.06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83,542,042.95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95"/>
      <w:bookmarkEnd w:id="1496"/>
      <w:bookmarkEnd w:id="149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65,255,522.24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28,280,526.40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725,851,542.52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987,456,789.17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791,107,064.76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1,015,737,315.57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99"/>
      <w:bookmarkEnd w:id="1500"/>
      <w:bookmarkEnd w:id="150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4,125,262.49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64,215,522.24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24,155,263.91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65,255,522.24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28,280,526.40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02"/>
      <w:bookmarkEnd w:id="1503"/>
      <w:bookmarkEnd w:id="1504"/>
    </w:p>
    <w:p>
      <w:pPr>
        <w:pStyle w:val="Style37"/>
        <w:keepNext/>
        <w:keepLines/>
        <w:widowControl w:val="0"/>
        <w:numPr>
          <w:ilvl w:val="0"/>
          <w:numId w:val="93"/>
        </w:numPr>
        <w:shd w:val="clear" w:color="auto" w:fill="auto"/>
        <w:bidi w:val="0"/>
        <w:spacing w:before="0" w:after="380" w:line="240" w:lineRule="auto"/>
        <w:ind w:left="0" w:right="0" w:firstLine="0"/>
        <w:jc w:val="left"/>
      </w:pPr>
      <w:bookmarkStart w:id="1502" w:name="bookmark1502"/>
      <w:bookmarkStart w:id="1503" w:name="bookmark1503"/>
      <w:bookmarkStart w:id="1505" w:name="bookmark1505"/>
      <w:bookmarkStart w:id="1506" w:name="bookmark1506"/>
      <w:bookmarkEnd w:id="1505"/>
      <w:r>
        <w:rPr>
          <w:color w:val="000000"/>
          <w:spacing w:val="0"/>
          <w:w w:val="100"/>
          <w:position w:val="0"/>
        </w:rPr>
        <w:t>按款项性质列示其他应付款</w:t>
      </w:r>
      <w:bookmarkEnd w:id="1502"/>
      <w:bookmarkEnd w:id="1503"/>
      <w:bookmarkEnd w:id="1506"/>
    </w:p>
    <w:p>
      <w:pPr>
        <w:pStyle w:val="Style34"/>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6,157,515.00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716,113,387.48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980,082,609.26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4,278,125.04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1,216,664.91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725,851,542.52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987,456,789.17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07"/>
      <w:bookmarkEnd w:id="1508"/>
      <w:bookmarkEnd w:id="1510"/>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未到偿还期</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694,000,000.00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其他应付款中应付持有公司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）以上表决权股份的股东单位款项：应付青岛城投金融控股集团有限公司借款 </w:t>
      </w:r>
      <w:r>
        <w:rPr>
          <w:rFonts w:ascii="Times New Roman" w:eastAsia="Times New Roman" w:hAnsi="Times New Roman" w:cs="Times New Roman"/>
          <w:color w:val="000000"/>
          <w:spacing w:val="0"/>
          <w:w w:val="100"/>
          <w:position w:val="0"/>
          <w:sz w:val="18"/>
          <w:szCs w:val="18"/>
        </w:rPr>
        <w:t>714,000,000.00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bookmarkEnd w:id="1513"/>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511"/>
      <w:bookmarkEnd w:id="1512"/>
      <w:bookmarkEnd w:id="1514"/>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449,260.09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333,997.78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票据背书融资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10,175,065.49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528,562.91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10,624,325.58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73,362,560.69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515"/>
      <w:bookmarkEnd w:id="1516"/>
      <w:bookmarkEnd w:id="1518"/>
    </w:p>
    <w:p>
      <w:pPr>
        <w:pStyle w:val="Style37"/>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5"/>
      <w:bookmarkEnd w:id="1516"/>
      <w:bookmarkEnd w:id="1519"/>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520"/>
      <w:bookmarkEnd w:id="1521"/>
      <w:bookmarkEnd w:id="1523"/>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874,567.75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6,391,828.00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5,725,723.64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6,100,573.69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1,474,800.00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12,767,201.69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524"/>
      <w:bookmarkEnd w:id="1525"/>
      <w:bookmarkEnd w:id="152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749,475,000.00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527"/>
      <w:bookmarkEnd w:id="1528"/>
      <w:bookmarkEnd w:id="153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172,366,181.12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172,366,181.12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35,399,391.00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35,399,391.00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207,765,572.12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531"/>
      <w:bookmarkEnd w:id="1532"/>
      <w:bookmarkEnd w:id="153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-6,280,444.7</w:t>
            </w:r>
          </w:p>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-90,848,52</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-696,759.3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-6,280,444.7</w:t>
            </w:r>
          </w:p>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-90,848,52</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-696,759.3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-6,280,444.7</w:t>
            </w:r>
          </w:p>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-90,848,52</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-696,759.3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5</w:t>
      </w:r>
      <w:r>
        <w:rPr>
          <w:color w:val="000000"/>
          <w:spacing w:val="0"/>
          <w:w w:val="100"/>
          <w:position w:val="0"/>
        </w:rPr>
        <w:t>、专项储备</w:t>
      </w:r>
      <w:bookmarkEnd w:id="1535"/>
      <w:bookmarkEnd w:id="1536"/>
      <w:bookmarkEnd w:id="1538"/>
    </w:p>
    <w:p>
      <w:pPr>
        <w:pStyle w:val="Style34"/>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11,314,777.33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11,589,790.93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11,314,777.33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298,868.50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11,589,790.93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539"/>
      <w:bookmarkEnd w:id="1540"/>
      <w:bookmarkEnd w:id="154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98,901,380.51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98,901,380.51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543"/>
      <w:bookmarkEnd w:id="1544"/>
      <w:bookmarkEnd w:id="1546"/>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807,179,991.62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1,089,030,263.34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807,179,991.62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1,089,030,263.34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-408,451,769.43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-259,368,579.84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22,481,691.88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398,728,222.19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807,179,991.62</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4"/>
        <w:keepNext w:val="0"/>
        <w:keepLines w:val="0"/>
        <w:widowControl w:val="0"/>
        <w:shd w:val="clear" w:color="auto" w:fill="auto"/>
        <w:tabs>
          <w:tab w:pos="330" w:val="left"/>
        </w:tabs>
        <w:bidi w:val="0"/>
        <w:spacing w:before="0" w:after="120" w:line="240" w:lineRule="auto"/>
        <w:ind w:left="0" w:right="0" w:firstLine="0"/>
        <w:jc w:val="left"/>
      </w:pPr>
      <w:bookmarkStart w:id="1547" w:name="bookmark1547"/>
      <w:r>
        <w:rPr>
          <w:rFonts w:ascii="Times New Roman" w:eastAsia="Times New Roman" w:hAnsi="Times New Roman" w:cs="Times New Roman"/>
          <w:color w:val="000000"/>
          <w:spacing w:val="0"/>
          <w:w w:val="100"/>
          <w:position w:val="0"/>
          <w:sz w:val="18"/>
          <w:szCs w:val="18"/>
        </w:rPr>
        <w:t>1</w:t>
      </w:r>
      <w:bookmarkEnd w:id="15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20" w:line="240" w:lineRule="auto"/>
        <w:ind w:left="0" w:right="0" w:firstLine="0"/>
        <w:jc w:val="left"/>
      </w:pPr>
      <w:bookmarkStart w:id="1548" w:name="bookmark1548"/>
      <w:r>
        <w:rPr>
          <w:rFonts w:ascii="Times New Roman" w:eastAsia="Times New Roman" w:hAnsi="Times New Roman" w:cs="Times New Roman"/>
          <w:color w:val="000000"/>
          <w:spacing w:val="0"/>
          <w:w w:val="100"/>
          <w:position w:val="0"/>
          <w:sz w:val="18"/>
          <w:szCs w:val="18"/>
        </w:rPr>
        <w:t>2</w:t>
      </w:r>
      <w:bookmarkEnd w:id="15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20" w:line="240" w:lineRule="auto"/>
        <w:ind w:left="0" w:right="0" w:firstLine="0"/>
        <w:jc w:val="left"/>
      </w:pPr>
      <w:bookmarkStart w:id="1549" w:name="bookmark1549"/>
      <w:r>
        <w:rPr>
          <w:rFonts w:ascii="Times New Roman" w:eastAsia="Times New Roman" w:hAnsi="Times New Roman" w:cs="Times New Roman"/>
          <w:color w:val="000000"/>
          <w:spacing w:val="0"/>
          <w:w w:val="100"/>
          <w:position w:val="0"/>
          <w:sz w:val="18"/>
          <w:szCs w:val="18"/>
        </w:rPr>
        <w:t>3</w:t>
      </w:r>
      <w:bookmarkEnd w:id="15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20" w:line="240" w:lineRule="auto"/>
        <w:ind w:left="0" w:right="0" w:firstLine="0"/>
        <w:jc w:val="left"/>
      </w:pPr>
      <w:bookmarkStart w:id="1550" w:name="bookmark1550"/>
      <w:r>
        <w:rPr>
          <w:rFonts w:ascii="Times New Roman" w:eastAsia="Times New Roman" w:hAnsi="Times New Roman" w:cs="Times New Roman"/>
          <w:color w:val="000000"/>
          <w:spacing w:val="0"/>
          <w:w w:val="100"/>
          <w:position w:val="0"/>
          <w:sz w:val="18"/>
          <w:szCs w:val="18"/>
        </w:rPr>
        <w:t>4</w:t>
      </w:r>
      <w:bookmarkEnd w:id="15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380" w:line="240" w:lineRule="auto"/>
        <w:ind w:left="0" w:right="0" w:firstLine="0"/>
        <w:jc w:val="left"/>
      </w:pPr>
      <w:bookmarkStart w:id="1551" w:name="bookmark1551"/>
      <w:r>
        <w:rPr>
          <w:rFonts w:ascii="Times New Roman" w:eastAsia="Times New Roman" w:hAnsi="Times New Roman" w:cs="Times New Roman"/>
          <w:color w:val="000000"/>
          <w:spacing w:val="0"/>
          <w:w w:val="100"/>
          <w:position w:val="0"/>
          <w:sz w:val="18"/>
          <w:szCs w:val="18"/>
        </w:rPr>
        <w:t>5</w:t>
      </w:r>
      <w:bookmarkEnd w:id="15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552"/>
      <w:bookmarkEnd w:id="1553"/>
      <w:bookmarkEnd w:id="1555"/>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236,438,632.96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535,868,941.01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745,248,186.23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725,089,412.66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53,051,706.31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3,116,833.90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11,789,693.61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9,541,805.73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538,985,774.91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757,037,879.84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734,631,218.39</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89"/>
        <w:gridCol w:w="2640"/>
        <w:gridCol w:w="2578"/>
        <w:gridCol w:w="217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757,037,879.84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9,582,047.49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35,437,259.46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房产出租，与主营业务无关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1,935,953.86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35,136,792.34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咨询服务业务，与主营业务 无关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6,705,854.12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代理服务业务，与主营业务 无关</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利息收入，与主营业务无关</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9,582,047.49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35,437,259.46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279,908,291.78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721,600,620.38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556"/>
      <w:bookmarkEnd w:id="1557"/>
      <w:bookmarkEnd w:id="155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277,251.45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165,296.77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118,706.19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70,841.47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1,053,221.54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766,141.27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947,996.82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738,455.63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557,177.84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34,743.88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39,843.88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330,663.60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690,382.37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79,137.48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47,227.66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19,784.39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3,418,105.43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2,530,573.74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560"/>
      <w:bookmarkEnd w:id="1561"/>
      <w:bookmarkEnd w:id="156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590,155.98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843,264.15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12,009.44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33,399.60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259,265.60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1,161,765.74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902,592.96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1,028,079.80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运输及装卸费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413,081.04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686,671.07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250,639.08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70,108.37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18,311.58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商检港杂费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5,561,622.22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2,328,111.32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143,606.90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72,600.32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8,379,640.25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6,242,311.95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564"/>
      <w:bookmarkEnd w:id="1565"/>
      <w:bookmarkEnd w:id="156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34,031,832.03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36,469,129.35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3,086,533.70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4,058,321.75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3,502,243.05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6,582,593.48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15,743,983.42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24,872,751.26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1,187,266.81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2,758,078.13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车辆运营费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721,522.13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1,323,993.19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9,106,796.59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11,172,267.76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9,195,541.17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11,999,341.88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21,173.50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73,546.90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3,563,591.00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2,425,758.86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80,160,483.40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101,735,782.56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568"/>
      <w:bookmarkEnd w:id="1569"/>
      <w:bookmarkEnd w:id="157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3,273,490.41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3,394,798.38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285,102.54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266,262.16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22,015.93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54,737.72</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委托外部研究开发费用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1,037,735.82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5,044,444.46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4,618,344.70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8,760,242.72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572"/>
      <w:bookmarkEnd w:id="1573"/>
      <w:bookmarkEnd w:id="157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128,314,595.70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106,333,346.28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2,879,674.68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4,076,117.29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18,793,805.89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-17,094,298.16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812,793.51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294,757.74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145,041,520.42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85,457,688.57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576"/>
      <w:bookmarkEnd w:id="1577"/>
      <w:bookmarkEnd w:id="157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25,004.04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促进商贸企业高质量发展资金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高企奖励金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促进外贸补助款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创新创业引导专项补助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新加坡政府疫情期间补贴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技术创新项目奖励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2,330,894.55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133,004.04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580"/>
      <w:bookmarkEnd w:id="1581"/>
      <w:bookmarkEnd w:id="158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192,326.45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931,341.92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2,364,713.63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357,987.81</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584"/>
      <w:bookmarkEnd w:id="1585"/>
      <w:bookmarkEnd w:id="158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-2,181,886.75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-5,148,431.25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-11,624,999.96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-3,410,000.03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16,990,766.63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-95,432,529.76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-3,625,000.00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7,108,879.92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-107,615,961.04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588"/>
      <w:bookmarkEnd w:id="1589"/>
      <w:bookmarkEnd w:id="159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-3,047,767.28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-75,688,687.22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-9,716,468.96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-1,497,979.42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-5,189,111.34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-8,550,219.85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21,122,482.48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-6,879,064.37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-75,688,687.22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592"/>
      <w:bookmarkEnd w:id="1593"/>
      <w:bookmarkEnd w:id="159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非流动资产处置利得或损失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其中：固定资产处置利得或损失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-76,409.22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-76,409.22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96"/>
      <w:bookmarkEnd w:id="1597"/>
      <w:bookmarkEnd w:id="159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10,369,946.73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10,369,949.59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递延收益摊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1,240,046.73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个税扶持款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青岛市城阳 区人民政府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对外投资合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作专项资金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青岛市商务 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00"/>
      <w:bookmarkEnd w:id="1601"/>
      <w:bookmarkEnd w:id="160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2,058,517.78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1,288,486.29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2,058,517.78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股民赔偿款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11,810,901.82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5,485,478.17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11,810,901.82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1,488,382.05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2,592,228.56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1,488,382.05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15,358,344.15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9,366,193.02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15,358,344.15</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04"/>
      <w:bookmarkEnd w:id="1605"/>
      <w:bookmarkEnd w:id="1607"/>
    </w:p>
    <w:p>
      <w:pPr>
        <w:pStyle w:val="Style37"/>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04"/>
      <w:bookmarkEnd w:id="1605"/>
      <w:bookmarkEnd w:id="160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-21,002,955.35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7,886,161.39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-84,079,917.32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-100,234,742.53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-105,082,872.67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-92,348,581.14</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14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09"/>
      <w:bookmarkEnd w:id="1610"/>
      <w:bookmarkEnd w:id="1611"/>
    </w:p>
    <w:p>
      <w:pPr>
        <w:pStyle w:val="Style34"/>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-501,201,490.64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-125,373,471.20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8,787,159.89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146,321.05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-441,148.29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4,797,507.42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-2,905,702.54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10,653,584.36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研究开发费加计扣除的纳税影响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-747,123.36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-105,082,872.67</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12"/>
      <w:bookmarkEnd w:id="1613"/>
      <w:bookmarkEnd w:id="161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16"/>
      <w:bookmarkEnd w:id="1617"/>
      <w:bookmarkEnd w:id="1619"/>
    </w:p>
    <w:p>
      <w:pPr>
        <w:pStyle w:val="Style37"/>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16"/>
      <w:bookmarkEnd w:id="1617"/>
      <w:bookmarkEnd w:id="162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2,332,645.63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9,237,900.00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2,879,674.68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4,512,149.96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89,875,776.63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47,055,194.91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95,088,096.94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60,805,244.87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1"/>
      <w:bookmarkEnd w:id="1622"/>
      <w:bookmarkEnd w:id="162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销售费用中的其他现金支出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4,391,454.74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13,082,143.27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管理费用中的其他现金支出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38,214,356.36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74,773,317.35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77,379,467.68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102,997,309.65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119,985,278.78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190,852,770.27</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24"/>
      <w:bookmarkEnd w:id="1625"/>
      <w:bookmarkEnd w:id="162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收回理财本金及利息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25,492,326.45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25,492,326.45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28"/>
      <w:bookmarkEnd w:id="1629"/>
      <w:bookmarkEnd w:id="163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支付理财投资款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54,460,000.00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15,607.00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w:t>
      </w:r>
      <w:bookmarkEnd w:id="163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32"/>
      <w:bookmarkEnd w:id="1633"/>
      <w:bookmarkEnd w:id="163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66,399,704.75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391,899,704.75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36"/>
      <w:bookmarkEnd w:id="1637"/>
      <w:bookmarkEnd w:id="163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248,684,140.00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支付信托保障基金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248,684,140.00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40"/>
      <w:bookmarkEnd w:id="1641"/>
      <w:bookmarkEnd w:id="1643"/>
    </w:p>
    <w:p>
      <w:pPr>
        <w:pStyle w:val="Style37"/>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40"/>
      <w:bookmarkEnd w:id="1641"/>
      <w:bookmarkEnd w:id="164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-396,118,617.97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-271,857,666.01</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-229,815.55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183,304,648.26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19,072,225.48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21,728,798.35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1,940,690.57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1,192,869.91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1,253,655.09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2,941,111.60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3,549.97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130,075,767.83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109,088,230.66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-2,364,713.63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-81,791,773.32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-101,397,535.65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245,057,896.71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-111,918,725.45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544,978,742.90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-276,315,510.91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-372,641,968.65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-404,984,131.31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88,911,673.10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-848,572,348.39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110,555,211.85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444,315,927.42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444,315,927.42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174,633,706.30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-333,760,715.57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269,682,221.12</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14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45"/>
      <w:bookmarkEnd w:id="1646"/>
      <w:bookmarkEnd w:id="164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110,555,211.85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444,315,927.42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306,405.05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110,313,271.82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444,009,522.37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110,555,211.85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444,315,927.42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648"/>
      <w:bookmarkEnd w:id="1649"/>
      <w:bookmarkEnd w:id="165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27,197,433.13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票据保证金、冻结资金。</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27,197,433.13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652"/>
      <w:bookmarkEnd w:id="1653"/>
      <w:bookmarkEnd w:id="1655"/>
    </w:p>
    <w:p>
      <w:pPr>
        <w:pStyle w:val="Style37"/>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2"/>
      <w:bookmarkEnd w:id="1653"/>
      <w:bookmarkEnd w:id="165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3,362,446.24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21,920,889.48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27,507.07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23,149.95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34,231.34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168,808.43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23,811,045,222.44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11,000,702.89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兰特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33,446.99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1,103,966.38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149,918.63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828,607,110,828.90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382,816,485.20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32,086.00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209,357.94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98,628.00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20,310,104,521.65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9,383,268.29</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菲律宾比索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2,802,391.36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380,564.75</w:t>
            </w:r>
          </w:p>
        </w:tc>
      </w:tr>
    </w:tbl>
    <w:p>
      <w:pPr>
        <w:widowControl w:val="0"/>
        <w:spacing w:line="1" w:lineRule="exact"/>
      </w:pPr>
      <w:r>
        <w:br w:type="page"/>
      </w:r>
    </w:p>
    <w:tbl>
      <w:tblPr>
        <w:tblOverlap w:val="never"/>
        <w:jc w:val="left"/>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8,792.85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326,295,422,695.82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150,748,485.29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251,948.07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1,642,857.12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444,536.03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兰特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21,852.63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津巴布韦元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1,584.57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w:t>
            </w:r>
          </w:p>
        </w:tc>
      </w:tr>
    </w:tbl>
    <w:p>
      <w:pPr>
        <w:widowControl w:val="0"/>
        <w:spacing w:after="239" w:line="1" w:lineRule="exact"/>
      </w:pPr>
    </w:p>
    <w:p>
      <w:pPr>
        <w:pStyle w:val="Style37"/>
        <w:keepNext/>
        <w:keepLines/>
        <w:widowControl w:val="0"/>
        <w:shd w:val="clear" w:color="auto" w:fill="auto"/>
        <w:bidi w:val="0"/>
        <w:spacing w:before="0" w:after="380" w:line="322" w:lineRule="exact"/>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7"/>
      <w:bookmarkEnd w:id="1658"/>
      <w:bookmarkEnd w:id="1659"/>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46"/>
        <w:gridCol w:w="5467"/>
        <w:gridCol w:w="1541"/>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（青岛中资中程印尼中加 煤矿有限公司）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A. Yani KM 5.7, Komplek Banjar Indah Permai No.54 RT.064, Kel. Pemurus Dalam, Banjarmasin 70248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印尼盾</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（青岛中资中程 印尼兄弟矿业有限公司）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 TI LT.20,JL.Letjen S.Parman Kav.28,Tanjung Duren Selatan Grogol Petamburan Jakarta Barat DKI Jakarta</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印尼盾</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Kutal Nyala Resources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青岛中资中程印 尼东加码头有限公司）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HAM Rifadin, Grand Taman Sari Blok C2 No.1&amp;2, Harapan Baru, Samarinda Seberang, Kalimantan Timur</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印尼盾</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Transon Bumindo Resources </w:t>
            </w:r>
            <w:r>
              <w:rPr>
                <w:color w:val="000000"/>
                <w:spacing w:val="0"/>
                <w:w w:val="100"/>
                <w:position w:val="0"/>
              </w:rPr>
              <w:t>（青岛中资 中程印尼资源有限公司）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 TI LT.20,JL.Letjen S.Parman Kav.28,Tanjung Duren Selatan Grogol Petamburan Jakarta Barat DKI Jakarta</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印尼盾</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Shiny Kindness International Limited </w:t>
            </w:r>
            <w:r>
              <w:rPr>
                <w:color w:val="000000"/>
                <w:spacing w:val="0"/>
                <w:w w:val="100"/>
                <w:position w:val="0"/>
              </w:rPr>
              <w:t>（青岛 中资中程香港泽善国际有限公司）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FLAT/RM 1411 14/F HARCOURT HOUSE 39 GLOUCESTER ROAD</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 CHAI</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港币</w:t>
            </w:r>
          </w:p>
        </w:tc>
      </w:tr>
      <w:tr>
        <w:trPr>
          <w:trHeight w:val="9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International Holdings</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w:t>
            </w:r>
            <w:r>
              <w:rPr>
                <w:color w:val="000000"/>
                <w:spacing w:val="0"/>
                <w:w w:val="100"/>
                <w:position w:val="0"/>
              </w:rPr>
              <w:t>青岛中资中程新加坡国际控股有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新币</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PT.Bumi </w:t>
            </w:r>
            <w:r>
              <w:rPr>
                <w:rFonts w:ascii="Tahoma" w:eastAsia="Tahoma" w:hAnsi="Tahoma" w:cs="Tahoma"/>
                <w:color w:val="000000"/>
                <w:spacing w:val="0"/>
                <w:w w:val="100"/>
                <w:position w:val="0"/>
                <w:sz w:val="18"/>
                <w:szCs w:val="18"/>
              </w:rPr>
              <w:t>M</w:t>
            </w:r>
            <w:r>
              <w:rPr>
                <w:rFonts w:ascii="Times New Roman" w:eastAsia="Times New Roman" w:hAnsi="Times New Roman" w:cs="Times New Roman"/>
                <w:color w:val="000000"/>
                <w:spacing w:val="0"/>
                <w:w w:val="100"/>
                <w:position w:val="0"/>
                <w:sz w:val="18"/>
                <w:szCs w:val="18"/>
              </w:rPr>
              <w:t xml:space="preserve">orowali </w:t>
            </w:r>
            <w:r>
              <w:rPr>
                <w:rFonts w:ascii="Tahoma" w:eastAsia="Tahoma" w:hAnsi="Tahoma" w:cs="Tahoma"/>
                <w:color w:val="000000"/>
                <w:spacing w:val="0"/>
                <w:w w:val="100"/>
                <w:position w:val="0"/>
                <w:sz w:val="18"/>
                <w:szCs w:val="18"/>
              </w:rPr>
              <w:t>U</w:t>
            </w:r>
            <w:r>
              <w:rPr>
                <w:rFonts w:ascii="Times New Roman" w:eastAsia="Times New Roman" w:hAnsi="Times New Roman" w:cs="Times New Roman"/>
                <w:color w:val="000000"/>
                <w:spacing w:val="0"/>
                <w:w w:val="100"/>
                <w:position w:val="0"/>
                <w:sz w:val="18"/>
                <w:szCs w:val="18"/>
              </w:rPr>
              <w:t>tama</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青岛中资中程 印尼中苏镍矿有限公司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APL Tower Unit. TI LT.20,JL.Letjen S.Parman Kav.28,Tanjung Duren Selatan Grogol Petamburan Jakarta Barat DKI Jakarta</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印尼盾</w:t>
            </w:r>
          </w:p>
        </w:tc>
      </w:tr>
      <w:tr>
        <w:trPr>
          <w:trHeight w:val="9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Tian Cheng EPC Pte.</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w:t>
            </w:r>
            <w:r>
              <w:rPr>
                <w:color w:val="000000"/>
                <w:spacing w:val="0"/>
                <w:w w:val="100"/>
                <w:position w:val="0"/>
              </w:rPr>
              <w:t>青岛中资中程新加坡天成工程总承包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新币</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sz w:val="24"/>
          <w:szCs w:val="24"/>
        </w:rPr>
        <w:t>八</w:t>
      </w:r>
      <w:bookmarkEnd w:id="1662"/>
      <w:r>
        <w:rPr>
          <w:color w:val="000000"/>
          <w:spacing w:val="0"/>
          <w:w w:val="100"/>
          <w:position w:val="0"/>
          <w:sz w:val="24"/>
          <w:szCs w:val="24"/>
        </w:rPr>
        <w:t>、合并范围的变更</w:t>
      </w:r>
      <w:bookmarkEnd w:id="1660"/>
      <w:bookmarkEnd w:id="1661"/>
      <w:bookmarkEnd w:id="1663"/>
    </w:p>
    <w:p>
      <w:pPr>
        <w:pStyle w:val="Style37"/>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64"/>
      <w:bookmarkEnd w:id="1665"/>
      <w:bookmarkEnd w:id="166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left"/>
        <w:tblLayout w:type="fixed"/>
      </w:tblPr>
      <w:tblGrid>
        <w:gridCol w:w="1781"/>
        <w:gridCol w:w="4618"/>
        <w:gridCol w:w="1541"/>
        <w:gridCol w:w="864"/>
        <w:gridCol w:w="87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备注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西安恒顺电气科技有限公司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清算关停</w:t>
            </w:r>
          </w:p>
        </w:tc>
      </w:tr>
    </w:tbl>
    <w:p>
      <w:pPr>
        <w:widowControl w:val="0"/>
        <w:spacing w:after="619" w:line="1" w:lineRule="exact"/>
      </w:pPr>
    </w:p>
    <w:p>
      <w:pPr>
        <w:pStyle w:val="Style30"/>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sz w:val="24"/>
          <w:szCs w:val="24"/>
        </w:rPr>
        <w:t>九</w:t>
      </w:r>
      <w:bookmarkEnd w:id="1669"/>
      <w:r>
        <w:rPr>
          <w:color w:val="000000"/>
          <w:spacing w:val="0"/>
          <w:w w:val="100"/>
          <w:position w:val="0"/>
          <w:sz w:val="24"/>
          <w:szCs w:val="24"/>
        </w:rPr>
        <w:t>、在其他主体中的权益</w:t>
      </w:r>
      <w:bookmarkEnd w:id="1667"/>
      <w:bookmarkEnd w:id="1668"/>
      <w:bookmarkEnd w:id="1670"/>
    </w:p>
    <w:p>
      <w:pPr>
        <w:pStyle w:val="Style37"/>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71"/>
      <w:bookmarkEnd w:id="1672"/>
      <w:bookmarkEnd w:id="1673"/>
    </w:p>
    <w:p>
      <w:pPr>
        <w:pStyle w:val="Style37"/>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4" w:name="bookmark167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71"/>
      <w:bookmarkEnd w:id="1672"/>
      <w:bookmarkEnd w:id="1674"/>
    </w:p>
    <w:tbl>
      <w:tblPr>
        <w:tblOverlap w:val="never"/>
        <w:jc w:val="left"/>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青岛恒顺节能科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青岛恒川网络科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International Holdings Pte.Ltd.</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新加坡国际控股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255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 中资中程印尼资 源有限公司）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Laronai,Kec. Bun gku</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Pesisir,Kab.Moro wali,Provinsi Sulawesi Tengah</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 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生产建设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bl>
    <w:p>
      <w:pPr>
        <w:widowControl w:val="0"/>
        <w:spacing w:line="1" w:lineRule="exact"/>
      </w:pPr>
      <w:r>
        <w:br w:type="page"/>
      </w:r>
    </w:p>
    <w:tbl>
      <w:tblPr>
        <w:tblOverlap w:val="never"/>
        <w:jc w:val="left"/>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Coal Holding Pte.Ltd .</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新加坡煤炭控股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青岛中资中 程新加坡天成工 程总承包有限公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Power Holding Pte.Ltd.</w:t>
            </w:r>
            <w:r>
              <w:rPr>
                <w:color w:val="000000"/>
                <w:spacing w:val="0"/>
                <w:w w:val="100"/>
                <w:position w:val="0"/>
              </w:rPr>
              <w:t>（青岛中 资中程新加坡能 源控股有限公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An</w:t>
            </w:r>
          </w:p>
          <w:p>
            <w:pPr>
              <w:pStyle w:val="Style27"/>
              <w:keepNext w:val="0"/>
              <w:keepLines w:val="0"/>
              <w:widowControl w:val="0"/>
              <w:shd w:val="clear" w:color="auto" w:fill="auto"/>
              <w:bidi w:val="0"/>
              <w:spacing w:before="0" w:after="0" w:line="32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 Coal Mines Pte.Ltd.</w:t>
            </w:r>
            <w:r>
              <w:rPr>
                <w:color w:val="000000"/>
                <w:spacing w:val="0"/>
                <w:w w:val="100"/>
                <w:position w:val="0"/>
                <w:sz w:val="17"/>
                <w:szCs w:val="17"/>
              </w:rPr>
              <w:t>（青岛中 资中程新加坡安 顺煤矿有限公 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煤矿开采、投资、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Shiny Kindness</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（青岛中 资中程香港泽善 国际有限公司）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FLAT/RM 1411</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14/F</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HARCOURT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HOUSE 39 GLOUCESTER ROAD WAN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FLAT/RM 1411</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14/F</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HARCOURT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HOUSE 39 GLOUCESTER ROAD WAN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贸易、投资并购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9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Energy Kapitalindo </w:t>
            </w:r>
            <w:r>
              <w:rPr>
                <w:color w:val="000000"/>
                <w:spacing w:val="0"/>
                <w:w w:val="100"/>
                <w:position w:val="0"/>
              </w:rPr>
              <w:t>（青岛 中资中程印尼安 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 Mining</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印尼兄弟矿业有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 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采矿及其他挖掘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28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Kutal Nyala Resources </w:t>
            </w:r>
            <w:r>
              <w:rPr>
                <w:color w:val="000000"/>
                <w:spacing w:val="0"/>
                <w:w w:val="100"/>
                <w:position w:val="0"/>
              </w:rPr>
              <w:t>（青岛 中资中程印尼东 加码头有限公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HAM Rifadin, Grand Taman Sari Blok C2 No.1&amp;2, Harapan Baru, Samarinda Seberang, Kalimantan Timur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Komplek Balikpapan Baru Blok U-2 No.23, Kel. Gunung Samarinda, Balikpapan Selatan, Kalimantan Timur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25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 中资中程印尼中 加煤矿有限公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 Daren Batuah,Kecamata n Daren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Batuah,Kabupate n Barito Timur,Provinsi Kalimantan Tengah</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A. Yani KM</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 Komplek Banjar Indah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Permai No.54</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RT.064, Kel. Pemurus Dalam,</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Madani</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Sejahtera（</w:t>
            </w:r>
            <w:r>
              <w:rPr>
                <w:color w:val="000000"/>
                <w:spacing w:val="0"/>
                <w:w w:val="100"/>
                <w:position w:val="0"/>
              </w:rPr>
              <w:t>青岛中 资中程印尼苏岛 镍矿有限公司）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Kec.</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Wiwirano ,Kab. K onawe Utara,Provinsi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Sulawesi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Tenggara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矿的开采及其他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 Daya</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Indomining </w:t>
            </w: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54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中资中程印尼矿 业服务有限公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 Kav.28,Tanjung 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 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 Kav.28,Tanjung 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 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Coal Energy Pte.Ltd.</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新加坡煤炭能源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 Coal Resource Pte.Ltd.</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新加坡煤炭资源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3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Mining Development </w:t>
            </w:r>
            <w:r>
              <w:rPr>
                <w:color w:val="000000"/>
                <w:spacing w:val="0"/>
                <w:w w:val="100"/>
                <w:position w:val="0"/>
              </w:rPr>
              <w:t>（青 岛中资中程印尼 安宁有限公司）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 Duren Selatan Grogol Petamburan Jakarta Barat DKI 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Resources</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印尼环宇资源有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 Duren Selatan Grogol Petamburan Jakarta Barat DKI 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矿山服务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青岛中资中程实 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工程承包、施工，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建筑安装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青岛中资中程进 出口有限公司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货物、技术、代</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青岛中资中程矿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矿产资源开发、 加工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青岛恒顺众昇电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气制造有限公司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电力设备的研 发、生产制造、 安装、调试、销 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北京科程物联网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北京市石景山区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北京市石景山区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 转让、技术咨询、 技术服务、计算 机系统服务、数 据处理等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25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Hengshun Zhongsheng Group South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Africa(PTY) Ltd</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 集团南非有限公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st Floor</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Greystone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Building 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Fourways Golf</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Park Roos Street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Fourways</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Johannesburg</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st Floor</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Greystone</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Building 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Fourways Golf</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Park Roos Street</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Fourways</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Johannesburg</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电站建设、一级 工业园、矿业等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Zhongcheng Zimbabwe(Privat e) Limited </w:t>
            </w:r>
            <w:r>
              <w:rPr>
                <w:color w:val="000000"/>
                <w:spacing w:val="0"/>
                <w:w w:val="100"/>
                <w:position w:val="0"/>
              </w:rPr>
              <w:t>(青岛 中资中程集团津 巴布韦有限公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Drive,Chisipite,H</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arare</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 Harare</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Drive,Chisipite,H</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arare</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工业园开发、电 站建设运营等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Protea Holdings Pte.Ltd.</w:t>
            </w:r>
            <w:r>
              <w:rPr>
                <w:color w:val="000000"/>
                <w:spacing w:val="0"/>
                <w:w w:val="100"/>
                <w:position w:val="0"/>
              </w:rPr>
              <w:t>（青岛中 资中程新加坡普 帝控股有限公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7"/>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青岛中资 中程印尼中苏镍 矿有限公司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Laronai,Kec. Bun gku</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Pesisir,Kab.Moro wali,Provinsi Sulawesi Tengah</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Grogol</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Holywin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（青岛中 资中程新加坡圣 赢投资有限公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新疆清源生物质 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新疆阿拉尔市大 学生创业园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新疆阿拉尔市大 学生创业园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生物质发电及相 关项目的开发、 建设等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3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Ocean Industry</w:t>
            </w:r>
          </w:p>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Park </w:t>
            </w:r>
            <w:r>
              <w:rPr>
                <w:color w:val="000000"/>
                <w:spacing w:val="0"/>
                <w:w w:val="100"/>
                <w:position w:val="0"/>
              </w:rPr>
              <w:t>（青岛中资 中程印尼海源有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 Duren Selatan Grogol Petamburan Jakarta Barat DKI 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Philippines Qian</w:t>
            </w:r>
          </w:p>
          <w:p>
            <w:pPr>
              <w:pStyle w:val="Style27"/>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 Services</w:t>
            </w:r>
          </w:p>
          <w:p>
            <w:pPr>
              <w:pStyle w:val="Style27"/>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Incorporated</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菲 律宾乾嘉服务公 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10/F Fort Legend</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Tower, 3rd Avenue Cor. 31st, Bonifacio Global City, Taguig City, 1634, Philippines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10/F Fort Legend</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Tower, 3rd Avenue Cor. 31st, Bonifacio Global City, Taguig City, 1634, Philippines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总承包施工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Holdings Hong Kong Limited </w:t>
            </w:r>
            <w:r>
              <w:rPr>
                <w:color w:val="000000"/>
                <w:spacing w:val="0"/>
                <w:w w:val="100"/>
                <w:position w:val="0"/>
              </w:rPr>
              <w:t>（恒 顺（香港）国际 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15/F Chuang'S</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Tower 30-32</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Connaught Roda</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Central Central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15/F Chuang'S</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Tower 30-32</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Connaught Roda</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Central Central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Africa</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Cigarette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（Private）</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中非香</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烟有限公司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 Drive , Chisipite , Harare, Zimbabwe</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 Drive , Chisipite , Harare, Zimbabwe</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烟草采购、加工、 电站建设与运营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青岛恒顺众昇电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力工程技术研究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电力工程技术的 学术研究与交流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Trading PTE.</w:t>
            </w:r>
          </w:p>
          <w:p>
            <w:pPr>
              <w:pStyle w:val="Style2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w:t>
            </w:r>
            <w:r>
              <w:rPr>
                <w:color w:val="000000"/>
                <w:spacing w:val="0"/>
                <w:w w:val="100"/>
                <w:position w:val="0"/>
              </w:rPr>
              <w:t>青岛中资 中程新加坡贸易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EAN KIAM</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EAN KIAM</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青岛中资中程国 际贸易有限责任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3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PT.Integra Prima Coal</w:t>
            </w:r>
            <w:r>
              <w:rPr>
                <w:color w:val="000000"/>
                <w:spacing w:val="0"/>
                <w:w w:val="100"/>
                <w:position w:val="0"/>
              </w:rPr>
              <w:t>（青岛中资 中程印尼东加煤 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 Jembayan,Bakun gan&amp;Lao Duri,Kec.Loa Kulu&amp;Loa Janan,Kab Kutai Kartanegara,Prop insiKalimantan Timur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 LT.20,JL.Letjen S.Parman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煤矿开采及其他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交建城投控股</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建筑工程、市政 园林工程、金融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青岛中资中程智 能制造有限公司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电力设备的研 发、生产制造、 安装、调试、销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PT.Aset Sulawesi Mineralindo </w:t>
            </w:r>
            <w:r>
              <w:rPr>
                <w:color w:val="000000"/>
                <w:spacing w:val="0"/>
                <w:w w:val="100"/>
                <w:position w:val="0"/>
              </w:rPr>
              <w:t>（青 岛中资中程印尼 苏拉威西石灰石 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BARAT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BARAT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石灰石开采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青岛中资中程科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交建城投（山东） 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土地整理；房地</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产开发建设、经</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泰安中乾矿业有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泰安市东平县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泰安市东平县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非金属矿采选业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青岛中资中程高</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新技术产业发展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青岛市市南区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青岛市市南区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其他说明：</w:t>
      </w:r>
    </w:p>
    <w:p>
      <w:pPr>
        <w:pStyle w:val="Style34"/>
        <w:keepNext w:val="0"/>
        <w:keepLines w:val="0"/>
        <w:widowControl w:val="0"/>
        <w:numPr>
          <w:ilvl w:val="0"/>
          <w:numId w:val="95"/>
        </w:numPr>
        <w:shd w:val="clear" w:color="auto" w:fill="auto"/>
        <w:tabs>
          <w:tab w:pos="373" w:val="left"/>
        </w:tabs>
        <w:bidi w:val="0"/>
        <w:spacing w:before="0" w:after="0" w:line="307" w:lineRule="exact"/>
        <w:ind w:left="0" w:right="0" w:firstLine="0"/>
        <w:jc w:val="both"/>
      </w:pPr>
      <w:bookmarkStart w:id="1675" w:name="bookmark1675"/>
      <w:bookmarkEnd w:id="1675"/>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日，完成对子公司交建城投控股（山东）有限公司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少数股东收购，持股比例由</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增至</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w:t>
      </w:r>
    </w:p>
    <w:p>
      <w:pPr>
        <w:pStyle w:val="Style34"/>
        <w:keepNext w:val="0"/>
        <w:keepLines w:val="0"/>
        <w:widowControl w:val="0"/>
        <w:numPr>
          <w:ilvl w:val="0"/>
          <w:numId w:val="95"/>
        </w:numPr>
        <w:shd w:val="clear" w:color="auto" w:fill="auto"/>
        <w:tabs>
          <w:tab w:pos="373" w:val="left"/>
        </w:tabs>
        <w:bidi w:val="0"/>
        <w:spacing w:before="0" w:after="40" w:line="307" w:lineRule="exact"/>
        <w:ind w:left="0" w:right="0" w:firstLine="0"/>
        <w:jc w:val="both"/>
      </w:pPr>
      <w:bookmarkStart w:id="1676" w:name="bookmark1676"/>
      <w:bookmarkEnd w:id="1676"/>
      <w:r>
        <w:rPr>
          <w:color w:val="000000"/>
          <w:spacing w:val="0"/>
          <w:w w:val="100"/>
          <w:position w:val="0"/>
        </w:rPr>
        <w:t>公司对交建城投控股（山东）有限公司直接持股</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，交建城投控股（山东）有限公司对交建城投（山东）置业有限公司 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，公司最终间接对交建城投（山东）置业有限公司持股</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w:t>
      </w:r>
    </w:p>
    <w:p>
      <w:pPr>
        <w:pStyle w:val="Style34"/>
        <w:keepNext w:val="0"/>
        <w:keepLines w:val="0"/>
        <w:widowControl w:val="0"/>
        <w:numPr>
          <w:ilvl w:val="0"/>
          <w:numId w:val="95"/>
        </w:numPr>
        <w:shd w:val="clear" w:color="auto" w:fill="auto"/>
        <w:tabs>
          <w:tab w:pos="373" w:val="left"/>
        </w:tabs>
        <w:bidi w:val="0"/>
        <w:spacing w:before="0" w:after="380" w:line="307" w:lineRule="exact"/>
        <w:ind w:left="0" w:right="0" w:firstLine="0"/>
        <w:jc w:val="both"/>
      </w:pPr>
      <w:bookmarkStart w:id="1677" w:name="bookmark1677"/>
      <w:bookmarkEnd w:id="1677"/>
      <w:r>
        <w:rPr>
          <w:color w:val="000000"/>
          <w:spacing w:val="0"/>
          <w:w w:val="100"/>
          <w:position w:val="0"/>
        </w:rPr>
        <w:t>公司对交建城投控股（山东）有限公司直接持股</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 xml:space="preserve">，交建城投控股（山东）有限公司对泰安中乾矿业有限公司直接持股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，公司最终间接对泰安中乾矿业有限公司持股</w:t>
      </w:r>
      <w:r>
        <w:rPr>
          <w:rFonts w:ascii="Times New Roman" w:eastAsia="Times New Roman" w:hAnsi="Times New Roman" w:cs="Times New Roman"/>
          <w:color w:val="000000"/>
          <w:spacing w:val="0"/>
          <w:w w:val="100"/>
          <w:position w:val="0"/>
          <w:sz w:val="18"/>
          <w:szCs w:val="18"/>
        </w:rPr>
        <w:t>23.46%</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both"/>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78"/>
      <w:bookmarkEnd w:id="1679"/>
      <w:bookmarkEnd w:id="16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本期归属于少数股东的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（青岛 中资中程印尼中加煤矿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-454,837.17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3,371,057.57</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 Morowali</w:t>
            </w:r>
          </w:p>
          <w:p>
            <w:pPr>
              <w:pStyle w:val="Style27"/>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青岛中资中程印 尼中苏镍矿有限公司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5,738,046.74</w:t>
            </w:r>
          </w:p>
        </w:tc>
      </w:tr>
      <w:tr>
        <w:trPr>
          <w:trHeight w:val="134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 Nyala</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（青岛中资中 程印尼东加码头有限公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-143,213.99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w:t>
      </w:r>
      <w:bookmarkEnd w:id="168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81"/>
      <w:bookmarkEnd w:id="1682"/>
      <w:bookmarkEnd w:id="168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 s </w:t>
            </w:r>
            <w:r>
              <w:rPr>
                <w:color w:val="000000"/>
                <w:spacing w:val="0"/>
                <w:w w:val="100"/>
                <w:position w:val="0"/>
              </w:rPr>
              <w:t>（青岛 中资中 程印尼 中加煤 矿有限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12,011,2</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3,421,76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15,433,0</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16,971,8</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w:t>
            </w:r>
          </w:p>
        </w:tc>
      </w:tr>
      <w:tr>
        <w:trPr>
          <w:trHeight w:val="9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28,156,0</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40,230,8</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13,894,6</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13,894,6</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30,516,4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11,684,2</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254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w:t>
            </w:r>
          </w:p>
          <w:p>
            <w:pPr>
              <w:pStyle w:val="Style27"/>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Utama（ </w:t>
            </w:r>
            <w:r>
              <w:rPr>
                <w:color w:val="000000"/>
                <w:spacing w:val="0"/>
                <w:w w:val="100"/>
                <w:position w:val="0"/>
                <w:sz w:val="17"/>
                <w:szCs w:val="17"/>
              </w:rPr>
              <w:t>青岛中 资中程 印尼中 苏镍矿 有限公 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Kutal</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Nyala Resource s </w:t>
            </w:r>
            <w:r>
              <w:rPr>
                <w:color w:val="000000"/>
                <w:spacing w:val="0"/>
                <w:w w:val="100"/>
                <w:position w:val="0"/>
              </w:rPr>
              <w:t>（青岛 中资中 程印尼 东加码 头有限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44,774.1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12,125,5</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 Resources</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 中程印尼中 加煤矿有限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-2,274,185.84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-3,696,418.75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-5,536,193.05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-4,533,457.61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-336.39</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 中资中程印 尼中苏镍矿 有限公司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-2,491,254.16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-4,845,283.41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-15,647,478.6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-13,864,004.9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-1,623.65</w:t>
            </w:r>
          </w:p>
        </w:tc>
      </w:tr>
      <w:tr>
        <w:trPr>
          <w:trHeight w:val="228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Nyala Resources</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 中程印尼东 加码头有限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-146.65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46,297.88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383,088.50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310,515.00</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w:t>
      </w:r>
      <w:bookmarkEnd w:id="168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685"/>
      <w:bookmarkEnd w:id="1686"/>
      <w:bookmarkEnd w:id="168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26,877,756.19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1,179,096.93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89" w:name="bookmark1689"/>
      <w:bookmarkStart w:id="1690" w:name="bookmark1690"/>
      <w:bookmarkStart w:id="1691" w:name="bookmark1691"/>
      <w:r>
        <w:rPr>
          <w:color w:val="000000"/>
          <w:spacing w:val="0"/>
          <w:w w:val="100"/>
          <w:position w:val="0"/>
          <w:sz w:val="24"/>
          <w:szCs w:val="24"/>
        </w:rPr>
        <w:t>十、与金融工具相关的风险</w:t>
      </w:r>
      <w:bookmarkEnd w:id="1689"/>
      <w:bookmarkEnd w:id="1690"/>
      <w:bookmarkEnd w:id="1691"/>
    </w:p>
    <w:p>
      <w:pPr>
        <w:pStyle w:val="Style30"/>
        <w:keepNext/>
        <w:keepLines/>
        <w:widowControl w:val="0"/>
        <w:shd w:val="clear" w:color="auto" w:fill="auto"/>
        <w:bidi w:val="0"/>
        <w:spacing w:before="0" w:after="340" w:line="240" w:lineRule="auto"/>
        <w:ind w:left="0" w:right="0" w:firstLine="0"/>
        <w:jc w:val="left"/>
      </w:pPr>
      <w:bookmarkStart w:id="1689" w:name="bookmark1689"/>
      <w:bookmarkStart w:id="1690" w:name="bookmark1690"/>
      <w:bookmarkStart w:id="1692" w:name="bookmark1692"/>
      <w:r>
        <w:rPr>
          <w:color w:val="000000"/>
          <w:spacing w:val="0"/>
          <w:w w:val="100"/>
          <w:position w:val="0"/>
          <w:sz w:val="24"/>
          <w:szCs w:val="24"/>
        </w:rPr>
        <w:t>十一、公允价值的披露</w:t>
      </w:r>
      <w:bookmarkEnd w:id="1689"/>
      <w:bookmarkEnd w:id="1690"/>
      <w:bookmarkEnd w:id="1692"/>
    </w:p>
    <w:p>
      <w:pPr>
        <w:pStyle w:val="Style37"/>
        <w:keepNext/>
        <w:keepLines/>
        <w:widowControl w:val="0"/>
        <w:shd w:val="clear" w:color="auto" w:fill="auto"/>
        <w:bidi w:val="0"/>
        <w:spacing w:before="0" w:after="340" w:line="240" w:lineRule="auto"/>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93"/>
      <w:bookmarkEnd w:id="1694"/>
      <w:bookmarkEnd w:id="16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Courier New" w:eastAsia="Courier New" w:hAnsi="Courier New" w:cs="Courier New"/>
                <w:i/>
                <w:iCs/>
                <w:color w:val="000000"/>
                <w:spacing w:val="0"/>
                <w:w w:val="100"/>
                <w:position w:val="0"/>
                <w:sz w:val="22"/>
                <w:szCs w:val="22"/>
              </w:rPr>
              <w:t>35,170.000.00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Courier New" w:eastAsia="Courier New" w:hAnsi="Courier New" w:cs="Courier New"/>
                <w:i/>
                <w:iCs/>
                <w:color w:val="000000"/>
                <w:spacing w:val="0"/>
                <w:w w:val="100"/>
                <w:position w:val="0"/>
                <w:sz w:val="22"/>
                <w:szCs w:val="22"/>
              </w:rPr>
              <w:t>35,170,000.00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29,160,000.00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29,160,000.00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55,170,000.00</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696" w:name="bookmark1696"/>
      <w:bookmarkStart w:id="1697" w:name="bookmark1697"/>
      <w:bookmarkStart w:id="1698" w:name="bookmark1698"/>
      <w:r>
        <w:rPr>
          <w:color w:val="000000"/>
          <w:spacing w:val="0"/>
          <w:w w:val="100"/>
          <w:position w:val="0"/>
          <w:sz w:val="24"/>
          <w:szCs w:val="24"/>
        </w:rPr>
        <w:t>十二、关联方及关联交易</w:t>
      </w:r>
      <w:bookmarkEnd w:id="1696"/>
      <w:bookmarkEnd w:id="1697"/>
      <w:bookmarkEnd w:id="1698"/>
    </w:p>
    <w:p>
      <w:pPr>
        <w:pStyle w:val="Style37"/>
        <w:keepNext/>
        <w:keepLines/>
        <w:widowControl w:val="0"/>
        <w:shd w:val="clear" w:color="auto" w:fill="auto"/>
        <w:bidi w:val="0"/>
        <w:spacing w:before="0" w:after="32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99"/>
      <w:bookmarkEnd w:id="1700"/>
      <w:bookmarkEnd w:id="1701"/>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青岛城投金融控股 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青岛市崂山区海尔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号三层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550,000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本企业最终控制方是青岛市人民政府国有资产监督管理委员会。</w:t>
      </w:r>
    </w:p>
    <w:p>
      <w:pPr>
        <w:pStyle w:val="Style37"/>
        <w:keepNext/>
        <w:keepLines/>
        <w:widowControl w:val="0"/>
        <w:shd w:val="clear" w:color="auto" w:fill="auto"/>
        <w:tabs>
          <w:tab w:pos="378" w:val="left"/>
        </w:tabs>
        <w:bidi w:val="0"/>
        <w:spacing w:before="0" w:after="40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2</w:t>
      </w:r>
      <w:bookmarkEnd w:id="1704"/>
      <w:r>
        <w:rPr>
          <w:color w:val="000000"/>
          <w:spacing w:val="0"/>
          <w:w w:val="100"/>
          <w:position w:val="0"/>
        </w:rPr>
        <w:t>、</w:t>
        <w:tab/>
        <w:t>本企业的子公司情况</w:t>
      </w:r>
      <w:bookmarkEnd w:id="1702"/>
      <w:bookmarkEnd w:id="1703"/>
      <w:bookmarkEnd w:id="1705"/>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本企业子公司的情况详见附注十一、九。</w:t>
      </w:r>
    </w:p>
    <w:p>
      <w:pPr>
        <w:pStyle w:val="Style37"/>
        <w:keepNext/>
        <w:keepLines/>
        <w:widowControl w:val="0"/>
        <w:shd w:val="clear" w:color="auto" w:fill="auto"/>
        <w:tabs>
          <w:tab w:pos="378" w:val="left"/>
        </w:tabs>
        <w:bidi w:val="0"/>
        <w:spacing w:before="0" w:after="40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3</w:t>
      </w:r>
      <w:bookmarkEnd w:id="1708"/>
      <w:r>
        <w:rPr>
          <w:color w:val="000000"/>
          <w:spacing w:val="0"/>
          <w:w w:val="100"/>
          <w:position w:val="0"/>
        </w:rPr>
        <w:t>、</w:t>
        <w:tab/>
        <w:t>本企业合营和联营企业情况</w:t>
      </w:r>
      <w:bookmarkEnd w:id="1706"/>
      <w:bookmarkEnd w:id="1707"/>
      <w:bookmarkEnd w:id="1709"/>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本企业重要的合营或联营企业详见附注十一、九。</w:t>
      </w:r>
    </w:p>
    <w:p>
      <w:pPr>
        <w:pStyle w:val="Style37"/>
        <w:keepNext/>
        <w:keepLines/>
        <w:widowControl w:val="0"/>
        <w:shd w:val="clear" w:color="auto" w:fill="auto"/>
        <w:tabs>
          <w:tab w:pos="378" w:val="left"/>
        </w:tabs>
        <w:bidi w:val="0"/>
        <w:spacing w:before="0" w:after="32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color w:val="000000"/>
          <w:spacing w:val="0"/>
          <w:w w:val="100"/>
          <w:position w:val="0"/>
        </w:rPr>
        <w:t>、</w:t>
        <w:tab/>
        <w:t>其他关联方情况</w:t>
      </w:r>
      <w:bookmarkEnd w:id="1710"/>
      <w:bookmarkEnd w:id="1711"/>
      <w:bookmarkEnd w:id="171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间接控制上市公司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青岛城投资产管理有限公司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青岛汇泉财富金融信息服务有限公司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青岛弘福硕企业管理咨询有限公司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青岛泰实吉润企业管理咨询有限公司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青岛程远投资管理有限公司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威海澄海置业有限公司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青岛东华澳融资担保有限公司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青岛中泰聚元投资管理有限公司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青岛城乡建设小额贷款有限公司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青岛金之桥投资管理有限公司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青岛城投能源股权投资管理有限公司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青岛城投股权投资管理有限公司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中国金港（控股）集团有限公司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金港国际控股有限公司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金港投资管理有限公司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青岛城投置地发展有限公司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青岛绿洲湿地开发有限公司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青岛龙教置业有限公司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青岛城投海外发展有限公司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青岛城投国际贸易有限公司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青岛胜通海岸置业发展有限公司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青岛城投教育投资有限公司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青岛城投市南东天山幼儿园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山东省青岛第一国际学校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青岛城投实业有限公司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青岛城投工程建设发展（集团）有限责任公司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青岛市政资源综合开发有限公司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青岛城投鳌山湾置业有限公司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青岛城投路桥投资发展有限公司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青岛中宏置业有限公司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青岛中亿投资管理有限公司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青岛中山置业开发有限公司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青岛开投建设投资有限公司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青岛城投新城开发建设有限公司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青岛东奥开发建设集团公司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青岛红岛开发建设集团有限公司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青岛鸿鹰投资置业有限公司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青岛海丝稳健股权投资基金企业（有限合伙）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青岛城投循环股权投资管理有限责任公司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青岛城市建设投资中心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Hong Kong Brilliant Journey Management Limite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香港锦程赛 事管理有限公司）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香港国际（青岛）有限公司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青岛利润国际贸易有限公司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青岛华青财务服务有限公司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华青发展（控股）有限公司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华青光伏有限公司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华青国际（控股）有限公司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青岛控股国际有限公司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256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Prime Concept Development Ltd</w:t>
              <w:tab/>
            </w:r>
            <w:r>
              <w:rPr>
                <w:color w:val="000000"/>
                <w:spacing w:val="0"/>
                <w:w w:val="100"/>
                <w:position w:val="0"/>
              </w:rPr>
              <w:t>(意柏发展有限公司)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 Scope Ltd (BVI) Loan financing</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Holdings (Hong Kong) Ltd</w:t>
            </w:r>
            <w:r>
              <w:rPr>
                <w:color w:val="000000"/>
                <w:spacing w:val="0"/>
                <w:w w:val="100"/>
                <w:position w:val="0"/>
                <w:sz w:val="17"/>
                <w:szCs w:val="17"/>
              </w:rPr>
              <w:t xml:space="preserve">青岛控股国际有限公司 </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青岛启峰科技服务有限公司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Classic Charter 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京卓有限公司)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Leading Sound Limited </w:t>
            </w:r>
            <w:r>
              <w:rPr>
                <w:color w:val="000000"/>
                <w:spacing w:val="0"/>
                <w:w w:val="100"/>
                <w:position w:val="0"/>
                <w:sz w:val="17"/>
                <w:szCs w:val="17"/>
              </w:rPr>
              <w:t>令其生有限公司</w:t>
            </w:r>
            <w:r>
              <w:rPr>
                <w:rFonts w:ascii="Times New Roman" w:eastAsia="Times New Roman" w:hAnsi="Times New Roman" w:cs="Times New Roman"/>
                <w:color w:val="000000"/>
                <w:spacing w:val="0"/>
                <w:w w:val="100"/>
                <w:position w:val="0"/>
                <w:sz w:val="18"/>
                <w:szCs w:val="18"/>
              </w:rPr>
              <w:t>(BVI)</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Hanhe Education Comapny Ltd</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香港翰和教育有限 公司)</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山东启华教育科技有限公司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 Up Holdings Ltd (BVI) Properties</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Royal Asset Investments Ltd </w:t>
            </w:r>
            <w:r>
              <w:rPr>
                <w:color w:val="000000"/>
                <w:spacing w:val="0"/>
                <w:w w:val="100"/>
                <w:position w:val="0"/>
                <w:sz w:val="17"/>
                <w:szCs w:val="17"/>
              </w:rPr>
              <w:t>(皇置投资有限公司)</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Electronics Tomorrow Property Holdings Ltd (BVI)</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Issegon Company Ltd (HK)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Million Good Group Limited (BVI)</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利冠投资有限公司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Credible Peace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众天集团有限公司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Novel Light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Timely One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贝元有限公司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加翔有限公司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青岛金融集团有限公司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青岛证券有限公司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青岛加合翔投资咨询有限公司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青岛翔合加房地产咨询有限公司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青岛城投实业投资（集团）有限公司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青岛城投新能源投资有限公司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德昌县昌盛太阳能科技有限公司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巴彦淖尔市鑫盛太阳能科技有限公司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澄城县昌盛太阳能科技有限公司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华盛绿能（澄城）农业科技有限公司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乌兰察布鑫盛太阳能科技有限公司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阳泉昌盛日电太阳能科技有限公司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兰坪昌盛太阳能科技有限公司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仙桃汉盛太阳能科技有限公司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伊通昌盛太阳能科技有限公司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东丰丰盛太阳能科技有限公司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山东北海昌盛太阳能科技有限公司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莘县中盛光伏农业科技有限公司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华盛绿能（莘县）农业科技有限公司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麟游县昌盛太阳能科技有限公司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台安台盛光伏农业科技有限公司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鄂尔多斯市昌盛日电太阳能科技有限公司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滑县昌盛日电太阳能科技有限公司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上海步励新能源科技有限公司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青岛宏盛太阳能科技有限公司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乌海市鑫盛太阳能科技有限公司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莱西市城昱新能源有限公司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鄂尔多斯市昌盛日电农业科技有限公司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阜新昌盛日电农业科技有限公司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滑县昌盛日电农业科技有限公司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政和东辉发电有限公司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石家庄豪盛太阳能科技有限公司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华盛绿能石家庄农业科技有限公司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寿光市昌盛日电太阳能科技有限公司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德州豪盛太阳能科技有限公司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武穴市城盛新能源发展有限公司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石首城盛新能源发展有限公司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安平县青城新能源有限公司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遂平县青城新能源有限公司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巴彦县青彦新能源有限公司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杭锦旗青城新能源科技有限公司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鄂尔多斯市博天恒元新能源有限公司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双辽市青城新能源有限公司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通辽市安博青晟新能源科技有限公司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农安县青城新能源有限公司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木垒县嘉瑞光晟发电有限公司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新疆恒动风能有限公司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青岛城投环境资源有限公司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青岛城实健康产业投资管理有限公司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青岛城投春晖第一康复医院有限公司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青岛城投清洁能源有限公司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神池县谷欣新能源有限公司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青岛城盛太阳能小镇农业发展有限公司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清流昌盛日电太阳能科技有限公司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邵武城辉发电有限公司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青岛炽盛太阳能科技有限公司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浦城县昌盛日电太阳能科技有限公司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阿拉善盟大红新能源有限公司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太仆寺旗昌盛日电太阳能科技有限公司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突泉光晟新能源有限公司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乌兰察布市华盛绿能太阳能科技有限公司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石拐蒙盛太阳能科技有限公司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青岛城投文化产业有限公司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青岛城投文化产业发展有限公司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青岛城投文化教育发展基金中心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青岛城投文化股权投资管理有限公司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青岛城乡社区建设投资集团有限公司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青岛（平度）城乡社区建设投资有限公司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青岛城乡（南村）产业园发展有限公司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大泽山）产业发展有限公司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青岛（胶州）城乡社区建设投资有限公司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青岛纪家庄民宿发展有限公司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青岛（莱西）城乡社区建设投资有限公司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青岛姜山新能源汽车零部件产业基地建设有限公司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青岛城投姜山产业新城投资有限公司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青岛姜山产城房地产开发有限公司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青岛姜山产城投资置业有限公司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青岛姜山总部港建设投资有限公司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青岛城乡莱禧城镇化产业投资有限公司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青岛城乡莱鸿建设投资有限公司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青岛城乡莱锦建设投资有限公司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青岛城乡莱瑞建设投资有限公司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青岛城乡莱坤建设投资有限公司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青岛城乡莱昌建设投资有限公司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青岛（黄岛）城乡社区建设投资有限公司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青岛（城阳）城乡社区建设投资有限公司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青岛天宇辰现代农业有限公司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青岛城投明山秀水投资发展有限公司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青岛建设物资商贸有限公司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青岛城乡土地储备开发有限公司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青岛聚贤置地有限公司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青岛城投地产投资控股（集团）有限公司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青岛城融置业投资发展有限公司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青岛高新佳营置业投资有限公司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青岛城投（蓬莱）投资发展控股有限公司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蓬莱顺兴投资有限公司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蓬莱顺信投资有限公司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蓬莱合顺丰投资有限公司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蓬莱合发置业有限公司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蓬莱合创置业有限公司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青岛新港湾置业有限公司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文登启原置业发展有限公司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蓬莱滨海旅游投资有限公司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青岛德瑞润丰置业有限公司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青岛城投高新投资控股有限公司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青岛创客置地有限公司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青岛智力岛置地有限公司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青岛城世基金管理有限公司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青岛联吉置业有限公司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青岛世奥房地产开发有限责任公司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青岛双星股份有限公司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青岛城乡社区建设融资担保有限公司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青岛奥帆中心演艺有限公司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青岛燕岛宾馆有限公司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深圳青云万里资产管理有限公司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宁波梅山保税港区荟金投资管理有限公司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新余清源环保投资管理有限公司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青岛熹源控股有限公司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广西恒顺电器有限公司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南宁市恒川高新商务酒店</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广西恒鼎房地产开发有限公司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Qingdao Evercontaining Electric</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青岛邦汇博贸易有限公司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青岛隆达宏业贸易有限公司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青岛和亿盈贸易有限公司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青岛邦德集中供热设备有限公司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青岛鹰谷置业有限公司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澳柯玛股份有限公司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青岛鹰奥置业有限公司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中信资本（青岛）投资管理有限公司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浙江绿谷投资有限公司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青岛晟鑫诚咨询服务有限公司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青岛循环企业管理有限责任公司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青岛海丝泉宗投资管理有限公司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摩达法律科技（西安）有限公司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红纺文化有限公司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公司关联自然人任董事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青岛约蓝财务顾问有限公司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扬州远海滨江中程供应链有限公司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公司关联自然人任董事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青岛中程信颐智能科技有限公司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公司关联自然人任董事</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color w:val="000000"/>
          <w:spacing w:val="0"/>
          <w:w w:val="100"/>
          <w:position w:val="0"/>
        </w:rPr>
        <w:t>、关联交易情况</w:t>
      </w:r>
      <w:bookmarkEnd w:id="1714"/>
      <w:bookmarkEnd w:id="1715"/>
      <w:bookmarkEnd w:id="1717"/>
    </w:p>
    <w:p>
      <w:pPr>
        <w:pStyle w:val="Style37"/>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14"/>
      <w:bookmarkEnd w:id="1715"/>
      <w:bookmarkEnd w:id="171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青岛城投金融控股 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3,132,253.35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青岛城投国际贸易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325,958.34</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青岛城投工程建设 发展（集团）有限 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366,392.14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特种冶炼设备成套及 基建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-113,007,032.24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15,330,615.09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燃煤电厂设备成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套及基建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107,626,197.23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110,223,059.57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7,931,236.81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扬州远海滨江中程供应链有限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1,698,113.20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青岛城投置地发展有限公司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6,084,905.66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940,239.51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41,054,579.97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1,512,344.85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34"/>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7"/>
          <w:szCs w:val="17"/>
        </w:rPr>
        <w:t>本期确认关联方资金拆入产生的利息费用为</w:t>
      </w:r>
      <w:r>
        <w:rPr>
          <w:rFonts w:ascii="Times New Roman" w:eastAsia="Times New Roman" w:hAnsi="Times New Roman" w:cs="Times New Roman"/>
          <w:color w:val="000000"/>
          <w:spacing w:val="0"/>
          <w:w w:val="100"/>
          <w:position w:val="0"/>
          <w:sz w:val="20"/>
          <w:szCs w:val="20"/>
        </w:rPr>
        <w:t>56,414,800.00</w:t>
      </w:r>
      <w:r>
        <w:rPr>
          <w:color w:val="000000"/>
          <w:spacing w:val="0"/>
          <w:w w:val="100"/>
          <w:position w:val="0"/>
          <w:sz w:val="19"/>
          <w:szCs w:val="19"/>
        </w:rPr>
        <w:t>元。</w:t>
      </w:r>
      <w:r>
        <w:br w:type="page"/>
      </w:r>
    </w:p>
    <w:p>
      <w:pPr>
        <w:pStyle w:val="Style37"/>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19"/>
      <w:bookmarkEnd w:id="1720"/>
      <w:bookmarkEnd w:id="1721"/>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最后一期债务履行期</w:t>
            </w:r>
          </w:p>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限届满之日起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主合同项下债务履行 期限届满之日起三年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主合同项下债务履行 期限届满之日起两年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主合同项下债务履行 期限届满之日起两年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最后一期债务履行期 限届满之日起满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9"/>
                <w:szCs w:val="19"/>
              </w:rPr>
              <w:t>个 月止</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最后一期债务履行期</w:t>
            </w:r>
          </w:p>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限届满之日起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主合同项下的借款期 限届满之次日起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主合同约定的债务履 行期限届满之日起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青岛城市建设投资（集 团）有限责任公司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297,150,000.00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722"/>
      <w:bookmarkEnd w:id="1723"/>
      <w:bookmarkEnd w:id="17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青岛城投金融控股集团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183,000,000.00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97"/>
        </w:numPr>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关键管理人员报酬</w:t>
      </w:r>
      <w:bookmarkEnd w:id="1726"/>
      <w:bookmarkEnd w:id="1727"/>
      <w:bookmarkEnd w:id="172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5,510,777.00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4,583,475.45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color w:val="000000"/>
          <w:spacing w:val="0"/>
          <w:w w:val="100"/>
          <w:position w:val="0"/>
        </w:rPr>
        <w:t>、关联方应收应付款项</w:t>
      </w:r>
      <w:bookmarkEnd w:id="1730"/>
      <w:bookmarkEnd w:id="1731"/>
      <w:bookmarkEnd w:id="1733"/>
    </w:p>
    <w:p>
      <w:pPr>
        <w:pStyle w:val="Style37"/>
        <w:keepNext/>
        <w:keepLines/>
        <w:widowControl w:val="0"/>
        <w:shd w:val="clear" w:color="auto" w:fill="auto"/>
        <w:bidi w:val="0"/>
        <w:spacing w:before="0" w:after="380" w:line="240" w:lineRule="auto"/>
        <w:ind w:left="0" w:right="0" w:firstLine="0"/>
        <w:jc w:val="both"/>
      </w:pPr>
      <w:bookmarkStart w:id="1730" w:name="bookmark1730"/>
      <w:bookmarkStart w:id="1731" w:name="bookmark1731"/>
      <w:bookmarkStart w:id="1734" w:name="bookmark1734"/>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30"/>
      <w:bookmarkEnd w:id="1731"/>
      <w:bookmarkEnd w:id="173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278,366,250.57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3,573,361.90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520,340,670.55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5,798,649.93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青岛城投置地发展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35"/>
      <w:bookmarkEnd w:id="1736"/>
      <w:bookmarkEnd w:id="173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青岛城投金融控股集团有限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978,000,000.00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6,110,000.00</w:t>
            </w:r>
          </w:p>
        </w:tc>
      </w:tr>
    </w:tbl>
    <w:p>
      <w:pPr>
        <w:widowControl w:val="0"/>
        <w:spacing w:line="1" w:lineRule="exact"/>
      </w:pP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64,215,522.24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24,155,263.91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青岛城投工程建设发展（集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69,805,309.73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r>
        <w:rPr>
          <w:color w:val="000000"/>
          <w:spacing w:val="0"/>
          <w:w w:val="100"/>
          <w:position w:val="0"/>
          <w:sz w:val="24"/>
          <w:szCs w:val="24"/>
        </w:rPr>
        <w:t>十三、股份支付</w:t>
      </w:r>
      <w:bookmarkEnd w:id="1738"/>
      <w:bookmarkEnd w:id="1739"/>
      <w:bookmarkEnd w:id="1740"/>
    </w:p>
    <w:p>
      <w:pPr>
        <w:pStyle w:val="Style37"/>
        <w:keepNext/>
        <w:keepLines/>
        <w:widowControl w:val="0"/>
        <w:shd w:val="clear" w:color="auto" w:fill="auto"/>
        <w:tabs>
          <w:tab w:pos="368" w:val="left"/>
        </w:tabs>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bookmarkEnd w:id="1743"/>
      <w:r>
        <w:rPr>
          <w:color w:val="000000"/>
          <w:spacing w:val="0"/>
          <w:w w:val="100"/>
          <w:position w:val="0"/>
        </w:rPr>
        <w:t>、</w:t>
        <w:tab/>
        <w:t>股份支付总体情况</w:t>
      </w:r>
      <w:bookmarkEnd w:id="1741"/>
      <w:bookmarkEnd w:id="1742"/>
      <w:bookmarkEnd w:id="1744"/>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bookmarkEnd w:id="1747"/>
      <w:r>
        <w:rPr>
          <w:color w:val="000000"/>
          <w:spacing w:val="0"/>
          <w:w w:val="100"/>
          <w:position w:val="0"/>
        </w:rPr>
        <w:t>、</w:t>
        <w:tab/>
        <w:t>以权益结算的股份支付情况</w:t>
      </w:r>
      <w:bookmarkEnd w:id="1745"/>
      <w:bookmarkEnd w:id="1746"/>
      <w:bookmarkEnd w:id="1748"/>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color w:val="000000"/>
          <w:spacing w:val="0"/>
          <w:w w:val="100"/>
          <w:position w:val="0"/>
        </w:rPr>
        <w:t>、</w:t>
        <w:tab/>
        <w:t>以现金结算的股份支付情况</w:t>
      </w:r>
      <w:bookmarkEnd w:id="1749"/>
      <w:bookmarkEnd w:id="1750"/>
      <w:bookmarkEnd w:id="1752"/>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4</w:t>
      </w:r>
      <w:bookmarkEnd w:id="1755"/>
      <w:r>
        <w:rPr>
          <w:color w:val="000000"/>
          <w:spacing w:val="0"/>
          <w:w w:val="100"/>
          <w:position w:val="0"/>
        </w:rPr>
        <w:t>、</w:t>
        <w:tab/>
        <w:t>股份支付的修改、终止情况</w:t>
      </w:r>
      <w:bookmarkEnd w:id="1753"/>
      <w:bookmarkEnd w:id="1754"/>
      <w:bookmarkEnd w:id="1756"/>
    </w:p>
    <w:p>
      <w:pPr>
        <w:pStyle w:val="Style37"/>
        <w:keepNext/>
        <w:keepLines/>
        <w:widowControl w:val="0"/>
        <w:shd w:val="clear" w:color="auto" w:fill="auto"/>
        <w:tabs>
          <w:tab w:pos="378" w:val="left"/>
        </w:tabs>
        <w:bidi w:val="0"/>
        <w:spacing w:before="0" w:after="320" w:line="240" w:lineRule="auto"/>
        <w:ind w:left="0" w:right="0" w:firstLine="0"/>
        <w:jc w:val="left"/>
      </w:pPr>
      <w:bookmarkStart w:id="1753" w:name="bookmark1753"/>
      <w:bookmarkStart w:id="1754" w:name="bookmark1754"/>
      <w:bookmarkStart w:id="1757" w:name="bookmark1757"/>
      <w:bookmarkStart w:id="1758" w:name="bookmark1758"/>
      <w:r>
        <w:rPr>
          <w:rFonts w:ascii="Times New Roman" w:eastAsia="Times New Roman" w:hAnsi="Times New Roman" w:cs="Times New Roman"/>
          <w:color w:val="000000"/>
          <w:spacing w:val="0"/>
          <w:w w:val="100"/>
          <w:position w:val="0"/>
        </w:rPr>
        <w:t>5</w:t>
      </w:r>
      <w:bookmarkEnd w:id="1757"/>
      <w:r>
        <w:rPr>
          <w:color w:val="000000"/>
          <w:spacing w:val="0"/>
          <w:w w:val="100"/>
          <w:position w:val="0"/>
        </w:rPr>
        <w:t>、</w:t>
        <w:tab/>
        <w:t>其他</w:t>
      </w:r>
      <w:bookmarkEnd w:id="1753"/>
      <w:bookmarkEnd w:id="1754"/>
      <w:bookmarkEnd w:id="1758"/>
    </w:p>
    <w:p>
      <w:pPr>
        <w:pStyle w:val="Style30"/>
        <w:keepNext/>
        <w:keepLines/>
        <w:widowControl w:val="0"/>
        <w:shd w:val="clear" w:color="auto" w:fill="auto"/>
        <w:bidi w:val="0"/>
        <w:spacing w:before="0" w:after="380" w:line="240" w:lineRule="auto"/>
        <w:ind w:left="0" w:right="0" w:firstLine="0"/>
        <w:jc w:val="left"/>
      </w:pPr>
      <w:bookmarkStart w:id="1759" w:name="bookmark1759"/>
      <w:bookmarkStart w:id="1760" w:name="bookmark1760"/>
      <w:bookmarkStart w:id="1761" w:name="bookmark1761"/>
      <w:r>
        <w:rPr>
          <w:color w:val="000000"/>
          <w:spacing w:val="0"/>
          <w:w w:val="100"/>
          <w:position w:val="0"/>
          <w:sz w:val="24"/>
          <w:szCs w:val="24"/>
        </w:rPr>
        <w:t>十四、承诺及或有事项</w:t>
      </w:r>
      <w:bookmarkEnd w:id="1759"/>
      <w:bookmarkEnd w:id="1760"/>
      <w:bookmarkEnd w:id="1761"/>
    </w:p>
    <w:p>
      <w:pPr>
        <w:pStyle w:val="Style37"/>
        <w:keepNext/>
        <w:keepLines/>
        <w:widowControl w:val="0"/>
        <w:shd w:val="clear" w:color="auto" w:fill="auto"/>
        <w:tabs>
          <w:tab w:pos="368" w:val="left"/>
        </w:tabs>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bookmarkEnd w:id="1764"/>
      <w:r>
        <w:rPr>
          <w:color w:val="000000"/>
          <w:spacing w:val="0"/>
          <w:w w:val="100"/>
          <w:position w:val="0"/>
        </w:rPr>
        <w:t>、</w:t>
        <w:tab/>
        <w:t>重要承诺事项</w:t>
      </w:r>
      <w:bookmarkEnd w:id="1762"/>
      <w:bookmarkEnd w:id="1763"/>
      <w:bookmarkEnd w:id="176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2</w:t>
      </w:r>
      <w:bookmarkEnd w:id="1768"/>
      <w:r>
        <w:rPr>
          <w:color w:val="000000"/>
          <w:spacing w:val="0"/>
          <w:w w:val="100"/>
          <w:position w:val="0"/>
        </w:rPr>
        <w:t>、</w:t>
        <w:tab/>
        <w:t>或有事项</w:t>
      </w:r>
      <w:bookmarkEnd w:id="1766"/>
      <w:bookmarkEnd w:id="1767"/>
      <w:bookmarkEnd w:id="176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r>
        <w:rPr>
          <w:color w:val="000000"/>
          <w:spacing w:val="0"/>
          <w:w w:val="100"/>
          <w:position w:val="0"/>
          <w:sz w:val="24"/>
          <w:szCs w:val="24"/>
        </w:rPr>
        <w:t>十五、资产负债表日后事项</w:t>
      </w:r>
      <w:bookmarkEnd w:id="1770"/>
      <w:bookmarkEnd w:id="1771"/>
      <w:bookmarkEnd w:id="1772"/>
    </w:p>
    <w:p>
      <w:pPr>
        <w:pStyle w:val="Style37"/>
        <w:keepNext/>
        <w:keepLines/>
        <w:widowControl w:val="0"/>
        <w:shd w:val="clear" w:color="auto" w:fill="auto"/>
        <w:tabs>
          <w:tab w:pos="368" w:val="left"/>
        </w:tabs>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bookmarkEnd w:id="1775"/>
      <w:r>
        <w:rPr>
          <w:color w:val="000000"/>
          <w:spacing w:val="0"/>
          <w:w w:val="100"/>
          <w:position w:val="0"/>
        </w:rPr>
        <w:t>、</w:t>
        <w:tab/>
        <w:t>重要的非调整事项</w:t>
      </w:r>
      <w:bookmarkEnd w:id="1773"/>
      <w:bookmarkEnd w:id="1774"/>
      <w:bookmarkEnd w:id="177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bookmarkEnd w:id="1779"/>
      <w:r>
        <w:rPr>
          <w:color w:val="000000"/>
          <w:spacing w:val="0"/>
          <w:w w:val="100"/>
          <w:position w:val="0"/>
        </w:rPr>
        <w:t>、</w:t>
        <w:tab/>
        <w:t>利润分配情况</w:t>
      </w:r>
      <w:bookmarkEnd w:id="1777"/>
      <w:bookmarkEnd w:id="1778"/>
      <w:bookmarkEnd w:id="178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both"/>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w:t>
        <w:tab/>
        <w:t>销售退回、</w:t>
      </w:r>
      <w:bookmarkEnd w:id="1781"/>
      <w:bookmarkEnd w:id="1782"/>
      <w:bookmarkEnd w:id="1784"/>
    </w:p>
    <w:p>
      <w:pPr>
        <w:pStyle w:val="Style3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both"/>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4</w:t>
      </w:r>
      <w:bookmarkEnd w:id="1787"/>
      <w:r>
        <w:rPr>
          <w:color w:val="000000"/>
          <w:spacing w:val="0"/>
          <w:w w:val="100"/>
          <w:position w:val="0"/>
        </w:rPr>
        <w:t>、</w:t>
        <w:tab/>
        <w:t>其他资产负债表日后事项说明</w:t>
      </w:r>
      <w:bookmarkEnd w:id="1785"/>
      <w:bookmarkEnd w:id="1786"/>
      <w:bookmarkEnd w:id="1788"/>
    </w:p>
    <w:p>
      <w:pPr>
        <w:pStyle w:val="Style34"/>
        <w:keepNext w:val="0"/>
        <w:keepLines w:val="0"/>
        <w:widowControl w:val="0"/>
        <w:shd w:val="clear" w:color="auto" w:fill="auto"/>
        <w:bidi w:val="0"/>
        <w:spacing w:before="0" w:after="360" w:line="313" w:lineRule="exact"/>
        <w:ind w:left="0" w:right="0"/>
        <w:jc w:val="left"/>
      </w:pPr>
      <w:r>
        <w:rPr>
          <w:color w:val="000000"/>
          <w:spacing w:val="0"/>
          <w:w w:val="100"/>
          <w:position w:val="0"/>
        </w:rPr>
        <w:t>公司与菲律宾</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月份签订《菲律宾帕苏金（</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兆瓦）风电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兆瓦）太阳能发电的风光一体化项 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总承包合同补充协议》（以下简称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补充协议</w:t>
      </w:r>
      <w:r>
        <w:rPr>
          <w:color w:val="000000"/>
          <w:spacing w:val="0"/>
          <w:w w:val="100"/>
          <w:position w:val="0"/>
        </w:rPr>
        <w:t>''）</w:t>
      </w:r>
      <w:r>
        <w:rPr>
          <w:color w:val="000000"/>
          <w:spacing w:val="0"/>
          <w:w w:val="100"/>
          <w:position w:val="0"/>
        </w:rPr>
        <w:t>，双方同意终止风电项目，并就合同结算币种、风电项目结算等事宜 达成一致，双方就风电项目确定最终的结算价格为</w:t>
      </w:r>
      <w:r>
        <w:rPr>
          <w:rFonts w:ascii="Times New Roman" w:eastAsia="Times New Roman" w:hAnsi="Times New Roman" w:cs="Times New Roman"/>
          <w:color w:val="000000"/>
          <w:spacing w:val="0"/>
          <w:w w:val="100"/>
          <w:position w:val="0"/>
          <w:sz w:val="18"/>
          <w:szCs w:val="18"/>
        </w:rPr>
        <w:t>81,406.23</w:t>
      </w:r>
      <w:r>
        <w:rPr>
          <w:color w:val="000000"/>
          <w:spacing w:val="0"/>
          <w:w w:val="100"/>
          <w:position w:val="0"/>
        </w:rPr>
        <w:t>万元。本公司就风电项目累计确认收入合计</w:t>
      </w:r>
      <w:r>
        <w:rPr>
          <w:rFonts w:ascii="Times New Roman" w:eastAsia="Times New Roman" w:hAnsi="Times New Roman" w:cs="Times New Roman"/>
          <w:color w:val="000000"/>
          <w:spacing w:val="0"/>
          <w:w w:val="100"/>
          <w:position w:val="0"/>
          <w:sz w:val="18"/>
          <w:szCs w:val="18"/>
        </w:rPr>
        <w:t>101,697.9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万元，根 据《企业会计准则》的规定，补充协议的签订构成资产负债表日后调整事项，根据补充协议的有关内容，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年度风电项目 净冲减收入</w:t>
      </w:r>
      <w:r>
        <w:rPr>
          <w:rFonts w:ascii="Times New Roman" w:eastAsia="Times New Roman" w:hAnsi="Times New Roman" w:cs="Times New Roman"/>
          <w:color w:val="000000"/>
          <w:spacing w:val="0"/>
          <w:w w:val="100"/>
          <w:position w:val="0"/>
          <w:sz w:val="18"/>
          <w:szCs w:val="18"/>
        </w:rPr>
        <w:t>27,381.96</w:t>
      </w:r>
      <w:r>
        <w:rPr>
          <w:color w:val="000000"/>
          <w:spacing w:val="0"/>
          <w:w w:val="100"/>
          <w:position w:val="0"/>
        </w:rPr>
        <w:t>万元，冲回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年度已计提的减值</w:t>
      </w:r>
      <w:r>
        <w:rPr>
          <w:rFonts w:ascii="Times New Roman" w:eastAsia="Times New Roman" w:hAnsi="Times New Roman" w:cs="Times New Roman"/>
          <w:color w:val="000000"/>
          <w:spacing w:val="0"/>
          <w:w w:val="100"/>
          <w:position w:val="0"/>
          <w:sz w:val="18"/>
          <w:szCs w:val="18"/>
        </w:rPr>
        <w:t>7,608.08</w:t>
      </w:r>
      <w:r>
        <w:rPr>
          <w:color w:val="000000"/>
          <w:spacing w:val="0"/>
          <w:w w:val="100"/>
          <w:position w:val="0"/>
        </w:rPr>
        <w:t>万元，折让后的合同资产重新计提减值</w:t>
      </w:r>
      <w:r>
        <w:rPr>
          <w:rFonts w:ascii="Times New Roman" w:eastAsia="Times New Roman" w:hAnsi="Times New Roman" w:cs="Times New Roman"/>
          <w:color w:val="000000"/>
          <w:spacing w:val="0"/>
          <w:w w:val="100"/>
          <w:position w:val="0"/>
          <w:sz w:val="18"/>
          <w:szCs w:val="18"/>
        </w:rPr>
        <w:t>3,859.93</w:t>
      </w:r>
      <w:r>
        <w:rPr>
          <w:color w:val="000000"/>
          <w:spacing w:val="0"/>
          <w:w w:val="100"/>
          <w:position w:val="0"/>
        </w:rPr>
        <w:t>万元。截至本 报告披露日，公司收到</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境内子公司的回款</w:t>
      </w:r>
      <w:r>
        <w:rPr>
          <w:rFonts w:ascii="Times New Roman" w:eastAsia="Times New Roman" w:hAnsi="Times New Roman" w:cs="Times New Roman"/>
          <w:color w:val="000000"/>
          <w:spacing w:val="0"/>
          <w:w w:val="100"/>
          <w:position w:val="0"/>
          <w:sz w:val="18"/>
          <w:szCs w:val="18"/>
        </w:rPr>
        <w:t>20,000</w:t>
      </w:r>
      <w:r>
        <w:rPr>
          <w:rFonts w:ascii="SimHei" w:eastAsia="SimHei" w:hAnsi="SimHei" w:cs="SimHei"/>
          <w:color w:val="000000"/>
          <w:spacing w:val="0"/>
          <w:w w:val="100"/>
          <w:position w:val="0"/>
        </w:rPr>
        <w:t>万元</w:t>
      </w:r>
      <w:r>
        <w:rPr>
          <w:color w:val="000000"/>
          <w:spacing w:val="0"/>
          <w:w w:val="100"/>
          <w:position w:val="0"/>
        </w:rPr>
        <w:t>，公司后期将督促</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方按协议约定及时回款。</w:t>
      </w:r>
    </w:p>
    <w:p>
      <w:pPr>
        <w:pStyle w:val="Style30"/>
        <w:keepNext/>
        <w:keepLines/>
        <w:widowControl w:val="0"/>
        <w:shd w:val="clear" w:color="auto" w:fill="auto"/>
        <w:bidi w:val="0"/>
        <w:spacing w:before="0" w:line="240" w:lineRule="auto"/>
        <w:ind w:left="0" w:right="0" w:firstLine="0"/>
        <w:jc w:val="both"/>
      </w:pPr>
      <w:bookmarkStart w:id="1789" w:name="bookmark1789"/>
      <w:bookmarkStart w:id="1790" w:name="bookmark1790"/>
      <w:bookmarkStart w:id="1791" w:name="bookmark1791"/>
      <w:r>
        <w:rPr>
          <w:color w:val="000000"/>
          <w:spacing w:val="0"/>
          <w:w w:val="100"/>
          <w:position w:val="0"/>
          <w:sz w:val="24"/>
          <w:szCs w:val="24"/>
        </w:rPr>
        <w:t>十六、其他重要事项</w:t>
      </w:r>
      <w:bookmarkEnd w:id="1789"/>
      <w:bookmarkEnd w:id="1790"/>
      <w:bookmarkEnd w:id="1791"/>
    </w:p>
    <w:p>
      <w:pPr>
        <w:pStyle w:val="Style37"/>
        <w:keepNext/>
        <w:keepLines/>
        <w:widowControl w:val="0"/>
        <w:shd w:val="clear" w:color="auto" w:fill="auto"/>
        <w:tabs>
          <w:tab w:pos="368" w:val="left"/>
        </w:tabs>
        <w:bidi w:val="0"/>
        <w:spacing w:before="0" w:after="280" w:line="240" w:lineRule="auto"/>
        <w:ind w:left="0" w:right="0" w:firstLine="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bookmarkEnd w:id="1794"/>
      <w:r>
        <w:rPr>
          <w:color w:val="000000"/>
          <w:spacing w:val="0"/>
          <w:w w:val="100"/>
          <w:position w:val="0"/>
        </w:rPr>
        <w:t>、</w:t>
        <w:tab/>
        <w:t>前期会计差错更正</w:t>
      </w:r>
      <w:bookmarkEnd w:id="1792"/>
      <w:bookmarkEnd w:id="1793"/>
      <w:bookmarkEnd w:id="1795"/>
    </w:p>
    <w:p>
      <w:pPr>
        <w:pStyle w:val="Style3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both"/>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bookmarkEnd w:id="1798"/>
      <w:r>
        <w:rPr>
          <w:color w:val="000000"/>
          <w:spacing w:val="0"/>
          <w:w w:val="100"/>
          <w:position w:val="0"/>
        </w:rPr>
        <w:t>、</w:t>
        <w:tab/>
        <w:t>债务重组</w:t>
      </w:r>
      <w:bookmarkEnd w:id="1796"/>
      <w:bookmarkEnd w:id="1797"/>
      <w:bookmarkEnd w:id="1799"/>
    </w:p>
    <w:p>
      <w:pPr>
        <w:pStyle w:val="Style3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both"/>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3</w:t>
      </w:r>
      <w:bookmarkEnd w:id="1802"/>
      <w:r>
        <w:rPr>
          <w:color w:val="000000"/>
          <w:spacing w:val="0"/>
          <w:w w:val="100"/>
          <w:position w:val="0"/>
        </w:rPr>
        <w:t>、</w:t>
        <w:tab/>
        <w:t>资产置换</w:t>
      </w:r>
      <w:bookmarkEnd w:id="1800"/>
      <w:bookmarkEnd w:id="1801"/>
      <w:bookmarkEnd w:id="1803"/>
    </w:p>
    <w:p>
      <w:pPr>
        <w:pStyle w:val="Style3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both"/>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4</w:t>
      </w:r>
      <w:bookmarkEnd w:id="1806"/>
      <w:r>
        <w:rPr>
          <w:color w:val="000000"/>
          <w:spacing w:val="0"/>
          <w:w w:val="100"/>
          <w:position w:val="0"/>
        </w:rPr>
        <w:t>、</w:t>
        <w:tab/>
        <w:t>年金计划</w:t>
      </w:r>
      <w:bookmarkEnd w:id="1804"/>
      <w:bookmarkEnd w:id="1805"/>
      <w:bookmarkEnd w:id="1807"/>
    </w:p>
    <w:p>
      <w:pPr>
        <w:pStyle w:val="Style3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5</w:t>
      </w:r>
      <w:bookmarkEnd w:id="1810"/>
      <w:r>
        <w:rPr>
          <w:color w:val="000000"/>
          <w:spacing w:val="0"/>
          <w:w w:val="100"/>
          <w:position w:val="0"/>
        </w:rPr>
        <w:t>、</w:t>
        <w:tab/>
        <w:t>终止经营</w:t>
      </w:r>
      <w:bookmarkEnd w:id="1808"/>
      <w:bookmarkEnd w:id="1809"/>
      <w:bookmarkEnd w:id="1811"/>
    </w:p>
    <w:p>
      <w:pPr>
        <w:pStyle w:val="Style3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6</w:t>
      </w:r>
      <w:bookmarkEnd w:id="1814"/>
      <w:r>
        <w:rPr>
          <w:color w:val="000000"/>
          <w:spacing w:val="0"/>
          <w:w w:val="100"/>
          <w:position w:val="0"/>
        </w:rPr>
        <w:t>、</w:t>
        <w:tab/>
        <w:t>分部信息</w:t>
      </w:r>
      <w:bookmarkEnd w:id="1812"/>
      <w:bookmarkEnd w:id="1813"/>
      <w:bookmarkEnd w:id="1815"/>
    </w:p>
    <w:p>
      <w:pPr>
        <w:pStyle w:val="Style34"/>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无</w:t>
      </w:r>
      <w:r>
        <w:br w:type="page"/>
      </w:r>
    </w:p>
    <w:p>
      <w:pPr>
        <w:pStyle w:val="Style30"/>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color w:val="000000"/>
          <w:spacing w:val="0"/>
          <w:w w:val="100"/>
          <w:position w:val="0"/>
          <w:sz w:val="24"/>
          <w:szCs w:val="24"/>
        </w:rPr>
        <w:t>十七、母公司财务报表主要项目注释</w:t>
      </w:r>
      <w:bookmarkEnd w:id="1816"/>
      <w:bookmarkEnd w:id="1817"/>
      <w:bookmarkEnd w:id="1818"/>
    </w:p>
    <w:p>
      <w:pPr>
        <w:pStyle w:val="Style37"/>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19"/>
      <w:bookmarkEnd w:id="1820"/>
      <w:bookmarkEnd w:id="1821"/>
    </w:p>
    <w:p>
      <w:pPr>
        <w:pStyle w:val="Style37"/>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19"/>
      <w:bookmarkEnd w:id="1820"/>
      <w:bookmarkEnd w:id="182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66,031,82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279,324,5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2,793,245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276,531,27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独计提坏账准备的</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66,698,8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666,988.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66,031,82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279,324,5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51.34%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2,793,245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276,531,27</w:t>
            </w: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28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264,771,4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127,066,9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137,704,49</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264,354,7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127,066,9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137,287,82</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r>
      <w:tr>
        <w:trPr>
          <w:trHeight w:val="29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416,666.67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87,416,62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544,095,9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129,860,2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414,235,77</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66,698,816.70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66,698,816.70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200,845,744.24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180,460,952.06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201,845,744.24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180,460,952.06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67,282,150.03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6,816,666.67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1,902,954.91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192,542,789.33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7,901,643.31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18,303,213.21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166,337,932.81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268,544,560.94</w:t>
            </w:r>
          </w:p>
        </w:tc>
      </w:tr>
    </w:tbl>
    <w:p>
      <w:pPr>
        <w:pStyle w:val="Style34"/>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报告期末，公司应收客户</w:t>
      </w:r>
      <w:r>
        <w:rPr>
          <w:rFonts w:ascii="Times New Roman" w:eastAsia="Times New Roman" w:hAnsi="Times New Roman" w:cs="Times New Roman"/>
          <w:color w:val="000000"/>
          <w:spacing w:val="0"/>
          <w:w w:val="100"/>
          <w:position w:val="0"/>
          <w:sz w:val="18"/>
          <w:szCs w:val="18"/>
        </w:rPr>
        <w:t>PT.Pacific Metalurgi Indo Smelter</w:t>
      </w:r>
      <w:r>
        <w:rPr>
          <w:color w:val="000000"/>
          <w:spacing w:val="0"/>
          <w:w w:val="100"/>
          <w:position w:val="0"/>
        </w:rPr>
        <w:t>款项余额为</w:t>
      </w:r>
      <w:r>
        <w:rPr>
          <w:rFonts w:ascii="Times New Roman" w:eastAsia="Times New Roman" w:hAnsi="Times New Roman" w:cs="Times New Roman"/>
          <w:color w:val="000000"/>
          <w:spacing w:val="0"/>
          <w:w w:val="100"/>
          <w:position w:val="0"/>
          <w:sz w:val="18"/>
          <w:szCs w:val="18"/>
        </w:rPr>
        <w:t>175,665,570.32</w:t>
      </w:r>
      <w:r>
        <w:rPr>
          <w:color w:val="000000"/>
          <w:spacing w:val="0"/>
          <w:w w:val="100"/>
          <w:position w:val="0"/>
        </w:rPr>
        <w:t>元，账龄超过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年。应收该客户的款项 为公司销售机械成套装备所产生，公司正积极协调客户回款，回款风险适中。</w:t>
      </w:r>
    </w:p>
    <w:p>
      <w:pPr>
        <w:pStyle w:val="Style37"/>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3"/>
      <w:bookmarkEnd w:id="1824"/>
      <w:bookmarkEnd w:id="1825"/>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2,793,245.25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127,066,959.90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53,374,216.56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180,460,952.06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129,860,205.15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51,247,959.48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19,775.60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181,127,940.23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826"/>
      <w:bookmarkEnd w:id="1827"/>
      <w:bookmarkEnd w:id="1829"/>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PT.Pacific Metalurgi 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Smelter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175,665,570.32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166,215,570.32</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 Selaras</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66,698,816.70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666,988.17</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PT.Artabumi Sentra Industri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6,985,851.91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2,922,039.64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江苏正阳投资控股集团有限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华宁县顺昌工贸有限责任公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257,580,238.93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w:t>
      </w:r>
    </w:p>
    <w:p>
      <w:pPr>
        <w:pStyle w:val="Style34"/>
        <w:keepNext w:val="0"/>
        <w:keepLines w:val="0"/>
        <w:widowControl w:val="0"/>
        <w:numPr>
          <w:ilvl w:val="0"/>
          <w:numId w:val="99"/>
        </w:numPr>
        <w:shd w:val="clear" w:color="auto" w:fill="auto"/>
        <w:tabs>
          <w:tab w:pos="373" w:val="left"/>
        </w:tabs>
        <w:bidi w:val="0"/>
        <w:spacing w:before="0" w:after="0" w:line="307" w:lineRule="exact"/>
        <w:ind w:left="0" w:right="0" w:firstLine="0"/>
        <w:jc w:val="both"/>
      </w:pPr>
      <w:bookmarkStart w:id="1830" w:name="bookmark1830"/>
      <w:bookmarkEnd w:id="1830"/>
      <w:r>
        <w:rPr>
          <w:color w:val="000000"/>
          <w:spacing w:val="0"/>
          <w:w w:val="100"/>
          <w:position w:val="0"/>
        </w:rPr>
        <w:t>报告期内公司无实际核销的应收账款。</w:t>
      </w:r>
    </w:p>
    <w:p>
      <w:pPr>
        <w:pStyle w:val="Style34"/>
        <w:keepNext w:val="0"/>
        <w:keepLines w:val="0"/>
        <w:widowControl w:val="0"/>
        <w:numPr>
          <w:ilvl w:val="0"/>
          <w:numId w:val="99"/>
        </w:numPr>
        <w:shd w:val="clear" w:color="auto" w:fill="auto"/>
        <w:tabs>
          <w:tab w:pos="373" w:val="left"/>
        </w:tabs>
        <w:bidi w:val="0"/>
        <w:spacing w:before="0" w:after="0" w:line="307" w:lineRule="exact"/>
        <w:ind w:left="0" w:right="0" w:firstLine="0"/>
        <w:jc w:val="both"/>
      </w:pPr>
      <w:bookmarkStart w:id="1831" w:name="bookmark1831"/>
      <w:bookmarkEnd w:id="1831"/>
      <w:r>
        <w:rPr>
          <w:color w:val="000000"/>
          <w:spacing w:val="0"/>
          <w:w w:val="100"/>
          <w:position w:val="0"/>
        </w:rPr>
        <w:t>本期应收账款中无持有公司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34"/>
        <w:keepNext w:val="0"/>
        <w:keepLines w:val="0"/>
        <w:widowControl w:val="0"/>
        <w:numPr>
          <w:ilvl w:val="0"/>
          <w:numId w:val="99"/>
        </w:numPr>
        <w:shd w:val="clear" w:color="auto" w:fill="auto"/>
        <w:tabs>
          <w:tab w:pos="373" w:val="left"/>
        </w:tabs>
        <w:bidi w:val="0"/>
        <w:spacing w:before="0" w:after="0" w:line="307" w:lineRule="exact"/>
        <w:ind w:left="0" w:right="0" w:firstLine="0"/>
        <w:jc w:val="both"/>
      </w:pPr>
      <w:bookmarkStart w:id="1832" w:name="bookmark1832"/>
      <w:bookmarkEnd w:id="1832"/>
      <w:r>
        <w:rPr>
          <w:color w:val="000000"/>
          <w:spacing w:val="0"/>
          <w:w w:val="100"/>
          <w:position w:val="0"/>
        </w:rPr>
        <w:t>报告期内应收账款中公司应收关联方公司款项的情况：应收关联方</w:t>
      </w:r>
      <w:r>
        <w:rPr>
          <w:rFonts w:ascii="Times New Roman" w:eastAsia="Times New Roman" w:hAnsi="Times New Roman" w:cs="Times New Roman"/>
          <w:color w:val="000000"/>
          <w:spacing w:val="0"/>
          <w:w w:val="100"/>
          <w:position w:val="0"/>
          <w:sz w:val="18"/>
          <w:szCs w:val="18"/>
        </w:rPr>
        <w:t>PT. Metal Smeltindo Selaras</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66,698,816.7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占应收账款总额的</w:t>
      </w:r>
      <w:r>
        <w:rPr>
          <w:rFonts w:ascii="Times New Roman" w:eastAsia="Times New Roman" w:hAnsi="Times New Roman" w:cs="Times New Roman"/>
          <w:color w:val="000000"/>
          <w:spacing w:val="0"/>
          <w:w w:val="100"/>
          <w:position w:val="0"/>
          <w:sz w:val="18"/>
          <w:szCs w:val="18"/>
        </w:rPr>
        <w:t>24.84%</w:t>
      </w:r>
      <w:r>
        <w:rPr>
          <w:color w:val="000000"/>
          <w:spacing w:val="0"/>
          <w:w w:val="100"/>
          <w:position w:val="0"/>
        </w:rPr>
        <w:t>。</w:t>
      </w:r>
    </w:p>
    <w:p>
      <w:pPr>
        <w:pStyle w:val="Style34"/>
        <w:keepNext w:val="0"/>
        <w:keepLines w:val="0"/>
        <w:widowControl w:val="0"/>
        <w:numPr>
          <w:ilvl w:val="0"/>
          <w:numId w:val="99"/>
        </w:numPr>
        <w:shd w:val="clear" w:color="auto" w:fill="auto"/>
        <w:tabs>
          <w:tab w:pos="373" w:val="left"/>
        </w:tabs>
        <w:bidi w:val="0"/>
        <w:spacing w:before="0" w:after="0" w:line="307" w:lineRule="exact"/>
        <w:ind w:left="0" w:right="0" w:firstLine="0"/>
        <w:jc w:val="both"/>
      </w:pPr>
      <w:bookmarkStart w:id="1833" w:name="bookmark1833"/>
      <w:bookmarkEnd w:id="1833"/>
      <w:r>
        <w:rPr>
          <w:color w:val="000000"/>
          <w:spacing w:val="0"/>
          <w:w w:val="100"/>
          <w:position w:val="0"/>
        </w:rPr>
        <w:t>报告期内公司无因金融资产转移而终止确认的应收账款。</w:t>
      </w:r>
    </w:p>
    <w:p>
      <w:pPr>
        <w:pStyle w:val="Style34"/>
        <w:keepNext w:val="0"/>
        <w:keepLines w:val="0"/>
        <w:widowControl w:val="0"/>
        <w:numPr>
          <w:ilvl w:val="0"/>
          <w:numId w:val="99"/>
        </w:numPr>
        <w:shd w:val="clear" w:color="auto" w:fill="auto"/>
        <w:tabs>
          <w:tab w:pos="373" w:val="left"/>
        </w:tabs>
        <w:bidi w:val="0"/>
        <w:spacing w:before="0" w:after="400" w:line="307" w:lineRule="exact"/>
        <w:ind w:left="0" w:right="0" w:firstLine="0"/>
        <w:jc w:val="both"/>
      </w:pPr>
      <w:bookmarkStart w:id="1834" w:name="bookmark1834"/>
      <w:bookmarkEnd w:id="1834"/>
      <w:r>
        <w:rPr>
          <w:color w:val="000000"/>
          <w:spacing w:val="0"/>
          <w:w w:val="100"/>
          <w:position w:val="0"/>
        </w:rPr>
        <w:t>报告期内公司无转移应收账款且继续涉入形成的资产、负债。</w:t>
      </w:r>
    </w:p>
    <w:p>
      <w:pPr>
        <w:pStyle w:val="Style37"/>
        <w:keepNext/>
        <w:keepLines/>
        <w:widowControl w:val="0"/>
        <w:shd w:val="clear" w:color="auto" w:fill="auto"/>
        <w:bidi w:val="0"/>
        <w:spacing w:before="0" w:after="400" w:line="240" w:lineRule="auto"/>
        <w:ind w:left="0" w:right="0" w:firstLine="0"/>
        <w:jc w:val="both"/>
      </w:pPr>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5"/>
      <w:bookmarkEnd w:id="1836"/>
      <w:bookmarkEnd w:id="1837"/>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290,901,437.64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294,747,723.48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290,901,437.64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294,747,723.48</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38"/>
      <w:bookmarkEnd w:id="1839"/>
      <w:bookmarkEnd w:id="1840"/>
    </w:p>
    <w:p>
      <w:pPr>
        <w:pStyle w:val="Style37"/>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1" w:name="bookmark184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38"/>
      <w:bookmarkEnd w:id="1839"/>
      <w:bookmarkEnd w:id="1841"/>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1,694,107.35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1,743,507.35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602,382.61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1,079,304.22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289,347,138.86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292,512,037.08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291,643,628.82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295,334,848.65</w:t>
            </w:r>
          </w:p>
        </w:tc>
      </w:tr>
    </w:tbl>
    <w:p>
      <w:pPr>
        <w:widowControl w:val="0"/>
        <w:spacing w:after="359" w:line="1" w:lineRule="exact"/>
      </w:pPr>
    </w:p>
    <w:p>
      <w:pPr>
        <w:pStyle w:val="Style37"/>
        <w:keepNext/>
        <w:keepLines/>
        <w:widowControl w:val="0"/>
        <w:shd w:val="clear" w:color="auto" w:fill="auto"/>
        <w:bidi w:val="0"/>
        <w:spacing w:before="0" w:after="400" w:line="240" w:lineRule="auto"/>
        <w:ind w:left="0" w:right="0" w:firstLine="0"/>
        <w:jc w:val="left"/>
      </w:pPr>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42"/>
      <w:bookmarkEnd w:id="1843"/>
      <w:bookmarkEnd w:id="1844"/>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215,842.67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371,282.50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587,125.17</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148,942.91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155,066.01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358,662.48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383,528.70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742,191.18</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40,503,955.77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17,295,185.36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143,966,903.33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89,877,584.36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89,494,055.66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383,528.70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291,643,628.82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）本期计提、收回或转回的坏账准备情况</w:t>
      </w:r>
      <w:bookmarkEnd w:id="1845"/>
      <w:bookmarkEnd w:id="1846"/>
      <w:bookmarkEnd w:id="184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其他应收账款坏账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587,125.17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155,066.01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742,191.18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587,125.17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155,066.01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742,191.18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）按欠款方归集的期末余额前五名的其他应收款情况</w:t>
      </w:r>
      <w:bookmarkEnd w:id="1849"/>
      <w:bookmarkEnd w:id="1850"/>
      <w:bookmarkEnd w:id="185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w:t>
            </w:r>
            <w:r>
              <w:rPr>
                <w:color w:val="000000"/>
                <w:spacing w:val="0"/>
                <w:w w:val="100"/>
                <w:position w:val="0"/>
              </w:rPr>
              <w:t>青岛中资中程 新加坡天成工程总承 包有限公司）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259,700,718.98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PT. Transon Bumindo Resources </w:t>
            </w:r>
            <w:r>
              <w:rPr>
                <w:color w:val="000000"/>
                <w:spacing w:val="0"/>
                <w:w w:val="100"/>
                <w:position w:val="0"/>
              </w:rPr>
              <w:t>（青岛中资 中程印尼资源有限公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26,715,228.06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青岛海沃置业有限公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1,478,509.35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295,701.87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青岛中资中程实业有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1,415,208.33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新疆清源生物质能源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1,218,400.00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290,528,064.72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295,701.87</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101"/>
        </w:numPr>
        <w:shd w:val="clear" w:color="auto" w:fill="auto"/>
        <w:tabs>
          <w:tab w:pos="373" w:val="left"/>
        </w:tabs>
        <w:bidi w:val="0"/>
        <w:spacing w:before="0" w:after="120" w:line="240" w:lineRule="auto"/>
        <w:ind w:left="0" w:right="0" w:firstLine="0"/>
        <w:jc w:val="left"/>
      </w:pPr>
      <w:bookmarkStart w:id="1853" w:name="bookmark1853"/>
      <w:bookmarkEnd w:id="1853"/>
      <w:r>
        <w:rPr>
          <w:color w:val="000000"/>
          <w:spacing w:val="0"/>
          <w:w w:val="100"/>
          <w:position w:val="0"/>
        </w:rPr>
        <w:t>其他应收款中无应收持公司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34"/>
        <w:keepNext w:val="0"/>
        <w:keepLines w:val="0"/>
        <w:widowControl w:val="0"/>
        <w:numPr>
          <w:ilvl w:val="0"/>
          <w:numId w:val="101"/>
        </w:numPr>
        <w:shd w:val="clear" w:color="auto" w:fill="auto"/>
        <w:tabs>
          <w:tab w:pos="373" w:val="left"/>
        </w:tabs>
        <w:bidi w:val="0"/>
        <w:spacing w:before="0" w:after="120" w:line="240" w:lineRule="auto"/>
        <w:ind w:left="0" w:right="0" w:firstLine="0"/>
        <w:jc w:val="left"/>
      </w:pPr>
      <w:bookmarkStart w:id="1854" w:name="bookmark1854"/>
      <w:bookmarkEnd w:id="1854"/>
      <w:r>
        <w:rPr>
          <w:color w:val="000000"/>
          <w:spacing w:val="0"/>
          <w:w w:val="100"/>
          <w:position w:val="0"/>
        </w:rPr>
        <w:t>报告期内公司无实际核销的其他应收款。</w:t>
      </w:r>
    </w:p>
    <w:p>
      <w:pPr>
        <w:pStyle w:val="Style34"/>
        <w:keepNext w:val="0"/>
        <w:keepLines w:val="0"/>
        <w:widowControl w:val="0"/>
        <w:numPr>
          <w:ilvl w:val="0"/>
          <w:numId w:val="101"/>
        </w:numPr>
        <w:shd w:val="clear" w:color="auto" w:fill="auto"/>
        <w:tabs>
          <w:tab w:pos="373" w:val="left"/>
        </w:tabs>
        <w:bidi w:val="0"/>
        <w:spacing w:before="0" w:after="120" w:line="240" w:lineRule="auto"/>
        <w:ind w:left="0" w:right="0" w:firstLine="0"/>
        <w:jc w:val="left"/>
      </w:pPr>
      <w:bookmarkStart w:id="1855" w:name="bookmark1855"/>
      <w:bookmarkEnd w:id="1855"/>
      <w:r>
        <w:rPr>
          <w:color w:val="000000"/>
          <w:spacing w:val="0"/>
          <w:w w:val="100"/>
          <w:position w:val="0"/>
        </w:rPr>
        <w:t>报告期内公司无涉及政府补助的应收款项。</w:t>
      </w:r>
    </w:p>
    <w:p>
      <w:pPr>
        <w:pStyle w:val="Style34"/>
        <w:keepNext w:val="0"/>
        <w:keepLines w:val="0"/>
        <w:widowControl w:val="0"/>
        <w:numPr>
          <w:ilvl w:val="0"/>
          <w:numId w:val="101"/>
        </w:numPr>
        <w:shd w:val="clear" w:color="auto" w:fill="auto"/>
        <w:tabs>
          <w:tab w:pos="373" w:val="left"/>
        </w:tabs>
        <w:bidi w:val="0"/>
        <w:spacing w:before="0" w:after="120" w:line="240" w:lineRule="auto"/>
        <w:ind w:left="0" w:right="0" w:firstLine="0"/>
        <w:jc w:val="left"/>
      </w:pPr>
      <w:bookmarkStart w:id="1856" w:name="bookmark1856"/>
      <w:bookmarkEnd w:id="1856"/>
      <w:r>
        <w:rPr>
          <w:color w:val="000000"/>
          <w:spacing w:val="0"/>
          <w:w w:val="100"/>
          <w:position w:val="0"/>
        </w:rPr>
        <w:t>报告期内公司无因金融资产转移而终止确认的其他应收款。</w:t>
      </w:r>
    </w:p>
    <w:p>
      <w:pPr>
        <w:pStyle w:val="Style34"/>
        <w:keepNext w:val="0"/>
        <w:keepLines w:val="0"/>
        <w:widowControl w:val="0"/>
        <w:numPr>
          <w:ilvl w:val="0"/>
          <w:numId w:val="101"/>
        </w:numPr>
        <w:shd w:val="clear" w:color="auto" w:fill="auto"/>
        <w:tabs>
          <w:tab w:pos="373" w:val="left"/>
        </w:tabs>
        <w:bidi w:val="0"/>
        <w:spacing w:before="0" w:after="400" w:line="240" w:lineRule="auto"/>
        <w:ind w:left="0" w:right="0" w:firstLine="0"/>
        <w:jc w:val="left"/>
      </w:pPr>
      <w:bookmarkStart w:id="1857" w:name="bookmark1857"/>
      <w:bookmarkEnd w:id="1857"/>
      <w:r>
        <w:rPr>
          <w:color w:val="000000"/>
          <w:spacing w:val="0"/>
          <w:w w:val="100"/>
          <w:position w:val="0"/>
        </w:rPr>
        <w:t>报告期内公司无转移其他应收款且继续涉入形成的资产、负债。</w:t>
      </w:r>
    </w:p>
    <w:p>
      <w:pPr>
        <w:pStyle w:val="Style37"/>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color w:val="000000"/>
          <w:spacing w:val="0"/>
          <w:w w:val="100"/>
          <w:position w:val="0"/>
        </w:rPr>
        <w:t>、长期股权投资</w:t>
      </w:r>
      <w:bookmarkEnd w:id="1858"/>
      <w:bookmarkEnd w:id="1859"/>
      <w:bookmarkEnd w:id="18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1,802,143,745.10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1,802,143,745.10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1,744,483,745.10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1,744,483,745.10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17,040,762.10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17,040,762.10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1,820,358,995.35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1,820,358,995.35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1,761,524,507.20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1,761,524,507.20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2"/>
      <w:bookmarkEnd w:id="1863"/>
      <w:bookmarkEnd w:id="18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西安恒顺电气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青岛恒川网络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青岛恒顺节能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International Holdings</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青岛中 资中程新加坡 国际控股有限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1,092,392,766.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1,161,652,766.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 中资中程印尼 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474,661,665.4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474,661,665.41</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Hengshun Zhongsheng Group South Africa（PTY） Ltd </w:t>
            </w:r>
            <w:r>
              <w:rPr>
                <w:color w:val="000000"/>
                <w:spacing w:val="0"/>
                <w:w w:val="100"/>
                <w:position w:val="0"/>
              </w:rPr>
              <w:t>（青岛恒顺 众昇集团南非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2,921,428.30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2,921,428.30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矿产资源有限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青岛中资中程 进出口有限公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 电气制造有限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Zhongcheng Zimbabwe（Priva te） Limited </w:t>
            </w:r>
            <w:r>
              <w:rPr>
                <w:color w:val="000000"/>
                <w:spacing w:val="0"/>
                <w:w w:val="100"/>
                <w:position w:val="0"/>
              </w:rPr>
              <w:t>（青 岛中资中程集 团津巴布韦有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2,267,884.78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2,267,884.78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北京科程物联 网技术有限公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新疆清源生物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质能源有限公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 电力工程技术 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青岛中资中程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青岛中资中程 国际贸易有限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交建城投控股</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青岛中资中程</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高新技术产业</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1,744,483,745.</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1,802,143,745.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5"/>
      <w:bookmarkEnd w:id="1866"/>
      <w:bookmarkEnd w:id="18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河南远海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滨江恒顺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16,531,07</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扬州远海 滨江中程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1,684,177</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供应链有 限公司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numPr>
          <w:ilvl w:val="0"/>
          <w:numId w:val="103"/>
        </w:numPr>
        <w:shd w:val="clear" w:color="auto" w:fill="auto"/>
        <w:bidi w:val="0"/>
        <w:spacing w:before="0" w:line="240" w:lineRule="auto"/>
        <w:ind w:left="0" w:right="0" w:firstLine="0"/>
        <w:jc w:val="left"/>
      </w:pPr>
      <w:bookmarkStart w:id="1868" w:name="bookmark1868"/>
      <w:bookmarkStart w:id="1869" w:name="bookmark1869"/>
      <w:bookmarkStart w:id="1870" w:name="bookmark1870"/>
      <w:bookmarkStart w:id="1871" w:name="bookmark1871"/>
      <w:bookmarkEnd w:id="1870"/>
      <w:r>
        <w:rPr>
          <w:color w:val="000000"/>
          <w:spacing w:val="0"/>
          <w:w w:val="100"/>
          <w:position w:val="0"/>
        </w:rPr>
        <w:t>其他说明</w:t>
      </w:r>
      <w:bookmarkEnd w:id="1868"/>
      <w:bookmarkEnd w:id="1869"/>
      <w:bookmarkEnd w:id="1871"/>
    </w:p>
    <w:p>
      <w:pPr>
        <w:pStyle w:val="Style37"/>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2" w:name="bookmark1872"/>
      <w:bookmarkStart w:id="1873" w:name="bookmark1873"/>
      <w:r>
        <w:rPr>
          <w:rFonts w:ascii="Times New Roman" w:eastAsia="Times New Roman" w:hAnsi="Times New Roman" w:cs="Times New Roman"/>
          <w:color w:val="000000"/>
          <w:spacing w:val="0"/>
          <w:w w:val="100"/>
          <w:position w:val="0"/>
        </w:rPr>
        <w:t>4</w:t>
      </w:r>
      <w:bookmarkEnd w:id="1872"/>
      <w:r>
        <w:rPr>
          <w:color w:val="000000"/>
          <w:spacing w:val="0"/>
          <w:w w:val="100"/>
          <w:position w:val="0"/>
        </w:rPr>
        <w:t>、营业收入和营业成本</w:t>
      </w:r>
      <w:bookmarkEnd w:id="1868"/>
      <w:bookmarkEnd w:id="1869"/>
      <w:bookmarkEnd w:id="18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-157,269,185.77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2,918,806.98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103,579,255.30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129,273,491.16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4,270,739.98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1,010,921.62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3,487,649.82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1,418,746.27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-152,998,445.79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3,929,728.60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107,066,905.12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130,692,237.43</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5</w:t>
      </w:r>
      <w:bookmarkEnd w:id="1876"/>
      <w:r>
        <w:rPr>
          <w:color w:val="000000"/>
          <w:spacing w:val="0"/>
          <w:w w:val="100"/>
          <w:position w:val="0"/>
        </w:rPr>
        <w:t>、投资收益</w:t>
      </w:r>
      <w:bookmarkEnd w:id="1874"/>
      <w:bookmarkEnd w:id="1875"/>
      <w:bookmarkEnd w:id="187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1,182,763.17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690,762.10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931,341.92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1,645,053.42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690,762.10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color w:val="000000"/>
          <w:spacing w:val="0"/>
          <w:w w:val="100"/>
          <w:position w:val="0"/>
          <w:sz w:val="24"/>
          <w:szCs w:val="24"/>
        </w:rPr>
        <w:t>十八、补充资料</w:t>
      </w:r>
      <w:bookmarkEnd w:id="1878"/>
      <w:bookmarkEnd w:id="1879"/>
      <w:bookmarkEnd w:id="1880"/>
    </w:p>
    <w:p>
      <w:pPr>
        <w:pStyle w:val="Style37"/>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81"/>
      <w:bookmarkEnd w:id="1882"/>
      <w:bookmarkEnd w:id="188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2,332,645.63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931,341.92</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192,326.45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98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-15,274,146.14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455,883.60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-12,031,689.10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both"/>
      </w:pPr>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84"/>
      <w:bookmarkEnd w:id="1885"/>
      <w:bookmarkEnd w:id="1886"/>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3</w:t>
      </w:r>
      <w:bookmarkEnd w:id="1889"/>
      <w:r>
        <w:rPr>
          <w:color w:val="000000"/>
          <w:spacing w:val="0"/>
          <w:w w:val="100"/>
          <w:position w:val="0"/>
        </w:rPr>
        <w:t>、境内外会计准则下会计数据差异</w:t>
      </w:r>
      <w:bookmarkEnd w:id="1887"/>
      <w:bookmarkEnd w:id="1888"/>
      <w:bookmarkEnd w:id="1890"/>
    </w:p>
    <w:p>
      <w:pPr>
        <w:pStyle w:val="Style37"/>
        <w:keepNext/>
        <w:keepLines/>
        <w:widowControl w:val="0"/>
        <w:shd w:val="clear" w:color="auto" w:fill="auto"/>
        <w:tabs>
          <w:tab w:pos="493" w:val="left"/>
        </w:tabs>
        <w:bidi w:val="0"/>
        <w:spacing w:before="0" w:line="331" w:lineRule="exact"/>
        <w:ind w:left="0" w:right="0" w:firstLine="0"/>
        <w:jc w:val="left"/>
      </w:pPr>
      <w:bookmarkStart w:id="1887" w:name="bookmark1887"/>
      <w:bookmarkStart w:id="1888" w:name="bookmark1888"/>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87"/>
      <w:bookmarkEnd w:id="1888"/>
      <w:bookmarkEnd w:id="1892"/>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31" w:lineRule="exact"/>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93"/>
      <w:bookmarkEnd w:id="1894"/>
      <w:bookmarkEnd w:id="1896"/>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331" w:lineRule="exact"/>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97"/>
      <w:bookmarkEnd w:id="1898"/>
      <w:bookmarkEnd w:id="1900"/>
    </w:p>
    <w:p>
      <w:pPr>
        <w:pStyle w:val="Style37"/>
        <w:keepNext/>
        <w:keepLines/>
        <w:widowControl w:val="0"/>
        <w:shd w:val="clear" w:color="auto" w:fill="auto"/>
        <w:bidi w:val="0"/>
        <w:spacing w:before="0" w:after="300" w:line="331" w:lineRule="exact"/>
        <w:ind w:left="0" w:right="0" w:firstLine="0"/>
        <w:jc w:val="both"/>
        <w:sectPr>
          <w:footnotePr>
            <w:pos w:val="pageBottom"/>
            <w:numFmt w:val="decimal"/>
            <w:numRestart w:val="continuous"/>
          </w:footnotePr>
          <w:pgSz w:w="11900" w:h="16840"/>
          <w:pgMar w:top="1359" w:right="754" w:bottom="1426" w:left="763" w:header="0" w:footer="3" w:gutter="0"/>
          <w:cols w:space="720"/>
          <w:noEndnote/>
          <w:rtlGutter w:val="0"/>
          <w:docGrid w:linePitch="360"/>
        </w:sectPr>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4</w:t>
      </w:r>
      <w:bookmarkEnd w:id="1903"/>
      <w:r>
        <w:rPr>
          <w:color w:val="000000"/>
          <w:spacing w:val="0"/>
          <w:w w:val="100"/>
          <w:position w:val="0"/>
        </w:rPr>
        <w:t>、其他</w:t>
      </w:r>
      <w:bookmarkEnd w:id="1901"/>
      <w:bookmarkEnd w:id="1902"/>
      <w:bookmarkEnd w:id="1904"/>
    </w:p>
    <w:p>
      <w:pPr>
        <w:pStyle w:val="Style15"/>
        <w:keepNext/>
        <w:keepLines/>
        <w:widowControl w:val="0"/>
        <w:shd w:val="clear" w:color="auto" w:fill="auto"/>
        <w:bidi w:val="0"/>
        <w:spacing w:before="0" w:after="600" w:line="240" w:lineRule="auto"/>
        <w:ind w:left="0" w:right="0" w:firstLine="0"/>
        <w:jc w:val="center"/>
      </w:pPr>
      <w:bookmarkStart w:id="1905" w:name="bookmark1905"/>
      <w:bookmarkStart w:id="1906" w:name="bookmark1906"/>
      <w:bookmarkStart w:id="1907" w:name="bookmark1907"/>
      <w:r>
        <w:rPr>
          <w:color w:val="000000"/>
          <w:spacing w:val="0"/>
          <w:w w:val="100"/>
          <w:position w:val="0"/>
        </w:rPr>
        <w:t>第十三节备查文件目录</w:t>
      </w:r>
      <w:bookmarkEnd w:id="1905"/>
      <w:bookmarkEnd w:id="1906"/>
      <w:bookmarkEnd w:id="1907"/>
    </w:p>
    <w:p>
      <w:pPr>
        <w:pStyle w:val="Style34"/>
        <w:keepNext w:val="0"/>
        <w:keepLines w:val="0"/>
        <w:widowControl w:val="0"/>
        <w:shd w:val="clear" w:color="auto" w:fill="auto"/>
        <w:tabs>
          <w:tab w:pos="334" w:val="left"/>
        </w:tabs>
        <w:bidi w:val="0"/>
        <w:spacing w:before="0" w:after="100" w:line="240" w:lineRule="auto"/>
        <w:ind w:left="0" w:right="0" w:firstLine="0"/>
        <w:jc w:val="left"/>
      </w:pPr>
      <w:bookmarkStart w:id="1908" w:name="bookmark1908"/>
      <w:bookmarkStart w:id="1909" w:name="bookmark1909"/>
      <w:r>
        <w:rPr>
          <w:rFonts w:ascii="Times New Roman" w:eastAsia="Times New Roman" w:hAnsi="Times New Roman" w:cs="Times New Roman"/>
          <w:color w:val="000000"/>
          <w:spacing w:val="0"/>
          <w:w w:val="100"/>
          <w:position w:val="0"/>
          <w:sz w:val="18"/>
          <w:szCs w:val="18"/>
        </w:rPr>
        <w:t>1</w:t>
      </w:r>
      <w:bookmarkEnd w:id="1909"/>
      <w:r>
        <w:rPr>
          <w:color w:val="000000"/>
          <w:spacing w:val="0"/>
          <w:w w:val="100"/>
          <w:position w:val="0"/>
        </w:rPr>
        <w:t>、</w:t>
        <w:tab/>
        <w:t>公司财务报表；</w:t>
      </w:r>
      <w:bookmarkEnd w:id="1908"/>
    </w:p>
    <w:p>
      <w:pPr>
        <w:pStyle w:val="Style34"/>
        <w:keepNext w:val="0"/>
        <w:keepLines w:val="0"/>
        <w:widowControl w:val="0"/>
        <w:shd w:val="clear" w:color="auto" w:fill="auto"/>
        <w:tabs>
          <w:tab w:pos="354" w:val="left"/>
        </w:tabs>
        <w:bidi w:val="0"/>
        <w:spacing w:before="0" w:after="100" w:line="240" w:lineRule="auto"/>
        <w:ind w:left="0" w:right="0" w:firstLine="0"/>
        <w:jc w:val="left"/>
      </w:pPr>
      <w:bookmarkStart w:id="1910" w:name="bookmark1910"/>
      <w:r>
        <w:rPr>
          <w:rFonts w:ascii="Times New Roman" w:eastAsia="Times New Roman" w:hAnsi="Times New Roman" w:cs="Times New Roman"/>
          <w:color w:val="000000"/>
          <w:spacing w:val="0"/>
          <w:w w:val="100"/>
          <w:position w:val="0"/>
          <w:sz w:val="18"/>
          <w:szCs w:val="18"/>
        </w:rPr>
        <w:t>2</w:t>
      </w:r>
      <w:bookmarkEnd w:id="191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w:t>
      </w:r>
    </w:p>
    <w:p>
      <w:pPr>
        <w:pStyle w:val="Style34"/>
        <w:keepNext w:val="0"/>
        <w:keepLines w:val="0"/>
        <w:widowControl w:val="0"/>
        <w:shd w:val="clear" w:color="auto" w:fill="auto"/>
        <w:tabs>
          <w:tab w:pos="354" w:val="left"/>
        </w:tabs>
        <w:bidi w:val="0"/>
        <w:spacing w:before="0" w:after="100" w:line="240" w:lineRule="auto"/>
        <w:ind w:left="0" w:right="0" w:firstLine="0"/>
        <w:jc w:val="left"/>
      </w:pPr>
      <w:bookmarkStart w:id="1911" w:name="bookmark1911"/>
      <w:r>
        <w:rPr>
          <w:rFonts w:ascii="Times New Roman" w:eastAsia="Times New Roman" w:hAnsi="Times New Roman" w:cs="Times New Roman"/>
          <w:color w:val="000000"/>
          <w:spacing w:val="0"/>
          <w:w w:val="100"/>
          <w:position w:val="0"/>
          <w:sz w:val="18"/>
          <w:szCs w:val="18"/>
        </w:rPr>
        <w:t>3</w:t>
      </w:r>
      <w:bookmarkEnd w:id="1911"/>
      <w:r>
        <w:rPr>
          <w:color w:val="000000"/>
          <w:spacing w:val="0"/>
          <w:w w:val="100"/>
          <w:position w:val="0"/>
        </w:rPr>
        <w:t>、</w:t>
        <w:tab/>
        <w:t>第三届董事会第二十九次会议决议；</w:t>
      </w:r>
    </w:p>
    <w:p>
      <w:pPr>
        <w:pStyle w:val="Style34"/>
        <w:keepNext w:val="0"/>
        <w:keepLines w:val="0"/>
        <w:widowControl w:val="0"/>
        <w:shd w:val="clear" w:color="auto" w:fill="auto"/>
        <w:tabs>
          <w:tab w:pos="354" w:val="left"/>
        </w:tabs>
        <w:bidi w:val="0"/>
        <w:spacing w:before="0" w:after="100" w:line="240" w:lineRule="auto"/>
        <w:ind w:left="0" w:right="0" w:firstLine="0"/>
        <w:jc w:val="left"/>
      </w:pPr>
      <w:bookmarkStart w:id="1912" w:name="bookmark1912"/>
      <w:r>
        <w:rPr>
          <w:rFonts w:ascii="Times New Roman" w:eastAsia="Times New Roman" w:hAnsi="Times New Roman" w:cs="Times New Roman"/>
          <w:color w:val="000000"/>
          <w:spacing w:val="0"/>
          <w:w w:val="100"/>
          <w:position w:val="0"/>
          <w:sz w:val="18"/>
          <w:szCs w:val="18"/>
        </w:rPr>
        <w:t>4</w:t>
      </w:r>
      <w:bookmarkEnd w:id="1912"/>
      <w:r>
        <w:rPr>
          <w:color w:val="000000"/>
          <w:spacing w:val="0"/>
          <w:w w:val="100"/>
          <w:position w:val="0"/>
        </w:rPr>
        <w:t>、</w:t>
        <w:tab/>
        <w:t>第三届监事会第十七次会议决议；</w:t>
      </w:r>
    </w:p>
    <w:p>
      <w:pPr>
        <w:pStyle w:val="Style34"/>
        <w:keepNext w:val="0"/>
        <w:keepLines w:val="0"/>
        <w:widowControl w:val="0"/>
        <w:shd w:val="clear" w:color="auto" w:fill="auto"/>
        <w:tabs>
          <w:tab w:pos="344" w:val="left"/>
        </w:tabs>
        <w:bidi w:val="0"/>
        <w:spacing w:before="0" w:after="140" w:line="240" w:lineRule="auto"/>
        <w:ind w:left="0" w:right="0" w:firstLine="0"/>
        <w:jc w:val="left"/>
      </w:pPr>
      <w:bookmarkStart w:id="1913" w:name="bookmark1913"/>
      <w:r>
        <w:rPr>
          <w:rFonts w:ascii="Times New Roman" w:eastAsia="Times New Roman" w:hAnsi="Times New Roman" w:cs="Times New Roman"/>
          <w:color w:val="000000"/>
          <w:spacing w:val="0"/>
          <w:w w:val="100"/>
          <w:position w:val="0"/>
          <w:sz w:val="18"/>
          <w:szCs w:val="18"/>
        </w:rPr>
        <w:t>5</w:t>
      </w:r>
      <w:bookmarkEnd w:id="19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p>
      <w:pPr>
        <w:pStyle w:val="Style34"/>
        <w:keepNext w:val="0"/>
        <w:keepLines w:val="0"/>
        <w:widowControl w:val="0"/>
        <w:shd w:val="clear" w:color="auto" w:fill="auto"/>
        <w:tabs>
          <w:tab w:pos="354" w:val="left"/>
        </w:tabs>
        <w:bidi w:val="0"/>
        <w:spacing w:before="0" w:after="100" w:line="240" w:lineRule="auto"/>
        <w:ind w:left="0" w:right="0" w:firstLine="0"/>
        <w:jc w:val="left"/>
      </w:pPr>
      <w:bookmarkStart w:id="1914" w:name="bookmark1914"/>
      <w:r>
        <w:rPr>
          <w:rFonts w:ascii="Times New Roman" w:eastAsia="Times New Roman" w:hAnsi="Times New Roman" w:cs="Times New Roman"/>
          <w:color w:val="000000"/>
          <w:spacing w:val="0"/>
          <w:w w:val="100"/>
          <w:position w:val="0"/>
          <w:sz w:val="18"/>
          <w:szCs w:val="18"/>
        </w:rPr>
        <w:t>6</w:t>
      </w:r>
      <w:bookmarkEnd w:id="1914"/>
      <w:r>
        <w:rPr>
          <w:color w:val="000000"/>
          <w:spacing w:val="0"/>
          <w:w w:val="100"/>
          <w:position w:val="0"/>
        </w:rPr>
        <w:t>、</w:t>
        <w:tab/>
        <w:t>独立董事对相关事项发表的独立意见。</w:t>
      </w:r>
    </w:p>
    <w:sectPr>
      <w:footnotePr>
        <w:pos w:val="pageBottom"/>
        <w:numFmt w:val="decimal"/>
        <w:numRestart w:val="continuous"/>
      </w:footnotePr>
      <w:pgSz w:w="11900" w:h="16840"/>
      <w:pgMar w:top="1657" w:right="1114" w:bottom="1657"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6695440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7.20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青岛中资中程集团股份有限公司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青岛中资中程集团股份有限公司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4123055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青岛中资中程集团股份有限公司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4.65000000000003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青岛中资中程集团股份有限公司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sz w:val="70"/>
      <w:szCs w:val="7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2_"/>
    <w:basedOn w:val="DefaultParagraphFont"/>
    <w:link w:val="Style9"/>
    <w:rPr>
      <w:rFonts w:ascii="Arial" w:eastAsia="Arial" w:hAnsi="Arial" w:cs="Arial"/>
      <w:b w:val="0"/>
      <w:bCs w:val="0"/>
      <w:i w:val="0"/>
      <w:iCs w:val="0"/>
      <w:smallCaps w:val="0"/>
      <w:strike w:val="0"/>
      <w:color w:val="BE2A2F"/>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36"/>
      <w:szCs w:val="36"/>
      <w:u w:val="none"/>
      <w:shd w:val="clear" w:color="auto" w:fill="auto"/>
    </w:rPr>
  </w:style>
  <w:style w:type="character" w:customStyle="1" w:styleId="CharStyle16">
    <w:name w:val="标题 #3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4)_"/>
    <w:basedOn w:val="DefaultParagraphFont"/>
    <w:link w:val="Style18"/>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6"/>
      <w:szCs w:val="2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5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5)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sz w:val="70"/>
      <w:szCs w:val="7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2"/>
    <w:basedOn w:val="Normal"/>
    <w:link w:val="CharStyle10"/>
    <w:pPr>
      <w:widowControl w:val="0"/>
      <w:shd w:val="clear" w:color="auto" w:fill="auto"/>
      <w:spacing w:after="140"/>
      <w:jc w:val="center"/>
      <w:outlineLvl w:val="1"/>
    </w:pPr>
    <w:rPr>
      <w:rFonts w:ascii="Arial" w:eastAsia="Arial" w:hAnsi="Arial" w:cs="Arial"/>
      <w:b w:val="0"/>
      <w:bCs w:val="0"/>
      <w:i w:val="0"/>
      <w:iCs w:val="0"/>
      <w:smallCaps w:val="0"/>
      <w:strike w:val="0"/>
      <w:color w:val="BE2A2F"/>
      <w:sz w:val="32"/>
      <w:szCs w:val="32"/>
      <w:u w:val="none"/>
      <w:shd w:val="clear" w:color="auto" w:fill="auto"/>
    </w:rPr>
  </w:style>
  <w:style w:type="paragraph" w:customStyle="1" w:styleId="Style13">
    <w:name w:val="正文文本 (3)"/>
    <w:basedOn w:val="Normal"/>
    <w:link w:val="CharStyle14"/>
    <w:pPr>
      <w:widowControl w:val="0"/>
      <w:shd w:val="clear" w:color="auto" w:fill="auto"/>
      <w:spacing w:before="710"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5">
    <w:name w:val="标题 #3"/>
    <w:basedOn w:val="Normal"/>
    <w:link w:val="CharStyle16"/>
    <w:pPr>
      <w:widowControl w:val="0"/>
      <w:shd w:val="clear" w:color="auto" w:fill="auto"/>
      <w:spacing w:before="500"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4)"/>
    <w:basedOn w:val="Normal"/>
    <w:link w:val="CharStyle19"/>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4">
    <w:name w:val="目录"/>
    <w:basedOn w:val="Normal"/>
    <w:link w:val="CharStyle25"/>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7">
    <w:name w:val="其他"/>
    <w:basedOn w:val="Normal"/>
    <w:link w:val="CharStyle28"/>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4"/>
    <w:basedOn w:val="Normal"/>
    <w:link w:val="CharStyle31"/>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正文文本"/>
    <w:basedOn w:val="Normal"/>
    <w:link w:val="CharStyle35"/>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5"/>
    <w:basedOn w:val="Normal"/>
    <w:link w:val="CharStyle3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5)"/>
    <w:basedOn w:val="Normal"/>
    <w:link w:val="CharStyle46"/>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青岛中资中程集团股份有限公司2020年年度报告全文</dc:title>
  <dc:subject/>
  <dc:creator>青岛中资中程集团股份有限公司</dc:creator>
  <cp:keywords/>
</cp:coreProperties>
</file>