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3354" w:lineRule="exact"/>
        <w:ind w:left="30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6"/>
          <w:sz w:val="20"/>
          <w:szCs w:val="20"/>
        </w:rPr>
        <w:drawing>
          <wp:inline distT="0" distB="0" distL="0" distR="0">
            <wp:extent cx="2424342" cy="212979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424342" cy="2129790"/>
                    </a:xfrm>
                    <a:prstGeom prst="rect">
                      <a:avLst/>
                    </a:prstGeom>
                  </pic:spPr>
                </pic:pic>
              </a:graphicData>
            </a:graphic>
          </wp:inline>
        </w:drawing>
      </w:r>
      <w:r>
        <w:rPr>
          <w:rFonts w:ascii="Times New Roman" w:hAnsi="Times New Roman" w:cs="Times New Roman" w:eastAsia="Times New Roman" w:hint="default"/>
          <w:position w:val="-66"/>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12" w:right="312" w:firstLine="0"/>
        <w:jc w:val="center"/>
        <w:rPr>
          <w:rFonts w:ascii="宋体" w:hAnsi="宋体" w:cs="宋体" w:eastAsia="宋体" w:hint="default"/>
          <w:sz w:val="36"/>
          <w:szCs w:val="36"/>
        </w:rPr>
      </w:pPr>
      <w:r>
        <w:rPr>
          <w:rFonts w:ascii="宋体" w:hAnsi="宋体" w:cs="宋体" w:eastAsia="宋体" w:hint="default"/>
          <w:b/>
          <w:bCs/>
          <w:sz w:val="36"/>
          <w:szCs w:val="36"/>
        </w:rPr>
        <w:t>武汉金运激光股份有限公司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11" w:right="3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13" w:right="3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3" w:lineRule="auto" w:before="161"/>
        <w:ind w:left="153" w:right="15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性和完整性承担个别及连带责任。所有董事均已出席了审议本报告的董事会会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w w:val="95"/>
          <w:sz w:val="28"/>
          <w:szCs w:val="28"/>
        </w:rPr>
        <w:t>议。公司负责人梁伟、主管会计工作负责人吴光权及会计机构负责人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45"/>
          <w:w w:val="95"/>
          <w:sz w:val="28"/>
          <w:szCs w:val="28"/>
        </w:rPr>
        <w:t> </w:t>
      </w:r>
      <w:r>
        <w:rPr>
          <w:rFonts w:ascii="宋体" w:hAnsi="宋体" w:cs="宋体" w:eastAsia="宋体" w:hint="default"/>
          <w:b/>
          <w:bCs/>
          <w:spacing w:val="45"/>
          <w:w w:val="95"/>
          <w:sz w:val="28"/>
          <w:szCs w:val="28"/>
        </w:rPr>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曾亚珍声明：保证年度报告中财务报告的真实、准确、完整。</w:t>
      </w:r>
      <w:r>
        <w:rPr>
          <w:rFonts w:ascii="宋体" w:hAnsi="宋体" w:cs="宋体" w:eastAsia="宋体" w:hint="default"/>
          <w:sz w:val="28"/>
          <w:szCs w:val="28"/>
        </w:rPr>
      </w:r>
    </w:p>
    <w:p>
      <w:pPr>
        <w:spacing w:line="472" w:lineRule="auto" w:before="125"/>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公司负责人梁伟、主管会计工作负责人吴光权及会计机构负责人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曾亚珍声明：保证年度报告中财务报告的真实、准确、完整。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08" w:lineRule="auto" w:before="0"/>
        <w:ind w:left="153" w:right="15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z w:val="28"/>
          <w:szCs w:val="28"/>
        </w:rPr>
        <w:t>仍是，并应当理解计划、预测与承诺之间的差异。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3" w:right="31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173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spacing w:before="946"/>
        <w:ind w:left="313" w:right="3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5"/>
          <w:szCs w:val="15"/>
        </w:rPr>
      </w:pPr>
    </w:p>
    <w:p>
      <w:pPr>
        <w:pStyle w:val="BodyText"/>
        <w:spacing w:line="240" w:lineRule="auto"/>
        <w:ind w:left="0" w:right="157"/>
        <w:jc w:val="right"/>
      </w:pPr>
      <w:r>
        <w:rPr/>
        <w:pict>
          <v:shape style="position:absolute;margin-left:57.150002pt;margin-top:-474.00827pt;width:477.85pt;height:605.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6"/>
                    <w:gridCol w:w="970"/>
                    <w:gridCol w:w="6306"/>
                  </w:tblGrid>
                  <w:tr>
                    <w:trPr>
                      <w:trHeight w:val="402" w:hRule="exact"/>
                    </w:trPr>
                    <w:tc>
                      <w:tcPr>
                        <w:tcW w:w="22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金运激光</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武汉金盛通</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武汉金盛通投资管理有限公司</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盛兴业软件</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武汉盛兴业软件技术有限公司</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光大证券</w:t>
                        </w:r>
                        <w:r>
                          <w:rPr>
                            <w:rFonts w:ascii="Times New Roman" w:hAnsi="Times New Roman" w:cs="Times New Roman" w:eastAsia="Times New Roman" w:hint="default"/>
                            <w:sz w:val="18"/>
                            <w:szCs w:val="18"/>
                          </w:rPr>
                          <w:t>/</w:t>
                        </w: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广东信达</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发行人律师</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广东信达律师事务所</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《武汉金运激光股份有限公司章程》</w:t>
                        </w:r>
                      </w:p>
                    </w:tc>
                  </w:tr>
                  <w:tr>
                    <w:trPr>
                      <w:trHeight w:val="161" w:hRule="exact"/>
                    </w:trPr>
                    <w:tc>
                      <w:tcPr>
                        <w:tcW w:w="2266" w:type="dxa"/>
                        <w:vMerge w:val="restart"/>
                        <w:tcBorders>
                          <w:top w:val="single" w:sz="4" w:space="0" w:color="000000"/>
                          <w:left w:val="nil" w:sz="6" w:space="0" w:color="auto"/>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6" w:type="dxa"/>
                        <w:vMerge w:val="restart"/>
                        <w:tcBorders>
                          <w:top w:val="single" w:sz="4" w:space="0" w:color="000000"/>
                          <w:left w:val="single" w:sz="9" w:space="0" w:color="D2D2D2"/>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表示可以辐射到空间的电磁频率。在射频气体放电中，射频是指频率在</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10-200MHz</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范围的电磁波</w:t>
                        </w:r>
                      </w:p>
                    </w:tc>
                  </w:tr>
                  <w:tr>
                    <w:trPr>
                      <w:trHeight w:val="392" w:hRule="exact"/>
                    </w:trPr>
                    <w:tc>
                      <w:tcPr>
                        <w:tcW w:w="2266" w:type="dxa"/>
                        <w:vMerge/>
                        <w:tcBorders>
                          <w:left w:val="nil" w:sz="6" w:space="0" w:color="auto"/>
                          <w:right w:val="single" w:sz="9" w:space="0" w:color="D2D2D2"/>
                        </w:tcBorders>
                      </w:tcPr>
                      <w:p>
                        <w:pP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vMerge/>
                        <w:tcBorders>
                          <w:left w:val="single" w:sz="9" w:space="0" w:color="D2D2D2"/>
                          <w:right w:val="nil" w:sz="6" w:space="0" w:color="auto"/>
                        </w:tcBorders>
                      </w:tcPr>
                      <w:p>
                        <w:pPr/>
                      </w:p>
                    </w:tc>
                  </w:tr>
                  <w:tr>
                    <w:trPr>
                      <w:trHeight w:val="161" w:hRule="exact"/>
                    </w:trPr>
                    <w:tc>
                      <w:tcPr>
                        <w:tcW w:w="2266" w:type="dxa"/>
                        <w:vMerge/>
                        <w:tcBorders>
                          <w:left w:val="nil" w:sz="6" w:space="0" w:color="auto"/>
                          <w:bottom w:val="single" w:sz="4" w:space="0" w:color="000000"/>
                          <w:right w:val="single" w:sz="9" w:space="0" w:color="D2D2D2"/>
                        </w:tcBorders>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6" w:type="dxa"/>
                        <w:vMerge/>
                        <w:tcBorders>
                          <w:left w:val="single" w:sz="9" w:space="0" w:color="D2D2D2"/>
                          <w:bottom w:val="single" w:sz="4" w:space="0" w:color="000000"/>
                          <w:right w:val="nil" w:sz="6" w:space="0" w:color="auto"/>
                        </w:tcBorders>
                      </w:tcPr>
                      <w:p>
                        <w:pP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玻璃管激光器</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直流激励封离型二氧化碳激光器，其密封材料为玻璃</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金属管激光器</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射频激励二氧化碳激光器，其密封材料为金属</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固体激光器</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用固体激光材料作为工作物质的激光器</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玻璃管激光设备</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配置玻璃管激光器的中小功率激光切割设备</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金属管激光设备</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配置金属管激光器的中小功率激光切割设备</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固体激光设备</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配置固体激光器的中小功率激光切割设备</w:t>
                        </w:r>
                      </w:p>
                    </w:tc>
                  </w:tr>
                  <w:tr>
                    <w:trPr>
                      <w:trHeight w:val="402" w:hRule="exact"/>
                    </w:trPr>
                    <w:tc>
                      <w:tcPr>
                        <w:tcW w:w="2266"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中小功率激光切割设备</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包括玻璃管激光设备、金属管激光设备及固体激光设备</w:t>
                        </w:r>
                      </w:p>
                    </w:tc>
                  </w:tr>
                  <w:tr>
                    <w:trPr>
                      <w:trHeight w:val="317" w:hRule="exact"/>
                    </w:trPr>
                    <w:tc>
                      <w:tcPr>
                        <w:tcW w:w="2266"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激光切割</w:t>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6" w:type="dxa"/>
                        <w:vMerge w:val="restart"/>
                        <w:tcBorders>
                          <w:top w:val="single" w:sz="4" w:space="0" w:color="000000"/>
                          <w:left w:val="single" w:sz="9" w:space="0" w:color="D2D2D2"/>
                          <w:right w:val="nil" w:sz="6" w:space="0" w:color="auto"/>
                        </w:tcBorders>
                      </w:tcPr>
                      <w:p>
                        <w:pPr>
                          <w:pStyle w:val="TableParagraph"/>
                          <w:spacing w:line="316" w:lineRule="auto" w:before="51"/>
                          <w:ind w:left="28" w:right="12"/>
                          <w:jc w:val="both"/>
                          <w:rPr>
                            <w:rFonts w:ascii="宋体" w:hAnsi="宋体" w:cs="宋体" w:eastAsia="宋体" w:hint="default"/>
                            <w:sz w:val="18"/>
                            <w:szCs w:val="18"/>
                          </w:rPr>
                        </w:pPr>
                        <w:r>
                          <w:rPr>
                            <w:rFonts w:ascii="宋体" w:hAnsi="宋体" w:cs="宋体" w:eastAsia="宋体" w:hint="default"/>
                            <w:spacing w:val="-2"/>
                            <w:sz w:val="18"/>
                            <w:szCs w:val="18"/>
                          </w:rPr>
                          <w:t>激光切割是指将高功率密度的激光束聚焦后照射到被切割工件上，在极短时间内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将材料加热到极高温度，使材料熔化或气化，再用高压气体将熔化或气化物质从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切缝中吹走，以达到切割材料目的一种激光加工方式</w:t>
                        </w:r>
                      </w:p>
                    </w:tc>
                  </w:tr>
                  <w:tr>
                    <w:trPr>
                      <w:trHeight w:val="392" w:hRule="exact"/>
                    </w:trPr>
                    <w:tc>
                      <w:tcPr>
                        <w:tcW w:w="2266" w:type="dxa"/>
                        <w:vMerge/>
                        <w:tcBorders>
                          <w:left w:val="nil" w:sz="6" w:space="0" w:color="auto"/>
                          <w:right w:val="single" w:sz="9" w:space="0" w:color="D2D2D2"/>
                        </w:tcBorders>
                      </w:tcPr>
                      <w:p>
                        <w:pP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vMerge/>
                        <w:tcBorders>
                          <w:left w:val="single" w:sz="9" w:space="0" w:color="D2D2D2"/>
                          <w:right w:val="nil" w:sz="6" w:space="0" w:color="auto"/>
                        </w:tcBorders>
                      </w:tcPr>
                      <w:p>
                        <w:pPr/>
                      </w:p>
                    </w:tc>
                  </w:tr>
                  <w:tr>
                    <w:trPr>
                      <w:trHeight w:val="317" w:hRule="exact"/>
                    </w:trPr>
                    <w:tc>
                      <w:tcPr>
                        <w:tcW w:w="2266" w:type="dxa"/>
                        <w:vMerge/>
                        <w:tcBorders>
                          <w:left w:val="nil" w:sz="6" w:space="0" w:color="auto"/>
                          <w:bottom w:val="single" w:sz="4" w:space="0" w:color="000000"/>
                          <w:right w:val="single" w:sz="9" w:space="0" w:color="D2D2D2"/>
                        </w:tcBorders>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6" w:type="dxa"/>
                        <w:vMerge/>
                        <w:tcBorders>
                          <w:left w:val="single" w:sz="9" w:space="0" w:color="D2D2D2"/>
                          <w:bottom w:val="single" w:sz="4" w:space="0" w:color="000000"/>
                          <w:right w:val="nil" w:sz="6" w:space="0" w:color="auto"/>
                        </w:tcBorders>
                      </w:tcPr>
                      <w:p>
                        <w:pPr/>
                      </w:p>
                    </w:tc>
                  </w:tr>
                  <w:tr>
                    <w:trPr>
                      <w:trHeight w:val="473" w:hRule="exact"/>
                    </w:trPr>
                    <w:tc>
                      <w:tcPr>
                        <w:tcW w:w="2266"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激光标刻</w:t>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6" w:type="dxa"/>
                        <w:vMerge w:val="restart"/>
                        <w:tcBorders>
                          <w:top w:val="single" w:sz="4" w:space="0" w:color="000000"/>
                          <w:left w:val="single" w:sz="9" w:space="0" w:color="D2D2D2"/>
                          <w:right w:val="nil" w:sz="6" w:space="0" w:color="auto"/>
                        </w:tcBorders>
                      </w:tcPr>
                      <w:p>
                        <w:pPr>
                          <w:pStyle w:val="TableParagraph"/>
                          <w:spacing w:line="316" w:lineRule="auto" w:before="51"/>
                          <w:ind w:left="28" w:right="11"/>
                          <w:jc w:val="both"/>
                          <w:rPr>
                            <w:rFonts w:ascii="宋体" w:hAnsi="宋体" w:cs="宋体" w:eastAsia="宋体" w:hint="default"/>
                            <w:sz w:val="18"/>
                            <w:szCs w:val="18"/>
                          </w:rPr>
                        </w:pPr>
                        <w:r>
                          <w:rPr>
                            <w:rFonts w:ascii="宋体" w:hAnsi="宋体" w:cs="宋体" w:eastAsia="宋体" w:hint="default"/>
                            <w:spacing w:val="-2"/>
                            <w:sz w:val="18"/>
                            <w:szCs w:val="18"/>
                          </w:rPr>
                          <w:t>激光打标和激光雕刻合称为激光标刻，是利用高功率密度的激光，使材料表面局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部受到激光照射而熔融、汽化，留下永久性的标记。其中，激光打标主要是在工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件表面上蚀刻线条，在工件表面刻下线条标记，激光雕刻主要是蚀刻工件表面的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一定区域，甚至雕刻出深浅不一的效果，在工件表面上留下区域标记</w:t>
                        </w:r>
                      </w:p>
                    </w:tc>
                  </w:tr>
                  <w:tr>
                    <w:trPr>
                      <w:trHeight w:val="392" w:hRule="exact"/>
                    </w:trPr>
                    <w:tc>
                      <w:tcPr>
                        <w:tcW w:w="2266" w:type="dxa"/>
                        <w:vMerge/>
                        <w:tcBorders>
                          <w:left w:val="nil" w:sz="6" w:space="0" w:color="auto"/>
                          <w:right w:val="single" w:sz="9" w:space="0" w:color="D2D2D2"/>
                        </w:tcBorders>
                      </w:tcPr>
                      <w:p>
                        <w:pP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vMerge/>
                        <w:tcBorders>
                          <w:left w:val="single" w:sz="9" w:space="0" w:color="D2D2D2"/>
                          <w:right w:val="nil" w:sz="6" w:space="0" w:color="auto"/>
                        </w:tcBorders>
                      </w:tcPr>
                      <w:p>
                        <w:pPr/>
                      </w:p>
                    </w:tc>
                  </w:tr>
                  <w:tr>
                    <w:trPr>
                      <w:trHeight w:val="473" w:hRule="exact"/>
                    </w:trPr>
                    <w:tc>
                      <w:tcPr>
                        <w:tcW w:w="2266" w:type="dxa"/>
                        <w:vMerge/>
                        <w:tcBorders>
                          <w:left w:val="nil" w:sz="6" w:space="0" w:color="auto"/>
                          <w:bottom w:val="single" w:sz="4" w:space="0" w:color="000000"/>
                          <w:right w:val="single" w:sz="9" w:space="0" w:color="D2D2D2"/>
                        </w:tcBorders>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6" w:type="dxa"/>
                        <w:vMerge/>
                        <w:tcBorders>
                          <w:left w:val="single" w:sz="9" w:space="0" w:color="D2D2D2"/>
                          <w:bottom w:val="single" w:sz="4" w:space="0" w:color="000000"/>
                          <w:right w:val="nil" w:sz="6" w:space="0" w:color="auto"/>
                        </w:tcBorders>
                      </w:tcPr>
                      <w:p>
                        <w:pPr/>
                      </w:p>
                    </w:tc>
                  </w:tr>
                  <w:tr>
                    <w:trPr>
                      <w:trHeight w:val="317" w:hRule="exact"/>
                    </w:trPr>
                    <w:tc>
                      <w:tcPr>
                        <w:tcW w:w="2266"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激光焊接</w:t>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6" w:type="dxa"/>
                        <w:vMerge w:val="restart"/>
                        <w:tcBorders>
                          <w:top w:val="single" w:sz="4" w:space="0" w:color="000000"/>
                          <w:left w:val="single" w:sz="9" w:space="0" w:color="D2D2D2"/>
                          <w:right w:val="nil" w:sz="6" w:space="0" w:color="auto"/>
                        </w:tcBorders>
                      </w:tcPr>
                      <w:p>
                        <w:pPr>
                          <w:pStyle w:val="TableParagraph"/>
                          <w:spacing w:line="316" w:lineRule="auto" w:before="51"/>
                          <w:ind w:left="28" w:right="12"/>
                          <w:jc w:val="left"/>
                          <w:rPr>
                            <w:rFonts w:ascii="宋体" w:hAnsi="宋体" w:cs="宋体" w:eastAsia="宋体" w:hint="default"/>
                            <w:sz w:val="18"/>
                            <w:szCs w:val="18"/>
                          </w:rPr>
                        </w:pPr>
                        <w:r>
                          <w:rPr>
                            <w:rFonts w:ascii="宋体" w:hAnsi="宋体" w:cs="宋体" w:eastAsia="宋体" w:hint="default"/>
                            <w:spacing w:val="-2"/>
                            <w:sz w:val="18"/>
                            <w:szCs w:val="18"/>
                          </w:rPr>
                          <w:t>激光焊接属于传导型焊接，即激光束辐照被加工表面，其接收能量通过热传导向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内部扩散，通过控制激光功率或脉冲的脉宽、能量、峰值功率和重复频率等参数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使工件达到一定熔池深度，而表面又无明显汽化</w:t>
                        </w:r>
                      </w:p>
                    </w:tc>
                  </w:tr>
                  <w:tr>
                    <w:trPr>
                      <w:trHeight w:val="392" w:hRule="exact"/>
                    </w:trPr>
                    <w:tc>
                      <w:tcPr>
                        <w:tcW w:w="2266" w:type="dxa"/>
                        <w:vMerge/>
                        <w:tcBorders>
                          <w:left w:val="nil" w:sz="6" w:space="0" w:color="auto"/>
                          <w:right w:val="single" w:sz="9" w:space="0" w:color="D2D2D2"/>
                        </w:tcBorders>
                      </w:tcPr>
                      <w:p>
                        <w:pP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vMerge/>
                        <w:tcBorders>
                          <w:left w:val="single" w:sz="9" w:space="0" w:color="D2D2D2"/>
                          <w:right w:val="nil" w:sz="6" w:space="0" w:color="auto"/>
                        </w:tcBorders>
                      </w:tcPr>
                      <w:p>
                        <w:pPr/>
                      </w:p>
                    </w:tc>
                  </w:tr>
                  <w:tr>
                    <w:trPr>
                      <w:trHeight w:val="317" w:hRule="exact"/>
                    </w:trPr>
                    <w:tc>
                      <w:tcPr>
                        <w:tcW w:w="2266" w:type="dxa"/>
                        <w:vMerge/>
                        <w:tcBorders>
                          <w:left w:val="nil" w:sz="6" w:space="0" w:color="auto"/>
                          <w:bottom w:val="single" w:sz="4" w:space="0" w:color="000000"/>
                          <w:right w:val="single" w:sz="9" w:space="0" w:color="D2D2D2"/>
                        </w:tcBorders>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6" w:type="dxa"/>
                        <w:vMerge/>
                        <w:tcBorders>
                          <w:left w:val="single" w:sz="9" w:space="0" w:color="D2D2D2"/>
                          <w:bottom w:val="single" w:sz="4" w:space="0" w:color="000000"/>
                          <w:right w:val="nil" w:sz="6" w:space="0" w:color="auto"/>
                        </w:tcBorders>
                      </w:tcPr>
                      <w:p>
                        <w:pPr/>
                      </w:p>
                    </w:tc>
                  </w:tr>
                  <w:tr>
                    <w:trPr>
                      <w:trHeight w:val="785" w:hRule="exact"/>
                    </w:trPr>
                    <w:tc>
                      <w:tcPr>
                        <w:tcW w:w="2266"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w:t>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6" w:type="dxa"/>
                        <w:vMerge w:val="restart"/>
                        <w:tcBorders>
                          <w:top w:val="single" w:sz="4" w:space="0" w:color="000000"/>
                          <w:left w:val="single" w:sz="9" w:space="0" w:color="D2D2D2"/>
                          <w:right w:val="nil" w:sz="6" w:space="0" w:color="auto"/>
                        </w:tcBorders>
                      </w:tcPr>
                      <w:p>
                        <w:pPr>
                          <w:pStyle w:val="TableParagraph"/>
                          <w:spacing w:line="307" w:lineRule="auto" w:before="51"/>
                          <w:ind w:left="28" w:right="11"/>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3"/>
                            <w:w w:val="99"/>
                            <w:sz w:val="18"/>
                            <w:szCs w:val="18"/>
                          </w:rPr>
                          <w:t>打印技术亦被称为</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增材制造</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Additive</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9"/>
                            <w:w w:val="99"/>
                            <w:sz w:val="18"/>
                            <w:szCs w:val="18"/>
                          </w:rPr>
                          <w:t>Manufacturing</w:t>
                        </w:r>
                        <w:r>
                          <w:rPr>
                            <w:rFonts w:ascii="宋体" w:hAnsi="宋体" w:cs="宋体" w:eastAsia="宋体" w:hint="default"/>
                            <w:spacing w:val="-9"/>
                            <w:w w:val="99"/>
                            <w:sz w:val="18"/>
                            <w:szCs w:val="18"/>
                          </w:rPr>
                          <w:t>），是在现代</w:t>
                        </w:r>
                        <w:r>
                          <w:rPr>
                            <w:rFonts w:ascii="宋体" w:hAnsi="宋体" w:cs="宋体" w:eastAsia="宋体" w:hint="default"/>
                            <w:spacing w:val="-39"/>
                            <w:w w:val="99"/>
                            <w:sz w:val="18"/>
                            <w:szCs w:val="18"/>
                          </w:rPr>
                          <w:t> </w:t>
                        </w:r>
                        <w:r>
                          <w:rPr>
                            <w:rFonts w:ascii="Times New Roman" w:hAnsi="Times New Roman" w:cs="Times New Roman" w:eastAsia="Times New Roman" w:hint="default"/>
                            <w:w w:val="99"/>
                            <w:sz w:val="18"/>
                            <w:szCs w:val="18"/>
                          </w:rPr>
                          <w:t>CAD/CAM</w:t>
                        </w:r>
                        <w:r>
                          <w:rPr>
                            <w:rFonts w:ascii="Times New Roman" w:hAnsi="Times New Roman" w:cs="Times New Roman" w:eastAsia="Times New Roman" w:hint="default"/>
                            <w:spacing w:val="-42"/>
                            <w:w w:val="99"/>
                            <w:sz w:val="18"/>
                            <w:szCs w:val="18"/>
                          </w:rPr>
                          <w:t> </w:t>
                        </w:r>
                        <w:r>
                          <w:rPr>
                            <w:rFonts w:ascii="Times New Roman" w:hAnsi="Times New Roman" w:cs="Times New Roman" w:eastAsia="Times New Roman" w:hint="default"/>
                            <w:spacing w:val="-42"/>
                            <w:w w:val="99"/>
                            <w:sz w:val="18"/>
                            <w:szCs w:val="18"/>
                          </w:rPr>
                        </w:r>
                        <w:r>
                          <w:rPr>
                            <w:rFonts w:ascii="宋体" w:hAnsi="宋体" w:cs="宋体" w:eastAsia="宋体" w:hint="default"/>
                            <w:spacing w:val="-2"/>
                            <w:sz w:val="18"/>
                            <w:szCs w:val="18"/>
                          </w:rPr>
                          <w:t>技术、激光技术、计算机数控技术、精密伺服驱动技术以及新材料等技术的基础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上集成发展起来的一项数字化制造技术，其采用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分层制造，逐层叠加</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的原理直</w:t>
                        </w:r>
                        <w:r>
                          <w:rPr>
                            <w:rFonts w:ascii="宋体" w:hAnsi="宋体" w:cs="宋体" w:eastAsia="宋体" w:hint="default"/>
                            <w:spacing w:val="-73"/>
                            <w:sz w:val="18"/>
                            <w:szCs w:val="18"/>
                          </w:rPr>
                          <w:t> </w:t>
                        </w:r>
                        <w:r>
                          <w:rPr>
                            <w:rFonts w:ascii="宋体" w:hAnsi="宋体" w:cs="宋体" w:eastAsia="宋体" w:hint="default"/>
                            <w:sz w:val="18"/>
                            <w:szCs w:val="18"/>
                          </w:rPr>
                          <w:t>接将设计模型转化为三维实体，由传统制造的</w:t>
                        </w:r>
                        <w:r>
                          <w:rPr>
                            <w:rFonts w:ascii="Times New Roman" w:hAnsi="Times New Roman" w:cs="Times New Roman" w:eastAsia="Times New Roman" w:hint="default"/>
                            <w:sz w:val="18"/>
                            <w:szCs w:val="18"/>
                          </w:rPr>
                          <w:t>"</w:t>
                        </w:r>
                        <w:r>
                          <w:rPr>
                            <w:rFonts w:ascii="宋体" w:hAnsi="宋体" w:cs="宋体" w:eastAsia="宋体" w:hint="default"/>
                            <w:sz w:val="18"/>
                            <w:szCs w:val="18"/>
                          </w:rPr>
                          <w:t>去除法</w:t>
                        </w:r>
                        <w:r>
                          <w:rPr>
                            <w:rFonts w:ascii="Times New Roman" w:hAnsi="Times New Roman" w:cs="Times New Roman" w:eastAsia="Times New Roman" w:hint="default"/>
                            <w:sz w:val="18"/>
                            <w:szCs w:val="18"/>
                          </w:rPr>
                          <w:t>"</w:t>
                        </w:r>
                        <w:r>
                          <w:rPr>
                            <w:rFonts w:ascii="宋体" w:hAnsi="宋体" w:cs="宋体" w:eastAsia="宋体" w:hint="default"/>
                            <w:sz w:val="18"/>
                            <w:szCs w:val="18"/>
                          </w:rPr>
                          <w:t>转变为</w:t>
                        </w:r>
                        <w:r>
                          <w:rPr>
                            <w:rFonts w:ascii="Times New Roman" w:hAnsi="Times New Roman" w:cs="Times New Roman" w:eastAsia="Times New Roman" w:hint="default"/>
                            <w:sz w:val="18"/>
                            <w:szCs w:val="18"/>
                          </w:rPr>
                          <w:t>"</w:t>
                        </w:r>
                        <w:r>
                          <w:rPr>
                            <w:rFonts w:ascii="宋体" w:hAnsi="宋体" w:cs="宋体" w:eastAsia="宋体" w:hint="default"/>
                            <w:sz w:val="18"/>
                            <w:szCs w:val="18"/>
                          </w:rPr>
                          <w:t>增长法</w:t>
                        </w:r>
                        <w:r>
                          <w:rPr>
                            <w:rFonts w:ascii="Times New Roman" w:hAnsi="Times New Roman" w:cs="Times New Roman" w:eastAsia="Times New Roman" w:hint="default"/>
                            <w:sz w:val="18"/>
                            <w:szCs w:val="18"/>
                          </w:rPr>
                          <w:t>"</w:t>
                        </w:r>
                        <w:r>
                          <w:rPr>
                            <w:rFonts w:ascii="宋体" w:hAnsi="宋体" w:cs="宋体" w:eastAsia="宋体" w:hint="default"/>
                            <w:sz w:val="18"/>
                            <w:szCs w:val="18"/>
                          </w:rPr>
                          <w:t>，使产品 </w:t>
                        </w:r>
                        <w:r>
                          <w:rPr>
                            <w:rFonts w:ascii="宋体" w:hAnsi="宋体" w:cs="宋体" w:eastAsia="宋体" w:hint="default"/>
                            <w:spacing w:val="-2"/>
                            <w:sz w:val="18"/>
                            <w:szCs w:val="18"/>
                          </w:rPr>
                          <w:t>设计、制造的周期大大缩短，产品开发的成本大大降低，给制造业带来了颠覆性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的变化。</w:t>
                        </w:r>
                      </w:p>
                    </w:tc>
                  </w:tr>
                  <w:tr>
                    <w:trPr>
                      <w:trHeight w:val="392" w:hRule="exact"/>
                    </w:trPr>
                    <w:tc>
                      <w:tcPr>
                        <w:tcW w:w="2266" w:type="dxa"/>
                        <w:vMerge/>
                        <w:tcBorders>
                          <w:left w:val="nil" w:sz="6" w:space="0" w:color="auto"/>
                          <w:right w:val="single" w:sz="9" w:space="0" w:color="D2D2D2"/>
                        </w:tcBorders>
                      </w:tcPr>
                      <w:p>
                        <w:pP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306" w:type="dxa"/>
                        <w:vMerge/>
                        <w:tcBorders>
                          <w:left w:val="single" w:sz="9" w:space="0" w:color="D2D2D2"/>
                          <w:right w:val="nil" w:sz="6" w:space="0" w:color="auto"/>
                        </w:tcBorders>
                      </w:tcPr>
                      <w:p>
                        <w:pPr/>
                      </w:p>
                    </w:tc>
                  </w:tr>
                  <w:tr>
                    <w:trPr>
                      <w:trHeight w:val="785" w:hRule="exact"/>
                    </w:trPr>
                    <w:tc>
                      <w:tcPr>
                        <w:tcW w:w="2266" w:type="dxa"/>
                        <w:vMerge/>
                        <w:tcBorders>
                          <w:left w:val="nil" w:sz="6" w:space="0" w:color="auto"/>
                          <w:bottom w:val="single" w:sz="4" w:space="0" w:color="000000"/>
                          <w:right w:val="single" w:sz="9" w:space="0" w:color="D2D2D2"/>
                        </w:tcBorders>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6" w:type="dxa"/>
                        <w:vMerge/>
                        <w:tcBorders>
                          <w:left w:val="single" w:sz="9" w:space="0" w:color="D2D2D2"/>
                          <w:bottom w:val="single" w:sz="4" w:space="0" w:color="000000"/>
                          <w:right w:val="nil" w:sz="6" w:space="0" w:color="auto"/>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金运激光</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300220</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金运激光</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Wuhan Golden Laser Co.,</w:t>
            </w:r>
            <w:r>
              <w:rPr>
                <w:rFonts w:ascii="Times New Roman"/>
                <w:spacing w:val="-12"/>
                <w:sz w:val="18"/>
              </w:rPr>
              <w:t> </w:t>
            </w:r>
            <w:r>
              <w:rPr>
                <w:rFonts w:ascii="Times New Roman"/>
                <w:sz w:val="18"/>
              </w:rPr>
              <w:t>Ltd</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Golden</w:t>
            </w:r>
            <w:r>
              <w:rPr>
                <w:rFonts w:ascii="Times New Roman"/>
                <w:spacing w:val="-2"/>
                <w:sz w:val="18"/>
              </w:rPr>
              <w:t> </w:t>
            </w:r>
            <w:r>
              <w:rPr>
                <w:rFonts w:ascii="Times New Roman"/>
                <w:sz w:val="18"/>
              </w:rPr>
              <w:t>Laser</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http://www.goldenlaser.cn</w:t>
              </w:r>
            </w:hyperlink>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r>
      <w:tr>
        <w:trPr>
          <w:trHeight w:val="402"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9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石慧</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武汉市江岸区石桥一路金运激光大厦</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smh1399@163.com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8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8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1121"/>
        <w:gridCol w:w="1702"/>
        <w:gridCol w:w="2127"/>
        <w:gridCol w:w="1559"/>
        <w:gridCol w:w="1559"/>
        <w:gridCol w:w="1472"/>
      </w:tblGrid>
      <w:tr>
        <w:trPr>
          <w:trHeight w:val="161" w:hRule="exact"/>
        </w:trPr>
        <w:tc>
          <w:tcPr>
            <w:tcW w:w="1121" w:type="dxa"/>
            <w:tcBorders>
              <w:top w:val="single" w:sz="4" w:space="0" w:color="000000"/>
              <w:left w:val="nil" w:sz="6" w:space="0" w:color="auto"/>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3" w:right="53"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2"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1121" w:type="dxa"/>
            <w:tcBorders>
              <w:top w:val="nil" w:sz="6" w:space="0" w:color="auto"/>
              <w:left w:val="nil" w:sz="6" w:space="0" w:color="auto"/>
              <w:bottom w:val="nil" w:sz="6" w:space="0" w:color="auto"/>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59"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3"/>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47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121" w:type="dxa"/>
            <w:tcBorders>
              <w:top w:val="nil" w:sz="6" w:space="0" w:color="auto"/>
              <w:left w:val="nil" w:sz="6" w:space="0" w:color="auto"/>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2"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161" w:hRule="exact"/>
        </w:trPr>
        <w:tc>
          <w:tcPr>
            <w:tcW w:w="1121" w:type="dxa"/>
            <w:tcBorders>
              <w:top w:val="single" w:sz="4" w:space="0" w:color="000000"/>
              <w:left w:val="nil" w:sz="6" w:space="0" w:color="auto"/>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武汉市武昌区余家头劲士 工业园</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4201002134916</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420102771373833</w:t>
            </w:r>
          </w:p>
        </w:tc>
        <w:tc>
          <w:tcPr>
            <w:tcW w:w="147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392" w:hRule="exact"/>
        </w:trPr>
        <w:tc>
          <w:tcPr>
            <w:tcW w:w="11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702" w:type="dxa"/>
            <w:vMerge/>
            <w:tcBorders>
              <w:left w:val="single" w:sz="9" w:space="0" w:color="D2D2D2"/>
              <w:right w:val="single" w:sz="4" w:space="0" w:color="000000"/>
            </w:tcBorders>
          </w:tcPr>
          <w:p>
            <w:pPr/>
          </w:p>
        </w:tc>
        <w:tc>
          <w:tcPr>
            <w:tcW w:w="212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472" w:type="dxa"/>
            <w:vMerge/>
            <w:tcBorders>
              <w:left w:val="single" w:sz="4" w:space="0" w:color="000000"/>
              <w:right w:val="nil" w:sz="6" w:space="0" w:color="auto"/>
            </w:tcBorders>
          </w:tcPr>
          <w:p>
            <w:pPr/>
          </w:p>
        </w:tc>
      </w:tr>
      <w:tr>
        <w:trPr>
          <w:trHeight w:val="161" w:hRule="exact"/>
        </w:trPr>
        <w:tc>
          <w:tcPr>
            <w:tcW w:w="1121" w:type="dxa"/>
            <w:tcBorders>
              <w:top w:val="nil" w:sz="6" w:space="0" w:color="auto"/>
              <w:left w:val="nil" w:sz="6" w:space="0" w:color="auto"/>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72" w:type="dxa"/>
            <w:vMerge/>
            <w:tcBorders>
              <w:left w:val="single" w:sz="4" w:space="0" w:color="000000"/>
              <w:bottom w:val="single" w:sz="4" w:space="0" w:color="000000"/>
              <w:right w:val="nil" w:sz="6" w:space="0" w:color="auto"/>
            </w:tcBorders>
          </w:tcPr>
          <w:p>
            <w:pPr/>
          </w:p>
        </w:tc>
      </w:tr>
      <w:tr>
        <w:trPr>
          <w:trHeight w:val="714"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4201002134916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420102771373833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714"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420100000084853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420102771373833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714"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420100000084853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420102771373833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714"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420100000084853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420102771373833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714"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420100000084853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420102771373833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r>
        <w:trPr>
          <w:trHeight w:val="714"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变更登记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武汉市江岸区新江岸五村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420100000084853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420102771373833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771373833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pPr>
      <w:r>
        <w:rPr/>
        <w:t>公司是否因会计政策变更及会计差错更正等追溯调整或重述以前年度会计数据</w:t>
      </w:r>
    </w:p>
    <w:p>
      <w:pPr>
        <w:pStyle w:val="Heading4"/>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2369"/>
        <w:gridCol w:w="1228"/>
        <w:gridCol w:w="1217"/>
        <w:gridCol w:w="1218"/>
        <w:gridCol w:w="1043"/>
        <w:gridCol w:w="1276"/>
        <w:gridCol w:w="1191"/>
      </w:tblGrid>
      <w:tr>
        <w:trPr>
          <w:trHeight w:val="161" w:hRule="exact"/>
        </w:trPr>
        <w:tc>
          <w:tcPr>
            <w:tcW w:w="2369" w:type="dxa"/>
            <w:vMerge w:val="restart"/>
            <w:tcBorders>
              <w:top w:val="single" w:sz="4" w:space="0" w:color="000000"/>
              <w:left w:val="nil" w:sz="6" w:space="0" w:color="auto"/>
              <w:right w:val="single" w:sz="4" w:space="0" w:color="000000"/>
            </w:tcBorders>
            <w:shd w:val="clear" w:color="auto" w:fill="D2D2D2"/>
          </w:tcPr>
          <w:p>
            <w:pPr/>
          </w:p>
        </w:tc>
        <w:tc>
          <w:tcPr>
            <w:tcW w:w="1228" w:type="dxa"/>
            <w:vMerge w:val="restart"/>
            <w:tcBorders>
              <w:top w:val="single" w:sz="4" w:space="0" w:color="000000"/>
              <w:left w:val="single" w:sz="4" w:space="0" w:color="000000"/>
              <w:right w:val="single" w:sz="4" w:space="0" w:color="000000"/>
            </w:tcBorders>
            <w:shd w:val="clear" w:color="auto" w:fill="D2D2D2"/>
          </w:tcPr>
          <w:p>
            <w:pPr/>
          </w:p>
        </w:tc>
        <w:tc>
          <w:tcPr>
            <w:tcW w:w="24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6" w:right="65"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67" w:type="dxa"/>
            <w:gridSpan w:val="2"/>
            <w:tcBorders>
              <w:top w:val="single" w:sz="4" w:space="0" w:color="000000"/>
              <w:left w:val="single" w:sz="4" w:space="0" w:color="000000"/>
              <w:bottom w:val="nil" w:sz="6" w:space="0" w:color="auto"/>
              <w:right w:val="nil" w:sz="6" w:space="0" w:color="auto"/>
            </w:tcBorders>
            <w:shd w:val="clear" w:color="auto" w:fill="D2D2D2"/>
          </w:tcPr>
          <w:p>
            <w:pPr/>
          </w:p>
        </w:tc>
      </w:tr>
      <w:tr>
        <w:trPr>
          <w:trHeight w:val="202" w:hRule="exact"/>
        </w:trPr>
        <w:tc>
          <w:tcPr>
            <w:tcW w:w="2369" w:type="dxa"/>
            <w:vMerge/>
            <w:tcBorders>
              <w:left w:val="nil" w:sz="6" w:space="0" w:color="auto"/>
              <w:bottom w:val="nil" w:sz="6" w:space="0" w:color="auto"/>
              <w:right w:val="single" w:sz="4" w:space="0" w:color="000000"/>
            </w:tcBorders>
            <w:shd w:val="clear" w:color="auto" w:fill="D2D2D2"/>
          </w:tcPr>
          <w:p>
            <w:pPr/>
          </w:p>
        </w:tc>
        <w:tc>
          <w:tcPr>
            <w:tcW w:w="1228" w:type="dxa"/>
            <w:vMerge/>
            <w:tcBorders>
              <w:left w:val="single" w:sz="4" w:space="0" w:color="000000"/>
              <w:bottom w:val="nil" w:sz="6" w:space="0" w:color="auto"/>
              <w:right w:val="single" w:sz="4" w:space="0" w:color="000000"/>
            </w:tcBorders>
            <w:shd w:val="clear" w:color="auto" w:fill="D2D2D2"/>
          </w:tcPr>
          <w:p>
            <w:pPr/>
          </w:p>
        </w:tc>
        <w:tc>
          <w:tcPr>
            <w:tcW w:w="24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3" w:type="dxa"/>
            <w:vMerge/>
            <w:tcBorders>
              <w:left w:val="single" w:sz="4" w:space="0" w:color="000000"/>
              <w:right w:val="single" w:sz="4" w:space="0" w:color="000000"/>
            </w:tcBorders>
            <w:shd w:val="clear" w:color="auto" w:fill="D2D2D2"/>
          </w:tcPr>
          <w:p>
            <w:pPr/>
          </w:p>
        </w:tc>
        <w:tc>
          <w:tcPr>
            <w:tcW w:w="2467" w:type="dxa"/>
            <w:gridSpan w:val="2"/>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69" w:type="dxa"/>
            <w:vMerge w:val="restart"/>
            <w:tcBorders>
              <w:top w:val="nil" w:sz="6" w:space="0" w:color="auto"/>
              <w:left w:val="nil" w:sz="6" w:space="0" w:color="auto"/>
              <w:right w:val="single" w:sz="4" w:space="0" w:color="000000"/>
            </w:tcBorders>
            <w:shd w:val="clear" w:color="auto" w:fill="D2D2D2"/>
          </w:tcPr>
          <w:p>
            <w:pPr/>
          </w:p>
        </w:tc>
        <w:tc>
          <w:tcPr>
            <w:tcW w:w="12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5" w:type="dxa"/>
            <w:gridSpan w:val="2"/>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c>
          <w:tcPr>
            <w:tcW w:w="2467" w:type="dxa"/>
            <w:gridSpan w:val="2"/>
            <w:vMerge/>
            <w:tcBorders>
              <w:left w:val="single" w:sz="4" w:space="0" w:color="000000"/>
              <w:bottom w:val="nil" w:sz="6" w:space="0" w:color="auto"/>
              <w:right w:val="nil" w:sz="6" w:space="0" w:color="auto"/>
            </w:tcBorders>
            <w:shd w:val="clear" w:color="auto" w:fill="D2D2D2"/>
          </w:tcPr>
          <w:p>
            <w:pPr/>
          </w:p>
        </w:tc>
      </w:tr>
      <w:tr>
        <w:trPr>
          <w:trHeight w:val="178" w:hRule="exact"/>
        </w:trPr>
        <w:tc>
          <w:tcPr>
            <w:tcW w:w="2369" w:type="dxa"/>
            <w:vMerge/>
            <w:tcBorders>
              <w:left w:val="nil" w:sz="6" w:space="0" w:color="auto"/>
              <w:bottom w:val="single" w:sz="18" w:space="0" w:color="FFFFFF"/>
              <w:right w:val="single" w:sz="4" w:space="0" w:color="000000"/>
            </w:tcBorders>
            <w:shd w:val="clear" w:color="auto" w:fill="D2D2D2"/>
          </w:tcPr>
          <w:p>
            <w:pPr/>
          </w:p>
        </w:tc>
        <w:tc>
          <w:tcPr>
            <w:tcW w:w="1228" w:type="dxa"/>
            <w:vMerge/>
            <w:tcBorders>
              <w:left w:val="single" w:sz="4" w:space="0" w:color="000000"/>
              <w:bottom w:val="single" w:sz="18" w:space="0" w:color="FFFFFF"/>
              <w:right w:val="single" w:sz="4" w:space="0" w:color="000000"/>
            </w:tcBorders>
            <w:shd w:val="clear" w:color="auto" w:fill="D2D2D2"/>
          </w:tcPr>
          <w:p>
            <w:pPr/>
          </w:p>
        </w:tc>
        <w:tc>
          <w:tcPr>
            <w:tcW w:w="2435" w:type="dxa"/>
            <w:gridSpan w:val="2"/>
            <w:tcBorders>
              <w:top w:val="nil" w:sz="6" w:space="0" w:color="auto"/>
              <w:left w:val="single" w:sz="4" w:space="0" w:color="000000"/>
              <w:bottom w:val="single" w:sz="18" w:space="0" w:color="FFFFFF"/>
              <w:right w:val="single" w:sz="4" w:space="0" w:color="000000"/>
            </w:tcBorders>
            <w:shd w:val="clear" w:color="auto" w:fill="D2D2D2"/>
          </w:tcPr>
          <w:p>
            <w:pPr/>
          </w:p>
        </w:tc>
        <w:tc>
          <w:tcPr>
            <w:tcW w:w="1043" w:type="dxa"/>
            <w:vMerge/>
            <w:tcBorders>
              <w:left w:val="single" w:sz="4" w:space="0" w:color="000000"/>
              <w:bottom w:val="single" w:sz="18" w:space="0" w:color="FFFFFF"/>
              <w:right w:val="single" w:sz="4" w:space="0" w:color="000000"/>
            </w:tcBorders>
            <w:shd w:val="clear" w:color="auto" w:fill="D2D2D2"/>
          </w:tcPr>
          <w:p>
            <w:pPr/>
          </w:p>
        </w:tc>
        <w:tc>
          <w:tcPr>
            <w:tcW w:w="2467" w:type="dxa"/>
            <w:gridSpan w:val="2"/>
            <w:tcBorders>
              <w:top w:val="nil" w:sz="6" w:space="0" w:color="auto"/>
              <w:left w:val="single" w:sz="4" w:space="0" w:color="000000"/>
              <w:bottom w:val="single" w:sz="18" w:space="0" w:color="FFFFFF"/>
              <w:right w:val="nil" w:sz="6" w:space="0" w:color="auto"/>
            </w:tcBorders>
            <w:shd w:val="clear" w:color="auto" w:fill="D2D2D2"/>
          </w:tcPr>
          <w:p>
            <w:pPr/>
          </w:p>
        </w:tc>
      </w:tr>
      <w:tr>
        <w:trPr>
          <w:trHeight w:val="385" w:hRule="exact"/>
        </w:trPr>
        <w:tc>
          <w:tcPr>
            <w:tcW w:w="2369" w:type="dxa"/>
            <w:tcBorders>
              <w:top w:val="single" w:sz="18" w:space="0" w:color="FFFFFF"/>
              <w:left w:val="nil" w:sz="6" w:space="0" w:color="auto"/>
              <w:bottom w:val="single" w:sz="4" w:space="0" w:color="000000"/>
              <w:right w:val="single" w:sz="4" w:space="0" w:color="000000"/>
            </w:tcBorders>
            <w:shd w:val="clear" w:color="auto" w:fill="D2D2D2"/>
          </w:tcPr>
          <w:p>
            <w:pPr/>
          </w:p>
        </w:tc>
        <w:tc>
          <w:tcPr>
            <w:tcW w:w="1228"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217"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3"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2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91" w:type="dxa"/>
            <w:tcBorders>
              <w:top w:val="single" w:sz="18" w:space="0" w:color="FFFFFF"/>
              <w:left w:val="single" w:sz="4" w:space="0" w:color="000000"/>
              <w:bottom w:val="single" w:sz="4" w:space="0" w:color="000000"/>
              <w:right w:val="nil" w:sz="6" w:space="0" w:color="auto"/>
            </w:tcBorders>
            <w:shd w:val="clear" w:color="auto" w:fill="D2D2D2"/>
          </w:tcPr>
          <w:p>
            <w:pPr>
              <w:pStyle w:val="TableParagraph"/>
              <w:spacing w:line="240" w:lineRule="auto" w:before="1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192,535,822.50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158,418,192.10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158,418,192.10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143,133,702.55</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143,133,702.55</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120,544,369.92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91,838,229.34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91,838,229.34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79,217,672.09</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79,217,672.09</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1,399,818.39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6,211,163.36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6,211,163.36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11,790,064.37</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11,790,064.37</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5,841,812.60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8,497,951.47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8,497,951.47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14,913,977.34</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14,148,392.70</w:t>
            </w:r>
          </w:p>
        </w:tc>
      </w:tr>
      <w:tr>
        <w:trPr>
          <w:trHeight w:val="714"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8"/>
              <w:jc w:val="left"/>
              <w:rPr>
                <w:rFonts w:ascii="宋体" w:hAnsi="宋体" w:cs="宋体" w:eastAsia="宋体" w:hint="default"/>
                <w:sz w:val="18"/>
                <w:szCs w:val="18"/>
              </w:rPr>
            </w:pPr>
            <w:r>
              <w:rPr>
                <w:rFonts w:ascii="宋体" w:hAnsi="宋体" w:cs="宋体" w:eastAsia="宋体" w:hint="default"/>
                <w:sz w:val="18"/>
                <w:szCs w:val="18"/>
              </w:rPr>
              <w:t>归属于上市公司普通股股东 的净利润（元）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7,092,467.87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7,092,467.87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13,422,731.88</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12,771,984.94</w:t>
            </w:r>
          </w:p>
        </w:tc>
      </w:tr>
      <w:tr>
        <w:trPr>
          <w:trHeight w:val="1026"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8"/>
              <w:jc w:val="both"/>
              <w:rPr>
                <w:rFonts w:ascii="宋体" w:hAnsi="宋体" w:cs="宋体" w:eastAsia="宋体" w:hint="default"/>
                <w:sz w:val="18"/>
                <w:szCs w:val="18"/>
              </w:rPr>
            </w:pPr>
            <w:r>
              <w:rPr>
                <w:rFonts w:ascii="宋体" w:hAnsi="宋体" w:cs="宋体" w:eastAsia="宋体" w:hint="default"/>
                <w:sz w:val="18"/>
                <w:szCs w:val="18"/>
              </w:rPr>
              <w:t>归属于上市公司普通股股东 的扣除非经常性损益后的净 利润（元）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1,710,927.91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4,509,259.60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4,509,259.60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11,045,024.92</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10,394,277.98</w:t>
            </w:r>
          </w:p>
        </w:tc>
      </w:tr>
      <w:tr>
        <w:trPr>
          <w:trHeight w:val="714"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11,462,049.91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-13,207,068.05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-13,207,068.05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-14,533,473.14</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-14,533,473.14</w:t>
            </w:r>
          </w:p>
        </w:tc>
      </w:tr>
      <w:tr>
        <w:trPr>
          <w:trHeight w:val="714"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8"/>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-0.1887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-0.1887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-0.4152</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-0.4152</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0.1013</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0.3835</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0.1825</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0.1013</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0.3835</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0.1825</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5.09%</w:t>
            </w:r>
          </w:p>
        </w:tc>
      </w:tr>
      <w:tr>
        <w:trPr>
          <w:trHeight w:val="714"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88"/>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4.09%</w:t>
            </w:r>
          </w:p>
        </w:tc>
      </w:tr>
      <w:tr>
        <w:trPr>
          <w:trHeight w:val="161" w:hRule="exact"/>
        </w:trPr>
        <w:tc>
          <w:tcPr>
            <w:tcW w:w="2369" w:type="dxa"/>
            <w:vMerge w:val="restart"/>
            <w:tcBorders>
              <w:top w:val="single" w:sz="4" w:space="0" w:color="000000"/>
              <w:left w:val="nil" w:sz="6" w:space="0" w:color="auto"/>
              <w:right w:val="single" w:sz="4" w:space="0" w:color="000000"/>
            </w:tcBorders>
            <w:shd w:val="clear" w:color="auto" w:fill="D2D2D2"/>
          </w:tcPr>
          <w:p>
            <w:pPr/>
          </w:p>
        </w:tc>
        <w:tc>
          <w:tcPr>
            <w:tcW w:w="1228" w:type="dxa"/>
            <w:vMerge w:val="restart"/>
            <w:tcBorders>
              <w:top w:val="single" w:sz="4" w:space="0" w:color="000000"/>
              <w:left w:val="single" w:sz="4" w:space="0" w:color="000000"/>
              <w:right w:val="single" w:sz="4" w:space="0" w:color="000000"/>
            </w:tcBorders>
            <w:shd w:val="clear" w:color="auto" w:fill="D2D2D2"/>
          </w:tcPr>
          <w:p>
            <w:pPr/>
          </w:p>
        </w:tc>
        <w:tc>
          <w:tcPr>
            <w:tcW w:w="24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6" w:right="65"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67" w:type="dxa"/>
            <w:gridSpan w:val="2"/>
            <w:tcBorders>
              <w:top w:val="single" w:sz="4" w:space="0" w:color="000000"/>
              <w:left w:val="single" w:sz="4" w:space="0" w:color="000000"/>
              <w:bottom w:val="nil" w:sz="6" w:space="0" w:color="auto"/>
              <w:right w:val="nil" w:sz="6" w:space="0" w:color="auto"/>
            </w:tcBorders>
            <w:shd w:val="clear" w:color="auto" w:fill="D2D2D2"/>
          </w:tcPr>
          <w:p>
            <w:pPr/>
          </w:p>
        </w:tc>
      </w:tr>
      <w:tr>
        <w:trPr>
          <w:trHeight w:val="202" w:hRule="exact"/>
        </w:trPr>
        <w:tc>
          <w:tcPr>
            <w:tcW w:w="2369" w:type="dxa"/>
            <w:vMerge/>
            <w:tcBorders>
              <w:left w:val="nil" w:sz="6" w:space="0" w:color="auto"/>
              <w:bottom w:val="nil" w:sz="6" w:space="0" w:color="auto"/>
              <w:right w:val="single" w:sz="4" w:space="0" w:color="000000"/>
            </w:tcBorders>
            <w:shd w:val="clear" w:color="auto" w:fill="D2D2D2"/>
          </w:tcPr>
          <w:p>
            <w:pPr/>
          </w:p>
        </w:tc>
        <w:tc>
          <w:tcPr>
            <w:tcW w:w="1228" w:type="dxa"/>
            <w:vMerge/>
            <w:tcBorders>
              <w:left w:val="single" w:sz="4" w:space="0" w:color="000000"/>
              <w:bottom w:val="nil" w:sz="6" w:space="0" w:color="auto"/>
              <w:right w:val="single" w:sz="4" w:space="0" w:color="000000"/>
            </w:tcBorders>
            <w:shd w:val="clear" w:color="auto" w:fill="D2D2D2"/>
          </w:tcPr>
          <w:p>
            <w:pPr/>
          </w:p>
        </w:tc>
        <w:tc>
          <w:tcPr>
            <w:tcW w:w="24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43" w:type="dxa"/>
            <w:vMerge/>
            <w:tcBorders>
              <w:left w:val="single" w:sz="4" w:space="0" w:color="000000"/>
              <w:right w:val="single" w:sz="4" w:space="0" w:color="000000"/>
            </w:tcBorders>
            <w:shd w:val="clear" w:color="auto" w:fill="D2D2D2"/>
          </w:tcPr>
          <w:p>
            <w:pPr/>
          </w:p>
        </w:tc>
        <w:tc>
          <w:tcPr>
            <w:tcW w:w="2467" w:type="dxa"/>
            <w:gridSpan w:val="2"/>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69" w:type="dxa"/>
            <w:vMerge w:val="restart"/>
            <w:tcBorders>
              <w:top w:val="nil" w:sz="6" w:space="0" w:color="auto"/>
              <w:left w:val="nil" w:sz="6" w:space="0" w:color="auto"/>
              <w:right w:val="single" w:sz="4" w:space="0" w:color="000000"/>
            </w:tcBorders>
            <w:shd w:val="clear" w:color="auto" w:fill="D2D2D2"/>
          </w:tcPr>
          <w:p>
            <w:pPr/>
          </w:p>
        </w:tc>
        <w:tc>
          <w:tcPr>
            <w:tcW w:w="12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35" w:type="dxa"/>
            <w:gridSpan w:val="2"/>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c>
          <w:tcPr>
            <w:tcW w:w="2467" w:type="dxa"/>
            <w:gridSpan w:val="2"/>
            <w:vMerge/>
            <w:tcBorders>
              <w:left w:val="single" w:sz="4" w:space="0" w:color="000000"/>
              <w:bottom w:val="nil" w:sz="6" w:space="0" w:color="auto"/>
              <w:right w:val="nil" w:sz="6" w:space="0" w:color="auto"/>
            </w:tcBorders>
            <w:shd w:val="clear" w:color="auto" w:fill="D2D2D2"/>
          </w:tcPr>
          <w:p>
            <w:pPr/>
          </w:p>
        </w:tc>
      </w:tr>
      <w:tr>
        <w:trPr>
          <w:trHeight w:val="178" w:hRule="exact"/>
        </w:trPr>
        <w:tc>
          <w:tcPr>
            <w:tcW w:w="2369" w:type="dxa"/>
            <w:vMerge/>
            <w:tcBorders>
              <w:left w:val="nil" w:sz="6" w:space="0" w:color="auto"/>
              <w:bottom w:val="single" w:sz="18" w:space="0" w:color="FFFFFF"/>
              <w:right w:val="single" w:sz="4" w:space="0" w:color="000000"/>
            </w:tcBorders>
            <w:shd w:val="clear" w:color="auto" w:fill="D2D2D2"/>
          </w:tcPr>
          <w:p>
            <w:pPr/>
          </w:p>
        </w:tc>
        <w:tc>
          <w:tcPr>
            <w:tcW w:w="1228" w:type="dxa"/>
            <w:vMerge/>
            <w:tcBorders>
              <w:left w:val="single" w:sz="4" w:space="0" w:color="000000"/>
              <w:bottom w:val="single" w:sz="18" w:space="0" w:color="FFFFFF"/>
              <w:right w:val="single" w:sz="4" w:space="0" w:color="000000"/>
            </w:tcBorders>
            <w:shd w:val="clear" w:color="auto" w:fill="D2D2D2"/>
          </w:tcPr>
          <w:p>
            <w:pPr/>
          </w:p>
        </w:tc>
        <w:tc>
          <w:tcPr>
            <w:tcW w:w="2435" w:type="dxa"/>
            <w:gridSpan w:val="2"/>
            <w:tcBorders>
              <w:top w:val="nil" w:sz="6" w:space="0" w:color="auto"/>
              <w:left w:val="single" w:sz="4" w:space="0" w:color="000000"/>
              <w:bottom w:val="single" w:sz="18" w:space="0" w:color="FFFFFF"/>
              <w:right w:val="single" w:sz="4" w:space="0" w:color="000000"/>
            </w:tcBorders>
            <w:shd w:val="clear" w:color="auto" w:fill="D2D2D2"/>
          </w:tcPr>
          <w:p>
            <w:pPr/>
          </w:p>
        </w:tc>
        <w:tc>
          <w:tcPr>
            <w:tcW w:w="1043" w:type="dxa"/>
            <w:vMerge/>
            <w:tcBorders>
              <w:left w:val="single" w:sz="4" w:space="0" w:color="000000"/>
              <w:bottom w:val="single" w:sz="18" w:space="0" w:color="FFFFFF"/>
              <w:right w:val="single" w:sz="4" w:space="0" w:color="000000"/>
            </w:tcBorders>
            <w:shd w:val="clear" w:color="auto" w:fill="D2D2D2"/>
          </w:tcPr>
          <w:p>
            <w:pPr/>
          </w:p>
        </w:tc>
        <w:tc>
          <w:tcPr>
            <w:tcW w:w="2467" w:type="dxa"/>
            <w:gridSpan w:val="2"/>
            <w:tcBorders>
              <w:top w:val="nil" w:sz="6" w:space="0" w:color="auto"/>
              <w:left w:val="single" w:sz="4" w:space="0" w:color="000000"/>
              <w:bottom w:val="single" w:sz="18" w:space="0" w:color="FFFFFF"/>
              <w:right w:val="nil" w:sz="6" w:space="0" w:color="auto"/>
            </w:tcBorders>
            <w:shd w:val="clear" w:color="auto" w:fill="D2D2D2"/>
          </w:tcPr>
          <w:p>
            <w:pPr/>
          </w:p>
        </w:tc>
      </w:tr>
      <w:tr>
        <w:trPr>
          <w:trHeight w:val="385" w:hRule="exact"/>
        </w:trPr>
        <w:tc>
          <w:tcPr>
            <w:tcW w:w="2369" w:type="dxa"/>
            <w:tcBorders>
              <w:top w:val="single" w:sz="18" w:space="0" w:color="FFFFFF"/>
              <w:left w:val="nil" w:sz="6" w:space="0" w:color="auto"/>
              <w:bottom w:val="single" w:sz="4" w:space="0" w:color="000000"/>
              <w:right w:val="single" w:sz="4" w:space="0" w:color="000000"/>
            </w:tcBorders>
            <w:shd w:val="clear" w:color="auto" w:fill="D2D2D2"/>
          </w:tcPr>
          <w:p>
            <w:pPr/>
          </w:p>
        </w:tc>
        <w:tc>
          <w:tcPr>
            <w:tcW w:w="1228"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217"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43"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2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18"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91" w:type="dxa"/>
            <w:tcBorders>
              <w:top w:val="single" w:sz="18" w:space="0" w:color="FFFFFF"/>
              <w:left w:val="single" w:sz="4" w:space="0" w:color="000000"/>
              <w:bottom w:val="single" w:sz="4" w:space="0" w:color="000000"/>
              <w:right w:val="nil" w:sz="6" w:space="0" w:color="auto"/>
            </w:tcBorders>
            <w:shd w:val="clear" w:color="auto" w:fill="D2D2D2"/>
          </w:tcPr>
          <w:p>
            <w:pPr>
              <w:pStyle w:val="TableParagraph"/>
              <w:spacing w:line="240" w:lineRule="auto" w:before="1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421,855,098.61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409,620,116.26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409,620,116.26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384,991,578.37</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385,252,944.54</w:t>
            </w:r>
          </w:p>
        </w:tc>
      </w:tr>
      <w:tr>
        <w:trPr>
          <w:trHeight w:val="402"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119,381,893.91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115,959,583.95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115,959,583.95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99,253,452.19</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100,995,893.27</w:t>
            </w:r>
          </w:p>
        </w:tc>
      </w:tr>
      <w:tr>
        <w:trPr>
          <w:trHeight w:val="714" w:hRule="exact"/>
        </w:trPr>
        <w:tc>
          <w:tcPr>
            <w:tcW w:w="2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88"/>
              <w:jc w:val="left"/>
              <w:rPr>
                <w:rFonts w:ascii="宋体" w:hAnsi="宋体" w:cs="宋体" w:eastAsia="宋体" w:hint="default"/>
                <w:sz w:val="18"/>
                <w:szCs w:val="18"/>
              </w:rPr>
            </w:pPr>
            <w:r>
              <w:rPr>
                <w:rFonts w:ascii="宋体" w:hAnsi="宋体" w:cs="宋体" w:eastAsia="宋体" w:hint="default"/>
                <w:sz w:val="18"/>
                <w:szCs w:val="18"/>
              </w:rPr>
              <w:t>归属于上市公司普通股股东 的所有者权益（元）</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293,287,812.16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288,123,037.16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288,123,037.16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282,511,644.20</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281,030,569.29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217"/>
        <w:gridCol w:w="1217"/>
        <w:gridCol w:w="1218"/>
        <w:gridCol w:w="1043"/>
        <w:gridCol w:w="1276"/>
        <w:gridCol w:w="1205"/>
      </w:tblGrid>
      <w:tr>
        <w:trPr>
          <w:trHeight w:val="714" w:hRule="exact"/>
        </w:trPr>
        <w:tc>
          <w:tcPr>
            <w:tcW w:w="23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01"/>
              <w:jc w:val="left"/>
              <w:rPr>
                <w:rFonts w:ascii="宋体" w:hAnsi="宋体" w:cs="宋体" w:eastAsia="宋体" w:hint="default"/>
                <w:sz w:val="18"/>
                <w:szCs w:val="18"/>
              </w:rPr>
            </w:pPr>
            <w:r>
              <w:rPr>
                <w:rFonts w:ascii="宋体" w:hAnsi="宋体" w:cs="宋体" w:eastAsia="宋体" w:hint="default"/>
                <w:sz w:val="18"/>
                <w:szCs w:val="18"/>
              </w:rPr>
              <w:t>归属于上市公司普通股股东 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2.3277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8.0718</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8.0294</w:t>
            </w:r>
          </w:p>
        </w:tc>
      </w:tr>
      <w:tr>
        <w:trPr>
          <w:trHeight w:val="402" w:hRule="exact"/>
        </w:trPr>
        <w:tc>
          <w:tcPr>
            <w:tcW w:w="23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26.22%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30"/>
          <w:szCs w:val="30"/>
        </w:rPr>
      </w:pPr>
    </w:p>
    <w:p>
      <w:pPr>
        <w:pStyle w:val="Heading4"/>
        <w:spacing w:line="386" w:lineRule="auto"/>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公司报告期不存在按照国际会计准则与按照中国会计准则披露的财务报告中净利润和净资产差异情况。</w:t>
      </w:r>
    </w:p>
    <w:p>
      <w:pPr>
        <w:spacing w:line="240" w:lineRule="auto" w:before="0"/>
        <w:rPr>
          <w:rFonts w:ascii="宋体" w:hAnsi="宋体" w:cs="宋体" w:eastAsia="宋体" w:hint="default"/>
          <w:sz w:val="22"/>
          <w:szCs w:val="22"/>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Heading4"/>
        <w:spacing w:line="386" w:lineRule="auto"/>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980"/>
        </w:sectPr>
      </w:pPr>
    </w:p>
    <w:p>
      <w:pPr>
        <w:pStyle w:val="Heading4"/>
        <w:spacing w:line="240" w:lineRule="auto" w:before="35"/>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1762" w:space="7158"/>
            <w:col w:w="10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60"/>
        <w:jc w:val="right"/>
      </w:pPr>
      <w:r>
        <w:rPr/>
        <w:pict>
          <v:shape style="position:absolute;margin-left:57.150002pt;margin-top:-103.448273pt;width:478.5pt;height:239.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3"/>
                    <w:gridCol w:w="1240"/>
                    <w:gridCol w:w="1418"/>
                    <w:gridCol w:w="1276"/>
                    <w:gridCol w:w="2338"/>
                  </w:tblGrid>
                  <w:tr>
                    <w:trPr>
                      <w:trHeight w:val="402"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3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-81,780.79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-327,911.31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117,047.36</w:t>
                        </w: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318" w:hRule="exact"/>
                    </w:trPr>
                    <w:tc>
                      <w:tcPr>
                        <w:tcW w:w="3283" w:type="dxa"/>
                        <w:tcBorders>
                          <w:top w:val="single" w:sz="4" w:space="0" w:color="000000"/>
                          <w:left w:val="nil" w:sz="6" w:space="0" w:color="auto"/>
                          <w:bottom w:val="nil" w:sz="6" w:space="0" w:color="auto"/>
                          <w:right w:val="single" w:sz="4" w:space="0" w:color="000000"/>
                        </w:tcBorders>
                        <w:shd w:val="clear" w:color="auto" w:fill="D2D2D2"/>
                      </w:tcPr>
                      <w:p>
                        <w:pPr/>
                      </w:p>
                    </w:tc>
                    <w:tc>
                      <w:tcPr>
                        <w:tcW w:w="124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4,007,667.16</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2,798,503.78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2,687,095.55</w:t>
                        </w:r>
                      </w:p>
                    </w:tc>
                    <w:tc>
                      <w:tcPr>
                        <w:tcW w:w="2338" w:type="dxa"/>
                        <w:vMerge w:val="restart"/>
                        <w:tcBorders>
                          <w:top w:val="single" w:sz="4" w:space="0" w:color="000000"/>
                          <w:left w:val="single" w:sz="4" w:space="0" w:color="000000"/>
                          <w:right w:val="nil" w:sz="6" w:space="0" w:color="auto"/>
                        </w:tcBorders>
                      </w:tcPr>
                      <w:p>
                        <w:pPr>
                          <w:pStyle w:val="TableParagraph"/>
                          <w:spacing w:line="314" w:lineRule="auto" w:before="52"/>
                          <w:ind w:left="22" w:right="25"/>
                          <w:jc w:val="left"/>
                          <w:rPr>
                            <w:rFonts w:ascii="宋体" w:hAnsi="宋体" w:cs="宋体" w:eastAsia="宋体" w:hint="default"/>
                            <w:sz w:val="18"/>
                            <w:szCs w:val="18"/>
                          </w:rPr>
                        </w:pPr>
                        <w:r>
                          <w:rPr>
                            <w:rFonts w:ascii="宋体" w:hAnsi="宋体" w:cs="宋体" w:eastAsia="宋体" w:hint="default"/>
                            <w:spacing w:val="-5"/>
                            <w:sz w:val="18"/>
                            <w:szCs w:val="18"/>
                          </w:rPr>
                          <w:t>计入当期损益的政府补助（与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企业业务密切相关，按照国家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统一标准定额或定量享受的 政府补助除外）详见注释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营业外收入。</w:t>
                        </w:r>
                      </w:p>
                    </w:tc>
                  </w:tr>
                  <w:tr>
                    <w:trPr>
                      <w:trHeight w:val="1015" w:hRule="exact"/>
                    </w:trPr>
                    <w:tc>
                      <w:tcPr>
                        <w:tcW w:w="32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51"/>
                          <w:ind w:left="13"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240"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338" w:type="dxa"/>
                        <w:vMerge/>
                        <w:tcBorders>
                          <w:left w:val="single" w:sz="4" w:space="0" w:color="000000"/>
                          <w:right w:val="nil" w:sz="6" w:space="0" w:color="auto"/>
                        </w:tcBorders>
                      </w:tcPr>
                      <w:p>
                        <w:pPr/>
                      </w:p>
                    </w:tc>
                  </w:tr>
                  <w:tr>
                    <w:trPr>
                      <w:trHeight w:val="317" w:hRule="exact"/>
                    </w:trPr>
                    <w:tc>
                      <w:tcPr>
                        <w:tcW w:w="3283" w:type="dxa"/>
                        <w:tcBorders>
                          <w:top w:val="nil" w:sz="6" w:space="0" w:color="auto"/>
                          <w:left w:val="nil" w:sz="6" w:space="0" w:color="auto"/>
                          <w:bottom w:val="single" w:sz="4" w:space="0" w:color="000000"/>
                          <w:right w:val="single" w:sz="4" w:space="0" w:color="000000"/>
                        </w:tcBorders>
                        <w:shd w:val="clear" w:color="auto" w:fill="D2D2D2"/>
                      </w:tcPr>
                      <w:p>
                        <w:pPr/>
                      </w:p>
                    </w:tc>
                    <w:tc>
                      <w:tcPr>
                        <w:tcW w:w="1240"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nil" w:sz="6" w:space="0" w:color="auto"/>
                        </w:tcBorders>
                      </w:tcPr>
                      <w:p>
                        <w:pPr/>
                      </w:p>
                    </w:tc>
                  </w:tr>
                  <w:tr>
                    <w:trPr>
                      <w:trHeight w:val="402"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1,518,534.37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1,126,996.85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516,107.84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-316,624.87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-6,298.31</w:t>
                        </w:r>
                        <w:r>
                          <w:rPr>
                            <w:rFonts w:ascii="Times New Roman"/>
                            <w:sz w:val="18"/>
                          </w:rPr>
                        </w: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893,475.10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450,934.01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420,137.64</w:t>
                        </w: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-11,789.90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246,822.17</w:t>
                        </w:r>
                      </w:p>
                    </w:tc>
                    <w:tc>
                      <w:tcPr>
                        <w:tcW w:w="127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5,078,843.38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2,583,208.27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2,377,706.96</w:t>
                        </w:r>
                      </w:p>
                    </w:tc>
                    <w:tc>
                      <w:tcPr>
                        <w:tcW w:w="23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35"/>
        <w:ind w:left="15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非经常性损益》定义界定的非经常性损</w:t>
      </w:r>
    </w:p>
    <w:p>
      <w:pPr>
        <w:pStyle w:val="Heading4"/>
        <w:spacing w:line="386" w:lineRule="auto" w:before="177"/>
        <w:ind w:right="136"/>
        <w:jc w:val="left"/>
      </w:pPr>
      <w:r>
        <w:rPr/>
        <w:t>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Heading4"/>
        <w:spacing w:line="240" w:lineRule="auto" w:before="65"/>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pStyle w:val="Heading4"/>
        <w:spacing w:line="386" w:lineRule="auto" w:before="174"/>
        <w:ind w:right="196"/>
        <w:jc w:val="left"/>
      </w:pPr>
      <w:r>
        <w:rPr/>
        <w:t>公司报告期不存在将根据《公开发行证券的公司信息披露解释性公告第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非经常性损益》定义、列 举的非经常性损益项目界定为经常性损益的项目的情形。</w:t>
      </w:r>
    </w:p>
    <w:p>
      <w:pPr>
        <w:spacing w:line="240" w:lineRule="auto" w:before="4"/>
        <w:rPr>
          <w:rFonts w:ascii="宋体" w:hAnsi="宋体" w:cs="宋体" w:eastAsia="宋体" w:hint="default"/>
          <w:sz w:val="20"/>
          <w:szCs w:val="20"/>
        </w:rPr>
      </w:pPr>
    </w:p>
    <w:p>
      <w:pPr>
        <w:pStyle w:val="Heading2"/>
        <w:spacing w:line="240" w:lineRule="auto"/>
        <w:ind w:right="196"/>
        <w:jc w:val="left"/>
        <w:rPr>
          <w:b w:val="0"/>
          <w:bCs w:val="0"/>
        </w:rPr>
      </w:pPr>
      <w:bookmarkStart w:name="四、重大风险提示" w:id="16"/>
      <w:bookmarkEnd w:id="16"/>
      <w:r>
        <w:rPr>
          <w:b w:val="0"/>
          <w:bCs w:val="0"/>
        </w:rPr>
      </w:r>
      <w:r>
        <w:rPr/>
        <w:t>四、重大风险提示</w:t>
      </w:r>
      <w:r>
        <w:rPr>
          <w:b w:val="0"/>
          <w:bCs w:val="0"/>
        </w:rPr>
      </w:r>
    </w:p>
    <w:p>
      <w:pPr>
        <w:spacing w:line="240" w:lineRule="auto" w:before="6"/>
        <w:rPr>
          <w:rFonts w:ascii="宋体" w:hAnsi="宋体" w:cs="宋体" w:eastAsia="宋体" w:hint="default"/>
          <w:b/>
          <w:bCs/>
          <w:sz w:val="30"/>
          <w:szCs w:val="30"/>
        </w:rPr>
      </w:pPr>
    </w:p>
    <w:p>
      <w:pPr>
        <w:pStyle w:val="Heading4"/>
        <w:spacing w:line="444" w:lineRule="auto"/>
        <w:ind w:left="573" w:right="196"/>
        <w:jc w:val="left"/>
      </w:pPr>
      <w:r>
        <w:rPr/>
        <w:t>公司面临的主要风险为： </w:t>
      </w:r>
      <w:r>
        <w:rPr>
          <w:spacing w:val="-1"/>
        </w:rPr>
        <w:t>宏观经济的不确定性</w:t>
      </w:r>
      <w:r>
        <w:rPr>
          <w:rFonts w:ascii="Times New Roman" w:hAnsi="Times New Roman" w:cs="Times New Roman" w:eastAsia="Times New Roman" w:hint="default"/>
          <w:spacing w:val="-1"/>
        </w:rPr>
        <w:t>——</w:t>
      </w:r>
      <w:r>
        <w:rPr>
          <w:spacing w:val="-1"/>
        </w:rPr>
        <w:t>公司主要产品的下游行业与宏观经济景气程度密切相关，且公司客户规模均</w:t>
      </w:r>
    </w:p>
    <w:p>
      <w:pPr>
        <w:pStyle w:val="Heading4"/>
        <w:spacing w:line="253" w:lineRule="exact"/>
        <w:ind w:right="196"/>
        <w:jc w:val="left"/>
      </w:pPr>
      <w:r>
        <w:rPr/>
        <w:t>不大，抵御经济周期波动的能力较弱，</w:t>
      </w:r>
      <w:r>
        <w:rPr>
          <w:spacing w:val="-1"/>
        </w:rPr>
        <w:t> </w:t>
      </w:r>
      <w:r>
        <w:rPr/>
        <w:t>故公司所处的激光设备制造业在一定程度上也会受到国民经济周</w:t>
      </w:r>
    </w:p>
    <w:p>
      <w:pPr>
        <w:spacing w:line="240" w:lineRule="auto" w:before="11"/>
        <w:rPr>
          <w:rFonts w:ascii="宋体" w:hAnsi="宋体" w:cs="宋体" w:eastAsia="宋体" w:hint="default"/>
          <w:sz w:val="14"/>
          <w:szCs w:val="14"/>
        </w:rPr>
      </w:pPr>
    </w:p>
    <w:p>
      <w:pPr>
        <w:pStyle w:val="Heading4"/>
        <w:spacing w:line="444" w:lineRule="auto"/>
        <w:ind w:left="574" w:right="196" w:hanging="420"/>
        <w:jc w:val="left"/>
      </w:pPr>
      <w:r>
        <w:rPr/>
        <w:t>期波动的影响，存在着订单下降及退货的风险。 </w:t>
      </w:r>
      <w:r>
        <w:rPr>
          <w:spacing w:val="-1"/>
        </w:rPr>
        <w:t>激光业务项目进展不确定性</w:t>
      </w:r>
      <w:r>
        <w:rPr>
          <w:rFonts w:ascii="Times New Roman" w:hAnsi="Times New Roman" w:cs="Times New Roman" w:eastAsia="Times New Roman" w:hint="default"/>
          <w:spacing w:val="-1"/>
        </w:rPr>
        <w:t>——</w:t>
      </w:r>
      <w:r>
        <w:rPr>
          <w:spacing w:val="-1"/>
        </w:rPr>
        <w:t>公司为保持未来几年的长远快速发展，投入研发和建设培育了一批开</w:t>
      </w:r>
    </w:p>
    <w:p>
      <w:pPr>
        <w:pStyle w:val="Heading4"/>
        <w:spacing w:line="254" w:lineRule="exact"/>
        <w:ind w:right="104"/>
        <w:jc w:val="left"/>
      </w:pPr>
      <w:r>
        <w:rPr/>
        <w:t>发项目，虽然在项目立项和投入前都经过大量调研和论证，按程序审核批准，但市场经济的不确定性，不</w:t>
      </w:r>
    </w:p>
    <w:p>
      <w:pPr>
        <w:spacing w:line="240" w:lineRule="auto" w:before="11"/>
        <w:rPr>
          <w:rFonts w:ascii="宋体" w:hAnsi="宋体" w:cs="宋体" w:eastAsia="宋体" w:hint="default"/>
          <w:sz w:val="14"/>
          <w:szCs w:val="14"/>
        </w:rPr>
      </w:pPr>
    </w:p>
    <w:p>
      <w:pPr>
        <w:pStyle w:val="Heading4"/>
        <w:spacing w:line="441" w:lineRule="auto"/>
        <w:ind w:left="573" w:right="204" w:hanging="420"/>
        <w:jc w:val="left"/>
      </w:pPr>
      <w:r>
        <w:rPr/>
        <w:t>以人们的主观意愿为转移，可能出现意外情况或进展不如计划理想等情况。 </w:t>
      </w:r>
      <w:r>
        <w:rPr>
          <w:spacing w:val="-1"/>
        </w:rPr>
        <w:t>应收账款发生坏账损失的风险</w:t>
      </w:r>
      <w:r>
        <w:rPr>
          <w:rFonts w:ascii="Times New Roman" w:hAnsi="Times New Roman" w:cs="Times New Roman" w:eastAsia="Times New Roman" w:hint="default"/>
          <w:spacing w:val="-1"/>
        </w:rPr>
        <w:t>——</w:t>
      </w:r>
      <w:r>
        <w:rPr>
          <w:spacing w:val="-1"/>
        </w:rPr>
        <w:t>报告期末，公司应收账款达</w:t>
      </w:r>
      <w:r>
        <w:rPr>
          <w:rFonts w:ascii="Times New Roman" w:hAnsi="Times New Roman" w:cs="Times New Roman" w:eastAsia="Times New Roman" w:hint="default"/>
          <w:spacing w:val="-1"/>
        </w:rPr>
        <w:t>3906.51</w:t>
      </w:r>
      <w:r>
        <w:rPr>
          <w:spacing w:val="-1"/>
        </w:rPr>
        <w:t>万元，较年初增加</w:t>
      </w:r>
      <w:r>
        <w:rPr>
          <w:rFonts w:ascii="Times New Roman" w:hAnsi="Times New Roman" w:cs="Times New Roman" w:eastAsia="Times New Roman" w:hint="default"/>
          <w:spacing w:val="-1"/>
        </w:rPr>
        <w:t>46%</w:t>
      </w:r>
      <w:r>
        <w:rPr>
          <w:spacing w:val="-1"/>
        </w:rPr>
        <w:t>，若公司</w:t>
      </w:r>
    </w:p>
    <w:p>
      <w:pPr>
        <w:pStyle w:val="Heading4"/>
        <w:spacing w:line="258" w:lineRule="exact"/>
        <w:ind w:right="196"/>
        <w:jc w:val="left"/>
      </w:pPr>
      <w:r>
        <w:rPr/>
        <w:t>应收账款无法全部及时收回，将导致公司发生坏账损失的风险。</w:t>
      </w:r>
    </w:p>
    <w:p>
      <w:pPr>
        <w:spacing w:line="240" w:lineRule="auto" w:before="9"/>
        <w:rPr>
          <w:rFonts w:ascii="宋体" w:hAnsi="宋体" w:cs="宋体" w:eastAsia="宋体" w:hint="default"/>
          <w:sz w:val="17"/>
          <w:szCs w:val="17"/>
        </w:rPr>
      </w:pPr>
    </w:p>
    <w:p>
      <w:pPr>
        <w:pStyle w:val="Heading4"/>
        <w:spacing w:line="240" w:lineRule="auto"/>
        <w:ind w:left="573" w:right="196"/>
        <w:jc w:val="left"/>
      </w:pPr>
      <w:r>
        <w:rPr>
          <w:rFonts w:ascii="Times New Roman" w:hAnsi="Times New Roman" w:cs="Times New Roman" w:eastAsia="Times New Roman" w:hint="default"/>
        </w:rPr>
        <w:t>3D</w:t>
      </w:r>
      <w:r>
        <w:rPr/>
        <w:t>打印业务项目进展存在不确定性</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3D</w:t>
      </w:r>
      <w:r>
        <w:rPr/>
        <w:t>打印板块业务目前仍处于投入卡位期，互联网的意造</w:t>
      </w:r>
    </w:p>
    <w:p>
      <w:pPr>
        <w:pStyle w:val="Heading4"/>
        <w:spacing w:line="420" w:lineRule="auto" w:before="179"/>
        <w:ind w:left="573" w:right="104" w:hanging="420"/>
        <w:jc w:val="left"/>
      </w:pPr>
      <w:r>
        <w:rPr>
          <w:rFonts w:ascii="Times New Roman" w:hAnsi="Times New Roman" w:cs="Times New Roman" w:eastAsia="Times New Roman" w:hint="default"/>
          <w:spacing w:val="-4"/>
          <w:w w:val="99"/>
        </w:rPr>
        <w:t>3D</w:t>
      </w:r>
      <w:r>
        <w:rPr>
          <w:spacing w:val="-4"/>
          <w:w w:val="99"/>
        </w:rPr>
        <w:t>打印云平台虽然流量和成交量均有上升，但现阶段仍难实现盈亏平衡，短期内难以扩大收入和实现盈利。</w:t>
      </w:r>
      <w:r>
        <w:rPr>
          <w:spacing w:val="-88"/>
          <w:w w:val="99"/>
        </w:rPr>
        <w:t> </w:t>
      </w:r>
      <w:r>
        <w:rPr>
          <w:spacing w:val="-88"/>
          <w:w w:val="99"/>
        </w:rPr>
      </w:r>
      <w:r>
        <w:rPr/>
        <w:t>对此，公司主要的应对手段是采取谨慎的态度，密切跟踪外部环境和进展，努力掌握实际情况，有效</w:t>
      </w:r>
    </w:p>
    <w:p>
      <w:pPr>
        <w:pStyle w:val="Heading4"/>
        <w:spacing w:line="240" w:lineRule="auto" w:before="37"/>
        <w:ind w:right="196"/>
        <w:jc w:val="left"/>
      </w:pPr>
      <w:r>
        <w:rPr/>
        <w:t>地分析和评估风险，最大限度的控制风险。</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96"/>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96"/>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30"/>
          <w:szCs w:val="30"/>
        </w:rPr>
      </w:pPr>
    </w:p>
    <w:p>
      <w:pPr>
        <w:pStyle w:val="Heading4"/>
        <w:spacing w:line="386" w:lineRule="auto"/>
        <w:ind w:right="209" w:firstLine="420"/>
        <w:jc w:val="both"/>
      </w:pPr>
      <w:r>
        <w:rPr>
          <w:rFonts w:ascii="Times New Roman" w:hAnsi="Times New Roman" w:cs="Times New Roman" w:eastAsia="Times New Roman" w:hint="default"/>
        </w:rPr>
        <w:t>2014</w:t>
      </w:r>
      <w:r>
        <w:rPr/>
        <w:t>年，是国家全面深化改革的</w:t>
      </w:r>
      <w:r>
        <w:rPr>
          <w:rFonts w:ascii="Times New Roman" w:hAnsi="Times New Roman" w:cs="Times New Roman" w:eastAsia="Times New Roman" w:hint="default"/>
        </w:rPr>
        <w:t>“</w:t>
      </w:r>
      <w:r>
        <w:rPr/>
        <w:t>元年</w:t>
      </w:r>
      <w:r>
        <w:rPr>
          <w:rFonts w:ascii="Times New Roman" w:hAnsi="Times New Roman" w:cs="Times New Roman" w:eastAsia="Times New Roman" w:hint="default"/>
        </w:rPr>
        <w:t>”</w:t>
      </w:r>
      <w:r>
        <w:rPr/>
        <w:t>。国家层面提出</w:t>
      </w:r>
      <w:r>
        <w:rPr>
          <w:rFonts w:ascii="Times New Roman" w:hAnsi="Times New Roman" w:cs="Times New Roman" w:eastAsia="Times New Roman" w:hint="default"/>
        </w:rPr>
        <w:t>“</w:t>
      </w:r>
      <w:r>
        <w:rPr/>
        <w:t>全面深化改革</w:t>
      </w:r>
      <w:r>
        <w:rPr>
          <w:rFonts w:ascii="Times New Roman" w:hAnsi="Times New Roman" w:cs="Times New Roman" w:eastAsia="Times New Roman" w:hint="default"/>
        </w:rPr>
        <w:t>”</w:t>
      </w:r>
      <w:r>
        <w:rPr/>
        <w:t>的全新主张，突破性地为中国 </w:t>
      </w:r>
      <w:r>
        <w:rPr>
          <w:spacing w:val="2"/>
        </w:rPr>
        <w:t>改革</w:t>
      </w:r>
      <w:r>
        <w:rPr>
          <w:rFonts w:ascii="Times New Roman" w:hAnsi="Times New Roman" w:cs="Times New Roman" w:eastAsia="Times New Roman" w:hint="default"/>
          <w:spacing w:val="2"/>
        </w:rPr>
        <w:t>“</w:t>
      </w:r>
      <w:r>
        <w:rPr>
          <w:spacing w:val="2"/>
        </w:rPr>
        <w:t>升级</w:t>
      </w:r>
      <w:r>
        <w:rPr>
          <w:rFonts w:ascii="Times New Roman" w:hAnsi="Times New Roman" w:cs="Times New Roman" w:eastAsia="Times New Roman" w:hint="default"/>
          <w:spacing w:val="2"/>
        </w:rPr>
        <w:t>”</w:t>
      </w:r>
      <w:r>
        <w:rPr>
          <w:spacing w:val="2"/>
        </w:rPr>
        <w:t>。面对跌宕起伏的经济形势和中国经济发展</w:t>
      </w:r>
      <w:r>
        <w:rPr>
          <w:rFonts w:ascii="Times New Roman" w:hAnsi="Times New Roman" w:cs="Times New Roman" w:eastAsia="Times New Roman" w:hint="default"/>
          <w:spacing w:val="2"/>
        </w:rPr>
        <w:t>“</w:t>
      </w:r>
      <w:r>
        <w:rPr>
          <w:spacing w:val="2"/>
        </w:rPr>
        <w:t>新常态</w:t>
      </w:r>
      <w:r>
        <w:rPr>
          <w:rFonts w:ascii="Times New Roman" w:hAnsi="Times New Roman" w:cs="Times New Roman" w:eastAsia="Times New Roman" w:hint="default"/>
          <w:spacing w:val="2"/>
        </w:rPr>
        <w:t>”</w:t>
      </w:r>
      <w:r>
        <w:rPr>
          <w:spacing w:val="2"/>
        </w:rPr>
        <w:t>，</w:t>
      </w:r>
      <w:r>
        <w:rPr>
          <w:spacing w:val="42"/>
        </w:rPr>
        <w:t> </w:t>
      </w:r>
      <w:r>
        <w:rPr>
          <w:rFonts w:ascii="Times New Roman" w:hAnsi="Times New Roman" w:cs="Times New Roman" w:eastAsia="Times New Roman" w:hint="default"/>
        </w:rPr>
        <w:t>2014</w:t>
      </w:r>
      <w:r>
        <w:rPr/>
        <w:t>年，也是公司将创新改革在</w:t>
      </w:r>
      <w:r>
        <w:rPr>
          <w:rFonts w:ascii="Times New Roman" w:hAnsi="Times New Roman" w:cs="Times New Roman" w:eastAsia="Times New Roman" w:hint="default"/>
        </w:rPr>
        <w:t>2013</w:t>
      </w:r>
      <w:r>
        <w:rPr>
          <w:rFonts w:ascii="Times New Roman" w:hAnsi="Times New Roman" w:cs="Times New Roman" w:eastAsia="Times New Roman" w:hint="default"/>
          <w:spacing w:val="-44"/>
        </w:rPr>
        <w:t> </w:t>
      </w:r>
      <w:r>
        <w:rPr/>
        <w:t>年转型基础上全面铺开的一年。</w:t>
      </w:r>
    </w:p>
    <w:p>
      <w:pPr>
        <w:pStyle w:val="Heading4"/>
        <w:spacing w:line="386" w:lineRule="auto" w:before="65"/>
        <w:ind w:right="203" w:firstLine="420"/>
        <w:jc w:val="right"/>
      </w:pPr>
      <w:r>
        <w:rPr>
          <w:spacing w:val="-2"/>
        </w:rPr>
        <w:t>帮助传统行业转型，完成中国式的</w:t>
      </w:r>
      <w:r>
        <w:rPr>
          <w:rFonts w:ascii="Times New Roman" w:hAnsi="Times New Roman" w:cs="Times New Roman" w:eastAsia="Times New Roman" w:hint="default"/>
          <w:spacing w:val="-2"/>
        </w:rPr>
        <w:t>“</w:t>
      </w:r>
      <w:r>
        <w:rPr>
          <w:spacing w:val="-2"/>
        </w:rPr>
        <w:t>工业</w:t>
      </w:r>
      <w:r>
        <w:rPr>
          <w:rFonts w:ascii="Times New Roman" w:hAnsi="Times New Roman" w:cs="Times New Roman" w:eastAsia="Times New Roman" w:hint="default"/>
          <w:spacing w:val="-2"/>
        </w:rPr>
        <w:t>4.0”</w:t>
      </w:r>
      <w:r>
        <w:rPr>
          <w:spacing w:val="-2"/>
        </w:rPr>
        <w:t>革新是公司明确坚定的战略目标。在对行业和市场前景分</w:t>
      </w:r>
      <w:r>
        <w:rPr/>
        <w:t> </w:t>
      </w:r>
      <w:r>
        <w:rPr>
          <w:spacing w:val="-2"/>
        </w:rPr>
        <w:t>析研究的前提下，公司提出了</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制造</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的模式，并分别在激光和</w:t>
      </w:r>
      <w:r>
        <w:rPr>
          <w:rFonts w:ascii="Times New Roman" w:hAnsi="Times New Roman" w:cs="Times New Roman" w:eastAsia="Times New Roman" w:hint="default"/>
          <w:spacing w:val="-2"/>
        </w:rPr>
        <w:t>3D</w:t>
      </w:r>
      <w:r>
        <w:rPr>
          <w:spacing w:val="-2"/>
        </w:rPr>
        <w:t>打印两个方面得以推进又协同</w:t>
      </w:r>
      <w:r>
        <w:rPr>
          <w:spacing w:val="-101"/>
        </w:rPr>
        <w:t> </w:t>
      </w:r>
      <w:r>
        <w:rPr>
          <w:spacing w:val="-101"/>
        </w:rPr>
      </w:r>
      <w:r>
        <w:rPr>
          <w:spacing w:val="-1"/>
        </w:rPr>
        <w:t>发展，以达到通过</w:t>
      </w:r>
      <w:r>
        <w:rPr>
          <w:rFonts w:ascii="Times New Roman" w:hAnsi="Times New Roman" w:cs="Times New Roman" w:eastAsia="Times New Roman" w:hint="default"/>
          <w:spacing w:val="-1"/>
        </w:rPr>
        <w:t>O2O</w:t>
      </w:r>
      <w:r>
        <w:rPr>
          <w:spacing w:val="-1"/>
        </w:rPr>
        <w:t>平台方式，提供智能化定制单元和高效的生产解决方案，实现对传统行业的改造。</w:t>
      </w:r>
      <w:r>
        <w:rPr>
          <w:spacing w:val="-66"/>
        </w:rPr>
        <w:t> </w:t>
      </w:r>
      <w:r>
        <w:rPr/>
        <w:t>报告期内，公司在</w:t>
      </w:r>
      <w:r>
        <w:rPr>
          <w:rFonts w:ascii="Times New Roman" w:hAnsi="Times New Roman" w:cs="Times New Roman" w:eastAsia="Times New Roman" w:hint="default"/>
        </w:rPr>
        <w:t>“</w:t>
      </w:r>
      <w:r>
        <w:rPr/>
        <w:t>金运模式：平台</w:t>
      </w:r>
      <w:r>
        <w:rPr>
          <w:rFonts w:ascii="Times New Roman" w:hAnsi="Times New Roman" w:cs="Times New Roman" w:eastAsia="Times New Roman" w:hint="default"/>
        </w:rPr>
        <w:t>+</w:t>
      </w:r>
      <w:r>
        <w:rPr/>
        <w:t>生态圈</w:t>
      </w:r>
      <w:r>
        <w:rPr>
          <w:rFonts w:ascii="Times New Roman" w:hAnsi="Times New Roman" w:cs="Times New Roman" w:eastAsia="Times New Roman" w:hint="default"/>
        </w:rPr>
        <w:t>”</w:t>
      </w:r>
      <w:r>
        <w:rPr/>
        <w:t>的战略规划下，加快打造大型激光、</w:t>
      </w:r>
      <w:r>
        <w:rPr>
          <w:rFonts w:ascii="Times New Roman" w:hAnsi="Times New Roman" w:cs="Times New Roman" w:eastAsia="Times New Roman" w:hint="default"/>
        </w:rPr>
        <w:t>3D</w:t>
      </w:r>
      <w:r>
        <w:rPr/>
        <w:t>数字技术应用创 新平台即</w:t>
      </w:r>
      <w:r>
        <w:rPr>
          <w:spacing w:val="97"/>
        </w:rPr>
        <w:t> </w:t>
      </w:r>
      <w:r>
        <w:rPr>
          <w:rFonts w:ascii="Times New Roman" w:hAnsi="Times New Roman" w:cs="Times New Roman" w:eastAsia="Times New Roman" w:hint="default"/>
        </w:rPr>
        <w:t>“</w:t>
      </w:r>
      <w:r>
        <w:rPr/>
        <w:t>金运</w:t>
      </w:r>
      <w:r>
        <w:rPr>
          <w:rFonts w:ascii="Times New Roman" w:hAnsi="Times New Roman" w:cs="Times New Roman" w:eastAsia="Times New Roman" w:hint="default"/>
          <w:position w:val="10"/>
          <w:sz w:val="14"/>
          <w:szCs w:val="14"/>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金运</w:t>
      </w:r>
      <w:r>
        <w:rPr>
          <w:rFonts w:ascii="Times New Roman" w:hAnsi="Times New Roman" w:cs="Times New Roman" w:eastAsia="Times New Roman" w:hint="default"/>
          <w:position w:val="10"/>
          <w:sz w:val="14"/>
          <w:szCs w:val="14"/>
        </w:rPr>
        <w:t>+</w:t>
      </w:r>
      <w:r>
        <w:rPr>
          <w:rFonts w:ascii="Times New Roman" w:hAnsi="Times New Roman" w:cs="Times New Roman" w:eastAsia="Times New Roman" w:hint="default"/>
        </w:rPr>
        <w:t>”</w:t>
      </w:r>
      <w:r>
        <w:rPr/>
        <w:t>平台包含</w:t>
      </w:r>
      <w:r>
        <w:rPr>
          <w:rFonts w:ascii="Times New Roman" w:hAnsi="Times New Roman" w:cs="Times New Roman" w:eastAsia="Times New Roman" w:hint="default"/>
        </w:rPr>
        <w:t>“</w:t>
      </w:r>
      <w:r>
        <w:rPr/>
        <w:t>金运</w:t>
      </w:r>
      <w:r>
        <w:rPr>
          <w:rFonts w:ascii="Times New Roman" w:hAnsi="Times New Roman" w:cs="Times New Roman" w:eastAsia="Times New Roman" w:hint="default"/>
          <w:position w:val="10"/>
          <w:sz w:val="14"/>
          <w:szCs w:val="14"/>
        </w:rPr>
        <w:t>+</w:t>
      </w:r>
      <w:r>
        <w:rPr/>
        <w:t>激光数字技术应用创新平台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金运</w:t>
      </w:r>
      <w:r>
        <w:rPr>
          <w:rFonts w:ascii="Times New Roman" w:hAnsi="Times New Roman" w:cs="Times New Roman" w:eastAsia="Times New Roman" w:hint="default"/>
          <w:position w:val="10"/>
          <w:sz w:val="14"/>
          <w:szCs w:val="14"/>
        </w:rPr>
        <w:t>+</w:t>
      </w:r>
      <w:r>
        <w:rPr>
          <w:rFonts w:ascii="Times New Roman" w:hAnsi="Times New Roman" w:cs="Times New Roman" w:eastAsia="Times New Roman" w:hint="default"/>
        </w:rPr>
        <w:t>3D</w:t>
      </w:r>
      <w:r>
        <w:rPr/>
        <w:t>数字技术应用创新平 </w:t>
      </w:r>
      <w:r>
        <w:rPr>
          <w:spacing w:val="-1"/>
        </w:rPr>
        <w:t>台</w:t>
      </w:r>
      <w:r>
        <w:rPr>
          <w:rFonts w:ascii="Times New Roman" w:hAnsi="Times New Roman" w:cs="Times New Roman" w:eastAsia="Times New Roman" w:hint="default"/>
          <w:spacing w:val="-1"/>
        </w:rPr>
        <w:t>”</w:t>
      </w:r>
      <w:r>
        <w:rPr>
          <w:spacing w:val="-1"/>
        </w:rPr>
        <w:t>，是以数字化技术应用为核心，服务激光、</w:t>
      </w:r>
      <w:r>
        <w:rPr>
          <w:rFonts w:ascii="Times New Roman" w:hAnsi="Times New Roman" w:cs="Times New Roman" w:eastAsia="Times New Roman" w:hint="default"/>
          <w:spacing w:val="-1"/>
        </w:rPr>
        <w:t>3D</w:t>
      </w:r>
      <w:r>
        <w:rPr>
          <w:spacing w:val="-1"/>
        </w:rPr>
        <w:t>创新型企业，构建激光、</w:t>
      </w:r>
      <w:r>
        <w:rPr>
          <w:rFonts w:ascii="Times New Roman" w:hAnsi="Times New Roman" w:cs="Times New Roman" w:eastAsia="Times New Roman" w:hint="default"/>
          <w:spacing w:val="-1"/>
        </w:rPr>
        <w:t>3D</w:t>
      </w:r>
      <w:r>
        <w:rPr>
          <w:spacing w:val="-1"/>
        </w:rPr>
        <w:t>生态体系的应用平台。平台</w:t>
      </w:r>
      <w:r>
        <w:rPr>
          <w:spacing w:val="-77"/>
        </w:rPr>
        <w:t> </w:t>
      </w:r>
      <w:r>
        <w:rPr/>
        <w:t>以核心技术为主线，纵向构建产业垂直整合生态链，以应用开发为主线；横向采取硬件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服务</w:t>
      </w:r>
    </w:p>
    <w:p>
      <w:pPr>
        <w:spacing w:line="408" w:lineRule="auto" w:before="35"/>
        <w:ind w:left="576" w:right="7523" w:hanging="423"/>
        <w:jc w:val="left"/>
        <w:rPr>
          <w:rFonts w:ascii="宋体" w:hAnsi="宋体" w:cs="宋体" w:eastAsia="宋体" w:hint="default"/>
          <w:sz w:val="21"/>
          <w:szCs w:val="21"/>
        </w:rPr>
      </w:pPr>
      <w:r>
        <w:rPr>
          <w:rFonts w:ascii="宋体" w:hAnsi="宋体" w:cs="宋体" w:eastAsia="宋体" w:hint="default"/>
          <w:sz w:val="21"/>
          <w:szCs w:val="21"/>
        </w:rPr>
        <w:t>的模式，扩展行业应用。 </w:t>
      </w:r>
      <w:r>
        <w:rPr>
          <w:rFonts w:ascii="宋体" w:hAnsi="宋体" w:cs="宋体" w:eastAsia="宋体" w:hint="default"/>
          <w:b/>
          <w:bCs/>
          <w:sz w:val="21"/>
          <w:szCs w:val="21"/>
        </w:rPr>
        <w:t>激光板块方面：</w:t>
      </w:r>
      <w:r>
        <w:rPr>
          <w:rFonts w:ascii="宋体" w:hAnsi="宋体" w:cs="宋体" w:eastAsia="宋体" w:hint="default"/>
          <w:sz w:val="21"/>
          <w:szCs w:val="21"/>
        </w:rPr>
      </w:r>
    </w:p>
    <w:p>
      <w:pPr>
        <w:pStyle w:val="Heading4"/>
        <w:spacing w:line="403" w:lineRule="auto" w:before="46"/>
        <w:ind w:right="104" w:firstLine="420"/>
        <w:jc w:val="left"/>
      </w:pPr>
      <w:r>
        <w:rPr/>
        <w:t>公司管理层运用创新宏观调控的思路和方式，确保板块事业运营于合理区间，保持定力，稳中力争业 </w:t>
      </w:r>
      <w:r>
        <w:rPr>
          <w:spacing w:val="-3"/>
        </w:rPr>
        <w:t>绩增长。同时，集中精力抓住转方式、调结构不放松，利用激光行业的核心竞争力，致力于传统行业改革，</w:t>
      </w:r>
      <w:r>
        <w:rPr>
          <w:spacing w:val="-94"/>
        </w:rPr>
        <w:t> </w:t>
      </w:r>
      <w:r>
        <w:rPr>
          <w:spacing w:val="-94"/>
        </w:rPr>
      </w:r>
      <w:r>
        <w:rPr/>
        <w:t>以增强市场信心，稳定发展预期。在技术研发领域，保持</w:t>
      </w:r>
      <w:r>
        <w:rPr>
          <w:rFonts w:ascii="Times New Roman" w:hAnsi="Times New Roman" w:cs="Times New Roman" w:eastAsia="Times New Roman" w:hint="default"/>
        </w:rPr>
        <w:t>“</w:t>
      </w:r>
      <w:r>
        <w:rPr/>
        <w:t>科学技术是第一生产力</w:t>
      </w:r>
      <w:r>
        <w:rPr>
          <w:rFonts w:ascii="Times New Roman" w:hAnsi="Times New Roman" w:cs="Times New Roman" w:eastAsia="Times New Roman" w:hint="default"/>
        </w:rPr>
        <w:t>”</w:t>
      </w:r>
      <w:r>
        <w:rPr/>
        <w:t>的方针，继续大力推进 </w:t>
      </w:r>
      <w:r>
        <w:rPr>
          <w:spacing w:val="-3"/>
        </w:rPr>
        <w:t>创新驱动发展，结合</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position w:val="10"/>
          <w:sz w:val="14"/>
          <w:szCs w:val="14"/>
        </w:rPr>
        <w:t>+</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智能机器人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云端大数据</w:t>
      </w:r>
      <w:r>
        <w:rPr>
          <w:rFonts w:ascii="Times New Roman" w:hAnsi="Times New Roman" w:cs="Times New Roman" w:eastAsia="Times New Roman" w:hint="default"/>
          <w:spacing w:val="-3"/>
        </w:rPr>
        <w:t>”</w:t>
      </w:r>
      <w:r>
        <w:rPr>
          <w:spacing w:val="-3"/>
        </w:rPr>
        <w:t>等高新科技，全力开发更加数字化、自动化、</w:t>
      </w:r>
      <w:r>
        <w:rPr>
          <w:spacing w:val="-92"/>
        </w:rPr>
        <w:t> </w:t>
      </w:r>
      <w:r>
        <w:rPr>
          <w:spacing w:val="-92"/>
        </w:rPr>
      </w:r>
      <w:r>
        <w:rPr/>
        <w:t>智能化的先进激光技术。经过努力，公司在纺织服装及柔性面料等传统优势领域，继续稳固为业内的第一</w:t>
      </w:r>
      <w:r>
        <w:rPr/>
        <w:t> 品牌和领导者的地位；在激光金属加工等领域，显著提升了行业竞争力，市场份额不断增大。公司的激光 业务在报告期内全面发展，产品结构由单一设备向自动化流水生产线解决方案完美过度，为传统行业在未 来实现工业规模化，产品智能化生产奠定良好基础。</w:t>
      </w:r>
    </w:p>
    <w:p>
      <w:pPr>
        <w:pStyle w:val="Heading4"/>
        <w:spacing w:line="240" w:lineRule="auto" w:before="50"/>
        <w:ind w:left="574" w:right="196"/>
        <w:jc w:val="left"/>
      </w:pPr>
      <w:r>
        <w:rPr/>
        <w:t>报告期内，激光方面的主要工作及成果：</w:t>
      </w:r>
    </w:p>
    <w:p>
      <w:pPr>
        <w:spacing w:line="240" w:lineRule="auto" w:before="10"/>
        <w:rPr>
          <w:rFonts w:ascii="宋体" w:hAnsi="宋体" w:cs="宋体" w:eastAsia="宋体" w:hint="default"/>
          <w:sz w:val="14"/>
          <w:szCs w:val="14"/>
        </w:rPr>
      </w:pPr>
    </w:p>
    <w:p>
      <w:pPr>
        <w:pStyle w:val="Heading4"/>
        <w:spacing w:line="386" w:lineRule="auto"/>
        <w:ind w:left="574" w:right="196"/>
        <w:jc w:val="left"/>
      </w:pPr>
      <w:r>
        <w:rPr/>
        <w:t>（</w:t>
      </w:r>
      <w:r>
        <w:rPr>
          <w:rFonts w:ascii="Times New Roman" w:hAnsi="Times New Roman" w:cs="Times New Roman" w:eastAsia="Times New Roman" w:hint="default"/>
        </w:rPr>
        <w:t>1</w:t>
      </w:r>
      <w:r>
        <w:rPr/>
        <w:t>）明确符合市场发展趋势的经营目标 </w:t>
      </w:r>
      <w:r>
        <w:rPr>
          <w:spacing w:val="-1"/>
        </w:rPr>
        <w:t>面对复杂多变的国内外经济形势和激光行业的发展趋势与特点，公司管理层继续按照立足主业、适度</w:t>
      </w:r>
    </w:p>
    <w:p>
      <w:pPr>
        <w:pStyle w:val="Heading4"/>
        <w:spacing w:line="240" w:lineRule="auto" w:before="65"/>
        <w:ind w:left="0" w:right="211"/>
        <w:jc w:val="right"/>
      </w:pPr>
      <w:r>
        <w:rPr/>
        <w:t>延伸、全球视野、多业并举的思路，明确以客户需求和行业发展为基点，打造</w:t>
      </w:r>
      <w:r>
        <w:rPr>
          <w:rFonts w:ascii="Times New Roman" w:hAnsi="Times New Roman" w:cs="Times New Roman" w:eastAsia="Times New Roman" w:hint="default"/>
        </w:rPr>
        <w:t>“</w:t>
      </w:r>
      <w:r>
        <w:rPr/>
        <w:t>先进激光加工技术解决方</w:t>
      </w:r>
    </w:p>
    <w:p>
      <w:pPr>
        <w:spacing w:after="0" w:line="240" w:lineRule="auto"/>
        <w:jc w:val="righ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Heading4"/>
        <w:spacing w:line="386" w:lineRule="auto" w:before="174"/>
        <w:ind w:right="221"/>
        <w:jc w:val="both"/>
      </w:pPr>
      <w:r>
        <w:rPr/>
        <w:t>案</w:t>
      </w:r>
      <w:r>
        <w:rPr>
          <w:rFonts w:ascii="Times New Roman" w:hAnsi="Times New Roman" w:cs="Times New Roman" w:eastAsia="Times New Roman" w:hint="default"/>
        </w:rPr>
        <w:t>”</w:t>
      </w:r>
      <w:r>
        <w:rPr/>
        <w:t>的核心竞争力，逐步提高激光应用在传统行业中的影响力，占有率；利用数字化、自动化、智能化的</w:t>
      </w:r>
      <w:r>
        <w:rPr>
          <w:spacing w:val="-25"/>
        </w:rPr>
        <w:t> </w:t>
      </w:r>
      <w:r>
        <w:rPr>
          <w:spacing w:val="-25"/>
        </w:rPr>
      </w:r>
      <w:r>
        <w:rPr/>
        <w:t>产品工艺，有效的进军高端客户市场。</w:t>
      </w:r>
    </w:p>
    <w:p>
      <w:pPr>
        <w:pStyle w:val="Heading4"/>
        <w:spacing w:line="386" w:lineRule="auto" w:before="65"/>
        <w:ind w:left="573" w:right="196"/>
        <w:jc w:val="left"/>
      </w:pPr>
      <w:r>
        <w:rPr/>
        <w:t>（</w:t>
      </w:r>
      <w:r>
        <w:rPr>
          <w:rFonts w:ascii="Times New Roman" w:hAnsi="Times New Roman" w:cs="Times New Roman" w:eastAsia="Times New Roman" w:hint="default"/>
        </w:rPr>
        <w:t>2</w:t>
      </w:r>
      <w:r>
        <w:rPr/>
        <w:t>）加大管理改革的深度以促利润稳定增长 </w:t>
      </w:r>
      <w:r>
        <w:rPr>
          <w:spacing w:val="-1"/>
        </w:rPr>
        <w:t>管理层在报告期进行了公司分权式管理结构的深度优化，设立管理中心统筹共性资源利用，降低了各</w:t>
      </w:r>
    </w:p>
    <w:p>
      <w:pPr>
        <w:pStyle w:val="Heading4"/>
        <w:spacing w:line="400" w:lineRule="auto" w:before="65"/>
        <w:ind w:right="209"/>
        <w:jc w:val="both"/>
      </w:pPr>
      <w:r>
        <w:rPr>
          <w:spacing w:val="-1"/>
        </w:rPr>
        <w:t>单位之间的内耗。各单位以利润责任为核心，灵活自主适应市场变化而独立处理生产经营活动，使经营管</w:t>
      </w:r>
      <w:r>
        <w:rPr>
          <w:spacing w:val="-83"/>
        </w:rPr>
        <w:t> </w:t>
      </w:r>
      <w:r>
        <w:rPr>
          <w:spacing w:val="-83"/>
        </w:rPr>
      </w:r>
      <w:r>
        <w:rPr>
          <w:spacing w:val="-5"/>
        </w:rPr>
        <w:t>理的积极性和创造性得到发挥，从而提高了企业的整体效益。试行启用硅谷最先进的</w:t>
      </w:r>
      <w:r>
        <w:rPr>
          <w:rFonts w:ascii="Times New Roman" w:hAnsi="Times New Roman" w:cs="Times New Roman" w:eastAsia="Times New Roman" w:hint="default"/>
          <w:spacing w:val="-5"/>
        </w:rPr>
        <w:t>“</w:t>
      </w:r>
      <w:r>
        <w:rPr>
          <w:spacing w:val="-5"/>
        </w:rPr>
        <w:t>合弄制（</w:t>
      </w:r>
      <w:r>
        <w:rPr>
          <w:rFonts w:ascii="Times New Roman" w:hAnsi="Times New Roman" w:cs="Times New Roman" w:eastAsia="Times New Roman" w:hint="default"/>
          <w:spacing w:val="-5"/>
        </w:rPr>
        <w:t>Holacracy</w:t>
      </w:r>
      <w:r>
        <w:rPr>
          <w:spacing w:val="-5"/>
        </w:rPr>
        <w:t>）</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19"/>
        </w:rPr>
        <w:t> </w:t>
      </w:r>
      <w:r>
        <w:rPr>
          <w:spacing w:val="-1"/>
        </w:rPr>
        <w:t>制度，使职权更加透明化，细节化，增加了工作小组的民主性，各个员工的自主性，促使每个员工都以公</w:t>
      </w:r>
      <w:r>
        <w:rPr>
          <w:spacing w:val="-83"/>
        </w:rPr>
        <w:t> </w:t>
      </w:r>
      <w:r>
        <w:rPr>
          <w:spacing w:val="-83"/>
        </w:rPr>
      </w:r>
      <w:r>
        <w:rPr/>
        <w:t>司利益为核心，有效防止个人不当行为，保障业绩目标的实现。</w:t>
      </w:r>
    </w:p>
    <w:p>
      <w:pPr>
        <w:pStyle w:val="Heading4"/>
        <w:spacing w:line="240" w:lineRule="auto" w:before="52"/>
        <w:ind w:left="573" w:right="196"/>
        <w:jc w:val="left"/>
      </w:pPr>
      <w:r>
        <w:rPr/>
        <w:t>（</w:t>
      </w:r>
      <w:r>
        <w:rPr>
          <w:rFonts w:ascii="Times New Roman" w:hAnsi="Times New Roman" w:cs="Times New Roman" w:eastAsia="Times New Roman" w:hint="default"/>
        </w:rPr>
        <w:t>3</w:t>
      </w:r>
      <w:r>
        <w:rPr/>
        <w:t>）用技术创新去开拓市场</w:t>
      </w:r>
    </w:p>
    <w:p>
      <w:pPr>
        <w:pStyle w:val="Heading4"/>
        <w:spacing w:line="400" w:lineRule="auto" w:before="177"/>
        <w:ind w:right="210" w:firstLine="420"/>
        <w:jc w:val="both"/>
      </w:pPr>
      <w:r>
        <w:rPr>
          <w:spacing w:val="-1"/>
        </w:rPr>
        <w:t>①公司首创超长幅面</w:t>
      </w:r>
      <w:r>
        <w:rPr>
          <w:rFonts w:ascii="Times New Roman" w:hAnsi="Times New Roman" w:cs="Times New Roman" w:eastAsia="Times New Roman" w:hint="default"/>
          <w:spacing w:val="-1"/>
        </w:rPr>
        <w:t>CJG-2101100LD</w:t>
      </w:r>
      <w:r>
        <w:rPr>
          <w:spacing w:val="-1"/>
        </w:rPr>
        <w:t>激光裁床，此设备成功运用于航空地毯切割，完成大型地毯的一</w:t>
      </w:r>
      <w:r>
        <w:rPr/>
        <w:t> </w:t>
      </w:r>
      <w:r>
        <w:rPr>
          <w:spacing w:val="-1"/>
        </w:rPr>
        <w:t>次切割成型，对此类产业的切割工艺产生重大影响，几何级节省了人工成本，为公司产品的多元化领域行</w:t>
      </w:r>
      <w:r>
        <w:rPr>
          <w:spacing w:val="-83"/>
        </w:rPr>
        <w:t> </w:t>
      </w:r>
      <w:r>
        <w:rPr>
          <w:spacing w:val="-83"/>
        </w:rPr>
      </w:r>
      <w:r>
        <w:rPr>
          <w:spacing w:val="-1"/>
        </w:rPr>
        <w:t>了又一次拓张。②公司在报告期内交付了首款全跳梁结构桥架式激光绣花系统，成为国内绣花机受限制于</w:t>
      </w:r>
      <w:r>
        <w:rPr>
          <w:spacing w:val="-81"/>
        </w:rPr>
        <w:t> </w:t>
      </w:r>
      <w:r>
        <w:rPr>
          <w:spacing w:val="-81"/>
        </w:rPr>
      </w:r>
      <w:r>
        <w:rPr>
          <w:spacing w:val="-2"/>
        </w:rPr>
        <w:t>桥架长度而无法更新的最全面、有效的解决方案</w:t>
      </w:r>
      <w:r>
        <w:rPr>
          <w:rFonts w:ascii="Times New Roman" w:hAnsi="Times New Roman" w:cs="Times New Roman" w:eastAsia="Times New Roman" w:hint="default"/>
          <w:spacing w:val="-2"/>
        </w:rPr>
        <w:t>,</w:t>
      </w:r>
      <w:r>
        <w:rPr>
          <w:spacing w:val="-2"/>
        </w:rPr>
        <w:t>使公司在激光绣市场的份额继续成增长趋势，激光绣技术</w:t>
      </w:r>
      <w:r>
        <w:rPr>
          <w:spacing w:val="-87"/>
        </w:rPr>
        <w:t> </w:t>
      </w:r>
      <w:r>
        <w:rPr>
          <w:spacing w:val="-87"/>
        </w:rPr>
      </w:r>
      <w:r>
        <w:rPr>
          <w:spacing w:val="-1"/>
        </w:rPr>
        <w:t>位于行业领先位置。③经过一年左右的技术自主研发和生产制造，公司推出国内首创飞梭激光系统，以正</w:t>
      </w:r>
      <w:r>
        <w:rPr>
          <w:spacing w:val="-83"/>
        </w:rPr>
        <w:t> </w:t>
      </w:r>
      <w:r>
        <w:rPr>
          <w:spacing w:val="-83"/>
        </w:rPr>
      </w:r>
      <w:r>
        <w:rPr>
          <w:spacing w:val="-1"/>
        </w:rPr>
        <w:t>式交付东莞厂家使用。此系统填补了飞梭机在激光行业领域应用里空白，并且为后现代大规模的制造业发</w:t>
      </w:r>
      <w:r>
        <w:rPr>
          <w:spacing w:val="-81"/>
        </w:rPr>
        <w:t> </w:t>
      </w:r>
      <w:r>
        <w:rPr>
          <w:spacing w:val="-81"/>
        </w:rPr>
      </w:r>
      <w:r>
        <w:rPr/>
        <w:t>展奠定了良好的基础。④公司加大了在牛仔应用领域的投入。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月，均安激光牛仔创意创新中心成</w:t>
      </w:r>
      <w:r>
        <w:rPr>
          <w:spacing w:val="-31"/>
        </w:rPr>
        <w:t> </w:t>
      </w:r>
      <w:r>
        <w:rPr>
          <w:spacing w:val="-31"/>
        </w:rPr>
      </w:r>
      <w:r>
        <w:rPr>
          <w:spacing w:val="-1"/>
        </w:rPr>
        <w:t>立，此项目旨在为客户提供完善的产品和技术解决方案，促进产品推广和市场拓展，推动产业革新和社会</w:t>
      </w:r>
      <w:r>
        <w:rPr>
          <w:spacing w:val="-83"/>
        </w:rPr>
        <w:t> </w:t>
      </w:r>
      <w:r>
        <w:rPr>
          <w:spacing w:val="-83"/>
        </w:rPr>
      </w:r>
      <w:r>
        <w:rPr/>
        <w:t>进步。</w:t>
      </w:r>
    </w:p>
    <w:p>
      <w:pPr>
        <w:pStyle w:val="Heading4"/>
        <w:spacing w:line="386" w:lineRule="auto" w:before="52"/>
        <w:ind w:left="573" w:right="98"/>
        <w:jc w:val="left"/>
      </w:pPr>
      <w:r>
        <w:rPr/>
        <w:t>（</w:t>
      </w:r>
      <w:r>
        <w:rPr>
          <w:rFonts w:ascii="Times New Roman" w:hAnsi="Times New Roman" w:cs="Times New Roman" w:eastAsia="Times New Roman" w:hint="default"/>
        </w:rPr>
        <w:t>4</w:t>
      </w:r>
      <w:r>
        <w:rPr/>
        <w:t>）强化营销能力增加市场份额 </w:t>
      </w:r>
      <w:r>
        <w:rPr>
          <w:spacing w:val="-3"/>
        </w:rPr>
        <w:t>公司利用多种营销模式组合，使营销网络不断完善。在国际营销领域，市场扩展和销售增长稳步提高，</w:t>
      </w:r>
    </w:p>
    <w:p>
      <w:pPr>
        <w:pStyle w:val="Heading4"/>
        <w:spacing w:line="403" w:lineRule="auto" w:before="65"/>
        <w:ind w:right="207"/>
        <w:jc w:val="both"/>
      </w:pPr>
      <w:r>
        <w:rPr>
          <w:spacing w:val="-1"/>
        </w:rPr>
        <w:t>固定客户和销售区域在全球范围不断扩大。与此同时，公司积极构建更稳定、更快捷的国际服务体系，为</w:t>
      </w:r>
      <w:r>
        <w:rPr>
          <w:spacing w:val="-85"/>
        </w:rPr>
        <w:t> </w:t>
      </w:r>
      <w:r>
        <w:rPr>
          <w:spacing w:val="-85"/>
        </w:rPr>
      </w:r>
      <w:r>
        <w:rPr>
          <w:spacing w:val="-1"/>
        </w:rPr>
        <w:t>持续增长的国际市场提供更坚实的基础和后盾。在国内营销领域，营销渠道进一步拓展，服务体系全面得</w:t>
      </w:r>
      <w:r>
        <w:rPr>
          <w:spacing w:val="-83"/>
        </w:rPr>
        <w:t> </w:t>
      </w:r>
      <w:r>
        <w:rPr>
          <w:spacing w:val="-83"/>
        </w:rPr>
      </w:r>
      <w:r>
        <w:rPr/>
        <w:t>到完善。公司下属的武汉维拓光纤技术有限公司搬迁至东西湖基地，此基地的生产及办公面积超过</w:t>
      </w:r>
      <w:r>
        <w:rPr>
          <w:rFonts w:ascii="Times New Roman" w:hAnsi="Times New Roman" w:cs="Times New Roman" w:eastAsia="Times New Roman" w:hint="default"/>
        </w:rPr>
        <w:t>2</w:t>
      </w:r>
      <w:r>
        <w:rPr/>
        <w:t>万平</w:t>
      </w:r>
      <w:r>
        <w:rPr>
          <w:spacing w:val="-23"/>
        </w:rPr>
        <w:t> </w:t>
      </w:r>
      <w:r>
        <w:rPr>
          <w:spacing w:val="-1"/>
        </w:rPr>
        <w:t>方米。经过努力，公司在光纤切割领域获得进一步的战略成功，产品模式更加稳定化、系统化，营销市场</w:t>
      </w:r>
      <w:r>
        <w:rPr>
          <w:spacing w:val="-83"/>
        </w:rPr>
        <w:t> </w:t>
      </w:r>
      <w:r>
        <w:rPr>
          <w:spacing w:val="-83"/>
        </w:rPr>
      </w:r>
      <w:r>
        <w:rPr/>
        <w:t>从边缘逐渐过渡到行业核心区域。</w:t>
      </w:r>
    </w:p>
    <w:p>
      <w:pPr>
        <w:pStyle w:val="Heading4"/>
        <w:spacing w:line="386" w:lineRule="auto" w:before="50"/>
        <w:ind w:left="573" w:right="196"/>
        <w:jc w:val="left"/>
      </w:pPr>
      <w:r>
        <w:rPr/>
        <w:t>（</w:t>
      </w:r>
      <w:r>
        <w:rPr>
          <w:rFonts w:ascii="Times New Roman" w:hAnsi="Times New Roman" w:cs="Times New Roman" w:eastAsia="Times New Roman" w:hint="default"/>
        </w:rPr>
        <w:t>5</w:t>
      </w:r>
      <w:r>
        <w:rPr/>
        <w:t>）重视人才队伍建设 </w:t>
      </w:r>
      <w:r>
        <w:rPr>
          <w:spacing w:val="-1"/>
        </w:rPr>
        <w:t>公司鼓励员工在平台进行内部创业，管理一个企业或单位以及全部经营运作。这种方式可以弥补经营</w:t>
      </w:r>
    </w:p>
    <w:p>
      <w:pPr>
        <w:pStyle w:val="Heading4"/>
        <w:spacing w:line="398" w:lineRule="auto" w:before="65"/>
        <w:ind w:right="212"/>
        <w:jc w:val="both"/>
      </w:pPr>
      <w:r>
        <w:rPr>
          <w:spacing w:val="-1"/>
        </w:rPr>
        <w:t>管理者在市场运作、观察和应变的不足。通过创业团队，公司正在快速地培养管理人才，加快对客户需求</w:t>
      </w:r>
      <w:r>
        <w:rPr>
          <w:spacing w:val="-86"/>
        </w:rPr>
        <w:t> </w:t>
      </w:r>
      <w:r>
        <w:rPr>
          <w:spacing w:val="-86"/>
        </w:rPr>
      </w:r>
      <w:r>
        <w:rPr/>
        <w:t>的反应速度和队伍调整，并逐步建立了对行业认识深刻、内部管理简单、凝聚力强的</w:t>
      </w:r>
      <w:r>
        <w:rPr>
          <w:rFonts w:ascii="Times New Roman" w:hAnsi="Times New Roman" w:cs="Times New Roman" w:eastAsia="Times New Roman" w:hint="default"/>
        </w:rPr>
        <w:t>“</w:t>
      </w:r>
      <w:r>
        <w:rPr/>
        <w:t>小而美、小而精</w:t>
      </w:r>
      <w:r>
        <w:rPr>
          <w:rFonts w:ascii="Times New Roman" w:hAnsi="Times New Roman" w:cs="Times New Roman" w:eastAsia="Times New Roman" w:hint="default"/>
        </w:rPr>
        <w:t>”</w:t>
      </w:r>
      <w:r>
        <w:rPr/>
        <w:t>的 团体。营销人员在提升营销技能有实效的情况下可以转型为销售工程师，培养营销高端人才。</w:t>
      </w:r>
    </w:p>
    <w:p>
      <w:pPr>
        <w:spacing w:after="0" w:line="398" w:lineRule="auto"/>
        <w:jc w:val="both"/>
        <w:sectPr>
          <w:footerReference w:type="default" r:id="rId13"/>
          <w:pgSz w:w="11910" w:h="16840"/>
          <w:pgMar w:footer="979" w:header="747" w:top="1060" w:bottom="1160" w:left="980" w:right="920"/>
          <w:pgNumType w:start="11"/>
        </w:sectPr>
      </w:pPr>
    </w:p>
    <w:p>
      <w:pPr>
        <w:spacing w:line="240" w:lineRule="auto" w:before="0"/>
        <w:rPr>
          <w:rFonts w:ascii="宋体" w:hAnsi="宋体" w:cs="宋体" w:eastAsia="宋体" w:hint="default"/>
          <w:sz w:val="20"/>
          <w:szCs w:val="20"/>
        </w:rPr>
      </w:pPr>
    </w:p>
    <w:p>
      <w:pPr>
        <w:pStyle w:val="Heading3"/>
        <w:spacing w:line="240" w:lineRule="auto" w:before="174"/>
        <w:ind w:left="576" w:right="196"/>
        <w:jc w:val="left"/>
        <w:rPr>
          <w:b w:val="0"/>
          <w:bCs w:val="0"/>
        </w:rPr>
      </w:pPr>
      <w:r>
        <w:rPr>
          <w:rFonts w:ascii="Times New Roman" w:hAnsi="Times New Roman" w:cs="Times New Roman" w:eastAsia="Times New Roman" w:hint="default"/>
        </w:rPr>
        <w:t>3D</w:t>
      </w:r>
      <w:r>
        <w:rPr/>
        <w:t>打印板块方面：</w:t>
      </w:r>
      <w:r>
        <w:rPr>
          <w:b w:val="0"/>
          <w:bCs w:val="0"/>
        </w:rPr>
      </w:r>
    </w:p>
    <w:p>
      <w:pPr>
        <w:pStyle w:val="Heading4"/>
        <w:spacing w:line="386" w:lineRule="auto" w:before="177"/>
        <w:ind w:right="212"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w:t>
      </w:r>
      <w:r>
        <w:rPr/>
        <w:t>是公司</w:t>
      </w:r>
      <w:r>
        <w:rPr>
          <w:rFonts w:ascii="Times New Roman" w:hAnsi="Times New Roman" w:cs="Times New Roman" w:eastAsia="Times New Roman" w:hint="default"/>
        </w:rPr>
        <w:t>3D</w:t>
      </w:r>
      <w:r>
        <w:rPr/>
        <w:t>打印战略布局全面展开落实并快速发展的一年。公司从资金、投资、合作、人力资 </w:t>
      </w:r>
      <w:r>
        <w:rPr>
          <w:spacing w:val="-2"/>
        </w:rPr>
        <w:t>源等各个方向强有力地推进</w:t>
      </w:r>
      <w:r>
        <w:rPr>
          <w:rFonts w:ascii="Times New Roman" w:hAnsi="Times New Roman" w:cs="Times New Roman" w:eastAsia="Times New Roman" w:hint="default"/>
          <w:spacing w:val="-2"/>
        </w:rPr>
        <w:t>3D</w:t>
      </w:r>
      <w:r>
        <w:rPr>
          <w:spacing w:val="-2"/>
        </w:rPr>
        <w:t>业务的发展和行业卡位。此外，公司加强了对控股子公司武汉落地创意文化</w:t>
      </w:r>
      <w:r>
        <w:rPr>
          <w:spacing w:val="-83"/>
        </w:rPr>
        <w:t> </w:t>
      </w:r>
      <w:r>
        <w:rPr>
          <w:spacing w:val="-83"/>
        </w:rPr>
      </w:r>
      <w:r>
        <w:rPr/>
        <w:t>传播有限公司（以下简称</w:t>
      </w:r>
      <w:r>
        <w:rPr>
          <w:rFonts w:ascii="Times New Roman" w:hAnsi="Times New Roman" w:cs="Times New Roman" w:eastAsia="Times New Roman" w:hint="default"/>
        </w:rPr>
        <w:t>“</w:t>
      </w:r>
      <w:r>
        <w:rPr/>
        <w:t>武汉落地创意</w:t>
      </w:r>
      <w:r>
        <w:rPr>
          <w:rFonts w:ascii="Times New Roman" w:hAnsi="Times New Roman" w:cs="Times New Roman" w:eastAsia="Times New Roman" w:hint="default"/>
        </w:rPr>
        <w:t>”</w:t>
      </w:r>
      <w:r>
        <w:rPr/>
        <w:t>）的管理，使其围绕公司整体规划快速开展经营投资业务，发展 态势良好。</w:t>
      </w:r>
    </w:p>
    <w:p>
      <w:pPr>
        <w:pStyle w:val="Heading4"/>
        <w:spacing w:line="386" w:lineRule="auto" w:before="65"/>
        <w:ind w:left="574" w:right="196" w:firstLine="420"/>
        <w:jc w:val="left"/>
      </w:pPr>
      <w:r>
        <w:rPr/>
        <w:t>（</w:t>
      </w:r>
      <w:r>
        <w:rPr>
          <w:rFonts w:ascii="Times New Roman" w:hAnsi="Times New Roman" w:cs="Times New Roman" w:eastAsia="Times New Roman" w:hint="default"/>
        </w:rPr>
        <w:t>1</w:t>
      </w:r>
      <w:r>
        <w:rPr/>
        <w:t>）运用多种融资方式储备发展资金 报告期内，公司与湖北省高新技术产业投资有限公司共同发起设立总规模为</w:t>
      </w:r>
      <w:r>
        <w:rPr>
          <w:rFonts w:ascii="Times New Roman" w:hAnsi="Times New Roman" w:cs="Times New Roman" w:eastAsia="Times New Roman" w:hint="default"/>
        </w:rPr>
        <w:t>5</w:t>
      </w:r>
      <w:r>
        <w:rPr/>
        <w:t>亿元的湖北高投金运激</w:t>
      </w:r>
    </w:p>
    <w:p>
      <w:pPr>
        <w:pStyle w:val="Heading4"/>
        <w:spacing w:line="386" w:lineRule="auto" w:before="35"/>
        <w:ind w:right="104"/>
        <w:jc w:val="left"/>
      </w:pPr>
      <w:r>
        <w:rPr>
          <w:spacing w:val="-4"/>
        </w:rPr>
        <w:t>光产业投资基金（有限合伙），投资于激光、</w:t>
      </w:r>
      <w:r>
        <w:rPr>
          <w:rFonts w:ascii="Times New Roman" w:hAnsi="Times New Roman" w:cs="Times New Roman" w:eastAsia="Times New Roman" w:hint="default"/>
          <w:spacing w:val="-4"/>
        </w:rPr>
        <w:t>3D</w:t>
      </w:r>
      <w:r>
        <w:rPr>
          <w:spacing w:val="-4"/>
        </w:rPr>
        <w:t>打印等数字化加工设备等领域及新商业模式的项目或企业，</w:t>
      </w:r>
      <w:r>
        <w:rPr>
          <w:spacing w:val="-89"/>
        </w:rPr>
        <w:t> </w:t>
      </w:r>
      <w:r>
        <w:rPr/>
        <w:t>为并购扩张做培育。</w:t>
      </w:r>
    </w:p>
    <w:p>
      <w:pPr>
        <w:pStyle w:val="Heading4"/>
        <w:spacing w:line="386" w:lineRule="auto" w:before="65"/>
        <w:ind w:right="211" w:firstLine="420"/>
        <w:jc w:val="both"/>
      </w:pPr>
      <w:r>
        <w:rPr/>
        <w:t>在通过设立产业投资基金之外，公司利用资本市场融资优势，非公开发行拟募集不超过</w:t>
      </w:r>
      <w:r>
        <w:rPr>
          <w:rFonts w:ascii="Times New Roman" w:hAnsi="Times New Roman" w:cs="Times New Roman" w:eastAsia="Times New Roman" w:hint="default"/>
        </w:rPr>
        <w:t>3</w:t>
      </w:r>
      <w:r>
        <w:rPr/>
        <w:t>亿元的资金 用以补充公司流动资金，未来主要用于发展</w:t>
      </w:r>
      <w:r>
        <w:rPr>
          <w:rFonts w:ascii="Times New Roman" w:hAnsi="Times New Roman" w:cs="Times New Roman" w:eastAsia="Times New Roman" w:hint="default"/>
        </w:rPr>
        <w:t>3D</w:t>
      </w:r>
      <w:r>
        <w:rPr/>
        <w:t>平台和生态圈建设。</w:t>
      </w:r>
    </w:p>
    <w:p>
      <w:pPr>
        <w:pStyle w:val="Heading4"/>
        <w:spacing w:line="386" w:lineRule="auto" w:before="35"/>
        <w:ind w:left="573" w:right="196"/>
        <w:jc w:val="left"/>
      </w:pPr>
      <w:r>
        <w:rPr/>
        <w:t>（</w:t>
      </w:r>
      <w:r>
        <w:rPr>
          <w:rFonts w:ascii="Times New Roman" w:hAnsi="Times New Roman" w:cs="Times New Roman" w:eastAsia="Times New Roman" w:hint="default"/>
        </w:rPr>
        <w:t>2</w:t>
      </w:r>
      <w:r>
        <w:rPr/>
        <w:t>）针对性投资以积累市场、技术及人才等优势 </w:t>
      </w:r>
      <w:r>
        <w:rPr>
          <w:spacing w:val="-1"/>
        </w:rPr>
        <w:t>公司使用自有资金在香港投资成立高汇科技（香港）有限责任公司，有利于公司未来实现产品和服务</w:t>
      </w:r>
    </w:p>
    <w:p>
      <w:pPr>
        <w:pStyle w:val="Heading4"/>
        <w:spacing w:line="408" w:lineRule="auto" w:before="65"/>
        <w:ind w:right="196"/>
        <w:jc w:val="left"/>
      </w:pPr>
      <w:r>
        <w:rPr>
          <w:spacing w:val="-1"/>
        </w:rPr>
        <w:t>国际市场，优化供应链管理，促进技术、信息、人才系统建设，加快公司国际化步伐；并且为境外投资并</w:t>
      </w:r>
      <w:r>
        <w:rPr>
          <w:spacing w:val="-83"/>
        </w:rPr>
        <w:t> </w:t>
      </w:r>
      <w:r>
        <w:rPr>
          <w:spacing w:val="-83"/>
        </w:rPr>
      </w:r>
      <w:r>
        <w:rPr/>
        <w:t>购和利用境外资本奠定了组织平台。</w:t>
      </w:r>
    </w:p>
    <w:p>
      <w:pPr>
        <w:pStyle w:val="Heading4"/>
        <w:spacing w:line="408" w:lineRule="auto" w:before="46"/>
        <w:ind w:right="211" w:firstLine="420"/>
        <w:jc w:val="both"/>
      </w:pPr>
      <w:r>
        <w:rPr>
          <w:spacing w:val="-1"/>
        </w:rPr>
        <w:t>投资基金在成立之后不久，便以增资的方式向苏州德龙激光股份有限公司进行了投资，开始积累项目</w:t>
      </w:r>
      <w:r>
        <w:rPr/>
        <w:t> 资源。</w:t>
      </w:r>
    </w:p>
    <w:p>
      <w:pPr>
        <w:pStyle w:val="Heading4"/>
        <w:spacing w:line="408" w:lineRule="auto" w:before="46"/>
        <w:ind w:right="214" w:firstLine="420"/>
        <w:jc w:val="both"/>
      </w:pPr>
      <w:r>
        <w:rPr/>
        <w:t>公司控股子公司武汉落地创意与中山市古镇镇生产力促进中心、</w:t>
      </w:r>
      <w:r>
        <w:rPr>
          <w:spacing w:val="70"/>
        </w:rPr>
        <w:t> </w:t>
      </w:r>
      <w:r>
        <w:rPr/>
        <w:t>武汉大学技术转移中心在广东省中</w:t>
      </w:r>
      <w:r>
        <w:rPr/>
        <w:t> 山市古镇镇共同构建 </w:t>
      </w:r>
      <w:r>
        <w:rPr>
          <w:rFonts w:ascii="Times New Roman" w:hAnsi="Times New Roman" w:cs="Times New Roman" w:eastAsia="Times New Roman" w:hint="default"/>
        </w:rPr>
        <w:t>3D  </w:t>
      </w:r>
      <w:r>
        <w:rPr/>
        <w:t>打印创新服务平台，将 </w:t>
      </w:r>
      <w:r>
        <w:rPr>
          <w:rFonts w:ascii="Times New Roman" w:hAnsi="Times New Roman" w:cs="Times New Roman" w:eastAsia="Times New Roman" w:hint="default"/>
        </w:rPr>
        <w:t>3D</w:t>
      </w:r>
      <w:r>
        <w:rPr>
          <w:rFonts w:ascii="Times New Roman" w:hAnsi="Times New Roman" w:cs="Times New Roman" w:eastAsia="Times New Roman" w:hint="default"/>
          <w:spacing w:val="47"/>
        </w:rPr>
        <w:t> </w:t>
      </w:r>
      <w:r>
        <w:rPr/>
        <w:t>打印技术应用于灯具市场的拓展。</w:t>
      </w:r>
    </w:p>
    <w:p>
      <w:pPr>
        <w:pStyle w:val="Heading4"/>
        <w:spacing w:line="240" w:lineRule="auto" w:before="14"/>
        <w:ind w:left="573" w:right="196"/>
        <w:jc w:val="left"/>
      </w:pPr>
      <w:r>
        <w:rPr/>
        <w:t>（</w:t>
      </w:r>
      <w:r>
        <w:rPr>
          <w:rFonts w:ascii="Times New Roman" w:hAnsi="Times New Roman" w:cs="Times New Roman" w:eastAsia="Times New Roman" w:hint="default"/>
        </w:rPr>
        <w:t>3</w:t>
      </w:r>
      <w:r>
        <w:rPr/>
        <w:t>）通过合作方式整合优质资源</w:t>
      </w:r>
    </w:p>
    <w:p>
      <w:pPr>
        <w:pStyle w:val="Heading4"/>
        <w:spacing w:line="398" w:lineRule="auto" w:before="177"/>
        <w:ind w:right="210" w:firstLine="420"/>
        <w:jc w:val="both"/>
      </w:pPr>
      <w:r>
        <w:rPr>
          <w:rFonts w:ascii="Times New Roman" w:hAnsi="Times New Roman" w:cs="Times New Roman" w:eastAsia="Times New Roman" w:hint="default"/>
          <w:spacing w:val="-1"/>
        </w:rPr>
        <w:t>2014</w:t>
      </w:r>
      <w:r>
        <w:rPr>
          <w:spacing w:val="-1"/>
        </w:rPr>
        <w:t>年，公司与南京理工大学在</w:t>
      </w:r>
      <w:r>
        <w:rPr>
          <w:rFonts w:ascii="Times New Roman" w:hAnsi="Times New Roman" w:cs="Times New Roman" w:eastAsia="Times New Roman" w:hint="default"/>
          <w:spacing w:val="-1"/>
        </w:rPr>
        <w:t>“3D</w:t>
      </w:r>
      <w:r>
        <w:rPr>
          <w:spacing w:val="-1"/>
        </w:rPr>
        <w:t>打印技术在火药领域应用技术的研究</w:t>
      </w:r>
      <w:r>
        <w:rPr>
          <w:rFonts w:ascii="Times New Roman" w:hAnsi="Times New Roman" w:cs="Times New Roman" w:eastAsia="Times New Roman" w:hint="default"/>
          <w:spacing w:val="-1"/>
        </w:rPr>
        <w:t>”</w:t>
      </w:r>
      <w:r>
        <w:rPr>
          <w:spacing w:val="-1"/>
        </w:rPr>
        <w:t>形成战略合作伙伴关系，通</w:t>
      </w:r>
      <w:r>
        <w:rPr/>
        <w:t> </w:t>
      </w:r>
      <w:r>
        <w:rPr>
          <w:spacing w:val="-1"/>
        </w:rPr>
        <w:t>过含能材料打印成型技术的研究及火药打印设备的开发，为将来运用到军工和民用方面做好技术支撑和行</w:t>
      </w:r>
      <w:r>
        <w:rPr>
          <w:spacing w:val="-81"/>
        </w:rPr>
        <w:t> </w:t>
      </w:r>
      <w:r>
        <w:rPr>
          <w:spacing w:val="-81"/>
        </w:rPr>
      </w:r>
      <w:r>
        <w:rPr/>
        <w:t>业卡位。</w:t>
      </w:r>
    </w:p>
    <w:p>
      <w:pPr>
        <w:pStyle w:val="Heading4"/>
        <w:spacing w:line="386" w:lineRule="auto" w:before="54"/>
        <w:ind w:right="104" w:firstLine="420"/>
        <w:jc w:val="left"/>
      </w:pPr>
      <w:r>
        <w:rPr/>
        <w:t>为了加强线下</w:t>
      </w:r>
      <w:r>
        <w:rPr>
          <w:rFonts w:ascii="Times New Roman" w:hAnsi="Times New Roman" w:cs="Times New Roman" w:eastAsia="Times New Roman" w:hint="default"/>
        </w:rPr>
        <w:t>“</w:t>
      </w:r>
      <w:r>
        <w:rPr/>
        <w:t>云工厂</w:t>
      </w:r>
      <w:r>
        <w:rPr>
          <w:rFonts w:ascii="Times New Roman" w:hAnsi="Times New Roman" w:cs="Times New Roman" w:eastAsia="Times New Roman" w:hint="default"/>
        </w:rPr>
        <w:t>”</w:t>
      </w:r>
      <w:r>
        <w:rPr/>
        <w:t>的生产、设备、技术及管理等综合能力，公司控股子公司武汉落地创意与</w:t>
      </w:r>
      <w:r>
        <w:rPr>
          <w:rFonts w:ascii="Times New Roman" w:hAnsi="Times New Roman" w:cs="Times New Roman" w:eastAsia="Times New Roman" w:hint="default"/>
        </w:rPr>
        <w:t>3D</w:t>
      </w:r>
      <w:r>
        <w:rPr/>
        <w:t>打 印行业世界知名的美国</w:t>
      </w:r>
      <w:r>
        <w:rPr>
          <w:rFonts w:ascii="Times New Roman" w:hAnsi="Times New Roman" w:cs="Times New Roman" w:eastAsia="Times New Roman" w:hint="default"/>
        </w:rPr>
        <w:t>stratasys</w:t>
      </w:r>
      <w:r>
        <w:rPr/>
        <w:t>中国区公司邀杰贸易（上海）有限公司签署战略合作框架协议，将充分利</w:t>
      </w:r>
      <w:r>
        <w:rPr>
          <w:spacing w:val="-26"/>
        </w:rPr>
        <w:t> </w:t>
      </w:r>
      <w:r>
        <w:rPr>
          <w:spacing w:val="-26"/>
        </w:rPr>
      </w:r>
      <w:r>
        <w:rPr>
          <w:spacing w:val="-3"/>
        </w:rPr>
        <w:t>用各自的技术及资源优势强强联合，紧密合作为广大企业用户提供先进的</w:t>
      </w:r>
      <w:r>
        <w:rPr/>
        <w:t> </w:t>
      </w:r>
      <w:r>
        <w:rPr>
          <w:rFonts w:ascii="Times New Roman" w:hAnsi="Times New Roman" w:cs="Times New Roman" w:eastAsia="Times New Roman" w:hint="default"/>
          <w:w w:val="99"/>
        </w:rPr>
        <w:t>3D</w:t>
      </w:r>
      <w:r>
        <w:rPr>
          <w:rFonts w:ascii="Times New Roman" w:hAnsi="Times New Roman" w:cs="Times New Roman" w:eastAsia="Times New Roman" w:hint="default"/>
          <w:spacing w:val="12"/>
          <w:w w:val="99"/>
        </w:rPr>
        <w:t> </w:t>
      </w:r>
      <w:r>
        <w:rPr>
          <w:spacing w:val="-7"/>
        </w:rPr>
        <w:t>打印技术，设备及相关服务；</w:t>
      </w:r>
      <w:r>
        <w:rPr/>
        <w:t> 双方将通过业务合作与创新，扩大 </w:t>
      </w:r>
      <w:r>
        <w:rPr>
          <w:rFonts w:ascii="Times New Roman" w:hAnsi="Times New Roman" w:cs="Times New Roman" w:eastAsia="Times New Roman" w:hint="default"/>
        </w:rPr>
        <w:t>3D</w:t>
      </w:r>
      <w:r>
        <w:rPr>
          <w:rFonts w:ascii="Times New Roman" w:hAnsi="Times New Roman" w:cs="Times New Roman" w:eastAsia="Times New Roman" w:hint="default"/>
          <w:spacing w:val="22"/>
        </w:rPr>
        <w:t> </w:t>
      </w:r>
      <w:r>
        <w:rPr/>
        <w:t>打印在先进制造领域的应用范围，为线上</w:t>
      </w:r>
      <w:r>
        <w:rPr>
          <w:rFonts w:ascii="Times New Roman" w:hAnsi="Times New Roman" w:cs="Times New Roman" w:eastAsia="Times New Roman" w:hint="default"/>
        </w:rPr>
        <w:t>“</w:t>
      </w:r>
      <w:r>
        <w:rPr/>
        <w:t>云平台</w:t>
      </w:r>
      <w:r>
        <w:rPr>
          <w:rFonts w:ascii="Times New Roman" w:hAnsi="Times New Roman" w:cs="Times New Roman" w:eastAsia="Times New Roman" w:hint="default"/>
        </w:rPr>
        <w:t>”</w:t>
      </w:r>
      <w:r>
        <w:rPr/>
        <w:t>实现柔性生产打 造坚实的后端实力。</w:t>
      </w:r>
    </w:p>
    <w:p>
      <w:pPr>
        <w:pStyle w:val="Heading4"/>
        <w:spacing w:line="386" w:lineRule="auto" w:before="65"/>
        <w:ind w:left="574" w:right="196"/>
        <w:jc w:val="left"/>
      </w:pPr>
      <w:r>
        <w:rPr/>
        <w:t>（</w:t>
      </w:r>
      <w:r>
        <w:rPr>
          <w:rFonts w:ascii="Times New Roman" w:hAnsi="Times New Roman" w:cs="Times New Roman" w:eastAsia="Times New Roman" w:hint="default"/>
        </w:rPr>
        <w:t>4</w:t>
      </w:r>
      <w:r>
        <w:rPr/>
        <w:t>）积极激励以着力打造创新型团队 </w:t>
      </w:r>
      <w:r>
        <w:rPr>
          <w:spacing w:val="-1"/>
        </w:rPr>
        <w:t>创新型企业必须组建专业化、创意性的团队，人才的引进和使用已成其为公司打造核心竞争力的重要</w:t>
      </w:r>
    </w:p>
    <w:p>
      <w:pPr>
        <w:spacing w:after="0" w:line="386"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Heading4"/>
        <w:spacing w:line="408" w:lineRule="auto" w:before="174"/>
        <w:ind w:right="196"/>
        <w:jc w:val="left"/>
      </w:pPr>
      <w:r>
        <w:rPr>
          <w:spacing w:val="-1"/>
        </w:rPr>
        <w:t>方面。为了凝聚员工，吸引高端人才并让他们在公司的发展中共同实现个人的发展和价值，公司在报告期</w:t>
      </w:r>
      <w:r>
        <w:rPr>
          <w:spacing w:val="-83"/>
        </w:rPr>
        <w:t> </w:t>
      </w:r>
      <w:r>
        <w:rPr>
          <w:spacing w:val="-83"/>
        </w:rPr>
      </w:r>
      <w:r>
        <w:rPr/>
        <w:t>即积极研究员工持股计划，并于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月推出了第一期员工持股计划草案。</w:t>
      </w:r>
    </w:p>
    <w:p>
      <w:pPr>
        <w:pStyle w:val="Heading4"/>
        <w:spacing w:line="386" w:lineRule="auto" w:before="14"/>
        <w:ind w:right="104" w:firstLine="420"/>
        <w:jc w:val="left"/>
      </w:pPr>
      <w:r>
        <w:rPr/>
        <w:t>公司加强了人力资源的管理，以对</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物联网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w:t>
      </w:r>
      <w:r>
        <w:rPr/>
        <w:t>，</w:t>
      </w:r>
      <w:r>
        <w:rPr>
          <w:rFonts w:ascii="Times New Roman" w:hAnsi="Times New Roman" w:cs="Times New Roman" w:eastAsia="Times New Roman" w:hint="default"/>
        </w:rPr>
        <w:t>“O2O”</w:t>
      </w:r>
      <w:r>
        <w:rPr/>
        <w:t>等新兴应用的</w:t>
      </w:r>
      <w:r>
        <w:rPr>
          <w:w w:val="99"/>
        </w:rPr>
        <w:t> </w:t>
      </w:r>
      <w:r>
        <w:rPr>
          <w:spacing w:val="-3"/>
        </w:rPr>
        <w:t>充分理解，有步骤、有针对性的为公司不断引进了网络平台、市场推广等方面的核心技术人才和高端人才。</w:t>
      </w:r>
    </w:p>
    <w:p>
      <w:pPr>
        <w:pStyle w:val="Heading4"/>
        <w:spacing w:line="240" w:lineRule="auto" w:before="65"/>
        <w:ind w:left="573" w:right="196"/>
        <w:jc w:val="left"/>
      </w:pPr>
      <w:r>
        <w:rPr/>
        <w:t>（</w:t>
      </w:r>
      <w:r>
        <w:rPr>
          <w:rFonts w:ascii="Times New Roman" w:hAnsi="Times New Roman" w:cs="Times New Roman" w:eastAsia="Times New Roman" w:hint="default"/>
        </w:rPr>
        <w:t>5</w:t>
      </w:r>
      <w:r>
        <w:rPr/>
        <w:t>）公司控股子公司武汉落地创意的经营情况</w:t>
      </w:r>
    </w:p>
    <w:p>
      <w:pPr>
        <w:pStyle w:val="Heading4"/>
        <w:spacing w:line="386" w:lineRule="auto" w:before="177"/>
        <w:ind w:right="212" w:firstLine="420"/>
        <w:jc w:val="both"/>
      </w:pPr>
      <w:r>
        <w:rPr>
          <w:rFonts w:ascii="Times New Roman" w:hAnsi="Times New Roman" w:cs="Times New Roman" w:eastAsia="Times New Roman" w:hint="default"/>
          <w:spacing w:val="-2"/>
        </w:rPr>
        <w:t>2014</w:t>
      </w:r>
      <w:r>
        <w:rPr>
          <w:spacing w:val="-2"/>
        </w:rPr>
        <w:t>年，武汉落地创意采取</w:t>
      </w:r>
      <w:r>
        <w:rPr>
          <w:rFonts w:ascii="Times New Roman" w:hAnsi="Times New Roman" w:cs="Times New Roman" w:eastAsia="Times New Roman" w:hint="default"/>
          <w:spacing w:val="-2"/>
        </w:rPr>
        <w:t>O2O</w:t>
      </w:r>
      <w:r>
        <w:rPr>
          <w:spacing w:val="-2"/>
        </w:rPr>
        <w:t>模式，以</w:t>
      </w:r>
      <w:r>
        <w:rPr>
          <w:rFonts w:ascii="Times New Roman" w:hAnsi="Times New Roman" w:cs="Times New Roman" w:eastAsia="Times New Roman" w:hint="default"/>
          <w:spacing w:val="-2"/>
        </w:rPr>
        <w:t>3D</w:t>
      </w:r>
      <w:r>
        <w:rPr>
          <w:spacing w:val="-2"/>
        </w:rPr>
        <w:t>云平台强大的设计团队、云数据作为线上服务支撑，通过</w:t>
      </w:r>
      <w:r>
        <w:rPr/>
        <w:t> 高效快捷的</w:t>
      </w:r>
      <w:r>
        <w:rPr>
          <w:rFonts w:ascii="Times New Roman" w:hAnsi="Times New Roman" w:cs="Times New Roman" w:eastAsia="Times New Roman" w:hint="default"/>
        </w:rPr>
        <w:t>“</w:t>
      </w:r>
      <w:r>
        <w:rPr/>
        <w:t>云工厂</w:t>
      </w:r>
      <w:r>
        <w:rPr>
          <w:rFonts w:ascii="Times New Roman" w:hAnsi="Times New Roman" w:cs="Times New Roman" w:eastAsia="Times New Roman" w:hint="default"/>
        </w:rPr>
        <w:t>”</w:t>
      </w:r>
      <w:r>
        <w:rPr/>
        <w:t>加工制作和物流配送，使公司四大主营业务（</w:t>
      </w:r>
      <w:r>
        <w:rPr>
          <w:rFonts w:ascii="Times New Roman" w:hAnsi="Times New Roman" w:cs="Times New Roman" w:eastAsia="Times New Roman" w:hint="default"/>
        </w:rPr>
        <w:t>3D</w:t>
      </w:r>
      <w:r>
        <w:rPr/>
        <w:t>打印、</w:t>
      </w:r>
      <w:r>
        <w:rPr>
          <w:rFonts w:ascii="Times New Roman" w:hAnsi="Times New Roman" w:cs="Times New Roman" w:eastAsia="Times New Roman" w:hint="default"/>
        </w:rPr>
        <w:t>3D</w:t>
      </w:r>
      <w:r>
        <w:rPr/>
        <w:t>照相、</w:t>
      </w:r>
      <w:r>
        <w:rPr>
          <w:rFonts w:ascii="Times New Roman" w:hAnsi="Times New Roman" w:cs="Times New Roman" w:eastAsia="Times New Roman" w:hint="default"/>
        </w:rPr>
        <w:t>3D</w:t>
      </w:r>
      <w:r>
        <w:rPr/>
        <w:t>培训服务、</w:t>
      </w:r>
      <w:r>
        <w:rPr>
          <w:rFonts w:ascii="Times New Roman" w:hAnsi="Times New Roman" w:cs="Times New Roman" w:eastAsia="Times New Roman" w:hint="default"/>
        </w:rPr>
        <w:t>3D</w:t>
      </w:r>
      <w:r>
        <w:rPr/>
        <w:t>品</w:t>
      </w:r>
      <w:r>
        <w:rPr>
          <w:spacing w:val="-90"/>
        </w:rPr>
        <w:t> </w:t>
      </w:r>
      <w:r>
        <w:rPr/>
        <w:t>牌设计）得以快速发展和壮大。具体如下：</w:t>
      </w:r>
    </w:p>
    <w:p>
      <w:pPr>
        <w:pStyle w:val="Heading4"/>
        <w:spacing w:line="386" w:lineRule="auto" w:before="65"/>
        <w:ind w:left="154" w:right="212" w:firstLine="420"/>
        <w:jc w:val="both"/>
      </w:pPr>
      <w:r>
        <w:rPr/>
        <w:t>①云平台</w:t>
      </w:r>
      <w:r>
        <w:rPr>
          <w:spacing w:val="-7"/>
        </w:rPr>
        <w:t> </w:t>
      </w:r>
      <w:r>
        <w:rPr/>
        <w:t>：</w:t>
      </w:r>
      <w:r>
        <w:rPr>
          <w:rFonts w:ascii="Times New Roman" w:hAnsi="Times New Roman" w:cs="Times New Roman" w:eastAsia="Times New Roman" w:hint="default"/>
        </w:rPr>
        <w:t>“</w:t>
      </w:r>
      <w:r>
        <w:rPr/>
        <w:t>意造网</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月上线以来，用户人数已超过</w:t>
      </w:r>
      <w:r>
        <w:rPr>
          <w:rFonts w:ascii="Times New Roman" w:hAnsi="Times New Roman" w:cs="Times New Roman" w:eastAsia="Times New Roman" w:hint="default"/>
        </w:rPr>
        <w:t>15</w:t>
      </w:r>
      <w:r>
        <w:rPr/>
        <w:t>万人，并且数量还在持续增长，这些 设计师来自全世界</w:t>
      </w:r>
      <w:r>
        <w:rPr>
          <w:rFonts w:ascii="Times New Roman" w:hAnsi="Times New Roman" w:cs="Times New Roman" w:eastAsia="Times New Roman" w:hint="default"/>
        </w:rPr>
        <w:t>20</w:t>
      </w:r>
      <w:r>
        <w:rPr/>
        <w:t>多个国家和地区。</w:t>
      </w:r>
    </w:p>
    <w:p>
      <w:pPr>
        <w:pStyle w:val="Heading4"/>
        <w:spacing w:line="386" w:lineRule="auto" w:before="35"/>
        <w:ind w:right="207" w:firstLine="420"/>
        <w:jc w:val="both"/>
      </w:pPr>
      <w:r>
        <w:rPr>
          <w:spacing w:val="-1"/>
        </w:rPr>
        <w:t>②中山公共服务平台：该平台于报告期内成立，计划</w:t>
      </w:r>
      <w:r>
        <w:rPr>
          <w:rFonts w:ascii="Times New Roman" w:hAnsi="Times New Roman" w:cs="Times New Roman" w:eastAsia="Times New Roman" w:hint="default"/>
          <w:spacing w:val="-1"/>
        </w:rPr>
        <w:t>2015</w:t>
      </w:r>
      <w:r>
        <w:rPr>
          <w:spacing w:val="-1"/>
        </w:rPr>
        <w:t>年年中正式投产运营。目前，平台已经采购</w:t>
      </w:r>
      <w:r>
        <w:rPr/>
        <w:t> </w:t>
      </w:r>
      <w:r>
        <w:rPr>
          <w:spacing w:val="-5"/>
        </w:rPr>
        <w:t>数台世界最先进</w:t>
      </w:r>
      <w:r>
        <w:rPr>
          <w:rFonts w:ascii="Times New Roman" w:hAnsi="Times New Roman" w:cs="Times New Roman" w:eastAsia="Times New Roman" w:hint="default"/>
          <w:spacing w:val="-5"/>
        </w:rPr>
        <w:t>3D</w:t>
      </w:r>
      <w:r>
        <w:rPr>
          <w:spacing w:val="-5"/>
        </w:rPr>
        <w:t>打印机设备，并于德国</w:t>
      </w:r>
      <w:r>
        <w:rPr>
          <w:rFonts w:ascii="Times New Roman" w:hAnsi="Times New Roman" w:cs="Times New Roman" w:eastAsia="Times New Roman" w:hint="default"/>
          <w:spacing w:val="-5"/>
        </w:rPr>
        <w:t>EOS</w:t>
      </w:r>
      <w:r>
        <w:rPr>
          <w:spacing w:val="-5"/>
        </w:rPr>
        <w:t>、美国</w:t>
      </w:r>
      <w:r>
        <w:rPr>
          <w:rFonts w:ascii="Times New Roman" w:hAnsi="Times New Roman" w:cs="Times New Roman" w:eastAsia="Times New Roman" w:hint="default"/>
          <w:spacing w:val="-5"/>
        </w:rPr>
        <w:t>Stratasys</w:t>
      </w:r>
      <w:r>
        <w:rPr>
          <w:spacing w:val="-5"/>
        </w:rPr>
        <w:t>、</w:t>
      </w:r>
      <w:r>
        <w:rPr>
          <w:rFonts w:ascii="Times New Roman" w:hAnsi="Times New Roman" w:cs="Times New Roman" w:eastAsia="Times New Roman" w:hint="default"/>
          <w:spacing w:val="-5"/>
        </w:rPr>
        <w:t>3Dsystems</w:t>
      </w:r>
      <w:r>
        <w:rPr>
          <w:spacing w:val="-5"/>
        </w:rPr>
        <w:t>三家全球顶尖公司强强联合，</w:t>
      </w:r>
      <w:r>
        <w:rPr>
          <w:rFonts w:ascii="Times New Roman" w:hAnsi="Times New Roman" w:cs="Times New Roman" w:eastAsia="Times New Roman" w:hint="default"/>
          <w:spacing w:val="-5"/>
        </w:rPr>
        <w:t>Artec</w:t>
      </w:r>
      <w:r>
        <w:rPr>
          <w:rFonts w:ascii="Times New Roman" w:hAnsi="Times New Roman" w:cs="Times New Roman" w:eastAsia="Times New Roman" w:hint="default"/>
        </w:rPr>
        <w:t> </w:t>
      </w:r>
      <w:r>
        <w:rPr/>
        <w:t>工业级的三维扫描仪在其中。届时，公司将成为中国地区规模最大的标准化</w:t>
      </w:r>
      <w:r>
        <w:rPr>
          <w:rFonts w:ascii="Times New Roman" w:hAnsi="Times New Roman" w:cs="Times New Roman" w:eastAsia="Times New Roman" w:hint="default"/>
        </w:rPr>
        <w:t>3D</w:t>
      </w:r>
      <w:r>
        <w:rPr/>
        <w:t>打印工厂，占据</w:t>
      </w:r>
      <w:r>
        <w:rPr>
          <w:rFonts w:ascii="Times New Roman" w:hAnsi="Times New Roman" w:cs="Times New Roman" w:eastAsia="Times New Roman" w:hint="default"/>
        </w:rPr>
        <w:t>3D</w:t>
      </w:r>
      <w:r>
        <w:rPr/>
        <w:t>打印市</w:t>
      </w:r>
      <w:r>
        <w:rPr>
          <w:spacing w:val="-15"/>
        </w:rPr>
        <w:t> </w:t>
      </w:r>
      <w:r>
        <w:rPr/>
        <w:t>场更大的份额。</w:t>
      </w:r>
    </w:p>
    <w:p>
      <w:pPr>
        <w:pStyle w:val="Heading4"/>
        <w:spacing w:line="386" w:lineRule="auto" w:before="65"/>
        <w:ind w:right="212" w:firstLine="420"/>
        <w:jc w:val="both"/>
      </w:pPr>
      <w:r>
        <w:rPr>
          <w:spacing w:val="-1"/>
        </w:rPr>
        <w:t>③记梦馆加盟：截止目前，记梦馆地方门店数量已达</w:t>
      </w:r>
      <w:r>
        <w:rPr>
          <w:rFonts w:ascii="Times New Roman" w:hAnsi="Times New Roman" w:cs="Times New Roman" w:eastAsia="Times New Roman" w:hint="default"/>
          <w:spacing w:val="-1"/>
        </w:rPr>
        <w:t>53</w:t>
      </w:r>
      <w:r>
        <w:rPr>
          <w:spacing w:val="-1"/>
        </w:rPr>
        <w:t>家，遍布全国</w:t>
      </w:r>
      <w:r>
        <w:rPr>
          <w:rFonts w:ascii="Times New Roman" w:hAnsi="Times New Roman" w:cs="Times New Roman" w:eastAsia="Times New Roman" w:hint="default"/>
          <w:spacing w:val="-1"/>
        </w:rPr>
        <w:t>40</w:t>
      </w:r>
      <w:r>
        <w:rPr>
          <w:spacing w:val="-1"/>
        </w:rPr>
        <w:t>个城市，实现了品牌在全国范</w:t>
      </w:r>
      <w:r>
        <w:rPr/>
        <w:t> 围内的展示与推广，并致力于为顾客提供最好的服务和潮流而不失经典的个性化定制产品服务。</w:t>
      </w:r>
    </w:p>
    <w:p>
      <w:pPr>
        <w:pStyle w:val="Heading4"/>
        <w:spacing w:line="386" w:lineRule="auto" w:before="106"/>
        <w:ind w:right="142" w:firstLine="420"/>
        <w:jc w:val="both"/>
      </w:pPr>
      <w:r>
        <w:rPr>
          <w:spacing w:val="2"/>
        </w:rPr>
        <w:t>④全球视野：已与</w:t>
      </w:r>
      <w:r>
        <w:rPr>
          <w:rFonts w:ascii="Times New Roman" w:hAnsi="Times New Roman" w:cs="Times New Roman" w:eastAsia="Times New Roman" w:hint="default"/>
          <w:spacing w:val="2"/>
        </w:rPr>
        <w:t>EOS</w:t>
      </w:r>
      <w:r>
        <w:rPr>
          <w:spacing w:val="2"/>
        </w:rPr>
        <w:t>、</w:t>
      </w:r>
      <w:r>
        <w:rPr>
          <w:rFonts w:ascii="Times New Roman" w:hAnsi="Times New Roman" w:cs="Times New Roman" w:eastAsia="Times New Roman" w:hint="default"/>
          <w:spacing w:val="2"/>
        </w:rPr>
        <w:t>3Dsystems</w:t>
      </w:r>
      <w:r>
        <w:rPr>
          <w:spacing w:val="2"/>
        </w:rPr>
        <w:t>、</w:t>
      </w:r>
      <w:r>
        <w:rPr>
          <w:rFonts w:ascii="Times New Roman" w:hAnsi="Times New Roman" w:cs="Times New Roman" w:eastAsia="Times New Roman" w:hint="default"/>
          <w:spacing w:val="2"/>
        </w:rPr>
        <w:t>Stratasys</w:t>
      </w:r>
      <w:r>
        <w:rPr>
          <w:spacing w:val="2"/>
        </w:rPr>
        <w:t>三家全球优质</w:t>
      </w:r>
      <w:r>
        <w:rPr>
          <w:rFonts w:ascii="Times New Roman" w:hAnsi="Times New Roman" w:cs="Times New Roman" w:eastAsia="Times New Roman" w:hint="default"/>
          <w:spacing w:val="2"/>
        </w:rPr>
        <w:t>3D</w:t>
      </w:r>
      <w:r>
        <w:rPr>
          <w:spacing w:val="2"/>
        </w:rPr>
        <w:t>打印品牌实现不同程度的合作。代理</w:t>
      </w:r>
      <w:r>
        <w:rPr>
          <w:spacing w:val="4"/>
        </w:rPr>
        <w:t> </w:t>
      </w:r>
      <w:r>
        <w:rPr>
          <w:rFonts w:ascii="Times New Roman" w:hAnsi="Times New Roman" w:cs="Times New Roman" w:eastAsia="Times New Roman" w:hint="default"/>
        </w:rPr>
        <w:t>Stratasys</w:t>
      </w:r>
      <w:r>
        <w:rPr/>
        <w:t>中国区品牌后，解决了国内</w:t>
      </w:r>
      <w:r>
        <w:rPr>
          <w:rFonts w:ascii="Times New Roman" w:hAnsi="Times New Roman" w:cs="Times New Roman" w:eastAsia="Times New Roman" w:hint="default"/>
        </w:rPr>
        <w:t>3D</w:t>
      </w:r>
      <w:r>
        <w:rPr/>
        <w:t>打印设备和材料种类的不足，实现了全方位服务客户的突出优势，</w:t>
      </w:r>
      <w:r>
        <w:rPr>
          <w:spacing w:val="-99"/>
        </w:rPr>
        <w:t> </w:t>
      </w:r>
      <w:r>
        <w:rPr>
          <w:spacing w:val="-99"/>
        </w:rPr>
      </w:r>
      <w:r>
        <w:rPr/>
        <w:t>同时还拥有可直接根据数据创建实物的业界最全面的材料组合，能够提供</w:t>
      </w:r>
      <w:r>
        <w:rPr>
          <w:rFonts w:ascii="Times New Roman" w:hAnsi="Times New Roman" w:cs="Times New Roman" w:eastAsia="Times New Roman" w:hint="default"/>
        </w:rPr>
        <w:t>3D</w:t>
      </w:r>
      <w:r>
        <w:rPr/>
        <w:t>打印最全面的行业解决方案。</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3"/>
        <w:spacing w:line="240" w:lineRule="auto"/>
        <w:ind w:left="153" w:right="196"/>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96"/>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right="196"/>
        <w:jc w:val="left"/>
      </w:pPr>
      <w:r>
        <w:rPr>
          <w:rFonts w:ascii="Times New Roman" w:hAnsi="Times New Roman" w:cs="Times New Roman" w:eastAsia="Times New Roman" w:hint="default"/>
        </w:rPr>
        <w:t>1</w:t>
      </w:r>
      <w:r>
        <w:rPr/>
        <w:t>）概述</w:t>
      </w:r>
    </w:p>
    <w:p>
      <w:pPr>
        <w:pStyle w:val="Heading4"/>
        <w:spacing w:line="240" w:lineRule="auto" w:before="177"/>
        <w:ind w:left="575" w:right="104"/>
        <w:jc w:val="left"/>
      </w:pPr>
      <w:r>
        <w:rPr/>
        <w:t>报告期内，公司营业收入</w:t>
      </w:r>
      <w:r>
        <w:rPr>
          <w:spacing w:val="-54"/>
        </w:rPr>
        <w:t> </w:t>
      </w:r>
      <w:r>
        <w:rPr>
          <w:rFonts w:ascii="Times New Roman" w:hAnsi="Times New Roman" w:cs="Times New Roman" w:eastAsia="Times New Roman" w:hint="default"/>
        </w:rPr>
        <w:t>192,535,822.50</w:t>
      </w:r>
      <w:r>
        <w:rPr>
          <w:rFonts w:ascii="Times New Roman" w:hAnsi="Times New Roman" w:cs="Times New Roman" w:eastAsia="Times New Roman" w:hint="default"/>
          <w:spacing w:val="-1"/>
        </w:rPr>
        <w:t> </w:t>
      </w:r>
      <w:r>
        <w:rPr/>
        <w:t>元，较上年同期增长</w:t>
      </w:r>
      <w:r>
        <w:rPr>
          <w:spacing w:val="-55"/>
        </w:rPr>
        <w:t> </w:t>
      </w:r>
      <w:r>
        <w:rPr>
          <w:rFonts w:ascii="Times New Roman" w:hAnsi="Times New Roman" w:cs="Times New Roman" w:eastAsia="Times New Roman" w:hint="default"/>
        </w:rPr>
        <w:t>21.54%</w:t>
      </w:r>
      <w:r>
        <w:rPr/>
        <w:t>；营业成本</w:t>
      </w:r>
      <w:r>
        <w:rPr>
          <w:spacing w:val="-2"/>
        </w:rPr>
        <w:t> </w:t>
      </w:r>
      <w:r>
        <w:rPr>
          <w:rFonts w:ascii="Times New Roman" w:hAnsi="Times New Roman" w:cs="Times New Roman" w:eastAsia="Times New Roman" w:hint="default"/>
        </w:rPr>
        <w:t>120,544,369.92</w:t>
      </w:r>
      <w:r>
        <w:rPr>
          <w:rFonts w:ascii="Times New Roman" w:hAnsi="Times New Roman" w:cs="Times New Roman" w:eastAsia="Times New Roman" w:hint="default"/>
          <w:spacing w:val="-1"/>
        </w:rPr>
        <w:t> </w:t>
      </w:r>
      <w:r>
        <w:rPr/>
        <w:t>元，</w:t>
      </w:r>
    </w:p>
    <w:p>
      <w:pPr>
        <w:pStyle w:val="Heading4"/>
        <w:spacing w:line="240" w:lineRule="auto" w:before="177"/>
        <w:ind w:right="196"/>
        <w:jc w:val="left"/>
      </w:pPr>
      <w:r>
        <w:rPr/>
        <w:t>较上年同期增长 </w:t>
      </w:r>
      <w:r>
        <w:rPr>
          <w:rFonts w:ascii="Times New Roman" w:hAnsi="Times New Roman" w:cs="Times New Roman" w:eastAsia="Times New Roman" w:hint="default"/>
        </w:rPr>
        <w:t>31.26%</w:t>
      </w:r>
      <w:r>
        <w:rPr>
          <w:rFonts w:ascii="Times New Roman" w:hAnsi="Times New Roman" w:cs="Times New Roman" w:eastAsia="Times New Roman" w:hint="default"/>
          <w:spacing w:val="-1"/>
        </w:rPr>
        <w:t> </w:t>
      </w:r>
      <w:r>
        <w:rPr/>
        <w:t>。</w:t>
      </w:r>
    </w:p>
    <w:p>
      <w:pPr>
        <w:pStyle w:val="Heading4"/>
        <w:spacing w:line="386" w:lineRule="auto" w:before="177"/>
        <w:ind w:right="210" w:firstLine="420"/>
        <w:jc w:val="both"/>
      </w:pPr>
      <w:r>
        <w:rPr>
          <w:spacing w:val="-3"/>
        </w:rPr>
        <w:t>报告期内，公司销售费用</w:t>
      </w:r>
      <w:r>
        <w:rPr>
          <w:spacing w:val="-50"/>
        </w:rPr>
        <w:t> </w:t>
      </w:r>
      <w:r>
        <w:rPr>
          <w:rFonts w:ascii="Times New Roman" w:hAnsi="Times New Roman" w:cs="Times New Roman" w:eastAsia="Times New Roman" w:hint="default"/>
        </w:rPr>
        <w:t>38,252,684.36</w:t>
      </w:r>
      <w:r>
        <w:rPr>
          <w:rFonts w:ascii="Times New Roman" w:hAnsi="Times New Roman" w:cs="Times New Roman" w:eastAsia="Times New Roman" w:hint="default"/>
          <w:spacing w:val="5"/>
        </w:rPr>
        <w:t> </w:t>
      </w:r>
      <w:r>
        <w:rPr>
          <w:spacing w:val="-3"/>
        </w:rPr>
        <w:t>元，较上年同期增长</w:t>
      </w:r>
      <w:r>
        <w:rPr>
          <w:spacing w:val="-51"/>
        </w:rPr>
        <w:t> </w:t>
      </w:r>
      <w:r>
        <w:rPr>
          <w:rFonts w:ascii="Times New Roman" w:hAnsi="Times New Roman" w:cs="Times New Roman" w:eastAsia="Times New Roman" w:hint="default"/>
          <w:spacing w:val="-3"/>
        </w:rPr>
        <w:t>16.51%</w:t>
      </w:r>
      <w:r>
        <w:rPr>
          <w:spacing w:val="-3"/>
        </w:rPr>
        <w:t>；管理费用</w:t>
      </w:r>
      <w:r>
        <w:rPr>
          <w:spacing w:val="-50"/>
        </w:rPr>
        <w:t> </w:t>
      </w:r>
      <w:r>
        <w:rPr>
          <w:rFonts w:ascii="Times New Roman" w:hAnsi="Times New Roman" w:cs="Times New Roman" w:eastAsia="Times New Roman" w:hint="default"/>
        </w:rPr>
        <w:t>25,957,450.64</w:t>
      </w:r>
      <w:r>
        <w:rPr>
          <w:rFonts w:ascii="Times New Roman" w:hAnsi="Times New Roman" w:cs="Times New Roman" w:eastAsia="Times New Roman" w:hint="default"/>
          <w:spacing w:val="5"/>
        </w:rPr>
        <w:t> </w:t>
      </w:r>
      <w:r>
        <w:rPr>
          <w:spacing w:val="-8"/>
        </w:rPr>
        <w:t>元，较</w:t>
      </w:r>
      <w:r>
        <w:rPr/>
        <w:t> 上年同期增长</w:t>
      </w:r>
      <w:r>
        <w:rPr>
          <w:spacing w:val="-54"/>
        </w:rPr>
        <w:t> </w:t>
      </w:r>
      <w:r>
        <w:rPr>
          <w:rFonts w:ascii="Times New Roman" w:hAnsi="Times New Roman" w:cs="Times New Roman" w:eastAsia="Times New Roman" w:hint="default"/>
        </w:rPr>
        <w:t>19.39%</w:t>
      </w:r>
      <w:r>
        <w:rPr/>
        <w:t>；资产减值损失</w:t>
      </w:r>
      <w:r>
        <w:rPr>
          <w:spacing w:val="-55"/>
        </w:rPr>
        <w:t> </w:t>
      </w:r>
      <w:r>
        <w:rPr>
          <w:rFonts w:ascii="Times New Roman" w:hAnsi="Times New Roman" w:cs="Times New Roman" w:eastAsia="Times New Roman" w:hint="default"/>
        </w:rPr>
        <w:t>2,129,539.07</w:t>
      </w:r>
      <w:r>
        <w:rPr>
          <w:rFonts w:ascii="Times New Roman" w:hAnsi="Times New Roman" w:cs="Times New Roman" w:eastAsia="Times New Roman" w:hint="default"/>
          <w:spacing w:val="50"/>
        </w:rPr>
        <w:t> </w:t>
      </w:r>
      <w:r>
        <w:rPr/>
        <w:t>元，较上年同期增长</w:t>
      </w:r>
      <w:r>
        <w:rPr>
          <w:spacing w:val="-55"/>
        </w:rPr>
        <w:t> </w:t>
      </w:r>
      <w:r>
        <w:rPr>
          <w:rFonts w:ascii="Times New Roman" w:hAnsi="Times New Roman" w:cs="Times New Roman" w:eastAsia="Times New Roman" w:hint="default"/>
        </w:rPr>
        <w:t>56.48%</w:t>
      </w:r>
      <w:r>
        <w:rPr/>
        <w:t>，主要是本年增提应收款 坏账准备。</w:t>
      </w:r>
    </w:p>
    <w:p>
      <w:pPr>
        <w:spacing w:after="0" w:line="386"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pPr>
      <w:r>
        <w:rPr>
          <w:rFonts w:ascii="Times New Roman" w:hAnsi="Times New Roman" w:cs="Times New Roman" w:eastAsia="Times New Roman" w:hint="default"/>
        </w:rPr>
        <w:t>2</w:t>
      </w:r>
      <w:r>
        <w:rPr/>
        <w:t>）报告期利润构成或利润来源发生重大变动的说明</w:t>
      </w:r>
    </w:p>
    <w:p>
      <w:pPr>
        <w:pStyle w:val="Heading4"/>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398" w:lineRule="auto" w:before="177"/>
        <w:ind w:right="152" w:firstLine="420"/>
        <w:jc w:val="both"/>
      </w:pPr>
      <w:r>
        <w:rPr/>
        <w:t>公司报告期利润总额</w:t>
      </w:r>
      <w:r>
        <w:rPr>
          <w:spacing w:val="-51"/>
        </w:rPr>
        <w:t> </w:t>
      </w:r>
      <w:r>
        <w:rPr>
          <w:rFonts w:ascii="Times New Roman" w:hAnsi="Times New Roman" w:cs="Times New Roman" w:eastAsia="Times New Roman" w:hint="default"/>
        </w:rPr>
        <w:t>584.18</w:t>
      </w:r>
      <w:r>
        <w:rPr>
          <w:rFonts w:ascii="Times New Roman" w:hAnsi="Times New Roman" w:cs="Times New Roman" w:eastAsia="Times New Roman" w:hint="default"/>
          <w:spacing w:val="1"/>
        </w:rPr>
        <w:t> </w:t>
      </w:r>
      <w:r>
        <w:rPr>
          <w:spacing w:val="-5"/>
        </w:rPr>
        <w:t>万元，比上年同期下降</w:t>
      </w:r>
      <w:r>
        <w:rPr>
          <w:spacing w:val="-51"/>
        </w:rPr>
        <w:t> </w:t>
      </w:r>
      <w:r>
        <w:rPr>
          <w:rFonts w:ascii="Times New Roman" w:hAnsi="Times New Roman" w:cs="Times New Roman" w:eastAsia="Times New Roman" w:hint="default"/>
          <w:spacing w:val="-3"/>
        </w:rPr>
        <w:t>31.26%</w:t>
      </w:r>
      <w:r>
        <w:rPr>
          <w:spacing w:val="-3"/>
        </w:rPr>
        <w:t>，主要是本报告期公司在</w:t>
      </w:r>
      <w:r>
        <w:rPr>
          <w:spacing w:val="-51"/>
        </w:rPr>
        <w:t> </w:t>
      </w:r>
      <w:r>
        <w:rPr>
          <w:rFonts w:ascii="Times New Roman" w:hAnsi="Times New Roman" w:cs="Times New Roman" w:eastAsia="Times New Roman" w:hint="default"/>
        </w:rPr>
        <w:t>3D </w:t>
      </w:r>
      <w:r>
        <w:rPr/>
        <w:t>打印业务和互 </w:t>
      </w:r>
      <w:r>
        <w:rPr>
          <w:spacing w:val="-1"/>
        </w:rPr>
        <w:t>联网意造云平台方面投入大量人力和物力，相关人员工资、差旅、推广等期间费用增加较大，造成公司营</w:t>
      </w:r>
      <w:r>
        <w:rPr>
          <w:spacing w:val="-86"/>
        </w:rPr>
        <w:t> </w:t>
      </w:r>
      <w:r>
        <w:rPr>
          <w:spacing w:val="-86"/>
        </w:rPr>
      </w:r>
      <w:r>
        <w:rPr/>
        <w:t>业利润和利润总额下降。</w:t>
      </w:r>
    </w:p>
    <w:p>
      <w:pPr>
        <w:spacing w:line="240" w:lineRule="auto" w:before="2"/>
        <w:rPr>
          <w:rFonts w:ascii="宋体" w:hAnsi="宋体" w:cs="宋体" w:eastAsia="宋体" w:hint="default"/>
          <w:sz w:val="25"/>
          <w:szCs w:val="25"/>
        </w:rPr>
      </w:pPr>
    </w:p>
    <w:p>
      <w:pPr>
        <w:pStyle w:val="Heading4"/>
        <w:spacing w:line="240" w:lineRule="auto"/>
        <w:ind w:right="0"/>
        <w:jc w:val="left"/>
      </w:pPr>
      <w:r>
        <w:rPr>
          <w:rFonts w:ascii="Times New Roman" w:hAnsi="Times New Roman" w:cs="Times New Roman" w:eastAsia="Times New Roman" w:hint="default"/>
        </w:rPr>
        <w:t>3</w:t>
      </w:r>
      <w:r>
        <w:rPr/>
        <w:t>）收入</w:t>
      </w:r>
    </w:p>
    <w:p>
      <w:pPr>
        <w:spacing w:line="240" w:lineRule="auto" w:before="10"/>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192,535,822.50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158,418,192.10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21.54%</w:t>
            </w:r>
          </w:p>
        </w:tc>
      </w:tr>
    </w:tbl>
    <w:p>
      <w:pPr>
        <w:pStyle w:val="Heading4"/>
        <w:spacing w:line="307" w:lineRule="auto" w:before="26"/>
        <w:ind w:left="634" w:right="215" w:hanging="480"/>
        <w:jc w:val="left"/>
      </w:pPr>
      <w:r>
        <w:rPr/>
        <w:t>驱动收入变化的因素 报告期内，驱动公司收入增长的因素主要是</w:t>
      </w:r>
      <w:r>
        <w:rPr>
          <w:rFonts w:ascii="Times New Roman" w:hAnsi="Times New Roman" w:cs="Times New Roman" w:eastAsia="Times New Roman" w:hint="default"/>
        </w:rPr>
        <w:t>3D</w:t>
      </w:r>
      <w:r>
        <w:rPr/>
        <w:t>业务板块收入和金属激光系列产品收入较上年取得一</w:t>
      </w:r>
    </w:p>
    <w:p>
      <w:pPr>
        <w:pStyle w:val="Heading4"/>
        <w:spacing w:line="232" w:lineRule="exact"/>
        <w:ind w:right="0"/>
        <w:jc w:val="left"/>
        <w:rPr>
          <w:sz w:val="18"/>
          <w:szCs w:val="18"/>
        </w:rPr>
      </w:pPr>
      <w:r>
        <w:rPr/>
        <w:t>定的增长</w:t>
      </w:r>
      <w:r>
        <w:rPr>
          <w:sz w:val="18"/>
          <w:szCs w:val="18"/>
        </w:rPr>
        <w:t>。</w:t>
      </w:r>
    </w:p>
    <w:p>
      <w:pPr>
        <w:spacing w:line="240" w:lineRule="auto" w:before="0"/>
        <w:rPr>
          <w:rFonts w:ascii="宋体" w:hAnsi="宋体" w:cs="宋体" w:eastAsia="宋体" w:hint="default"/>
          <w:sz w:val="20"/>
          <w:szCs w:val="20"/>
        </w:rPr>
      </w:pPr>
    </w:p>
    <w:p>
      <w:pPr>
        <w:pStyle w:val="Heading4"/>
        <w:spacing w:line="240" w:lineRule="auto" w:before="166"/>
        <w:ind w:right="0"/>
        <w:jc w:val="left"/>
      </w:pPr>
      <w:r>
        <w:rPr/>
        <w:t>公司实物销售收入是否大于劳务收入</w:t>
      </w:r>
    </w:p>
    <w:p>
      <w:pPr>
        <w:pStyle w:val="Heading4"/>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594"/>
        <w:gridCol w:w="1571"/>
        <w:gridCol w:w="1607"/>
        <w:gridCol w:w="1594"/>
        <w:gridCol w:w="1594"/>
        <w:gridCol w:w="1580"/>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4" w:type="dxa"/>
            <w:vMerge w:val="restart"/>
            <w:tcBorders>
              <w:top w:val="single" w:sz="4" w:space="0" w:color="000000"/>
              <w:left w:val="nil" w:sz="6" w:space="0" w:color="auto"/>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-26.96%</w:t>
            </w:r>
          </w:p>
        </w:tc>
      </w:tr>
      <w:tr>
        <w:trPr>
          <w:trHeight w:val="402" w:hRule="exact"/>
        </w:trPr>
        <w:tc>
          <w:tcPr>
            <w:tcW w:w="1594" w:type="dxa"/>
            <w:vMerge/>
            <w:tcBorders>
              <w:left w:val="nil" w:sz="6" w:space="0" w:color="auto"/>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-14.25%</w:t>
            </w:r>
          </w:p>
        </w:tc>
      </w:tr>
      <w:tr>
        <w:trPr>
          <w:trHeight w:val="402" w:hRule="exact"/>
        </w:trPr>
        <w:tc>
          <w:tcPr>
            <w:tcW w:w="1594" w:type="dxa"/>
            <w:vMerge/>
            <w:tcBorders>
              <w:left w:val="nil" w:sz="6" w:space="0" w:color="auto"/>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93.37%</w:t>
            </w:r>
          </w:p>
        </w:tc>
      </w:tr>
    </w:tbl>
    <w:p>
      <w:pPr>
        <w:pStyle w:val="Heading4"/>
        <w:spacing w:line="240" w:lineRule="auto" w:before="26"/>
        <w:ind w:left="154" w:right="0"/>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pStyle w:val="Heading4"/>
        <w:spacing w:line="240" w:lineRule="auto" w:before="6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259" w:lineRule="auto" w:before="59"/>
        <w:ind w:right="142" w:firstLine="420"/>
        <w:jc w:val="left"/>
      </w:pPr>
      <w:r>
        <w:rPr/>
        <w:t>报告期末激光系列产品库存台数</w:t>
      </w:r>
      <w:r>
        <w:rPr>
          <w:spacing w:val="-56"/>
        </w:rPr>
        <w:t> </w:t>
      </w:r>
      <w:r>
        <w:rPr>
          <w:rFonts w:ascii="Times New Roman" w:hAnsi="Times New Roman" w:cs="Times New Roman" w:eastAsia="Times New Roman" w:hint="default"/>
        </w:rPr>
        <w:t>290</w:t>
      </w:r>
      <w:r>
        <w:rPr>
          <w:rFonts w:ascii="Times New Roman" w:hAnsi="Times New Roman" w:cs="Times New Roman" w:eastAsia="Times New Roman" w:hint="default"/>
          <w:spacing w:val="-3"/>
        </w:rPr>
        <w:t> </w:t>
      </w:r>
      <w:r>
        <w:rPr/>
        <w:t>台</w:t>
      </w:r>
      <w:r>
        <w:rPr>
          <w:rFonts w:ascii="Times New Roman" w:hAnsi="Times New Roman" w:cs="Times New Roman" w:eastAsia="Times New Roman" w:hint="default"/>
        </w:rPr>
        <w:t>,</w:t>
      </w:r>
      <w:r>
        <w:rPr/>
        <w:t>桌面级</w:t>
      </w:r>
      <w:r>
        <w:rPr>
          <w:spacing w:val="-57"/>
        </w:rPr>
        <w:t> </w:t>
      </w:r>
      <w:r>
        <w:rPr>
          <w:rFonts w:ascii="Times New Roman" w:hAnsi="Times New Roman" w:cs="Times New Roman" w:eastAsia="Times New Roman" w:hint="default"/>
        </w:rPr>
        <w:t>3D</w:t>
      </w:r>
      <w:r>
        <w:rPr>
          <w:rFonts w:ascii="Times New Roman" w:hAnsi="Times New Roman" w:cs="Times New Roman" w:eastAsia="Times New Roman" w:hint="default"/>
          <w:spacing w:val="-4"/>
        </w:rPr>
        <w:t> </w:t>
      </w:r>
      <w:r>
        <w:rPr/>
        <w:t>打印机</w:t>
      </w:r>
      <w:r>
        <w:rPr>
          <w:spacing w:val="-57"/>
        </w:rPr>
        <w:t> </w:t>
      </w:r>
      <w:r>
        <w:rPr>
          <w:rFonts w:ascii="Times New Roman" w:hAnsi="Times New Roman" w:cs="Times New Roman" w:eastAsia="Times New Roman" w:hint="default"/>
        </w:rPr>
        <w:t>410</w:t>
      </w:r>
      <w:r>
        <w:rPr>
          <w:rFonts w:ascii="Times New Roman" w:hAnsi="Times New Roman" w:cs="Times New Roman" w:eastAsia="Times New Roman" w:hint="default"/>
          <w:spacing w:val="-4"/>
        </w:rPr>
        <w:t> </w:t>
      </w:r>
      <w:r>
        <w:rPr/>
        <w:t>台，库存量比上年末增加主要是本报告 期公司生产自主研发桌面级</w:t>
      </w:r>
      <w:r>
        <w:rPr>
          <w:spacing w:val="-54"/>
        </w:rPr>
        <w:t>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t>打印机。</w:t>
      </w:r>
    </w:p>
    <w:p>
      <w:pPr>
        <w:spacing w:line="240" w:lineRule="auto" w:before="3"/>
        <w:rPr>
          <w:rFonts w:ascii="宋体" w:hAnsi="宋体" w:cs="宋体" w:eastAsia="宋体" w:hint="default"/>
          <w:sz w:val="30"/>
          <w:szCs w:val="30"/>
        </w:rPr>
      </w:pPr>
    </w:p>
    <w:p>
      <w:pPr>
        <w:pStyle w:val="Heading4"/>
        <w:spacing w:line="240" w:lineRule="auto"/>
        <w:ind w:left="154" w:right="0"/>
        <w:jc w:val="left"/>
      </w:pPr>
      <w:r>
        <w:rPr/>
        <w:t>公司重大的在手订单情况</w:t>
      </w:r>
    </w:p>
    <w:p>
      <w:pPr>
        <w:pStyle w:val="Heading4"/>
        <w:spacing w:line="290" w:lineRule="auto" w:before="76"/>
        <w:ind w:left="575" w:right="111" w:hanging="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截止</w:t>
      </w:r>
      <w:r>
        <w:rPr>
          <w:rFonts w:ascii="Times New Roman" w:hAnsi="Times New Roman" w:cs="Times New Roman" w:eastAsia="Times New Roman" w:hint="default"/>
        </w:rPr>
        <w:t>2014</w:t>
      </w:r>
      <w:r>
        <w:rPr/>
        <w:t>年底，公司与客户已签合同但还未执行完毕的订单设备台数有</w:t>
      </w:r>
      <w:r>
        <w:rPr>
          <w:rFonts w:ascii="Times New Roman" w:hAnsi="Times New Roman" w:cs="Times New Roman" w:eastAsia="Times New Roman" w:hint="default"/>
        </w:rPr>
        <w:t>85</w:t>
      </w:r>
      <w:r>
        <w:rPr/>
        <w:t>台，订单金额有</w:t>
      </w:r>
      <w:r>
        <w:rPr>
          <w:rFonts w:ascii="Times New Roman" w:hAnsi="Times New Roman" w:cs="Times New Roman" w:eastAsia="Times New Roman" w:hint="default"/>
        </w:rPr>
        <w:t>2351</w:t>
      </w:r>
      <w:r>
        <w:rPr/>
        <w:t>万元，</w:t>
      </w:r>
    </w:p>
    <w:p>
      <w:pPr>
        <w:pStyle w:val="Heading4"/>
        <w:spacing w:line="263" w:lineRule="exact"/>
        <w:ind w:right="0"/>
        <w:jc w:val="left"/>
      </w:pPr>
      <w:r>
        <w:rPr/>
        <w:t>将在</w:t>
      </w:r>
      <w:r>
        <w:rPr>
          <w:rFonts w:ascii="Times New Roman" w:hAnsi="Times New Roman" w:cs="Times New Roman" w:eastAsia="Times New Roman" w:hint="default"/>
        </w:rPr>
        <w:t>2015</w:t>
      </w:r>
      <w:r>
        <w:rPr/>
        <w:t>年执行和确认收入。</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pStyle w:val="Heading4"/>
        <w:spacing w:line="240" w:lineRule="auto" w:before="35"/>
        <w:ind w:left="154" w:right="-20"/>
        <w:jc w:val="left"/>
      </w:pPr>
      <w:r>
        <w:rPr/>
        <w:t>数量分散的订单情况</w:t>
      </w:r>
    </w:p>
    <w:p>
      <w:pPr>
        <w:pStyle w:val="Heading4"/>
        <w:spacing w:line="290" w:lineRule="auto" w:before="7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公司报告期内产品或服务发生重大变化或调整有关情况</w:t>
      </w:r>
    </w:p>
    <w:p>
      <w:pPr>
        <w:pStyle w:val="Heading4"/>
        <w:spacing w:line="240" w:lineRule="auto" w:before="3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240" w:lineRule="auto" w:before="61"/>
        <w:ind w:left="154" w:right="-20"/>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4"/>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5195" w:space="3605"/>
            <w:col w:w="1150"/>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nil" w:sz="6" w:space="0" w:color="auto"/>
            </w:tcBorders>
            <w:shd w:val="clear" w:color="auto" w:fill="D2D2D2"/>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1611"/>
        <w:gridCol w:w="1594"/>
        <w:gridCol w:w="1595"/>
        <w:gridCol w:w="1594"/>
        <w:gridCol w:w="1594"/>
        <w:gridCol w:w="1595"/>
      </w:tblGrid>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120,544,369.92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91,838,229.34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31.26%</w:t>
            </w:r>
          </w:p>
        </w:tc>
      </w:tr>
      <w:tr>
        <w:trPr>
          <w:trHeight w:val="402"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106,079,045.53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83,572,788.70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26.93%</w:t>
            </w:r>
          </w:p>
        </w:tc>
      </w:tr>
      <w:tr>
        <w:trPr>
          <w:trHeight w:val="714"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42" w:right="121"/>
              <w:jc w:val="left"/>
              <w:rPr>
                <w:rFonts w:ascii="宋体" w:hAnsi="宋体" w:cs="宋体" w:eastAsia="宋体" w:hint="default"/>
                <w:sz w:val="18"/>
                <w:szCs w:val="18"/>
              </w:rPr>
            </w:pPr>
            <w:r>
              <w:rPr>
                <w:rFonts w:ascii="宋体" w:hAnsi="宋体" w:cs="宋体" w:eastAsia="宋体" w:hint="default"/>
                <w:sz w:val="18"/>
                <w:szCs w:val="18"/>
              </w:rPr>
              <w:t>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人工费 用和制造费用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14,465,324.39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8,265,440.64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75.01%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Heading4"/>
        <w:spacing w:line="240" w:lineRule="auto" w:before="26"/>
        <w:ind w:left="154" w:right="-20"/>
        <w:jc w:val="left"/>
      </w:pPr>
      <w:r>
        <w:rPr>
          <w:rFonts w:ascii="Times New Roman" w:hAnsi="Times New Roman" w:cs="Times New Roman" w:eastAsia="Times New Roman" w:hint="default"/>
        </w:rPr>
        <w:t>5</w:t>
      </w:r>
      <w:r>
        <w:rPr/>
        <w:t>）费用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890" w:space="8029"/>
            <w:col w:w="1031"/>
          </w:cols>
        </w:sectPr>
      </w:pP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90"/>
        <w:gridCol w:w="1649"/>
        <w:gridCol w:w="1637"/>
        <w:gridCol w:w="1462"/>
        <w:gridCol w:w="2904"/>
      </w:tblGrid>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38,252,684.36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32,830,922.35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16.51%</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25,957,450.64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21,740,885.66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19.39%</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4,410,912.70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4,364,821.90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318" w:hRule="exact"/>
        </w:trPr>
        <w:tc>
          <w:tcPr>
            <w:tcW w:w="1890" w:type="dxa"/>
            <w:tcBorders>
              <w:top w:val="single" w:sz="4" w:space="0" w:color="000000"/>
              <w:left w:val="nil" w:sz="6" w:space="0" w:color="auto"/>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9" w:right="0"/>
              <w:jc w:val="left"/>
              <w:rPr>
                <w:rFonts w:ascii="Times New Roman" w:hAnsi="Times New Roman" w:cs="Times New Roman" w:eastAsia="Times New Roman" w:hint="default"/>
                <w:sz w:val="18"/>
                <w:szCs w:val="18"/>
              </w:rPr>
            </w:pPr>
            <w:r>
              <w:rPr>
                <w:rFonts w:ascii="Times New Roman"/>
                <w:sz w:val="18"/>
              </w:rPr>
              <w:t>93,279.09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1,764,470.43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-94.71%</w:t>
            </w:r>
          </w:p>
        </w:tc>
        <w:tc>
          <w:tcPr>
            <w:tcW w:w="2904" w:type="dxa"/>
            <w:vMerge w:val="restart"/>
            <w:tcBorders>
              <w:top w:val="single" w:sz="4" w:space="0" w:color="000000"/>
              <w:left w:val="single" w:sz="4" w:space="0" w:color="000000"/>
              <w:right w:val="nil" w:sz="6" w:space="0" w:color="auto"/>
            </w:tcBorders>
          </w:tcPr>
          <w:p>
            <w:pPr>
              <w:pStyle w:val="TableParagraph"/>
              <w:spacing w:line="316" w:lineRule="auto" w:before="52"/>
              <w:ind w:left="22" w:right="-4"/>
              <w:jc w:val="left"/>
              <w:rPr>
                <w:rFonts w:ascii="宋体" w:hAnsi="宋体" w:cs="宋体" w:eastAsia="宋体" w:hint="default"/>
                <w:sz w:val="18"/>
                <w:szCs w:val="18"/>
              </w:rPr>
            </w:pPr>
            <w:r>
              <w:rPr>
                <w:rFonts w:ascii="宋体" w:hAnsi="宋体" w:cs="宋体" w:eastAsia="宋体" w:hint="default"/>
                <w:spacing w:val="-2"/>
                <w:sz w:val="18"/>
                <w:szCs w:val="18"/>
              </w:rPr>
              <w:t>根据子公司未来的盈利预测，本期子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公司的亏损可在后期抵减企业所得 税额，公司相应计提了递延所得税。</w:t>
            </w:r>
          </w:p>
        </w:tc>
      </w:tr>
      <w:tr>
        <w:trPr>
          <w:trHeight w:val="391" w:hRule="exact"/>
        </w:trPr>
        <w:tc>
          <w:tcPr>
            <w:tcW w:w="189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04" w:type="dxa"/>
            <w:vMerge/>
            <w:tcBorders>
              <w:left w:val="single" w:sz="4" w:space="0" w:color="000000"/>
              <w:right w:val="nil" w:sz="6" w:space="0" w:color="auto"/>
            </w:tcBorders>
          </w:tcPr>
          <w:p>
            <w:pPr/>
          </w:p>
        </w:tc>
      </w:tr>
      <w:tr>
        <w:trPr>
          <w:trHeight w:val="318" w:hRule="exact"/>
        </w:trPr>
        <w:tc>
          <w:tcPr>
            <w:tcW w:w="1890" w:type="dxa"/>
            <w:tcBorders>
              <w:top w:val="nil" w:sz="6" w:space="0" w:color="auto"/>
              <w:left w:val="nil" w:sz="6" w:space="0" w:color="auto"/>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04" w:type="dxa"/>
            <w:vMerge/>
            <w:tcBorders>
              <w:left w:val="single" w:sz="4" w:space="0" w:color="000000"/>
              <w:bottom w:val="single" w:sz="4" w:space="0" w:color="000000"/>
              <w:right w:val="nil" w:sz="6" w:space="0" w:color="auto"/>
            </w:tcBorders>
          </w:tcPr>
          <w:p>
            <w:pPr/>
          </w:p>
        </w:tc>
      </w:tr>
    </w:tbl>
    <w:p>
      <w:pPr>
        <w:pStyle w:val="Heading4"/>
        <w:spacing w:line="240" w:lineRule="auto" w:before="63"/>
        <w:ind w:left="154" w:right="0"/>
        <w:jc w:val="both"/>
      </w:pPr>
      <w:r>
        <w:rPr>
          <w:rFonts w:ascii="Times New Roman" w:hAnsi="Times New Roman" w:cs="Times New Roman" w:eastAsia="Times New Roman" w:hint="default"/>
        </w:rPr>
        <w:t>6</w:t>
      </w:r>
      <w:r>
        <w:rPr/>
        <w:t>）研发投入</w:t>
      </w:r>
    </w:p>
    <w:p>
      <w:pPr>
        <w:pStyle w:val="Heading4"/>
        <w:spacing w:line="386" w:lineRule="auto" w:before="177"/>
        <w:ind w:left="573" w:right="113"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在全球宏观经济环境日益复杂的形势下，公司一方面专注深挖中小功率柔性系列激光行业应用需求，</w:t>
      </w:r>
    </w:p>
    <w:p>
      <w:pPr>
        <w:pStyle w:val="Heading4"/>
        <w:spacing w:line="398" w:lineRule="auto" w:before="65"/>
        <w:ind w:right="151"/>
        <w:jc w:val="both"/>
      </w:pPr>
      <w:r>
        <w:rPr>
          <w:spacing w:val="-1"/>
        </w:rPr>
        <w:t>研发和推出更能提升生产效率的激光设备，进一步加强二代金属射频激光器的开发和测试，以逐步取代进</w:t>
      </w:r>
      <w:r>
        <w:rPr>
          <w:spacing w:val="-81"/>
        </w:rPr>
        <w:t> </w:t>
      </w:r>
      <w:r>
        <w:rPr>
          <w:spacing w:val="-81"/>
        </w:rPr>
      </w:r>
      <w:r>
        <w:rPr/>
        <w:t>口射频激光器；同时加大研发金属激光系列设备，扩大出口销售；另一方面本报告期公司在</w:t>
      </w:r>
      <w:r>
        <w:rPr>
          <w:spacing w:val="-52"/>
        </w:rPr>
        <w:t>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t>打印和互 联网意造云平台方面投入大量人力和物力，期望在未来公司能成为</w:t>
      </w:r>
      <w:r>
        <w:rPr>
          <w:spacing w:val="-52"/>
        </w:rPr>
        <w:t>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t>打印行业的领军企业。</w:t>
      </w:r>
    </w:p>
    <w:p>
      <w:pPr>
        <w:spacing w:line="240" w:lineRule="auto" w:before="11"/>
        <w:rPr>
          <w:rFonts w:ascii="宋体" w:hAnsi="宋体" w:cs="宋体" w:eastAsia="宋体" w:hint="default"/>
          <w:sz w:val="22"/>
          <w:szCs w:val="22"/>
        </w:rPr>
      </w:pPr>
    </w:p>
    <w:p>
      <w:pPr>
        <w:pStyle w:val="Heading4"/>
        <w:spacing w:line="240" w:lineRule="auto"/>
        <w:ind w:right="0"/>
        <w:jc w:val="both"/>
      </w:pPr>
      <w:r>
        <w:rPr/>
        <w:t>近三年公司研发投入金额及占营业收入的比例</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13,529,220.79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11,652,706.64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8,632,623.62</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6.03%</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4,985,007.95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5,356,732.22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75.53%</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0.00%</w:t>
            </w:r>
          </w:p>
        </w:tc>
      </w:tr>
    </w:tbl>
    <w:p>
      <w:pPr>
        <w:pStyle w:val="Heading4"/>
        <w:spacing w:line="240" w:lineRule="auto" w:before="63"/>
        <w:ind w:left="154" w:right="0"/>
        <w:jc w:val="left"/>
      </w:pPr>
      <w:r>
        <w:rPr/>
        <w:t>研发投入资本化率大幅变动的原因及其合理性说明</w:t>
      </w:r>
    </w:p>
    <w:p>
      <w:pPr>
        <w:spacing w:line="240" w:lineRule="auto" w:before="10"/>
        <w:rPr>
          <w:rFonts w:ascii="宋体" w:hAnsi="宋体" w:cs="宋体" w:eastAsia="宋体" w:hint="default"/>
          <w:sz w:val="14"/>
          <w:szCs w:val="14"/>
        </w:rPr>
      </w:pPr>
    </w:p>
    <w:p>
      <w:pPr>
        <w:pStyle w:val="Heading4"/>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240" w:lineRule="auto" w:before="177"/>
        <w:ind w:left="154" w:right="0"/>
        <w:jc w:val="left"/>
      </w:pPr>
      <w:r>
        <w:rPr>
          <w:rFonts w:ascii="Times New Roman" w:hAnsi="Times New Roman" w:cs="Times New Roman" w:eastAsia="Times New Roman" w:hint="default"/>
        </w:rPr>
        <w:t>7</w:t>
      </w:r>
      <w:r>
        <w:rPr/>
        <w:t>）现金流</w:t>
      </w:r>
    </w:p>
    <w:p>
      <w:pPr>
        <w:spacing w:line="240" w:lineRule="auto" w:before="3"/>
        <w:rPr>
          <w:rFonts w:ascii="宋体" w:hAnsi="宋体" w:cs="宋体" w:eastAsia="宋体" w:hint="default"/>
          <w:sz w:val="9"/>
          <w:szCs w:val="9"/>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205,459,362.82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175,750,295.32</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16.90%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193,997,312.91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188,957,363.37</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2.67%</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11,462,049.91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-13,207,068.05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186.79%</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183,818,695.35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167,754,612.55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9.58%</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222,415,823.95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213,653,310.71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4.10%</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-38,597,128.60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-45,898,698.16</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15.91%</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53,445,085.67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7,612,625.01</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602.06%</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57,311,177.78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9,000,191.10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536.78%</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-3,866,092.11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-1,387,566.09</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-178.62%</w:t>
            </w:r>
            <w:r>
              <w:rPr>
                <w:rFonts w:ascii="Times New Roman"/>
                <w:sz w:val="18"/>
              </w:rPr>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-31,014,732.22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-61,099,727.16</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49.24%</w:t>
            </w:r>
          </w:p>
        </w:tc>
      </w:tr>
    </w:tbl>
    <w:p>
      <w:pPr>
        <w:pStyle w:val="Heading4"/>
        <w:spacing w:line="240" w:lineRule="auto" w:before="63"/>
        <w:ind w:left="154" w:right="196"/>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pStyle w:val="Heading4"/>
        <w:spacing w:line="240" w:lineRule="auto" w:before="177"/>
        <w:ind w:right="1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386" w:lineRule="auto" w:before="177"/>
        <w:ind w:right="217" w:firstLine="420"/>
        <w:jc w:val="left"/>
      </w:pPr>
      <w:r>
        <w:rPr>
          <w:rFonts w:ascii="Times New Roman" w:hAnsi="Times New Roman" w:cs="Times New Roman" w:eastAsia="Times New Roman" w:hint="default"/>
        </w:rPr>
        <w:t>1</w:t>
      </w:r>
      <w:r>
        <w:rPr/>
        <w:t>、经营活动产生的现金流量净额</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年比</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年同比增加</w:t>
      </w:r>
      <w:r>
        <w:rPr>
          <w:spacing w:val="-54"/>
        </w:rPr>
        <w:t> </w:t>
      </w:r>
      <w:r>
        <w:rPr>
          <w:rFonts w:ascii="Times New Roman" w:hAnsi="Times New Roman" w:cs="Times New Roman" w:eastAsia="Times New Roman" w:hint="default"/>
        </w:rPr>
        <w:t>186.79%</w:t>
      </w:r>
      <w:r>
        <w:rPr/>
        <w:t>，系</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年公司按事业部加强 采购管理和考核管理，消化原库存量，使采购额和经营支付减少。</w:t>
      </w:r>
    </w:p>
    <w:p>
      <w:pPr>
        <w:pStyle w:val="Heading4"/>
        <w:spacing w:line="240" w:lineRule="auto" w:before="65"/>
        <w:ind w:left="573" w:right="19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、筹资活动现金流入</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年比</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年同比增加</w:t>
      </w:r>
      <w:r>
        <w:rPr>
          <w:spacing w:val="-54"/>
        </w:rPr>
        <w:t> </w:t>
      </w:r>
      <w:r>
        <w:rPr>
          <w:rFonts w:ascii="Times New Roman" w:hAnsi="Times New Roman" w:cs="Times New Roman" w:eastAsia="Times New Roman" w:hint="default"/>
        </w:rPr>
        <w:t>602.06%</w:t>
      </w:r>
      <w:r>
        <w:rPr/>
        <w:t>，系报告期比上年同期新增短期借款</w:t>
      </w:r>
      <w:r>
        <w:rPr>
          <w:spacing w:val="-53"/>
        </w:rPr>
        <w:t> </w:t>
      </w:r>
      <w:r>
        <w:rPr>
          <w:rFonts w:ascii="Times New Roman" w:hAnsi="Times New Roman" w:cs="Times New Roman" w:eastAsia="Times New Roman" w:hint="default"/>
        </w:rPr>
        <w:t>5000</w:t>
      </w:r>
    </w:p>
    <w:p>
      <w:pPr>
        <w:pStyle w:val="Heading4"/>
        <w:spacing w:line="240" w:lineRule="auto" w:before="177"/>
        <w:ind w:right="196"/>
        <w:jc w:val="left"/>
      </w:pPr>
      <w:r>
        <w:rPr/>
        <w:t>万元。</w:t>
      </w:r>
    </w:p>
    <w:p>
      <w:pPr>
        <w:spacing w:line="240" w:lineRule="auto" w:before="10"/>
        <w:rPr>
          <w:rFonts w:ascii="宋体" w:hAnsi="宋体" w:cs="宋体" w:eastAsia="宋体" w:hint="default"/>
          <w:sz w:val="14"/>
          <w:szCs w:val="14"/>
        </w:rPr>
      </w:pPr>
    </w:p>
    <w:p>
      <w:pPr>
        <w:pStyle w:val="Heading4"/>
        <w:spacing w:line="240" w:lineRule="auto"/>
        <w:ind w:left="573" w:right="196"/>
        <w:jc w:val="left"/>
      </w:pPr>
      <w:r>
        <w:rPr>
          <w:rFonts w:ascii="Times New Roman" w:hAnsi="Times New Roman" w:cs="Times New Roman" w:eastAsia="Times New Roman" w:hint="default"/>
        </w:rPr>
        <w:t>3</w:t>
      </w:r>
      <w:r>
        <w:rPr/>
        <w:t>、筹资活动现金流出</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年比</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年同比增加</w:t>
      </w:r>
      <w:r>
        <w:rPr>
          <w:spacing w:val="-54"/>
        </w:rPr>
        <w:t> </w:t>
      </w:r>
      <w:r>
        <w:rPr>
          <w:rFonts w:ascii="Times New Roman" w:hAnsi="Times New Roman" w:cs="Times New Roman" w:eastAsia="Times New Roman" w:hint="default"/>
        </w:rPr>
        <w:t>536.78%</w:t>
      </w:r>
      <w:r>
        <w:rPr/>
        <w:t>，系报告期偿还短期借款</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p>
    <w:p>
      <w:pPr>
        <w:pStyle w:val="Heading4"/>
        <w:spacing w:line="386" w:lineRule="auto" w:before="177"/>
        <w:ind w:right="203" w:firstLine="420"/>
        <w:jc w:val="left"/>
      </w:pPr>
      <w:r>
        <w:rPr>
          <w:rFonts w:ascii="Times New Roman" w:hAnsi="Times New Roman" w:cs="Times New Roman" w:eastAsia="Times New Roman" w:hint="default"/>
          <w:spacing w:val="-4"/>
        </w:rPr>
        <w:t>4</w:t>
      </w:r>
      <w:r>
        <w:rPr>
          <w:spacing w:val="-4"/>
        </w:rPr>
        <w:t>、筹资活动产生的现金流量净额</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年比</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年同比减少</w:t>
      </w:r>
      <w:r>
        <w:rPr>
          <w:spacing w:val="-48"/>
        </w:rPr>
        <w:t> </w:t>
      </w:r>
      <w:r>
        <w:rPr>
          <w:rFonts w:ascii="Times New Roman" w:hAnsi="Times New Roman" w:cs="Times New Roman" w:eastAsia="Times New Roman" w:hint="default"/>
          <w:spacing w:val="-3"/>
        </w:rPr>
        <w:t>178.62%</w:t>
      </w:r>
      <w:r>
        <w:rPr>
          <w:spacing w:val="-3"/>
        </w:rPr>
        <w:t>，系报告期开具银行承兑汇票保</w:t>
      </w:r>
      <w:r>
        <w:rPr/>
        <w:t> 证金比上年减少所致。</w:t>
      </w:r>
    </w:p>
    <w:p>
      <w:pPr>
        <w:pStyle w:val="Heading4"/>
        <w:spacing w:line="386" w:lineRule="auto" w:before="65"/>
        <w:ind w:right="99" w:firstLine="420"/>
        <w:jc w:val="left"/>
      </w:pPr>
      <w:r>
        <w:rPr>
          <w:rFonts w:ascii="Times New Roman" w:hAnsi="Times New Roman" w:cs="Times New Roman" w:eastAsia="Times New Roman" w:hint="default"/>
          <w:spacing w:val="-4"/>
        </w:rPr>
        <w:t>5</w:t>
      </w:r>
      <w:r>
        <w:rPr>
          <w:spacing w:val="-4"/>
        </w:rPr>
        <w:t>、现金及现金等价物增加额</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年比</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年同比增加</w:t>
      </w:r>
      <w:r>
        <w:rPr>
          <w:spacing w:val="-49"/>
        </w:rPr>
        <w:t> </w:t>
      </w:r>
      <w:r>
        <w:rPr>
          <w:rFonts w:ascii="Times New Roman" w:hAnsi="Times New Roman" w:cs="Times New Roman" w:eastAsia="Times New Roman" w:hint="default"/>
          <w:spacing w:val="-3"/>
        </w:rPr>
        <w:t>49.24%</w:t>
      </w:r>
      <w:r>
        <w:rPr>
          <w:spacing w:val="-3"/>
        </w:rPr>
        <w:t>，系报告期经营活动净现金流入增加，</w:t>
      </w:r>
      <w:r>
        <w:rPr/>
        <w:t> 同时投资活动净现金流出减少所致。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right="196"/>
        <w:jc w:val="left"/>
      </w:pPr>
      <w:r>
        <w:rPr/>
        <w:t>报告期内公司经营活动的现金流量与本年度净利润存在重大差异的原因说明</w:t>
      </w:r>
    </w:p>
    <w:p>
      <w:pPr>
        <w:spacing w:line="240" w:lineRule="auto" w:before="10"/>
        <w:rPr>
          <w:rFonts w:ascii="宋体" w:hAnsi="宋体" w:cs="宋体" w:eastAsia="宋体" w:hint="default"/>
          <w:sz w:val="14"/>
          <w:szCs w:val="14"/>
        </w:rPr>
      </w:pPr>
    </w:p>
    <w:p>
      <w:pPr>
        <w:pStyle w:val="Heading4"/>
        <w:spacing w:line="386" w:lineRule="auto"/>
        <w:ind w:right="69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rFonts w:ascii="Times New Roman" w:hAnsi="Times New Roman" w:cs="Times New Roman" w:eastAsia="Times New Roman" w:hint="default"/>
        </w:rPr>
        <w:t>8</w:t>
      </w:r>
      <w:r>
        <w:rPr/>
        <w:t>）公司主要供应商、客户情况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21,108,843.15</w:t>
            </w:r>
          </w:p>
        </w:tc>
      </w:tr>
      <w:tr>
        <w:trPr>
          <w:trHeight w:val="403"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12.69%</w:t>
            </w:r>
          </w:p>
        </w:tc>
      </w:tr>
    </w:tbl>
    <w:p>
      <w:pPr>
        <w:pStyle w:val="Heading4"/>
        <w:spacing w:line="240" w:lineRule="auto" w:before="63"/>
        <w:ind w:left="154" w:right="196"/>
        <w:jc w:val="left"/>
      </w:pPr>
      <w:r>
        <w:rPr/>
        <w:t>向单一客户销售比例超过</w:t>
      </w:r>
      <w:r>
        <w:rPr>
          <w:spacing w:val="-55"/>
        </w:rPr>
        <w:t> </w:t>
      </w:r>
      <w:r>
        <w:rPr>
          <w:rFonts w:ascii="Times New Roman" w:hAnsi="Times New Roman" w:cs="Times New Roman" w:eastAsia="Times New Roman" w:hint="default"/>
        </w:rPr>
        <w:t>30%</w:t>
      </w:r>
      <w:r>
        <w:rPr/>
        <w:t>的客户资料</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Heading4"/>
        <w:spacing w:line="386" w:lineRule="auto" w:before="174"/>
        <w:ind w:right="78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13,617,138.49</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14.56%</w:t>
            </w:r>
          </w:p>
        </w:tc>
      </w:tr>
    </w:tbl>
    <w:p>
      <w:pPr>
        <w:pStyle w:val="Heading4"/>
        <w:spacing w:line="240" w:lineRule="auto" w:before="63"/>
        <w:ind w:left="154" w:right="0"/>
        <w:jc w:val="left"/>
      </w:pPr>
      <w:r>
        <w:rPr/>
        <w:t>向单一供应商采购比例超过</w:t>
      </w:r>
      <w:r>
        <w:rPr>
          <w:spacing w:val="-54"/>
        </w:rPr>
        <w:t> </w:t>
      </w:r>
      <w:r>
        <w:rPr>
          <w:rFonts w:ascii="Times New Roman" w:hAnsi="Times New Roman" w:cs="Times New Roman" w:eastAsia="Times New Roman" w:hint="default"/>
        </w:rPr>
        <w:t>30%</w:t>
      </w:r>
      <w:r>
        <w:rPr/>
        <w:t>的客户资料</w:t>
      </w:r>
    </w:p>
    <w:p>
      <w:pPr>
        <w:pStyle w:val="Heading4"/>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386" w:lineRule="auto" w:before="177"/>
        <w:ind w:right="3053"/>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Heading4"/>
        <w:spacing w:line="386" w:lineRule="auto" w:before="65"/>
        <w:ind w:right="4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前期披露的发展战略和经营计划在报告期内的进展情况</w:t>
      </w:r>
    </w:p>
    <w:p>
      <w:pPr>
        <w:pStyle w:val="Heading4"/>
        <w:spacing w:line="398" w:lineRule="auto" w:before="65"/>
        <w:ind w:right="0" w:firstLine="421"/>
        <w:jc w:val="left"/>
      </w:pPr>
      <w:r>
        <w:rPr>
          <w:spacing w:val="-1"/>
        </w:rPr>
        <w:t>报告期内，公司相关工作均按前期披露的发展战略和经营计划顺利推进，未出现大的差异和波动，详</w:t>
      </w:r>
      <w:r>
        <w:rPr/>
        <w:t> 情可见本报告中第四节、一、</w:t>
      </w:r>
      <w:r>
        <w:rPr>
          <w:rFonts w:ascii="Times New Roman" w:hAnsi="Times New Roman" w:cs="Times New Roman" w:eastAsia="Times New Roman" w:hint="default"/>
        </w:rPr>
        <w:t>1 </w:t>
      </w:r>
      <w:r>
        <w:rPr/>
        <w:t>的</w:t>
      </w:r>
      <w:r>
        <w:rPr>
          <w:rFonts w:ascii="Times New Roman" w:hAnsi="Times New Roman" w:cs="Times New Roman" w:eastAsia="Times New Roman" w:hint="default"/>
        </w:rPr>
        <w:t>“</w:t>
      </w:r>
      <w:r>
        <w:rPr/>
        <w:t>报告期内主要业务回顾</w:t>
      </w:r>
      <w:r>
        <w:rPr>
          <w:rFonts w:ascii="Times New Roman" w:hAnsi="Times New Roman" w:cs="Times New Roman" w:eastAsia="Times New Roman" w:hint="default"/>
        </w:rPr>
        <w:t>”</w:t>
      </w:r>
      <w:r>
        <w:rPr/>
        <w:t>内容。 公司实际经营业绩较曾公开披露过的本年度盈利预测低于或高于</w:t>
      </w:r>
      <w:r>
        <w:rPr>
          <w:spacing w:val="-53"/>
        </w:rPr>
        <w:t> </w:t>
      </w:r>
      <w:r>
        <w:rPr>
          <w:rFonts w:ascii="Times New Roman" w:hAnsi="Times New Roman" w:cs="Times New Roman" w:eastAsia="Times New Roman" w:hint="default"/>
        </w:rPr>
        <w:t>20%</w:t>
      </w:r>
      <w:r>
        <w:rPr/>
        <w:t>以上的差异原因</w:t>
      </w:r>
    </w:p>
    <w:p>
      <w:pPr>
        <w:pStyle w:val="Heading4"/>
        <w:spacing w:line="240" w:lineRule="auto" w:before="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0"/>
          <w:szCs w:val="30"/>
        </w:rPr>
      </w:pPr>
    </w:p>
    <w:p>
      <w:pPr>
        <w:pStyle w:val="Heading3"/>
        <w:spacing w:line="240" w:lineRule="auto"/>
        <w:ind w:left="153"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65"/>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激光行业收入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182,460,165.59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71,696,173.12</w:t>
            </w:r>
          </w:p>
        </w:tc>
      </w:tr>
      <w:tr>
        <w:trPr>
          <w:trHeight w:val="402" w:hRule="exact"/>
        </w:trPr>
        <w:tc>
          <w:tcPr>
            <w:tcW w:w="9570"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轴系列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43,790,179.88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14,853,545.44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53,205,153.87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19,432,888.63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18,408,210.48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9,688,111.22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43,749,356.13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18,959,510.09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23,307,265.23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8,762,117.74</w:t>
            </w:r>
          </w:p>
        </w:tc>
      </w:tr>
      <w:tr>
        <w:trPr>
          <w:trHeight w:val="402" w:hRule="exact"/>
        </w:trPr>
        <w:tc>
          <w:tcPr>
            <w:tcW w:w="9570"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35,321,881.09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9,528,759.09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38,097,811.31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13,637,047.77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16,411,761.02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5,738,774.29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3,462,711.22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721,354.27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3204"/>
        <w:gridCol w:w="3191"/>
        <w:gridCol w:w="3189"/>
      </w:tblGrid>
      <w:tr>
        <w:trPr>
          <w:trHeight w:val="402" w:hRule="exact"/>
        </w:trPr>
        <w:tc>
          <w:tcPr>
            <w:tcW w:w="3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3,758,472.99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1,673,382.26</w:t>
            </w:r>
          </w:p>
        </w:tc>
      </w:tr>
      <w:tr>
        <w:trPr>
          <w:trHeight w:val="402" w:hRule="exact"/>
        </w:trPr>
        <w:tc>
          <w:tcPr>
            <w:tcW w:w="3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507,509.24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225,295.01</w:t>
            </w:r>
          </w:p>
        </w:tc>
      </w:tr>
      <w:tr>
        <w:trPr>
          <w:trHeight w:val="402" w:hRule="exact"/>
        </w:trPr>
        <w:tc>
          <w:tcPr>
            <w:tcW w:w="3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8,233,504.97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2,208,646.02</w:t>
            </w:r>
          </w:p>
        </w:tc>
      </w:tr>
      <w:tr>
        <w:trPr>
          <w:trHeight w:val="402" w:hRule="exact"/>
        </w:trPr>
        <w:tc>
          <w:tcPr>
            <w:tcW w:w="3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76,666,513.75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37,962,914.41</w:t>
            </w:r>
          </w:p>
        </w:tc>
      </w:tr>
    </w:tbl>
    <w:p>
      <w:pPr>
        <w:pStyle w:val="Heading4"/>
        <w:spacing w:line="240" w:lineRule="auto" w:before="63"/>
        <w:ind w:left="154" w:right="0"/>
        <w:jc w:val="left"/>
      </w:pPr>
      <w:r>
        <w:rPr>
          <w:rFonts w:ascii="Times New Roman" w:hAnsi="Times New Roman" w:cs="Times New Roman" w:eastAsia="Times New Roman" w:hint="default"/>
        </w:rPr>
        <w:t>2</w:t>
      </w:r>
      <w:r>
        <w:rPr/>
        <w:t>）占比</w:t>
      </w:r>
      <w:r>
        <w:rPr>
          <w:spacing w:val="-53"/>
        </w:rPr>
        <w:t> </w:t>
      </w:r>
      <w:r>
        <w:rPr>
          <w:rFonts w:ascii="Times New Roman" w:hAnsi="Times New Roman" w:cs="Times New Roman" w:eastAsia="Times New Roman" w:hint="default"/>
        </w:rPr>
        <w:t>10%</w:t>
      </w:r>
      <w:r>
        <w:rPr/>
        <w:t>以上的产品、行业或地区情况</w:t>
      </w:r>
    </w:p>
    <w:p>
      <w:pPr>
        <w:pStyle w:val="Heading4"/>
        <w:spacing w:line="240" w:lineRule="auto" w:before="17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3"/>
        <w:rPr>
          <w:rFonts w:ascii="宋体" w:hAnsi="宋体" w:cs="宋体" w:eastAsia="宋体" w:hint="default"/>
          <w:sz w:val="9"/>
          <w:szCs w:val="9"/>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411" w:right="53"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激光行业收入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182,460,165.59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110,763,992.47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轴系列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43,790,179.88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28,936,634.44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53,205,153.87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33,772,265.24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42.16%</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18,408,210.48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8,720,099.26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56.07%</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-2.80%</w:t>
            </w:r>
          </w:p>
        </w:tc>
      </w:tr>
      <w:tr>
        <w:trPr>
          <w:trHeight w:val="714"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2"/>
              <w:jc w:val="left"/>
              <w:rPr>
                <w:rFonts w:ascii="宋体" w:hAnsi="宋体" w:cs="宋体" w:eastAsia="宋体" w:hint="default"/>
                <w:sz w:val="18"/>
                <w:szCs w:val="18"/>
              </w:rPr>
            </w:pPr>
            <w:r>
              <w:rPr>
                <w:rFonts w:ascii="宋体" w:hAnsi="宋体" w:cs="宋体" w:eastAsia="宋体" w:hint="default"/>
                <w:sz w:val="18"/>
                <w:szCs w:val="18"/>
              </w:rPr>
              <w:t>固体激光产品系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43,749,356.13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24,789,846.04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149.04%</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23,307,265.23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14,545,147.49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-5.23%</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35,321,881.09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25,793,122.00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38,097,811.31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24,460,763.54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179.87%</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76,666,513.75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38,703,599.34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32.68%</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-5.48%</w:t>
            </w:r>
          </w:p>
        </w:tc>
      </w:tr>
    </w:tbl>
    <w:p>
      <w:pPr>
        <w:pStyle w:val="Heading4"/>
        <w:spacing w:line="386" w:lineRule="auto" w:before="63"/>
        <w:ind w:left="154" w:right="220"/>
        <w:jc w:val="left"/>
      </w:pPr>
      <w:r>
        <w:rPr>
          <w:rFonts w:ascii="Times New Roman" w:hAnsi="Times New Roman" w:cs="Times New Roman" w:eastAsia="Times New Roman" w:hint="default"/>
        </w:rPr>
        <w:t>3</w:t>
      </w:r>
      <w:r>
        <w:rPr/>
        <w:t>）公司主营业务数据统计口径在报告期发生调整的情况下，公司最近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年按报告期末口径调整后的主营 业务数据</w:t>
      </w:r>
    </w:p>
    <w:p>
      <w:pPr>
        <w:pStyle w:val="Heading4"/>
        <w:spacing w:line="240" w:lineRule="auto" w:before="65"/>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154" w:right="0"/>
        <w:jc w:val="left"/>
      </w:pPr>
      <w:r>
        <w:rPr>
          <w:rFonts w:ascii="Times New Roman" w:hAnsi="Times New Roman" w:cs="Times New Roman" w:eastAsia="Times New Roman" w:hint="default"/>
        </w:rPr>
        <w:t>1</w:t>
      </w:r>
      <w:r>
        <w:rPr/>
        <w:t>）资产项目重大变动情况</w:t>
      </w:r>
    </w:p>
    <w:p>
      <w:pPr>
        <w:pStyle w:val="BodyText"/>
        <w:spacing w:line="240" w:lineRule="auto" w:before="165"/>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55"/>
        <w:gridCol w:w="1164"/>
        <w:gridCol w:w="1063"/>
        <w:gridCol w:w="1196"/>
        <w:gridCol w:w="1063"/>
        <w:gridCol w:w="798"/>
        <w:gridCol w:w="2904"/>
      </w:tblGrid>
      <w:tr>
        <w:trPr>
          <w:trHeight w:val="380" w:hRule="exact"/>
        </w:trPr>
        <w:tc>
          <w:tcPr>
            <w:tcW w:w="1355" w:type="dxa"/>
            <w:tcBorders>
              <w:top w:val="single" w:sz="4" w:space="0" w:color="000000"/>
              <w:left w:val="nil" w:sz="6" w:space="0" w:color="auto"/>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04" w:type="dxa"/>
            <w:tcBorders>
              <w:top w:val="single" w:sz="4" w:space="0" w:color="000000"/>
              <w:left w:val="single" w:sz="4" w:space="0" w:color="000000"/>
              <w:bottom w:val="single" w:sz="14" w:space="0" w:color="FFFFFF"/>
              <w:right w:val="nil" w:sz="6" w:space="0" w:color="auto"/>
            </w:tcBorders>
            <w:shd w:val="clear" w:color="auto" w:fill="D2D2D2"/>
          </w:tcPr>
          <w:p>
            <w:pPr/>
          </w:p>
        </w:tc>
      </w:tr>
      <w:tr>
        <w:trPr>
          <w:trHeight w:val="183" w:hRule="exact"/>
        </w:trPr>
        <w:tc>
          <w:tcPr>
            <w:tcW w:w="1355" w:type="dxa"/>
            <w:vMerge w:val="restart"/>
            <w:tcBorders>
              <w:top w:val="single" w:sz="14" w:space="0" w:color="FFFFFF"/>
              <w:left w:val="nil" w:sz="6" w:space="0" w:color="auto"/>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4" w:type="dxa"/>
            <w:vMerge w:val="restart"/>
            <w:tcBorders>
              <w:top w:val="single" w:sz="14" w:space="0" w:color="FFFFFF"/>
              <w:left w:val="single" w:sz="4" w:space="0" w:color="000000"/>
              <w:right w:val="nil" w:sz="6" w:space="0" w:color="auto"/>
            </w:tcBorders>
            <w:shd w:val="clear" w:color="auto" w:fill="D2D2D2"/>
          </w:tcPr>
          <w:p>
            <w:pPr>
              <w:pStyle w:val="TableParagraph"/>
              <w:spacing w:line="240" w:lineRule="auto" w:before="17"/>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5" w:type="dxa"/>
            <w:vMerge/>
            <w:tcBorders>
              <w:left w:val="nil" w:sz="6" w:space="0" w:color="auto"/>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04"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355" w:type="dxa"/>
            <w:vMerge w:val="restart"/>
            <w:tcBorders>
              <w:top w:val="nil" w:sz="6" w:space="0" w:color="auto"/>
              <w:left w:val="nil" w:sz="6" w:space="0" w:color="auto"/>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04"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355" w:type="dxa"/>
            <w:vMerge/>
            <w:tcBorders>
              <w:left w:val="nil" w:sz="6" w:space="0" w:color="auto"/>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0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77,216,045.00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108,523,688.51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39,065,113.07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26,762,277.19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c>
          <w:tcPr>
            <w:tcW w:w="290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120,400,401.6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125,821,168.86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291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95,124,769.45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82,446,109.77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c>
          <w:tcPr>
            <w:tcW w:w="2918" w:type="dxa"/>
            <w:tcBorders>
              <w:top w:val="single" w:sz="4" w:space="0" w:color="000000"/>
              <w:left w:val="single" w:sz="4" w:space="0" w:color="000000"/>
              <w:bottom w:val="single" w:sz="4" w:space="0" w:color="000000"/>
              <w:right w:val="nil" w:sz="6" w:space="0" w:color="auto"/>
            </w:tcBorders>
          </w:tcPr>
          <w:p>
            <w:pPr/>
          </w:p>
        </w:tc>
      </w:tr>
    </w:tbl>
    <w:p>
      <w:pPr>
        <w:pStyle w:val="Heading4"/>
        <w:spacing w:line="386" w:lineRule="auto" w:before="63"/>
        <w:ind w:left="154" w:right="7357"/>
        <w:jc w:val="left"/>
      </w:pPr>
      <w:r>
        <w:rPr>
          <w:rFonts w:ascii="Times New Roman" w:hAnsi="Times New Roman" w:cs="Times New Roman" w:eastAsia="Times New Roman" w:hint="default"/>
        </w:rPr>
        <w:t>2</w:t>
      </w:r>
      <w:r>
        <w:rPr/>
        <w:t>）负债项目重大变动情况 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left="154" w:right="0"/>
        <w:jc w:val="left"/>
      </w:pPr>
      <w:r>
        <w:rPr>
          <w:rFonts w:ascii="Times New Roman" w:hAnsi="Times New Roman" w:cs="Times New Roman" w:eastAsia="Times New Roman" w:hint="default"/>
        </w:rPr>
        <w:t>3</w:t>
      </w:r>
      <w:r>
        <w:rPr/>
        <w:t>）以公允价值计量的资产和负债</w:t>
      </w:r>
    </w:p>
    <w:p>
      <w:pPr>
        <w:pStyle w:val="Heading4"/>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0"/>
          <w:szCs w:val="30"/>
        </w:rPr>
      </w:pPr>
    </w:p>
    <w:p>
      <w:pPr>
        <w:pStyle w:val="Heading3"/>
        <w:spacing w:line="240" w:lineRule="auto"/>
        <w:ind w:left="153"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30"/>
          <w:szCs w:val="30"/>
        </w:rPr>
      </w:pPr>
    </w:p>
    <w:p>
      <w:pPr>
        <w:pStyle w:val="Heading4"/>
        <w:spacing w:line="398" w:lineRule="auto"/>
        <w:ind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本报告期没有出现导致公司核心竞争力变化的事项。 无形资产情况</w:t>
      </w:r>
    </w:p>
    <w:p>
      <w:pPr>
        <w:pStyle w:val="Heading3"/>
        <w:spacing w:line="240" w:lineRule="auto" w:before="54"/>
        <w:ind w:left="576" w:right="0"/>
        <w:jc w:val="left"/>
        <w:rPr>
          <w:b w:val="0"/>
          <w:bCs w:val="0"/>
        </w:rPr>
      </w:pPr>
      <w:r>
        <w:rPr>
          <w:rFonts w:ascii="Times New Roman" w:hAnsi="Times New Roman" w:cs="Times New Roman" w:eastAsia="Times New Roman" w:hint="default"/>
        </w:rPr>
        <w:t>1</w:t>
      </w:r>
      <w:r>
        <w:rPr/>
        <w:t>、商标</w:t>
      </w:r>
      <w:r>
        <w:rPr>
          <w:b w:val="0"/>
          <w:bCs w:val="0"/>
        </w:rPr>
      </w:r>
    </w:p>
    <w:p>
      <w:pPr>
        <w:pStyle w:val="Heading4"/>
        <w:spacing w:line="240" w:lineRule="auto" w:before="177"/>
        <w:ind w:left="573" w:right="0"/>
        <w:jc w:val="left"/>
      </w:pPr>
      <w:r>
        <w:rPr/>
        <w:t>（</w:t>
      </w:r>
      <w:r>
        <w:rPr>
          <w:rFonts w:ascii="Times New Roman" w:hAnsi="Times New Roman" w:cs="Times New Roman" w:eastAsia="Times New Roman" w:hint="default"/>
        </w:rPr>
        <w:t>1</w:t>
      </w:r>
      <w:r>
        <w:rPr/>
        <w:t>）国内商标权</w:t>
      </w:r>
    </w:p>
    <w:p>
      <w:pPr>
        <w:pStyle w:val="Heading4"/>
        <w:spacing w:line="240" w:lineRule="auto" w:before="177"/>
        <w:ind w:left="573" w:right="0"/>
        <w:jc w:val="left"/>
      </w:pPr>
      <w:r>
        <w:rPr/>
        <w:t>截至</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日，公司拥有</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项国内商标权，具体情况如下：</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008"/>
        <w:gridCol w:w="2638"/>
        <w:gridCol w:w="1755"/>
        <w:gridCol w:w="1296"/>
        <w:gridCol w:w="2739"/>
      </w:tblGrid>
      <w:tr>
        <w:trPr>
          <w:trHeight w:val="4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期限</w:t>
            </w:r>
          </w:p>
        </w:tc>
      </w:tr>
      <w:tr>
        <w:trPr>
          <w:trHeight w:val="73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409"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10701" cy="25984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10701" cy="259841"/>
                          </a:xfrm>
                          <a:prstGeom prst="rect">
                            <a:avLst/>
                          </a:prstGeom>
                        </pic:spPr>
                      </pic:pic>
                    </a:graphicData>
                  </a:graphic>
                </wp:inline>
              </w:drawing>
            </w:r>
            <w:r>
              <w:rPr>
                <w:rFonts w:ascii="宋体" w:hAnsi="宋体" w:cs="宋体" w:eastAsia="宋体" w:hint="default"/>
                <w:position w:val="-7"/>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6943481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6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3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409"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10701" cy="25984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510701" cy="259841"/>
                          </a:xfrm>
                          <a:prstGeom prst="rect">
                            <a:avLst/>
                          </a:prstGeom>
                        </pic:spPr>
                      </pic:pic>
                    </a:graphicData>
                  </a:graphic>
                </wp:inline>
              </w:drawing>
            </w:r>
            <w:r>
              <w:rPr>
                <w:rFonts w:ascii="宋体" w:hAnsi="宋体" w:cs="宋体" w:eastAsia="宋体" w:hint="default"/>
                <w:position w:val="-7"/>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6943480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64"/>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104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792" w:lineRule="exact"/>
              <w:ind w:left="4"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751229" cy="50291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751229" cy="502919"/>
                          </a:xfrm>
                          <a:prstGeom prst="rect">
                            <a:avLst/>
                          </a:prstGeom>
                        </pic:spPr>
                      </pic:pic>
                    </a:graphicData>
                  </a:graphic>
                </wp:inline>
              </w:drawing>
            </w:r>
            <w:r>
              <w:rPr>
                <w:rFonts w:ascii="宋体" w:hAnsi="宋体" w:cs="宋体" w:eastAsia="宋体" w:hint="default"/>
                <w:position w:val="-15"/>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6168537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6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7536" cy="20116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687536" cy="201168"/>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8"/>
              <w:ind w:right="0"/>
              <w:jc w:val="left"/>
              <w:rPr>
                <w:rFonts w:ascii="宋体" w:hAnsi="宋体" w:cs="宋体" w:eastAsia="宋体" w:hint="default"/>
                <w:sz w:val="18"/>
                <w:szCs w:val="18"/>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7357137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7536" cy="201168"/>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7" cstate="print"/>
                          <a:stretch>
                            <a:fillRect/>
                          </a:stretch>
                        </pic:blipFill>
                        <pic:spPr>
                          <a:xfrm>
                            <a:off x="0" y="0"/>
                            <a:ext cx="687536" cy="201168"/>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8"/>
              <w:ind w:right="0"/>
              <w:jc w:val="left"/>
              <w:rPr>
                <w:rFonts w:ascii="宋体" w:hAnsi="宋体" w:cs="宋体" w:eastAsia="宋体" w:hint="default"/>
                <w:sz w:val="18"/>
                <w:szCs w:val="18"/>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7357076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87536" cy="201168"/>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17" cstate="print"/>
                          <a:stretch>
                            <a:fillRect/>
                          </a:stretch>
                        </pic:blipFill>
                        <pic:spPr>
                          <a:xfrm>
                            <a:off x="0" y="0"/>
                            <a:ext cx="687536" cy="201168"/>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9"/>
              <w:ind w:right="0"/>
              <w:jc w:val="left"/>
              <w:rPr>
                <w:rFonts w:ascii="宋体" w:hAnsi="宋体" w:cs="宋体" w:eastAsia="宋体" w:hint="default"/>
                <w:sz w:val="18"/>
                <w:szCs w:val="18"/>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7357167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0089" cy="238887"/>
                  <wp:effectExtent l="0" t="0" r="0" b="0"/>
                  <wp:docPr id="15" name="image6.jpeg" descr=""/>
                  <wp:cNvGraphicFramePr>
                    <a:graphicFrameLocks noChangeAspect="1"/>
                  </wp:cNvGraphicFramePr>
                  <a:graphic>
                    <a:graphicData uri="http://schemas.openxmlformats.org/drawingml/2006/picture">
                      <pic:pic>
                        <pic:nvPicPr>
                          <pic:cNvPr id="16" name="image6.jpeg"/>
                          <pic:cNvPicPr/>
                        </pic:nvPicPr>
                        <pic:blipFill>
                          <a:blip r:embed="rId18" cstate="print"/>
                          <a:stretch>
                            <a:fillRect/>
                          </a:stretch>
                        </pic:blipFill>
                        <pic:spPr>
                          <a:xfrm>
                            <a:off x="0" y="0"/>
                            <a:ext cx="620089" cy="238887"/>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5"/>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7356830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1008"/>
        <w:gridCol w:w="2638"/>
        <w:gridCol w:w="1755"/>
        <w:gridCol w:w="1296"/>
        <w:gridCol w:w="2739"/>
      </w:tblGrid>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5077" cy="238886"/>
                  <wp:effectExtent l="0" t="0" r="0" b="0"/>
                  <wp:docPr id="17" name="image6.jpeg" descr=""/>
                  <wp:cNvGraphicFramePr>
                    <a:graphicFrameLocks noChangeAspect="1"/>
                  </wp:cNvGraphicFramePr>
                  <a:graphic>
                    <a:graphicData uri="http://schemas.openxmlformats.org/drawingml/2006/picture">
                      <pic:pic>
                        <pic:nvPicPr>
                          <pic:cNvPr id="18" name="image6.jpeg"/>
                          <pic:cNvPicPr/>
                        </pic:nvPicPr>
                        <pic:blipFill>
                          <a:blip r:embed="rId18" cstate="print"/>
                          <a:stretch>
                            <a:fillRect/>
                          </a:stretch>
                        </pic:blipFill>
                        <pic:spPr>
                          <a:xfrm>
                            <a:off x="0" y="0"/>
                            <a:ext cx="625077" cy="23888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3"/>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7357215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5077" cy="238886"/>
                  <wp:effectExtent l="0" t="0" r="0" b="0"/>
                  <wp:docPr id="19" name="image6.jpeg" descr=""/>
                  <wp:cNvGraphicFramePr>
                    <a:graphicFrameLocks noChangeAspect="1"/>
                  </wp:cNvGraphicFramePr>
                  <a:graphic>
                    <a:graphicData uri="http://schemas.openxmlformats.org/drawingml/2006/picture">
                      <pic:pic>
                        <pic:nvPicPr>
                          <pic:cNvPr id="20" name="image6.jpeg"/>
                          <pic:cNvPicPr/>
                        </pic:nvPicPr>
                        <pic:blipFill>
                          <a:blip r:embed="rId18" cstate="print"/>
                          <a:stretch>
                            <a:fillRect/>
                          </a:stretch>
                        </pic:blipFill>
                        <pic:spPr>
                          <a:xfrm>
                            <a:off x="0" y="0"/>
                            <a:ext cx="625077" cy="23888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3"/>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7356772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03942" cy="238886"/>
                  <wp:effectExtent l="0" t="0" r="0" b="0"/>
                  <wp:docPr id="21" name="image7.jpeg" descr=""/>
                  <wp:cNvGraphicFramePr>
                    <a:graphicFrameLocks noChangeAspect="1"/>
                  </wp:cNvGraphicFramePr>
                  <a:graphic>
                    <a:graphicData uri="http://schemas.openxmlformats.org/drawingml/2006/picture">
                      <pic:pic>
                        <pic:nvPicPr>
                          <pic:cNvPr id="22" name="image7.jpeg"/>
                          <pic:cNvPicPr/>
                        </pic:nvPicPr>
                        <pic:blipFill>
                          <a:blip r:embed="rId19" cstate="print"/>
                          <a:stretch>
                            <a:fillRect/>
                          </a:stretch>
                        </pic:blipFill>
                        <pic:spPr>
                          <a:xfrm>
                            <a:off x="0" y="0"/>
                            <a:ext cx="603942" cy="23888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3"/>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7993818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7"/>
                <w:szCs w:val="7"/>
              </w:rPr>
            </w:pPr>
          </w:p>
          <w:p>
            <w:pPr>
              <w:pStyle w:val="TableParagraph"/>
              <w:spacing w:line="538"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351671" cy="342042"/>
                  <wp:effectExtent l="0" t="0" r="0" b="0"/>
                  <wp:docPr id="23" name="image8.jpeg" descr=""/>
                  <wp:cNvGraphicFramePr>
                    <a:graphicFrameLocks noChangeAspect="1"/>
                  </wp:cNvGraphicFramePr>
                  <a:graphic>
                    <a:graphicData uri="http://schemas.openxmlformats.org/drawingml/2006/picture">
                      <pic:pic>
                        <pic:nvPicPr>
                          <pic:cNvPr id="24" name="image8.jpeg"/>
                          <pic:cNvPicPr/>
                        </pic:nvPicPr>
                        <pic:blipFill>
                          <a:blip r:embed="rId20" cstate="print"/>
                          <a:stretch>
                            <a:fillRect/>
                          </a:stretch>
                        </pic:blipFill>
                        <pic:spPr>
                          <a:xfrm>
                            <a:off x="0" y="0"/>
                            <a:ext cx="1351671" cy="342042"/>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9437991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76" w:lineRule="exact"/>
              <w:ind w:left="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25077" cy="238886"/>
                  <wp:effectExtent l="0" t="0" r="0" b="0"/>
                  <wp:docPr id="25" name="image6.jpeg" descr=""/>
                  <wp:cNvGraphicFramePr>
                    <a:graphicFrameLocks noChangeAspect="1"/>
                  </wp:cNvGraphicFramePr>
                  <a:graphic>
                    <a:graphicData uri="http://schemas.openxmlformats.org/drawingml/2006/picture">
                      <pic:pic>
                        <pic:nvPicPr>
                          <pic:cNvPr id="26" name="image6.jpeg"/>
                          <pic:cNvPicPr/>
                        </pic:nvPicPr>
                        <pic:blipFill>
                          <a:blip r:embed="rId18" cstate="print"/>
                          <a:stretch>
                            <a:fillRect/>
                          </a:stretch>
                        </pic:blipFill>
                        <pic:spPr>
                          <a:xfrm>
                            <a:off x="0" y="0"/>
                            <a:ext cx="625077" cy="23888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3"/>
              <w:ind w:right="0"/>
              <w:jc w:val="left"/>
              <w:rPr>
                <w:rFonts w:ascii="宋体" w:hAnsi="宋体" w:cs="宋体" w:eastAsia="宋体" w:hint="default"/>
                <w:sz w:val="16"/>
                <w:szCs w:val="16"/>
              </w:rPr>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7356812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453" w:lineRule="exact"/>
              <w:ind w:left="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25774" cy="288035"/>
                  <wp:effectExtent l="0" t="0" r="0" b="0"/>
                  <wp:docPr id="27" name="image9.jpeg" descr=""/>
                  <wp:cNvGraphicFramePr>
                    <a:graphicFrameLocks noChangeAspect="1"/>
                  </wp:cNvGraphicFramePr>
                  <a:graphic>
                    <a:graphicData uri="http://schemas.openxmlformats.org/drawingml/2006/picture">
                      <pic:pic>
                        <pic:nvPicPr>
                          <pic:cNvPr id="28" name="image9.jpeg"/>
                          <pic:cNvPicPr/>
                        </pic:nvPicPr>
                        <pic:blipFill>
                          <a:blip r:embed="rId21" cstate="print"/>
                          <a:stretch>
                            <a:fillRect/>
                          </a:stretch>
                        </pic:blipFill>
                        <pic:spPr>
                          <a:xfrm>
                            <a:off x="0" y="0"/>
                            <a:ext cx="725774" cy="288035"/>
                          </a:xfrm>
                          <a:prstGeom prst="rect">
                            <a:avLst/>
                          </a:prstGeom>
                        </pic:spPr>
                      </pic:pic>
                    </a:graphicData>
                  </a:graphic>
                </wp:inline>
              </w:drawing>
            </w:r>
            <w:r>
              <w:rPr>
                <w:rFonts w:ascii="宋体" w:hAnsi="宋体" w:cs="宋体" w:eastAsia="宋体" w:hint="default"/>
                <w:position w:val="-8"/>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10423816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7"/>
                <w:szCs w:val="7"/>
              </w:rPr>
            </w:pPr>
          </w:p>
          <w:p>
            <w:pPr>
              <w:pStyle w:val="TableParagraph"/>
              <w:spacing w:line="535"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042923" cy="340042"/>
                  <wp:effectExtent l="0" t="0" r="0" b="0"/>
                  <wp:docPr id="29" name="image10.jpeg" descr=""/>
                  <wp:cNvGraphicFramePr>
                    <a:graphicFrameLocks noChangeAspect="1"/>
                  </wp:cNvGraphicFramePr>
                  <a:graphic>
                    <a:graphicData uri="http://schemas.openxmlformats.org/drawingml/2006/picture">
                      <pic:pic>
                        <pic:nvPicPr>
                          <pic:cNvPr id="30" name="image10.jpeg"/>
                          <pic:cNvPicPr/>
                        </pic:nvPicPr>
                        <pic:blipFill>
                          <a:blip r:embed="rId22" cstate="print"/>
                          <a:stretch>
                            <a:fillRect/>
                          </a:stretch>
                        </pic:blipFill>
                        <pic:spPr>
                          <a:xfrm>
                            <a:off x="0" y="0"/>
                            <a:ext cx="1042923" cy="340042"/>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12403231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7"/>
                <w:szCs w:val="7"/>
              </w:rPr>
            </w:pPr>
          </w:p>
          <w:p>
            <w:pPr>
              <w:pStyle w:val="TableParagraph"/>
              <w:spacing w:line="535"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042923" cy="340042"/>
                  <wp:effectExtent l="0" t="0" r="0" b="0"/>
                  <wp:docPr id="31" name="image10.jpeg" descr=""/>
                  <wp:cNvGraphicFramePr>
                    <a:graphicFrameLocks noChangeAspect="1"/>
                  </wp:cNvGraphicFramePr>
                  <a:graphic>
                    <a:graphicData uri="http://schemas.openxmlformats.org/drawingml/2006/picture">
                      <pic:pic>
                        <pic:nvPicPr>
                          <pic:cNvPr id="32" name="image10.jpeg"/>
                          <pic:cNvPicPr/>
                        </pic:nvPicPr>
                        <pic:blipFill>
                          <a:blip r:embed="rId22" cstate="print"/>
                          <a:stretch>
                            <a:fillRect/>
                          </a:stretch>
                        </pic:blipFill>
                        <pic:spPr>
                          <a:xfrm>
                            <a:off x="0" y="0"/>
                            <a:ext cx="1042923" cy="340042"/>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12403211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6"/>
                <w:szCs w:val="6"/>
              </w:rPr>
            </w:pPr>
          </w:p>
          <w:p>
            <w:pPr>
              <w:pStyle w:val="TableParagraph"/>
              <w:spacing w:line="548"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156975" cy="348043"/>
                  <wp:effectExtent l="0" t="0" r="0" b="0"/>
                  <wp:docPr id="33" name="image11.jpeg" descr=""/>
                  <wp:cNvGraphicFramePr>
                    <a:graphicFrameLocks noChangeAspect="1"/>
                  </wp:cNvGraphicFramePr>
                  <a:graphic>
                    <a:graphicData uri="http://schemas.openxmlformats.org/drawingml/2006/picture">
                      <pic:pic>
                        <pic:nvPicPr>
                          <pic:cNvPr id="34" name="image11.jpeg"/>
                          <pic:cNvPicPr/>
                        </pic:nvPicPr>
                        <pic:blipFill>
                          <a:blip r:embed="rId23" cstate="print"/>
                          <a:stretch>
                            <a:fillRect/>
                          </a:stretch>
                        </pic:blipFill>
                        <pic:spPr>
                          <a:xfrm>
                            <a:off x="0" y="0"/>
                            <a:ext cx="1156975" cy="348043"/>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12403161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6"/>
                <w:szCs w:val="6"/>
              </w:rPr>
            </w:pPr>
          </w:p>
          <w:p>
            <w:pPr>
              <w:pStyle w:val="TableParagraph"/>
              <w:spacing w:line="549" w:lineRule="exact"/>
              <w:ind w:left="4"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1460379" cy="348614"/>
                  <wp:effectExtent l="0" t="0" r="0" b="0"/>
                  <wp:docPr id="35" name="image12.jpeg" descr=""/>
                  <wp:cNvGraphicFramePr>
                    <a:graphicFrameLocks noChangeAspect="1"/>
                  </wp:cNvGraphicFramePr>
                  <a:graphic>
                    <a:graphicData uri="http://schemas.openxmlformats.org/drawingml/2006/picture">
                      <pic:pic>
                        <pic:nvPicPr>
                          <pic:cNvPr id="36" name="image12.jpeg"/>
                          <pic:cNvPicPr/>
                        </pic:nvPicPr>
                        <pic:blipFill>
                          <a:blip r:embed="rId24" cstate="print"/>
                          <a:stretch>
                            <a:fillRect/>
                          </a:stretch>
                        </pic:blipFill>
                        <pic:spPr>
                          <a:xfrm>
                            <a:off x="0" y="0"/>
                            <a:ext cx="1460379" cy="348614"/>
                          </a:xfrm>
                          <a:prstGeom prst="rect">
                            <a:avLst/>
                          </a:prstGeom>
                        </pic:spPr>
                      </pic:pic>
                    </a:graphicData>
                  </a:graphic>
                </wp:inline>
              </w:drawing>
            </w:r>
            <w:r>
              <w:rPr>
                <w:rFonts w:ascii="宋体" w:hAnsi="宋体" w:cs="宋体" w:eastAsia="宋体" w:hint="default"/>
                <w:position w:val="-10"/>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12409075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77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504" w:lineRule="exact"/>
              <w:ind w:left="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228725" cy="320039"/>
                  <wp:effectExtent l="0" t="0" r="0" b="0"/>
                  <wp:docPr id="37" name="image13.jpeg" descr=""/>
                  <wp:cNvGraphicFramePr>
                    <a:graphicFrameLocks noChangeAspect="1"/>
                  </wp:cNvGraphicFramePr>
                  <a:graphic>
                    <a:graphicData uri="http://schemas.openxmlformats.org/drawingml/2006/picture">
                      <pic:pic>
                        <pic:nvPicPr>
                          <pic:cNvPr id="38" name="image13.jpeg"/>
                          <pic:cNvPicPr/>
                        </pic:nvPicPr>
                        <pic:blipFill>
                          <a:blip r:embed="rId25" cstate="print"/>
                          <a:stretch>
                            <a:fillRect/>
                          </a:stretch>
                        </pic:blipFill>
                        <pic:spPr>
                          <a:xfrm>
                            <a:off x="0" y="0"/>
                            <a:ext cx="1228725" cy="320039"/>
                          </a:xfrm>
                          <a:prstGeom prst="rect">
                            <a:avLst/>
                          </a:prstGeom>
                        </pic:spPr>
                      </pic:pic>
                    </a:graphicData>
                  </a:graphic>
                </wp:inline>
              </w:drawing>
            </w:r>
            <w:r>
              <w:rPr>
                <w:rFonts w:ascii="宋体" w:hAnsi="宋体" w:cs="宋体" w:eastAsia="宋体" w:hint="default"/>
                <w:position w:val="-9"/>
                <w:sz w:val="20"/>
                <w:szCs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12409004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spacing w:line="386" w:lineRule="auto" w:before="63"/>
        <w:ind w:left="514" w:right="3427" w:firstLine="1"/>
        <w:jc w:val="left"/>
        <w:rPr>
          <w:rFonts w:ascii="宋体" w:hAnsi="宋体" w:cs="宋体" w:eastAsia="宋体" w:hint="default"/>
          <w:sz w:val="21"/>
          <w:szCs w:val="21"/>
        </w:rPr>
      </w:pPr>
      <w:r>
        <w:rPr/>
        <w:pict>
          <v:shape style="position:absolute;margin-left:55.740002pt;margin-top:46.793671pt;width:479.2pt;height:9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5"/>
                    <w:gridCol w:w="2074"/>
                    <w:gridCol w:w="1466"/>
                    <w:gridCol w:w="1723"/>
                    <w:gridCol w:w="1186"/>
                    <w:gridCol w:w="2326"/>
                  </w:tblGrid>
                  <w:tr>
                    <w:trPr>
                      <w:trHeight w:val="422"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期限</w:t>
                        </w:r>
                      </w:p>
                    </w:tc>
                  </w:tr>
                  <w:tr>
                    <w:trPr>
                      <w:trHeight w:val="774"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Golden</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4082941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774" w:hRule="exact"/>
                    </w:trPr>
                    <w:tc>
                      <w:tcPr>
                        <w:tcW w:w="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欧盟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Golden</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9953449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日至</w:t>
                        </w:r>
                      </w:p>
                      <w:p>
                        <w:pPr>
                          <w:pStyle w:val="TableParagraph"/>
                          <w:spacing w:line="240" w:lineRule="auto" w:before="10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）国外商标权</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日，公司拥有</w:t>
      </w:r>
      <w:r>
        <w:rPr>
          <w:rFonts w:ascii="Times New Roman" w:hAnsi="Times New Roman" w:cs="Times New Roman" w:eastAsia="Times New Roman" w:hint="default"/>
          <w:sz w:val="21"/>
          <w:szCs w:val="21"/>
        </w:rPr>
        <w:t>2</w:t>
      </w:r>
      <w:r>
        <w:rPr>
          <w:rFonts w:ascii="宋体" w:hAnsi="宋体" w:cs="宋体" w:eastAsia="宋体" w:hint="default"/>
          <w:sz w:val="21"/>
          <w:szCs w:val="21"/>
        </w:rPr>
        <w:t>项国外商标权，具体情况如下：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3"/>
        <w:ind w:left="515" w:right="0"/>
        <w:jc w:val="left"/>
        <w:rPr>
          <w:b w:val="0"/>
          <w:bCs w:val="0"/>
        </w:rPr>
      </w:pPr>
      <w:r>
        <w:rPr/>
        <w:t>（</w:t>
      </w:r>
      <w:r>
        <w:rPr>
          <w:rFonts w:ascii="Times New Roman" w:hAnsi="Times New Roman" w:cs="Times New Roman" w:eastAsia="Times New Roman" w:hint="default"/>
        </w:rPr>
        <w:t>3</w:t>
      </w:r>
      <w:r>
        <w:rPr/>
        <w:t>）国内商标申请权</w:t>
      </w:r>
      <w:r>
        <w:rPr>
          <w:b w:val="0"/>
          <w:bCs w:val="0"/>
        </w:rPr>
      </w:r>
    </w:p>
    <w:p>
      <w:pPr>
        <w:pStyle w:val="Heading3"/>
        <w:spacing w:line="240" w:lineRule="auto" w:before="177"/>
        <w:ind w:left="515" w:right="0"/>
        <w:jc w:val="left"/>
        <w:rPr>
          <w:b w:val="0"/>
          <w:bCs w:val="0"/>
        </w:rPr>
      </w:pPr>
      <w:r>
        <w:rPr>
          <w:rFonts w:ascii="Times New Roman" w:hAnsi="Times New Roman" w:cs="Times New Roman" w:eastAsia="Times New Roman" w:hint="default"/>
        </w:rPr>
        <w:t>2014</w:t>
      </w:r>
      <w:r>
        <w:rPr/>
        <w:t>年公司拥有</w:t>
      </w:r>
      <w:r>
        <w:rPr>
          <w:rFonts w:ascii="Times New Roman" w:hAnsi="Times New Roman" w:cs="Times New Roman" w:eastAsia="Times New Roman" w:hint="default"/>
        </w:rPr>
        <w:t>36</w:t>
      </w:r>
      <w:r>
        <w:rPr/>
        <w:t>项国内商标申请权，具体情况如下：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申请日期</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exact"/>
              <w:ind w:left="4"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691915" cy="201168"/>
                  <wp:effectExtent l="0" t="0" r="0" b="0"/>
                  <wp:docPr id="39" name="image14.jpeg" descr=""/>
                  <wp:cNvGraphicFramePr>
                    <a:graphicFrameLocks noChangeAspect="1"/>
                  </wp:cNvGraphicFramePr>
                  <a:graphic>
                    <a:graphicData uri="http://schemas.openxmlformats.org/drawingml/2006/picture">
                      <pic:pic>
                        <pic:nvPicPr>
                          <pic:cNvPr id="40" name="image14.jpeg"/>
                          <pic:cNvPicPr/>
                        </pic:nvPicPr>
                        <pic:blipFill>
                          <a:blip r:embed="rId26" cstate="print"/>
                          <a:stretch>
                            <a:fillRect/>
                          </a:stretch>
                        </pic:blipFill>
                        <pic:spPr>
                          <a:xfrm>
                            <a:off x="0" y="0"/>
                            <a:ext cx="691915" cy="201168"/>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8"/>
              <w:ind w:right="0"/>
              <w:jc w:val="left"/>
              <w:rPr>
                <w:rFonts w:ascii="宋体" w:hAnsi="宋体" w:cs="宋体" w:eastAsia="宋体" w:hint="default"/>
                <w:b/>
                <w:bCs/>
                <w:sz w:val="18"/>
                <w:szCs w:val="18"/>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7357023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（驳回复审）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76"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624436" cy="238886"/>
                  <wp:effectExtent l="0" t="0" r="0" b="0"/>
                  <wp:docPr id="41" name="image6.jpeg" descr=""/>
                  <wp:cNvGraphicFramePr>
                    <a:graphicFrameLocks noChangeAspect="1"/>
                  </wp:cNvGraphicFramePr>
                  <a:graphic>
                    <a:graphicData uri="http://schemas.openxmlformats.org/drawingml/2006/picture">
                      <pic:pic>
                        <pic:nvPicPr>
                          <pic:cNvPr id="42" name="image6.jpeg"/>
                          <pic:cNvPicPr/>
                        </pic:nvPicPr>
                        <pic:blipFill>
                          <a:blip r:embed="rId18" cstate="print"/>
                          <a:stretch>
                            <a:fillRect/>
                          </a:stretch>
                        </pic:blipFill>
                        <pic:spPr>
                          <a:xfrm>
                            <a:off x="0" y="0"/>
                            <a:ext cx="624436" cy="238886"/>
                          </a:xfrm>
                          <a:prstGeom prst="rect">
                            <a:avLst/>
                          </a:prstGeom>
                        </pic:spPr>
                      </pic:pic>
                    </a:graphicData>
                  </a:graphic>
                </wp:inline>
              </w:drawing>
            </w:r>
            <w:r>
              <w:rPr>
                <w:rFonts w:ascii="Times New Roman" w:hAnsi="Times New Roman" w:cs="Times New Roman" w:eastAsia="Times New Roman" w:hint="default"/>
                <w:position w:val="-7"/>
                <w:sz w:val="20"/>
                <w:szCs w:val="20"/>
              </w:rPr>
            </w:r>
          </w:p>
          <w:p>
            <w:pPr>
              <w:pStyle w:val="TableParagraph"/>
              <w:spacing w:line="240" w:lineRule="auto" w:before="5"/>
              <w:ind w:right="0"/>
              <w:jc w:val="left"/>
              <w:rPr>
                <w:rFonts w:ascii="Times New Roman" w:hAnsi="Times New Roman" w:cs="Times New Roman" w:eastAsia="Times New Roman" w:hint="default"/>
                <w:sz w:val="18"/>
                <w:szCs w:val="18"/>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7356812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8"/>
                <w:szCs w:val="8"/>
              </w:rPr>
            </w:pPr>
          </w:p>
          <w:p>
            <w:pPr>
              <w:pStyle w:val="TableParagraph"/>
              <w:spacing w:line="535"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632679" cy="339947"/>
                  <wp:effectExtent l="0" t="0" r="0" b="0"/>
                  <wp:docPr id="43" name="image15.jpeg" descr=""/>
                  <wp:cNvGraphicFramePr>
                    <a:graphicFrameLocks noChangeAspect="1"/>
                  </wp:cNvGraphicFramePr>
                  <a:graphic>
                    <a:graphicData uri="http://schemas.openxmlformats.org/drawingml/2006/picture">
                      <pic:pic>
                        <pic:nvPicPr>
                          <pic:cNvPr id="44" name="image15.jpeg"/>
                          <pic:cNvPicPr/>
                        </pic:nvPicPr>
                        <pic:blipFill>
                          <a:blip r:embed="rId27" cstate="print"/>
                          <a:stretch>
                            <a:fillRect/>
                          </a:stretch>
                        </pic:blipFill>
                        <pic:spPr>
                          <a:xfrm>
                            <a:off x="0" y="0"/>
                            <a:ext cx="632679" cy="339947"/>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10423816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919"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8"/>
                <w:szCs w:val="8"/>
              </w:rPr>
            </w:pPr>
          </w:p>
          <w:p>
            <w:pPr>
              <w:pStyle w:val="TableParagraph"/>
              <w:spacing w:line="535"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632504" cy="339947"/>
                  <wp:effectExtent l="0" t="0" r="0" b="0"/>
                  <wp:docPr id="45" name="image15.jpeg" descr=""/>
                  <wp:cNvGraphicFramePr>
                    <a:graphicFrameLocks noChangeAspect="1"/>
                  </wp:cNvGraphicFramePr>
                  <a:graphic>
                    <a:graphicData uri="http://schemas.openxmlformats.org/drawingml/2006/picture">
                      <pic:pic>
                        <pic:nvPicPr>
                          <pic:cNvPr id="46" name="image15.jpeg"/>
                          <pic:cNvPicPr/>
                        </pic:nvPicPr>
                        <pic:blipFill>
                          <a:blip r:embed="rId27" cstate="print"/>
                          <a:stretch>
                            <a:fillRect/>
                          </a:stretch>
                        </pic:blipFill>
                        <pic:spPr>
                          <a:xfrm>
                            <a:off x="0" y="0"/>
                            <a:ext cx="632504" cy="339947"/>
                          </a:xfrm>
                          <a:prstGeom prst="rect">
                            <a:avLst/>
                          </a:prstGeom>
                        </pic:spPr>
                      </pic:pic>
                    </a:graphicData>
                  </a:graphic>
                </wp:inline>
              </w:drawing>
            </w:r>
            <w:r>
              <w:rPr>
                <w:rFonts w:ascii="Times New Roman" w:hAnsi="Times New Roman" w:cs="Times New Roman" w:eastAsia="Times New Roman" w:hint="default"/>
                <w:position w:val="-10"/>
                <w:sz w:val="20"/>
                <w:szCs w:val="20"/>
              </w:rPr>
            </w:r>
          </w:p>
          <w:p>
            <w:pPr>
              <w:pStyle w:val="TableParagraph"/>
              <w:spacing w:line="240" w:lineRule="auto" w:before="5"/>
              <w:ind w:right="0"/>
              <w:jc w:val="left"/>
              <w:rPr>
                <w:rFonts w:ascii="Times New Roman" w:hAnsi="Times New Roman" w:cs="Times New Roman" w:eastAsia="Times New Roman" w:hint="default"/>
                <w:sz w:val="24"/>
                <w:szCs w:val="24"/>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10423781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5" w:lineRule="exact"/>
              <w:ind w:left="4" w:right="-4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1666620" cy="200025"/>
                  <wp:effectExtent l="0" t="0" r="0" b="0"/>
                  <wp:docPr id="47" name="image16.jpeg" descr=""/>
                  <wp:cNvGraphicFramePr>
                    <a:graphicFrameLocks noChangeAspect="1"/>
                  </wp:cNvGraphicFramePr>
                  <a:graphic>
                    <a:graphicData uri="http://schemas.openxmlformats.org/drawingml/2006/picture">
                      <pic:pic>
                        <pic:nvPicPr>
                          <pic:cNvPr id="48" name="image16.jpeg"/>
                          <pic:cNvPicPr/>
                        </pic:nvPicPr>
                        <pic:blipFill>
                          <a:blip r:embed="rId28" cstate="print"/>
                          <a:stretch>
                            <a:fillRect/>
                          </a:stretch>
                        </pic:blipFill>
                        <pic:spPr>
                          <a:xfrm>
                            <a:off x="0" y="0"/>
                            <a:ext cx="1666620" cy="200025"/>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4"/>
              <w:ind w:right="0"/>
              <w:jc w:val="left"/>
              <w:rPr>
                <w:rFonts w:ascii="Times New Roman" w:hAnsi="Times New Roman" w:cs="Times New Roman" w:eastAsia="Times New Roman" w:hint="default"/>
                <w:sz w:val="21"/>
                <w:szCs w:val="21"/>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12409702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5" w:lineRule="exact"/>
              <w:ind w:left="4" w:right="-4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1666620" cy="200025"/>
                  <wp:effectExtent l="0" t="0" r="0" b="0"/>
                  <wp:docPr id="49" name="image16.jpeg" descr=""/>
                  <wp:cNvGraphicFramePr>
                    <a:graphicFrameLocks noChangeAspect="1"/>
                  </wp:cNvGraphicFramePr>
                  <a:graphic>
                    <a:graphicData uri="http://schemas.openxmlformats.org/drawingml/2006/picture">
                      <pic:pic>
                        <pic:nvPicPr>
                          <pic:cNvPr id="50" name="image16.jpeg"/>
                          <pic:cNvPicPr/>
                        </pic:nvPicPr>
                        <pic:blipFill>
                          <a:blip r:embed="rId28" cstate="print"/>
                          <a:stretch>
                            <a:fillRect/>
                          </a:stretch>
                        </pic:blipFill>
                        <pic:spPr>
                          <a:xfrm>
                            <a:off x="0" y="0"/>
                            <a:ext cx="1666620" cy="200025"/>
                          </a:xfrm>
                          <a:prstGeom prst="rect">
                            <a:avLst/>
                          </a:prstGeom>
                        </pic:spPr>
                      </pic:pic>
                    </a:graphicData>
                  </a:graphic>
                </wp:inline>
              </w:drawing>
            </w:r>
            <w:r>
              <w:rPr>
                <w:rFonts w:ascii="Times New Roman" w:hAnsi="Times New Roman" w:cs="Times New Roman" w:eastAsia="Times New Roman" w:hint="default"/>
                <w:position w:val="-5"/>
                <w:sz w:val="20"/>
                <w:szCs w:val="20"/>
              </w:rPr>
            </w:r>
          </w:p>
          <w:p>
            <w:pPr>
              <w:pStyle w:val="TableParagraph"/>
              <w:spacing w:line="240" w:lineRule="auto" w:before="4"/>
              <w:ind w:right="0"/>
              <w:jc w:val="left"/>
              <w:rPr>
                <w:rFonts w:ascii="Times New Roman" w:hAnsi="Times New Roman" w:cs="Times New Roman" w:eastAsia="Times New Roman" w:hint="default"/>
                <w:sz w:val="21"/>
                <w:szCs w:val="21"/>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12409781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7"/>
                <w:szCs w:val="7"/>
              </w:rPr>
            </w:pPr>
          </w:p>
          <w:p>
            <w:pPr>
              <w:pStyle w:val="TableParagraph"/>
              <w:spacing w:line="548"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56975" cy="348043"/>
                  <wp:effectExtent l="0" t="0" r="0" b="0"/>
                  <wp:docPr id="51" name="image11.jpeg" descr=""/>
                  <wp:cNvGraphicFramePr>
                    <a:graphicFrameLocks noChangeAspect="1"/>
                  </wp:cNvGraphicFramePr>
                  <a:graphic>
                    <a:graphicData uri="http://schemas.openxmlformats.org/drawingml/2006/picture">
                      <pic:pic>
                        <pic:nvPicPr>
                          <pic:cNvPr id="52" name="image11.jpeg"/>
                          <pic:cNvPicPr/>
                        </pic:nvPicPr>
                        <pic:blipFill>
                          <a:blip r:embed="rId23" cstate="print"/>
                          <a:stretch>
                            <a:fillRect/>
                          </a:stretch>
                        </pic:blipFill>
                        <pic:spPr>
                          <a:xfrm>
                            <a:off x="0" y="0"/>
                            <a:ext cx="1156975" cy="348043"/>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12403054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534"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75690" cy="339089"/>
                  <wp:effectExtent l="0" t="0" r="0" b="0"/>
                  <wp:docPr id="53" name="image17.jpeg" descr=""/>
                  <wp:cNvGraphicFramePr>
                    <a:graphicFrameLocks noChangeAspect="1"/>
                  </wp:cNvGraphicFramePr>
                  <a:graphic>
                    <a:graphicData uri="http://schemas.openxmlformats.org/drawingml/2006/picture">
                      <pic:pic>
                        <pic:nvPicPr>
                          <pic:cNvPr id="54" name="image17.jpeg"/>
                          <pic:cNvPicPr/>
                        </pic:nvPicPr>
                        <pic:blipFill>
                          <a:blip r:embed="rId29" cstate="print"/>
                          <a:stretch>
                            <a:fillRect/>
                          </a:stretch>
                        </pic:blipFill>
                        <pic:spPr>
                          <a:xfrm>
                            <a:off x="0" y="0"/>
                            <a:ext cx="1075690" cy="33908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12408317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5"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740"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916646" cy="470058"/>
                  <wp:effectExtent l="0" t="0" r="0" b="0"/>
                  <wp:docPr id="55" name="image18.jpeg" descr=""/>
                  <wp:cNvGraphicFramePr>
                    <a:graphicFrameLocks noChangeAspect="1"/>
                  </wp:cNvGraphicFramePr>
                  <a:graphic>
                    <a:graphicData uri="http://schemas.openxmlformats.org/drawingml/2006/picture">
                      <pic:pic>
                        <pic:nvPicPr>
                          <pic:cNvPr id="56" name="image18.jpeg"/>
                          <pic:cNvPicPr/>
                        </pic:nvPicPr>
                        <pic:blipFill>
                          <a:blip r:embed="rId30" cstate="print"/>
                          <a:stretch>
                            <a:fillRect/>
                          </a:stretch>
                        </pic:blipFill>
                        <pic:spPr>
                          <a:xfrm>
                            <a:off x="0" y="0"/>
                            <a:ext cx="916646" cy="470058"/>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12409776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8"/>
                <w:szCs w:val="8"/>
              </w:rPr>
            </w:pPr>
          </w:p>
          <w:p>
            <w:pPr>
              <w:pStyle w:val="TableParagraph"/>
              <w:spacing w:line="534"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75690" cy="339089"/>
                  <wp:effectExtent l="0" t="0" r="0" b="0"/>
                  <wp:docPr id="57" name="image17.jpeg" descr=""/>
                  <wp:cNvGraphicFramePr>
                    <a:graphicFrameLocks noChangeAspect="1"/>
                  </wp:cNvGraphicFramePr>
                  <a:graphic>
                    <a:graphicData uri="http://schemas.openxmlformats.org/drawingml/2006/picture">
                      <pic:pic>
                        <pic:nvPicPr>
                          <pic:cNvPr id="58" name="image17.jpeg"/>
                          <pic:cNvPicPr/>
                        </pic:nvPicPr>
                        <pic:blipFill>
                          <a:blip r:embed="rId29" cstate="print"/>
                          <a:stretch>
                            <a:fillRect/>
                          </a:stretch>
                        </pic:blipFill>
                        <pic:spPr>
                          <a:xfrm>
                            <a:off x="0" y="0"/>
                            <a:ext cx="1075690" cy="33908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12408388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4"/>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6"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740"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917884" cy="470058"/>
                  <wp:effectExtent l="0" t="0" r="0" b="0"/>
                  <wp:docPr id="59" name="image18.jpeg" descr=""/>
                  <wp:cNvGraphicFramePr>
                    <a:graphicFrameLocks noChangeAspect="1"/>
                  </wp:cNvGraphicFramePr>
                  <a:graphic>
                    <a:graphicData uri="http://schemas.openxmlformats.org/drawingml/2006/picture">
                      <pic:pic>
                        <pic:nvPicPr>
                          <pic:cNvPr id="60" name="image18.jpeg"/>
                          <pic:cNvPicPr/>
                        </pic:nvPicPr>
                        <pic:blipFill>
                          <a:blip r:embed="rId30" cstate="print"/>
                          <a:stretch>
                            <a:fillRect/>
                          </a:stretch>
                        </pic:blipFill>
                        <pic:spPr>
                          <a:xfrm>
                            <a:off x="0" y="0"/>
                            <a:ext cx="917884" cy="470058"/>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12409679</w:t>
            </w:r>
          </w:p>
        </w:tc>
        <w:tc>
          <w:tcPr>
            <w:tcW w:w="1716" w:type="dxa"/>
            <w:tcBorders>
              <w:top w:val="single" w:sz="4" w:space="0" w:color="000000"/>
              <w:left w:val="single" w:sz="4" w:space="0" w:color="000000"/>
              <w:bottom w:val="single" w:sz="4" w:space="0" w:color="000000"/>
              <w:right w:val="single" w:sz="4" w:space="0" w:color="000000"/>
            </w:tcBorders>
          </w:tcPr>
          <w:p>
            <w:pP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6"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714"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052830" cy="453389"/>
                  <wp:effectExtent l="0" t="0" r="0" b="0"/>
                  <wp:docPr id="61" name="image19.jpeg" descr=""/>
                  <wp:cNvGraphicFramePr>
                    <a:graphicFrameLocks noChangeAspect="1"/>
                  </wp:cNvGraphicFramePr>
                  <a:graphic>
                    <a:graphicData uri="http://schemas.openxmlformats.org/drawingml/2006/picture">
                      <pic:pic>
                        <pic:nvPicPr>
                          <pic:cNvPr id="62" name="image19.jpeg"/>
                          <pic:cNvPicPr/>
                        </pic:nvPicPr>
                        <pic:blipFill>
                          <a:blip r:embed="rId31" cstate="print"/>
                          <a:stretch>
                            <a:fillRect/>
                          </a:stretch>
                        </pic:blipFill>
                        <pic:spPr>
                          <a:xfrm>
                            <a:off x="0" y="0"/>
                            <a:ext cx="1052830" cy="453389"/>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12409838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1045"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637"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61508" cy="404812"/>
                  <wp:effectExtent l="0" t="0" r="0" b="0"/>
                  <wp:docPr id="63" name="image19.jpeg" descr=""/>
                  <wp:cNvGraphicFramePr>
                    <a:graphicFrameLocks noChangeAspect="1"/>
                  </wp:cNvGraphicFramePr>
                  <a:graphic>
                    <a:graphicData uri="http://schemas.openxmlformats.org/drawingml/2006/picture">
                      <pic:pic>
                        <pic:nvPicPr>
                          <pic:cNvPr id="64" name="image19.jpeg"/>
                          <pic:cNvPicPr/>
                        </pic:nvPicPr>
                        <pic:blipFill>
                          <a:blip r:embed="rId31" cstate="print"/>
                          <a:stretch>
                            <a:fillRect/>
                          </a:stretch>
                        </pic:blipFill>
                        <pic:spPr>
                          <a:xfrm>
                            <a:off x="0" y="0"/>
                            <a:ext cx="961508" cy="404812"/>
                          </a:xfrm>
                          <a:prstGeom prst="rect">
                            <a:avLst/>
                          </a:prstGeom>
                        </pic:spPr>
                      </pic:pic>
                    </a:graphicData>
                  </a:graphic>
                </wp:inline>
              </w:drawing>
            </w:r>
            <w:r>
              <w:rPr>
                <w:rFonts w:ascii="Times New Roman" w:hAnsi="Times New Roman" w:cs="Times New Roman" w:eastAsia="Times New Roman" w:hint="default"/>
                <w:position w:val="-12"/>
                <w:sz w:val="20"/>
                <w:szCs w:val="20"/>
              </w:rPr>
            </w:r>
          </w:p>
          <w:p>
            <w:pPr>
              <w:pStyle w:val="TableParagraph"/>
              <w:spacing w:line="240" w:lineRule="auto" w:before="5"/>
              <w:ind w:right="0"/>
              <w:jc w:val="left"/>
              <w:rPr>
                <w:rFonts w:ascii="Times New Roman" w:hAnsi="Times New Roman" w:cs="Times New Roman" w:eastAsia="Times New Roman" w:hint="default"/>
                <w:sz w:val="17"/>
                <w:szCs w:val="17"/>
              </w:rPr>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12410048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475"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617479" cy="301751"/>
                  <wp:effectExtent l="0" t="0" r="0" b="0"/>
                  <wp:docPr id="65" name="image20.jpeg" descr=""/>
                  <wp:cNvGraphicFramePr>
                    <a:graphicFrameLocks noChangeAspect="1"/>
                  </wp:cNvGraphicFramePr>
                  <a:graphic>
                    <a:graphicData uri="http://schemas.openxmlformats.org/drawingml/2006/picture">
                      <pic:pic>
                        <pic:nvPicPr>
                          <pic:cNvPr id="66" name="image20.jpeg"/>
                          <pic:cNvPicPr/>
                        </pic:nvPicPr>
                        <pic:blipFill>
                          <a:blip r:embed="rId32" cstate="print"/>
                          <a:stretch>
                            <a:fillRect/>
                          </a:stretch>
                        </pic:blipFill>
                        <pic:spPr>
                          <a:xfrm>
                            <a:off x="0" y="0"/>
                            <a:ext cx="617479" cy="30175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12402967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77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475"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617479" cy="301751"/>
                  <wp:effectExtent l="0" t="0" r="0" b="0"/>
                  <wp:docPr id="67" name="image20.jpeg" descr=""/>
                  <wp:cNvGraphicFramePr>
                    <a:graphicFrameLocks noChangeAspect="1"/>
                  </wp:cNvGraphicFramePr>
                  <a:graphic>
                    <a:graphicData uri="http://schemas.openxmlformats.org/drawingml/2006/picture">
                      <pic:pic>
                        <pic:nvPicPr>
                          <pic:cNvPr id="68" name="image20.jpeg"/>
                          <pic:cNvPicPr/>
                        </pic:nvPicPr>
                        <pic:blipFill>
                          <a:blip r:embed="rId32" cstate="print"/>
                          <a:stretch>
                            <a:fillRect/>
                          </a:stretch>
                        </pic:blipFill>
                        <pic:spPr>
                          <a:xfrm>
                            <a:off x="0" y="0"/>
                            <a:ext cx="617479" cy="30175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12403007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240" w:lineRule="auto" w:before="103"/>
              <w:ind w:left="4" w:right="0"/>
              <w:jc w:val="left"/>
              <w:rPr>
                <w:rFonts w:ascii="宋体" w:hAnsi="宋体" w:cs="宋体" w:eastAsia="宋体" w:hint="default"/>
                <w:sz w:val="18"/>
                <w:szCs w:val="18"/>
              </w:rPr>
            </w:pPr>
            <w:r>
              <w:rPr>
                <w:rFonts w:ascii="宋体" w:hAnsi="宋体" w:cs="宋体" w:eastAsia="宋体" w:hint="default"/>
                <w:sz w:val="18"/>
                <w:szCs w:val="18"/>
              </w:rPr>
              <w:t>（受理）</w:t>
            </w:r>
          </w:p>
        </w:tc>
      </w:tr>
      <w:tr>
        <w:trPr>
          <w:trHeight w:val="397"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LASERHAND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14264048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LASERHANDS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14264142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14968835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LASER</w:t>
            </w:r>
            <w:r>
              <w:rPr>
                <w:rFonts w:ascii="Times New Roman"/>
                <w:spacing w:val="1"/>
                <w:sz w:val="18"/>
              </w:rPr>
              <w:t> </w:t>
            </w:r>
            <w:r>
              <w:rPr>
                <w:rFonts w:ascii="Times New Roman"/>
                <w:spacing w:val="-3"/>
                <w:sz w:val="18"/>
              </w:rPr>
              <w:t>SMART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14968886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006"/>
        <w:gridCol w:w="2639"/>
        <w:gridCol w:w="1214"/>
        <w:gridCol w:w="1716"/>
        <w:gridCol w:w="2994"/>
      </w:tblGrid>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w:t>
            </w:r>
            <w:r>
              <w:rPr>
                <w:rFonts w:ascii="Times New Roman" w:hAnsi="Times New Roman" w:cs="Times New Roman" w:eastAsia="Times New Roman" w:hint="default"/>
                <w:sz w:val="18"/>
                <w:szCs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14968922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40</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GOLDEN+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14969121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金运＋</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14969228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w:t>
            </w:r>
            <w:r>
              <w:rPr>
                <w:rFonts w:ascii="Times New Roman"/>
                <w:spacing w:val="1"/>
                <w:sz w:val="18"/>
              </w:rPr>
              <w:t> </w:t>
            </w:r>
            <w:r>
              <w:rPr>
                <w:rFonts w:ascii="Times New Roman"/>
                <w:spacing w:val="-3"/>
                <w:sz w:val="18"/>
              </w:rPr>
              <w:t>SMART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14969295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GOLDEN+</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14969400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LASER</w:t>
            </w:r>
            <w:r>
              <w:rPr>
                <w:rFonts w:ascii="Times New Roman"/>
                <w:spacing w:val="1"/>
                <w:sz w:val="18"/>
              </w:rPr>
              <w:t> </w:t>
            </w:r>
            <w:r>
              <w:rPr>
                <w:rFonts w:ascii="Times New Roman"/>
                <w:spacing w:val="-3"/>
                <w:sz w:val="18"/>
              </w:rPr>
              <w:t>SMART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14969413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金运</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14969420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15571818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3D+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15571922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15572082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15572118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31</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潮流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15572284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32</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3D+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15572295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33</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15572447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41</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D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15572480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41</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2"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35</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潮流</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15572571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42</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r>
        <w:trPr>
          <w:trHeight w:val="42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36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金运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15572585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42</w:t>
            </w:r>
          </w:p>
        </w:tc>
        <w:tc>
          <w:tcPr>
            <w:tcW w:w="2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（受理）</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3"/>
        <w:spacing w:line="240" w:lineRule="auto" w:before="35"/>
        <w:ind w:left="515" w:right="0"/>
        <w:jc w:val="left"/>
        <w:rPr>
          <w:b w:val="0"/>
          <w:bCs w:val="0"/>
        </w:rPr>
      </w:pPr>
      <w:r>
        <w:rPr/>
        <w:t>（</w:t>
      </w:r>
      <w:r>
        <w:rPr>
          <w:rFonts w:ascii="Times New Roman" w:hAnsi="Times New Roman" w:cs="Times New Roman" w:eastAsia="Times New Roman" w:hint="default"/>
        </w:rPr>
        <w:t>4</w:t>
      </w:r>
      <w:r>
        <w:rPr/>
        <w:t>）国外商标申请权</w:t>
      </w:r>
      <w:r>
        <w:rPr>
          <w:b w:val="0"/>
          <w:bCs w:val="0"/>
        </w:rPr>
      </w:r>
    </w:p>
    <w:p>
      <w:pPr>
        <w:pStyle w:val="Heading3"/>
        <w:spacing w:line="240" w:lineRule="auto" w:before="177"/>
        <w:ind w:left="515" w:right="0"/>
        <w:jc w:val="left"/>
        <w:rPr>
          <w:b w:val="0"/>
          <w:bCs w:val="0"/>
        </w:rPr>
      </w:pPr>
      <w:r>
        <w:rPr>
          <w:rFonts w:ascii="Times New Roman" w:hAnsi="Times New Roman" w:cs="Times New Roman" w:eastAsia="Times New Roman" w:hint="default"/>
        </w:rPr>
        <w:t>2014</w:t>
      </w:r>
      <w:r>
        <w:rPr/>
        <w:t>年公司拥有</w:t>
      </w:r>
      <w:r>
        <w:rPr>
          <w:rFonts w:ascii="Times New Roman" w:hAnsi="Times New Roman" w:cs="Times New Roman" w:eastAsia="Times New Roman" w:hint="default"/>
        </w:rPr>
        <w:t>2</w:t>
      </w:r>
      <w:r>
        <w:rPr/>
        <w:t>项国外商标申请权，具体情况如下：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963"/>
        <w:gridCol w:w="1639"/>
        <w:gridCol w:w="1688"/>
        <w:gridCol w:w="1704"/>
        <w:gridCol w:w="1175"/>
        <w:gridCol w:w="2380"/>
      </w:tblGrid>
      <w:tr>
        <w:trPr>
          <w:trHeight w:val="422"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注册国家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商标名称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申请日期</w:t>
            </w:r>
          </w:p>
        </w:tc>
      </w:tr>
      <w:tr>
        <w:trPr>
          <w:trHeight w:val="774"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830964878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74" w:hRule="exact"/>
        </w:trPr>
        <w:tc>
          <w:tcPr>
            <w:tcW w:w="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Golden</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2142555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0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pStyle w:val="Heading3"/>
        <w:spacing w:line="240" w:lineRule="auto" w:before="63"/>
        <w:ind w:left="515" w:right="0"/>
        <w:jc w:val="left"/>
        <w:rPr>
          <w:b w:val="0"/>
          <w:bCs w:val="0"/>
        </w:rPr>
      </w:pPr>
      <w:r>
        <w:rPr>
          <w:rFonts w:ascii="Times New Roman" w:hAnsi="Times New Roman" w:cs="Times New Roman" w:eastAsia="Times New Roman" w:hint="default"/>
        </w:rPr>
        <w:t>2</w:t>
      </w:r>
      <w:r>
        <w:rPr/>
        <w:t>、专利及专利申请</w:t>
      </w:r>
      <w:r>
        <w:rPr>
          <w:b w:val="0"/>
          <w:bCs w:val="0"/>
        </w:rPr>
      </w:r>
    </w:p>
    <w:p>
      <w:pPr>
        <w:pStyle w:val="Heading3"/>
        <w:spacing w:line="240" w:lineRule="auto" w:before="177"/>
        <w:ind w:left="515" w:right="0"/>
        <w:jc w:val="left"/>
        <w:rPr>
          <w:b w:val="0"/>
          <w:bCs w:val="0"/>
        </w:rPr>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日，公司及全资子公司已获得专利的情况</w:t>
      </w:r>
      <w:r>
        <w:rPr>
          <w:b w:val="0"/>
          <w:bCs w:val="0"/>
        </w:rPr>
      </w:r>
    </w:p>
    <w:p>
      <w:pPr>
        <w:pStyle w:val="Heading3"/>
        <w:spacing w:line="240" w:lineRule="auto" w:before="177"/>
        <w:ind w:left="515" w:right="0"/>
        <w:jc w:val="left"/>
        <w:rPr>
          <w:b w:val="0"/>
          <w:bCs w:val="0"/>
        </w:rPr>
      </w:pPr>
      <w:r>
        <w:rPr>
          <w:rFonts w:ascii="Times New Roman" w:hAnsi="Times New Roman" w:cs="Times New Roman" w:eastAsia="Times New Roman" w:hint="default"/>
        </w:rPr>
        <w:t>1.1</w:t>
      </w:r>
      <w:r>
        <w:rPr/>
        <w:t>获得发明授权专利一共</w:t>
      </w:r>
      <w:r>
        <w:rPr>
          <w:rFonts w:ascii="Times New Roman" w:hAnsi="Times New Roman" w:cs="Times New Roman" w:eastAsia="Times New Roman" w:hint="default"/>
        </w:rPr>
        <w:t>5</w:t>
      </w:r>
      <w:r>
        <w:rPr/>
        <w:t>件，具体情况如下：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485"/>
        <w:gridCol w:w="2231"/>
        <w:gridCol w:w="1228"/>
        <w:gridCol w:w="1762"/>
        <w:gridCol w:w="857"/>
        <w:gridCol w:w="1071"/>
        <w:gridCol w:w="739"/>
        <w:gridCol w:w="1183"/>
      </w:tblGrid>
      <w:tr>
        <w:trPr>
          <w:trHeight w:val="77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 称</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2"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具有预激励装置的激光管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ZL200910004004.6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850712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2009.1.23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7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3"/>
                <w:sz w:val="18"/>
                <w:szCs w:val="18"/>
              </w:rPr>
              <w:t>镜片调整装置及具有镜片调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节装置的激光管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ZL200910004006.5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704376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2009.1.23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485"/>
        <w:gridCol w:w="2231"/>
        <w:gridCol w:w="1228"/>
        <w:gridCol w:w="1762"/>
        <w:gridCol w:w="857"/>
        <w:gridCol w:w="1071"/>
        <w:gridCol w:w="739"/>
        <w:gridCol w:w="1183"/>
      </w:tblGrid>
      <w:tr>
        <w:trPr>
          <w:trHeight w:val="73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3"/>
                <w:sz w:val="18"/>
                <w:szCs w:val="18"/>
              </w:rPr>
              <w:t>一种激光切割头及使用该激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光切割头的激光绣花一体机</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ZL200910063618.1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983622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2009.8.14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4"/>
              <w:jc w:val="left"/>
              <w:rPr>
                <w:rFonts w:ascii="宋体" w:hAnsi="宋体" w:cs="宋体" w:eastAsia="宋体" w:hint="default"/>
                <w:sz w:val="18"/>
                <w:szCs w:val="18"/>
              </w:rPr>
            </w:pPr>
            <w:r>
              <w:rPr>
                <w:rFonts w:ascii="宋体" w:hAnsi="宋体" w:cs="宋体" w:eastAsia="宋体" w:hint="default"/>
                <w:spacing w:val="3"/>
                <w:sz w:val="18"/>
                <w:szCs w:val="18"/>
              </w:rPr>
              <w:t>一种自动激光打标机流水线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速度控制装置及其应用</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ZL201010215560.0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1346317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2010.07.02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3"/>
                <w:sz w:val="18"/>
                <w:szCs w:val="18"/>
              </w:rPr>
              <w:t>一种地毯激光加工机及地毯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激光加工方法</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ZL201010540134.4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1375160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2010.10.29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Heading3"/>
        <w:spacing w:line="240" w:lineRule="auto" w:before="63"/>
        <w:ind w:left="606" w:right="0"/>
        <w:jc w:val="left"/>
        <w:rPr>
          <w:b w:val="0"/>
          <w:bCs w:val="0"/>
        </w:rPr>
      </w:pPr>
      <w:r>
        <w:rPr>
          <w:rFonts w:ascii="Times New Roman" w:hAnsi="Times New Roman" w:cs="Times New Roman" w:eastAsia="Times New Roman" w:hint="default"/>
        </w:rPr>
        <w:t>1.2</w:t>
      </w:r>
      <w:r>
        <w:rPr/>
        <w:t>获得实用新型专利</w:t>
      </w:r>
      <w:r>
        <w:rPr>
          <w:rFonts w:ascii="Times New Roman" w:hAnsi="Times New Roman" w:cs="Times New Roman" w:eastAsia="Times New Roman" w:hint="default"/>
        </w:rPr>
        <w:t>64</w:t>
      </w:r>
      <w:r>
        <w:rPr/>
        <w:t>项，具体情况如下：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77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1"/>
              <w:jc w:val="left"/>
              <w:rPr>
                <w:rFonts w:ascii="宋体" w:hAnsi="宋体" w:cs="宋体" w:eastAsia="宋体" w:hint="default"/>
                <w:sz w:val="18"/>
                <w:szCs w:val="18"/>
              </w:rPr>
            </w:pPr>
            <w:r>
              <w:rPr>
                <w:rFonts w:ascii="宋体" w:hAnsi="宋体" w:cs="宋体" w:eastAsia="宋体" w:hint="default"/>
                <w:spacing w:val="3"/>
                <w:sz w:val="18"/>
                <w:szCs w:val="18"/>
              </w:rPr>
              <w:t>专利名称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使用专利的产品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双芯双核激光雕刻切割机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ZL200620172684.4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994208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2006.12.28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22"/>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5" w:right="0"/>
              <w:jc w:val="left"/>
              <w:rPr>
                <w:rFonts w:ascii="宋体" w:hAnsi="宋体" w:cs="宋体" w:eastAsia="宋体" w:hint="default"/>
                <w:sz w:val="18"/>
                <w:szCs w:val="18"/>
              </w:rPr>
            </w:pPr>
            <w:r>
              <w:rPr>
                <w:rFonts w:ascii="宋体" w:hAnsi="宋体" w:cs="宋体" w:eastAsia="宋体" w:hint="default"/>
                <w:sz w:val="18"/>
                <w:szCs w:val="18"/>
              </w:rPr>
              <w:t>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ZL200720083525.1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1011273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22"/>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2008.06.06</w:t>
            </w:r>
            <w:r>
              <w:rPr>
                <w:rFonts w:ascii="宋体" w:hAnsi="宋体" w:cs="宋体" w:eastAsia="宋体" w:hint="default"/>
                <w:sz w:val="18"/>
                <w:szCs w:val="18"/>
              </w:rPr>
              <w:t>）</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激光绣花一体机的转换控</w:t>
            </w:r>
            <w:r>
              <w:rPr>
                <w:rFonts w:ascii="宋体" w:hAnsi="宋体" w:cs="宋体" w:eastAsia="宋体" w:hint="default"/>
                <w:sz w:val="18"/>
                <w:szCs w:val="18"/>
              </w:rPr>
              <w:t> 制装置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ZL200720087272.5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1083486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2007.9.28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22"/>
              <w:jc w:val="left"/>
              <w:rPr>
                <w:rFonts w:ascii="宋体" w:hAnsi="宋体" w:cs="宋体" w:eastAsia="宋体"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2009.08.28</w:t>
            </w:r>
            <w:r>
              <w:rPr>
                <w:rFonts w:ascii="宋体" w:hAnsi="宋体" w:cs="宋体" w:eastAsia="宋体" w:hint="default"/>
                <w:sz w:val="18"/>
                <w:szCs w:val="18"/>
              </w:rPr>
              <w:t>）</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5" w:right="0"/>
              <w:jc w:val="left"/>
              <w:rPr>
                <w:rFonts w:ascii="宋体" w:hAnsi="宋体" w:cs="宋体" w:eastAsia="宋体" w:hint="default"/>
                <w:sz w:val="18"/>
                <w:szCs w:val="18"/>
              </w:rPr>
            </w:pPr>
            <w:r>
              <w:rPr>
                <w:rFonts w:ascii="宋体" w:hAnsi="宋体" w:cs="宋体" w:eastAsia="宋体" w:hint="default"/>
                <w:sz w:val="18"/>
                <w:szCs w:val="18"/>
              </w:rPr>
              <w:t>激光器放电管支架</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ZL200820065781.2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1165761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2008.2.28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(2009.09.30)</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5" w:right="0"/>
              <w:jc w:val="left"/>
              <w:rPr>
                <w:rFonts w:ascii="宋体" w:hAnsi="宋体" w:cs="宋体" w:eastAsia="宋体" w:hint="default"/>
                <w:sz w:val="18"/>
                <w:szCs w:val="18"/>
              </w:rPr>
            </w:pPr>
            <w:r>
              <w:rPr>
                <w:rFonts w:ascii="宋体" w:hAnsi="宋体" w:cs="宋体" w:eastAsia="宋体" w:hint="default"/>
                <w:sz w:val="18"/>
                <w:szCs w:val="18"/>
              </w:rPr>
              <w:t>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ZL200820065780.8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1151326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2008.2.28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受让</w:t>
            </w:r>
            <w:r>
              <w:rPr>
                <w:rFonts w:ascii="Times New Roman" w:hAnsi="Times New Roman" w:cs="Times New Roman" w:eastAsia="Times New Roman" w:hint="default"/>
                <w:sz w:val="18"/>
                <w:szCs w:val="18"/>
              </w:rPr>
              <w:t>(2009.09.30)</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激光器镜片调整装置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ZL200920002460.2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1398172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2009.1.23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镜片调整装置及具有镜片</w:t>
            </w:r>
            <w:r>
              <w:rPr>
                <w:rFonts w:ascii="宋体" w:hAnsi="宋体" w:cs="宋体" w:eastAsia="宋体" w:hint="default"/>
                <w:sz w:val="18"/>
                <w:szCs w:val="18"/>
              </w:rPr>
              <w:t> 调节装置的激光管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ZL200920002465.5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1399821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2009.1.23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多功能激光加工机床</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ZL200920149084.X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1334462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2009.4.15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104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both"/>
              <w:rPr>
                <w:rFonts w:ascii="宋体" w:hAnsi="宋体" w:cs="宋体" w:eastAsia="宋体" w:hint="default"/>
                <w:sz w:val="18"/>
                <w:szCs w:val="18"/>
              </w:rPr>
            </w:pPr>
            <w:r>
              <w:rPr>
                <w:rFonts w:ascii="宋体" w:hAnsi="宋体" w:cs="宋体" w:eastAsia="宋体" w:hint="default"/>
                <w:spacing w:val="8"/>
                <w:sz w:val="18"/>
                <w:szCs w:val="18"/>
              </w:rPr>
              <w:t>一种激光切割头及使用该</w:t>
            </w:r>
            <w:r>
              <w:rPr>
                <w:rFonts w:ascii="宋体" w:hAnsi="宋体" w:cs="宋体" w:eastAsia="宋体" w:hint="default"/>
                <w:sz w:val="18"/>
                <w:szCs w:val="18"/>
              </w:rPr>
              <w:t> </w:t>
            </w:r>
            <w:r>
              <w:rPr>
                <w:rFonts w:ascii="宋体" w:hAnsi="宋体" w:cs="宋体" w:eastAsia="宋体" w:hint="default"/>
                <w:spacing w:val="8"/>
                <w:sz w:val="18"/>
                <w:szCs w:val="18"/>
              </w:rPr>
              <w:t>激光切割头的激光绣花一</w:t>
            </w:r>
            <w:r>
              <w:rPr>
                <w:rFonts w:ascii="宋体" w:hAnsi="宋体" w:cs="宋体" w:eastAsia="宋体" w:hint="default"/>
                <w:sz w:val="18"/>
                <w:szCs w:val="18"/>
              </w:rPr>
              <w:t> 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ZL200920227442.4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1523230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2009.8.14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一种多层送料装置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ZL200920179525.0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1525358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2009.9.22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9"/>
                <w:sz w:val="18"/>
                <w:szCs w:val="18"/>
              </w:rPr>
              <w:t>一种具有同步吸烟装置的 </w:t>
            </w:r>
            <w:r>
              <w:rPr>
                <w:rFonts w:ascii="宋体" w:hAnsi="宋体" w:cs="宋体" w:eastAsia="宋体" w:hint="default"/>
                <w:sz w:val="18"/>
                <w:szCs w:val="18"/>
              </w:rPr>
              <w:t>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ZL200920229915.4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1594666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2009.11.19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一种电磁光闸装置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ZL201020110915.5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1620591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2010.02.10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一种单轨双头激光雕刻机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ZL201020116988.5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1692320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2010.02.25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具有纠偏装置的激光切割</w:t>
            </w:r>
            <w:r>
              <w:rPr>
                <w:rFonts w:ascii="宋体" w:hAnsi="宋体" w:cs="宋体" w:eastAsia="宋体" w:hint="default"/>
                <w:sz w:val="18"/>
                <w:szCs w:val="18"/>
              </w:rPr>
              <w:t> 机及激光加工系统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ZL201020210619.2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1627814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2010.05.22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一种包装箱激光切割机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ZL201020210610.1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1847101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2010.05.22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一种无张力激光加工系统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ZL201020244881.9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1859267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2010.07.02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一种桥架激光绣花一体机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ZL201020282501.0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1690713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18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一种固体激光器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ZL201020297318.8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1829438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left"/>
              <w:rPr>
                <w:rFonts w:ascii="Times New Roman" w:hAnsi="Times New Roman" w:cs="Times New Roman" w:eastAsia="Times New Roman" w:hint="default"/>
                <w:sz w:val="18"/>
                <w:szCs w:val="18"/>
              </w:rPr>
            </w:pPr>
            <w:r>
              <w:rPr>
                <w:rFonts w:ascii="Times New Roman"/>
                <w:sz w:val="18"/>
              </w:rPr>
              <w:t>2010.8.13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一种具有吸烟装置的激光</w:t>
            </w:r>
            <w:r>
              <w:rPr>
                <w:rFonts w:ascii="宋体" w:hAnsi="宋体" w:cs="宋体" w:eastAsia="宋体" w:hint="default"/>
                <w:sz w:val="18"/>
                <w:szCs w:val="18"/>
              </w:rPr>
              <w:t> 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ZL201020500057.5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1742579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2010.8.13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ZL201020580727.9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1786698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2010.10.20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ZL201020595632.4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1817295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2010.10.29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一种地毯激光切割装置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ZL201020594753.7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1821245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2010.10.29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一种多工作台桥架式激光</w:t>
            </w:r>
            <w:r>
              <w:rPr>
                <w:rFonts w:ascii="宋体" w:hAnsi="宋体" w:cs="宋体" w:eastAsia="宋体" w:hint="default"/>
                <w:sz w:val="18"/>
                <w:szCs w:val="18"/>
              </w:rPr>
              <w:t> 绣花一体机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ZL201120147625.2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2024975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2011.04.26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一种桥架式激光绣花一体</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ZL201120195522.3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2454364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2011.06.01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一种激光切割机导轨装置</w:t>
            </w:r>
            <w:r>
              <w:rPr>
                <w:rFonts w:ascii="宋体" w:hAnsi="宋体" w:cs="宋体" w:eastAsia="宋体" w:hint="default"/>
                <w:sz w:val="18"/>
                <w:szCs w:val="18"/>
              </w:rPr>
              <w:t> 及宽幅面激光切割机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ZL201120274243.6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2157475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ZL201120274388.6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2149743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2011.07.29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一种拼接式激光绣花一体</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ZL201120355579.5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2177602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2011.09.07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一种多头激光切雕刻机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ZL201120355696.1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2180616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2011.09.07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一种带有自动纠偏装置的</w:t>
            </w:r>
            <w:r>
              <w:rPr>
                <w:rFonts w:ascii="宋体" w:hAnsi="宋体" w:cs="宋体" w:eastAsia="宋体" w:hint="default"/>
                <w:sz w:val="18"/>
                <w:szCs w:val="18"/>
              </w:rPr>
              <w:t> 激光切割机及其纠偏系统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ZL201120381656.4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2254008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2011.09.26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一种喷墨印花激光加工机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ZL201120545315.6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2377220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一种喷墨印花激光雕花一</w:t>
            </w:r>
            <w:r>
              <w:rPr>
                <w:rFonts w:ascii="宋体" w:hAnsi="宋体" w:cs="宋体" w:eastAsia="宋体" w:hint="default"/>
                <w:sz w:val="18"/>
                <w:szCs w:val="18"/>
              </w:rPr>
              <w:t> 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ZL201120545317.5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2544442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一种喷墨印花机光雕刻机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ZL201120545319.4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2378860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一种喷墨印花激光加工一</w:t>
            </w:r>
            <w:r>
              <w:rPr>
                <w:rFonts w:ascii="宋体" w:hAnsi="宋体" w:cs="宋体" w:eastAsia="宋体" w:hint="default"/>
                <w:sz w:val="18"/>
                <w:szCs w:val="18"/>
              </w:rPr>
              <w:t> 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ZL201120545326.4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2373229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一种喷墨印花激光切割雕</w:t>
            </w:r>
            <w:r>
              <w:rPr>
                <w:rFonts w:ascii="宋体" w:hAnsi="宋体" w:cs="宋体" w:eastAsia="宋体" w:hint="default"/>
                <w:sz w:val="18"/>
                <w:szCs w:val="18"/>
              </w:rPr>
              <w:t> 花一体机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ZL201120545328.3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2379850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一种喷墨印花激光加工系</w:t>
            </w:r>
            <w:r>
              <w:rPr>
                <w:rFonts w:ascii="宋体" w:hAnsi="宋体" w:cs="宋体" w:eastAsia="宋体" w:hint="default"/>
                <w:sz w:val="18"/>
                <w:szCs w:val="18"/>
              </w:rPr>
              <w:t> 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ZL201120545330.0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2377021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2011.12.14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一种带有镜片调整装置的</w:t>
            </w:r>
            <w:r>
              <w:rPr>
                <w:rFonts w:ascii="宋体" w:hAnsi="宋体" w:cs="宋体" w:eastAsia="宋体" w:hint="default"/>
                <w:sz w:val="18"/>
                <w:szCs w:val="18"/>
              </w:rPr>
              <w:t> 激光头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ZL201120578929.4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2456164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一种激光管座体及激光切</w:t>
            </w:r>
            <w:r>
              <w:rPr>
                <w:rFonts w:ascii="宋体" w:hAnsi="宋体" w:cs="宋体" w:eastAsia="宋体" w:hint="default"/>
                <w:sz w:val="18"/>
                <w:szCs w:val="18"/>
              </w:rPr>
              <w:t> 割机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ZL201120578931.1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2374766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一种镜片调整装置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ZL201120578927.5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2452338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一种装有调校装置的激光</w:t>
            </w:r>
            <w:r>
              <w:rPr>
                <w:rFonts w:ascii="宋体" w:hAnsi="宋体" w:cs="宋体" w:eastAsia="宋体" w:hint="default"/>
                <w:sz w:val="18"/>
                <w:szCs w:val="18"/>
              </w:rPr>
              <w:t> 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ZL201120578928.X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2543269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全反馈纠偏激光模切设备</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ZL201120553712.8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2539997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2011.12.27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一种履带式工作台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ZL201120578930.7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2452392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2011.12.31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一种带有自动纠偏装置的</w:t>
            </w:r>
            <w:r>
              <w:rPr>
                <w:rFonts w:ascii="宋体" w:hAnsi="宋体" w:cs="宋体" w:eastAsia="宋体" w:hint="default"/>
                <w:sz w:val="18"/>
                <w:szCs w:val="18"/>
              </w:rPr>
              <w:t> 激光切割机及其纠偏系统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ZL201220033841.9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2453530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2012.01.01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一种带有高度可调式抽风</w:t>
            </w:r>
            <w:r>
              <w:rPr>
                <w:rFonts w:ascii="宋体" w:hAnsi="宋体" w:cs="宋体" w:eastAsia="宋体" w:hint="default"/>
                <w:sz w:val="18"/>
                <w:szCs w:val="18"/>
              </w:rPr>
              <w:t> 装置的激光切割头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ZL201220082255.3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2545104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2012.2.28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ZL201220196468.9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2692784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2012.4.28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一种带有张力调整装置的</w:t>
            </w:r>
            <w:r>
              <w:rPr>
                <w:rFonts w:ascii="宋体" w:hAnsi="宋体" w:cs="宋体" w:eastAsia="宋体" w:hint="default"/>
                <w:sz w:val="18"/>
                <w:szCs w:val="18"/>
              </w:rPr>
              <w:t> 送料机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ZL201220324153.8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2692358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2012.06.24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一种带有百分表的激光切</w:t>
            </w:r>
            <w:r>
              <w:rPr>
                <w:rFonts w:ascii="宋体" w:hAnsi="宋体" w:cs="宋体" w:eastAsia="宋体" w:hint="default"/>
                <w:sz w:val="18"/>
                <w:szCs w:val="18"/>
              </w:rPr>
              <w:t> 割头</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ZL201220397189.9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3335547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2012.08.04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一种激光器电极高度的调</w:t>
            </w:r>
            <w:r>
              <w:rPr>
                <w:rFonts w:ascii="宋体" w:hAnsi="宋体" w:cs="宋体" w:eastAsia="宋体" w:hint="default"/>
                <w:sz w:val="18"/>
                <w:szCs w:val="18"/>
              </w:rPr>
              <w:t> 整夹具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ZL201220459464.5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2813266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2012.9.03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 </w:t>
            </w:r>
            <w:r>
              <w:rPr>
                <w:rFonts w:ascii="Times New Roman" w:hAnsi="Times New Roman" w:cs="Times New Roman" w:eastAsia="Times New Roman" w:hint="default"/>
                <w:sz w:val="18"/>
                <w:szCs w:val="18"/>
              </w:rPr>
              <w:t>CO2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射频激光器水冷 管焊接夹具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ZL201220459463.0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2812556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2012.9.03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1046"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both"/>
              <w:rPr>
                <w:rFonts w:ascii="宋体" w:hAnsi="宋体" w:cs="宋体" w:eastAsia="宋体" w:hint="default"/>
                <w:sz w:val="18"/>
                <w:szCs w:val="18"/>
              </w:rPr>
            </w:pPr>
            <w:r>
              <w:rPr>
                <w:rFonts w:ascii="宋体" w:hAnsi="宋体" w:cs="宋体" w:eastAsia="宋体" w:hint="default"/>
                <w:spacing w:val="8"/>
                <w:sz w:val="18"/>
                <w:szCs w:val="18"/>
              </w:rPr>
              <w:t>带有张力控制装置的料辊</w:t>
            </w:r>
            <w:r>
              <w:rPr>
                <w:rFonts w:ascii="宋体" w:hAnsi="宋体" w:cs="宋体" w:eastAsia="宋体" w:hint="default"/>
                <w:sz w:val="18"/>
                <w:szCs w:val="18"/>
              </w:rPr>
              <w:t> </w:t>
            </w:r>
            <w:r>
              <w:rPr>
                <w:rFonts w:ascii="宋体" w:hAnsi="宋体" w:cs="宋体" w:eastAsia="宋体" w:hint="default"/>
                <w:spacing w:val="8"/>
                <w:sz w:val="18"/>
                <w:szCs w:val="18"/>
              </w:rPr>
              <w:t>及装有该料辊的激光切割</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ZL201220459461.1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2813576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2012.9.03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一种手持激光焊接机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ZL201220754127.9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3000359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2012.12.28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一种用于加工金属薄膜的</w:t>
            </w:r>
            <w:r>
              <w:rPr>
                <w:rFonts w:ascii="宋体" w:hAnsi="宋体" w:cs="宋体" w:eastAsia="宋体" w:hint="default"/>
                <w:sz w:val="18"/>
                <w:szCs w:val="18"/>
              </w:rPr>
              <w:t> 激光切割机工作台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ZL201320189434.1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3160916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5"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一种激光腔体外冷却管嵌</w:t>
            </w:r>
            <w:r>
              <w:rPr>
                <w:rFonts w:ascii="宋体" w:hAnsi="宋体" w:cs="宋体" w:eastAsia="宋体" w:hint="default"/>
                <w:sz w:val="18"/>
                <w:szCs w:val="18"/>
              </w:rPr>
              <w:t> 入压平装置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ZL201320191016.6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3162519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一种可切换气路的激光加</w:t>
            </w:r>
            <w:r>
              <w:rPr>
                <w:rFonts w:ascii="宋体" w:hAnsi="宋体" w:cs="宋体" w:eastAsia="宋体" w:hint="default"/>
                <w:sz w:val="18"/>
                <w:szCs w:val="18"/>
              </w:rPr>
              <w:t> 工气路装置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ZL201320189961.2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3228469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一种整体结构的激光雕花</w:t>
            </w:r>
            <w:r>
              <w:rPr>
                <w:rFonts w:ascii="宋体" w:hAnsi="宋体" w:cs="宋体" w:eastAsia="宋体" w:hint="default"/>
                <w:sz w:val="18"/>
                <w:szCs w:val="18"/>
              </w:rPr>
              <w:t> 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ZL201320189934.5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3162348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8"/>
                <w:sz w:val="18"/>
                <w:szCs w:val="18"/>
              </w:rPr>
              <w:t>皮芯结构纱线、织物及激光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ZL201320189921.8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3277600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一种可选择气路的激光加</w:t>
            </w:r>
            <w:r>
              <w:rPr>
                <w:rFonts w:ascii="宋体" w:hAnsi="宋体" w:cs="宋体" w:eastAsia="宋体" w:hint="default"/>
                <w:sz w:val="18"/>
                <w:szCs w:val="18"/>
              </w:rPr>
              <w:t> 工气路装置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ZL201320189457.2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3277687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激光系统</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ZL201320472421.5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3495042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2013.04.02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一种牛仔立体激光雕花机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zl201320553063.0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3698459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2013.09.06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一种带有超长横梁桥架式</w:t>
            </w:r>
            <w:r>
              <w:rPr>
                <w:rFonts w:ascii="宋体" w:hAnsi="宋体" w:cs="宋体" w:eastAsia="宋体" w:hint="default"/>
                <w:sz w:val="18"/>
                <w:szCs w:val="18"/>
              </w:rPr>
              <w:t> 的激光绣花机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ZL201320534172.8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3406507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2013.09.06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一种桥架式激光喷墨绣花</w:t>
            </w:r>
            <w:r>
              <w:rPr>
                <w:rFonts w:ascii="宋体" w:hAnsi="宋体" w:cs="宋体" w:eastAsia="宋体" w:hint="default"/>
                <w:sz w:val="18"/>
                <w:szCs w:val="18"/>
              </w:rPr>
              <w:t> 一体机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ZL201320614362.0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3634475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2013.10.08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3"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一种桥架式激光绣花机</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ZL201320762927.X</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3959672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2013.11.28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可反复充气的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激光器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ZL201320843378.9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3696239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2013.12.20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激光切割机排烟装置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ZL201420157457.9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3802177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2014.04.03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42"/>
        <w:gridCol w:w="2093"/>
        <w:gridCol w:w="896"/>
        <w:gridCol w:w="1725"/>
        <w:gridCol w:w="984"/>
        <w:gridCol w:w="1109"/>
        <w:gridCol w:w="822"/>
        <w:gridCol w:w="1518"/>
      </w:tblGrid>
      <w:tr>
        <w:trPr>
          <w:trHeight w:val="734" w:hRule="exact"/>
        </w:trPr>
        <w:tc>
          <w:tcPr>
            <w:tcW w:w="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8"/>
                <w:sz w:val="18"/>
                <w:szCs w:val="18"/>
              </w:rPr>
              <w:t>一种带有自动钥匙锁紧装</w:t>
            </w:r>
            <w:r>
              <w:rPr>
                <w:rFonts w:ascii="宋体" w:hAnsi="宋体" w:cs="宋体" w:eastAsia="宋体" w:hint="default"/>
                <w:sz w:val="18"/>
                <w:szCs w:val="18"/>
              </w:rPr>
              <w:t> 置的数控卡盘</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ZL201420150923.0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3891984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2014.4.1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pStyle w:val="Heading3"/>
        <w:spacing w:line="240" w:lineRule="auto" w:before="35"/>
        <w:ind w:left="515" w:right="0"/>
        <w:jc w:val="left"/>
        <w:rPr>
          <w:b w:val="0"/>
          <w:bCs w:val="0"/>
        </w:rPr>
      </w:pPr>
      <w:r>
        <w:rPr>
          <w:rFonts w:ascii="Times New Roman" w:hAnsi="Times New Roman" w:cs="Times New Roman" w:eastAsia="Times New Roman" w:hint="default"/>
        </w:rPr>
        <w:t>1.3</w:t>
      </w:r>
      <w:r>
        <w:rPr/>
        <w:t>获得的外观专利</w:t>
      </w:r>
      <w:r>
        <w:rPr>
          <w:rFonts w:ascii="Times New Roman" w:hAnsi="Times New Roman" w:cs="Times New Roman" w:eastAsia="Times New Roman" w:hint="default"/>
        </w:rPr>
        <w:t>22</w:t>
      </w:r>
      <w:r>
        <w:rPr/>
        <w:t>项，具体情况如下：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506"/>
        <w:gridCol w:w="1767"/>
        <w:gridCol w:w="1062"/>
        <w:gridCol w:w="1856"/>
        <w:gridCol w:w="887"/>
        <w:gridCol w:w="1337"/>
        <w:gridCol w:w="692"/>
        <w:gridCol w:w="1454"/>
      </w:tblGrid>
      <w:tr>
        <w:trPr>
          <w:trHeight w:val="774"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3"/>
              <w:jc w:val="left"/>
              <w:rPr>
                <w:rFonts w:ascii="宋体" w:hAnsi="宋体" w:cs="宋体" w:eastAsia="宋体" w:hint="default"/>
                <w:sz w:val="18"/>
                <w:szCs w:val="18"/>
              </w:rPr>
            </w:pPr>
            <w:r>
              <w:rPr>
                <w:rFonts w:ascii="宋体" w:hAnsi="宋体" w:cs="宋体" w:eastAsia="宋体" w:hint="default"/>
                <w:spacing w:val="8"/>
                <w:sz w:val="18"/>
                <w:szCs w:val="18"/>
              </w:rPr>
              <w:t>专利名称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使用专利的 </w:t>
            </w:r>
            <w:r>
              <w:rPr>
                <w:rFonts w:ascii="宋体" w:hAnsi="宋体" w:cs="宋体" w:eastAsia="宋体" w:hint="default"/>
                <w:sz w:val="18"/>
                <w:szCs w:val="18"/>
              </w:rPr>
              <w:t>产品名称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6"/>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激光加工机床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ZL200930008676.5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1128020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2009.4.15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ZL200930185104.4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pacing w:val="-3"/>
                <w:sz w:val="18"/>
              </w:rPr>
              <w:t>1125114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2009.4.23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激光切割机操作台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ZL200930185107.8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1173622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2009.4.23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ZL201030106746.3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1390588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2010.02.11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激光切割机</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ZL201030707992.4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1589722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2010.12.17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ZL201130110903.2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1680416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2011.04.26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导轨一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ZL201130328065.6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1863690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2011.09.07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导轨二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ZL201130328073.0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1870318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2011.09.07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ZL201130512537.3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2023941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2011.12.31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控制柜</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ZL201130506367.8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1971983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激光雕花机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ZL201130506366.3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2025447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光纤激光切割机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ZL201130506364.4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2056069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2011.12.14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激光模切机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ZL201130512536.9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1985330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2011.12.31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激光焊接机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ZL201230293369.8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2253238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2012.06.23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光钎激光切割机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ZL201230293375.3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2526012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ZL201230293558.5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2315315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光钎激光切割机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ZL201230293560.2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2493757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2012.06.24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激光裁床切割机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ZL201330067938.1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2525464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2013.03.05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激光裁床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ZL201330067933.9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2525974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2013.03.05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1"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三维产品打印机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ZL201330228472.9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2662375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2013.05.26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产品打印机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ZL201330228473.3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2707619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2013.05.26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422" w:hRule="exact"/>
        </w:trPr>
        <w:tc>
          <w:tcPr>
            <w:tcW w:w="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激光打印雕刻机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zl201330474832.3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2860109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2013.10.08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pStyle w:val="Heading5"/>
        <w:spacing w:line="451" w:lineRule="auto" w:before="88"/>
        <w:ind w:left="154" w:right="0" w:firstLine="361"/>
        <w:jc w:val="left"/>
        <w:rPr>
          <w:b w:val="0"/>
          <w:bCs w:val="0"/>
        </w:rPr>
      </w:pPr>
      <w:r>
        <w:rPr>
          <w:spacing w:val="-1"/>
          <w:w w:val="95"/>
        </w:rPr>
        <w:t>注：</w:t>
      </w:r>
      <w:r>
        <w:rPr>
          <w:rFonts w:ascii="Times New Roman" w:hAnsi="Times New Roman" w:cs="Times New Roman" w:eastAsia="Times New Roman" w:hint="default"/>
          <w:spacing w:val="-1"/>
          <w:w w:val="95"/>
        </w:rPr>
        <w:t>1.</w:t>
      </w:r>
      <w:r>
        <w:rPr>
          <w:spacing w:val="-1"/>
          <w:w w:val="95"/>
        </w:rPr>
        <w:t>基于</w:t>
      </w:r>
      <w:r>
        <w:rPr>
          <w:rFonts w:ascii="Times New Roman" w:hAnsi="Times New Roman" w:cs="Times New Roman" w:eastAsia="Times New Roman" w:hint="default"/>
          <w:spacing w:val="-1"/>
          <w:w w:val="95"/>
        </w:rPr>
        <w:t>“</w:t>
      </w:r>
      <w:r>
        <w:rPr>
          <w:spacing w:val="-1"/>
          <w:w w:val="95"/>
        </w:rPr>
        <w:t>同样的发明创造只能被授予一项专利</w:t>
      </w:r>
      <w:r>
        <w:rPr>
          <w:rFonts w:ascii="Times New Roman" w:hAnsi="Times New Roman" w:cs="Times New Roman" w:eastAsia="Times New Roman" w:hint="default"/>
          <w:spacing w:val="-1"/>
          <w:w w:val="95"/>
        </w:rPr>
        <w:t>”</w:t>
      </w:r>
      <w:r>
        <w:rPr>
          <w:spacing w:val="-1"/>
          <w:w w:val="95"/>
        </w:rPr>
        <w:t>的法律规定，为取得</w:t>
      </w:r>
      <w:r>
        <w:rPr>
          <w:rFonts w:ascii="Times New Roman" w:hAnsi="Times New Roman" w:cs="Times New Roman" w:eastAsia="Times New Roman" w:hint="default"/>
          <w:spacing w:val="-1"/>
          <w:w w:val="95"/>
        </w:rPr>
        <w:t>“</w:t>
      </w:r>
      <w:r>
        <w:rPr>
          <w:spacing w:val="-1"/>
          <w:w w:val="95"/>
        </w:rPr>
        <w:t>具有预激励装置的激光器</w:t>
      </w:r>
      <w:r>
        <w:rPr>
          <w:rFonts w:ascii="Times New Roman" w:hAnsi="Times New Roman" w:cs="Times New Roman" w:eastAsia="Times New Roman" w:hint="default"/>
          <w:spacing w:val="-1"/>
          <w:w w:val="95"/>
        </w:rPr>
        <w:t>”</w:t>
      </w:r>
      <w:r>
        <w:rPr>
          <w:spacing w:val="-1"/>
          <w:w w:val="95"/>
        </w:rPr>
        <w:t>的发明专利（申请号</w:t>
      </w:r>
      <w:r>
        <w:rPr>
          <w:spacing w:val="-7"/>
          <w:w w:val="95"/>
        </w:rPr>
        <w:t> </w:t>
      </w:r>
      <w:r>
        <w:rPr>
          <w:spacing w:val="-7"/>
          <w:w w:val="95"/>
        </w:rPr>
      </w:r>
      <w:r>
        <w:rPr/>
        <w:t>为</w:t>
      </w:r>
      <w:r>
        <w:rPr>
          <w:rFonts w:ascii="Times New Roman" w:hAnsi="Times New Roman" w:cs="Times New Roman" w:eastAsia="Times New Roman" w:hint="default"/>
        </w:rPr>
        <w:t>200910004004.6</w:t>
      </w:r>
      <w:r>
        <w:rPr/>
        <w:t>）授权，公司已于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向专利局提交放弃该实用新型专利的申请。</w:t>
      </w:r>
      <w:r>
        <w:rPr>
          <w:b w:val="0"/>
          <w:bCs w:val="0"/>
        </w:rPr>
      </w:r>
    </w:p>
    <w:p>
      <w:pPr>
        <w:pStyle w:val="Heading5"/>
        <w:spacing w:line="240" w:lineRule="auto" w:before="44"/>
        <w:ind w:left="515" w:right="0"/>
        <w:jc w:val="left"/>
        <w:rPr>
          <w:b w:val="0"/>
          <w:bCs w:val="0"/>
        </w:rPr>
      </w:pPr>
      <w:r>
        <w:rPr/>
        <w:t>基于实用新型专利权的授权年限为</w:t>
      </w:r>
      <w:r>
        <w:rPr>
          <w:rFonts w:ascii="Times New Roman" w:hAnsi="Times New Roman" w:cs="Times New Roman" w:eastAsia="Times New Roman" w:hint="default"/>
        </w:rPr>
        <w:t>10</w:t>
      </w:r>
      <w:r>
        <w:rPr/>
        <w:t>年，公司以下专利因授权年限限制，专利权终止；</w:t>
      </w:r>
      <w:r>
        <w:rPr>
          <w:b w:val="0"/>
          <w:bCs w:val="0"/>
        </w:rPr>
      </w:r>
    </w:p>
    <w:p>
      <w:pPr>
        <w:spacing w:line="240" w:lineRule="auto" w:before="12"/>
        <w:rPr>
          <w:rFonts w:ascii="宋体" w:hAnsi="宋体" w:cs="宋体" w:eastAsia="宋体" w:hint="default"/>
          <w:b/>
          <w:bCs/>
          <w:sz w:val="9"/>
          <w:szCs w:val="9"/>
        </w:rPr>
      </w:pPr>
    </w:p>
    <w:tbl>
      <w:tblPr>
        <w:tblW w:w="0" w:type="auto"/>
        <w:jc w:val="left"/>
        <w:tblInd w:w="116" w:type="dxa"/>
        <w:tblLayout w:type="fixed"/>
        <w:tblCellMar>
          <w:top w:w="0" w:type="dxa"/>
          <w:left w:w="0" w:type="dxa"/>
          <w:bottom w:w="0" w:type="dxa"/>
          <w:right w:w="0" w:type="dxa"/>
        </w:tblCellMar>
        <w:tblLook w:val="01E0"/>
      </w:tblPr>
      <w:tblGrid>
        <w:gridCol w:w="555"/>
        <w:gridCol w:w="3060"/>
        <w:gridCol w:w="990"/>
        <w:gridCol w:w="1696"/>
        <w:gridCol w:w="870"/>
        <w:gridCol w:w="1154"/>
        <w:gridCol w:w="780"/>
        <w:gridCol w:w="706"/>
      </w:tblGrid>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880"/>
        </w:sectPr>
      </w:pPr>
    </w:p>
    <w:p>
      <w:pPr>
        <w:spacing w:line="240" w:lineRule="auto" w:before="6"/>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555"/>
        <w:gridCol w:w="3060"/>
        <w:gridCol w:w="990"/>
        <w:gridCol w:w="1696"/>
        <w:gridCol w:w="870"/>
        <w:gridCol w:w="1154"/>
        <w:gridCol w:w="780"/>
        <w:gridCol w:w="706"/>
      </w:tblGrid>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电脑数控全功能雕刻、精饰一体机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ZL01252381.X</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528533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2001.11.08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1"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振镜头雕刻切割多用激光雕刻机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ZL200320116332.3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670972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2003.12.12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多头激光雕刻机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ZL03235801.6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608112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2003.3.13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3"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圆筒回转工作台激光雕刻机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ZL03235802.4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608188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2003.3.13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r>
        <w:trPr>
          <w:trHeight w:val="422" w:hRule="exact"/>
        </w:trPr>
        <w:tc>
          <w:tcPr>
            <w:tcW w:w="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大幅面振镜激光雕刻机的导轨装置</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ZL200420111792.1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750610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2004.12.2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终止</w:t>
            </w:r>
          </w:p>
        </w:tc>
      </w:tr>
    </w:tbl>
    <w:p>
      <w:pPr>
        <w:pStyle w:val="Heading3"/>
        <w:spacing w:line="386" w:lineRule="auto" w:before="63"/>
        <w:ind w:left="515" w:right="0"/>
        <w:jc w:val="left"/>
        <w:rPr>
          <w:b w:val="0"/>
          <w:bCs w:val="0"/>
        </w:rPr>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日，公司正在申请的专利情况</w:t>
      </w:r>
      <w:r>
        <w:rPr>
          <w:w w:val="99"/>
        </w:rPr>
        <w:t> </w:t>
      </w:r>
      <w:r>
        <w:rPr>
          <w:spacing w:val="-2"/>
          <w:w w:val="95"/>
        </w:rPr>
        <w:t>公司现拥有</w:t>
      </w:r>
      <w:r>
        <w:rPr>
          <w:rFonts w:ascii="Times New Roman" w:hAnsi="Times New Roman" w:cs="Times New Roman" w:eastAsia="Times New Roman" w:hint="default"/>
          <w:spacing w:val="-2"/>
          <w:w w:val="95"/>
        </w:rPr>
        <w:t>82</w:t>
      </w:r>
      <w:r>
        <w:rPr>
          <w:spacing w:val="-2"/>
          <w:w w:val="95"/>
        </w:rPr>
        <w:t>项专利申请权，其中发明专利</w:t>
      </w:r>
      <w:r>
        <w:rPr>
          <w:rFonts w:ascii="Times New Roman" w:hAnsi="Times New Roman" w:cs="Times New Roman" w:eastAsia="Times New Roman" w:hint="default"/>
          <w:spacing w:val="-2"/>
          <w:w w:val="95"/>
        </w:rPr>
        <w:t>62</w:t>
      </w:r>
      <w:r>
        <w:rPr>
          <w:spacing w:val="-2"/>
          <w:w w:val="95"/>
        </w:rPr>
        <w:t>项、实用新型专利</w:t>
      </w:r>
      <w:r>
        <w:rPr>
          <w:rFonts w:ascii="Times New Roman" w:hAnsi="Times New Roman" w:cs="Times New Roman" w:eastAsia="Times New Roman" w:hint="default"/>
          <w:spacing w:val="-2"/>
          <w:w w:val="95"/>
        </w:rPr>
        <w:t>11</w:t>
      </w:r>
      <w:r>
        <w:rPr>
          <w:spacing w:val="-2"/>
          <w:w w:val="95"/>
        </w:rPr>
        <w:t>项、外观专利</w:t>
      </w:r>
      <w:r>
        <w:rPr>
          <w:rFonts w:ascii="Times New Roman" w:hAnsi="Times New Roman" w:cs="Times New Roman" w:eastAsia="Times New Roman" w:hint="default"/>
          <w:spacing w:val="-2"/>
          <w:w w:val="95"/>
        </w:rPr>
        <w:t>9</w:t>
      </w:r>
      <w:r>
        <w:rPr>
          <w:spacing w:val="-2"/>
          <w:w w:val="95"/>
        </w:rPr>
        <w:t>项，具体情况列表如</w:t>
      </w:r>
      <w:r>
        <w:rPr>
          <w:b w:val="0"/>
          <w:bCs w:val="0"/>
          <w:spacing w:val="-2"/>
        </w:rPr>
      </w:r>
    </w:p>
    <w:p>
      <w:pPr>
        <w:pStyle w:val="Heading3"/>
        <w:spacing w:line="240" w:lineRule="auto" w:before="35"/>
        <w:ind w:left="153" w:right="0"/>
        <w:jc w:val="left"/>
        <w:rPr>
          <w:b w:val="0"/>
          <w:bCs w:val="0"/>
        </w:rPr>
      </w:pPr>
      <w:r>
        <w:rPr/>
        <w:t>下：</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15" w:right="0"/>
        <w:jc w:val="left"/>
        <w:rPr>
          <w:b w:val="0"/>
          <w:bCs w:val="0"/>
        </w:rPr>
      </w:pPr>
      <w:r>
        <w:rPr>
          <w:rFonts w:ascii="Times New Roman" w:hAnsi="Times New Roman" w:cs="Times New Roman" w:eastAsia="Times New Roman" w:hint="default"/>
        </w:rPr>
        <w:t>2.1</w:t>
      </w:r>
      <w:r>
        <w:rPr/>
        <w:t>获得发明专利申请权为</w:t>
      </w:r>
      <w:r>
        <w:rPr>
          <w:rFonts w:ascii="Times New Roman" w:hAnsi="Times New Roman" w:cs="Times New Roman" w:eastAsia="Times New Roman" w:hint="default"/>
        </w:rPr>
        <w:t>62</w:t>
      </w:r>
      <w:r>
        <w:rPr/>
        <w:t>项，具体情况如下：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25" w:type="dxa"/>
        <w:tblLayout w:type="fixed"/>
        <w:tblCellMar>
          <w:top w:w="0" w:type="dxa"/>
          <w:left w:w="0" w:type="dxa"/>
          <w:bottom w:w="0" w:type="dxa"/>
          <w:right w:w="0" w:type="dxa"/>
        </w:tblCellMar>
        <w:tblLook w:val="01E0"/>
      </w:tblPr>
      <w:tblGrid>
        <w:gridCol w:w="549"/>
        <w:gridCol w:w="3127"/>
        <w:gridCol w:w="816"/>
        <w:gridCol w:w="1662"/>
        <w:gridCol w:w="1138"/>
        <w:gridCol w:w="1400"/>
        <w:gridCol w:w="980"/>
      </w:tblGrid>
      <w:tr>
        <w:trPr>
          <w:trHeight w:val="73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3"/>
              <w:jc w:val="left"/>
              <w:rPr>
                <w:rFonts w:ascii="宋体" w:hAnsi="宋体" w:cs="宋体" w:eastAsia="宋体" w:hint="default"/>
                <w:sz w:val="18"/>
                <w:szCs w:val="18"/>
              </w:rPr>
            </w:pPr>
            <w:r>
              <w:rPr>
                <w:rFonts w:ascii="宋体" w:hAnsi="宋体" w:cs="宋体" w:eastAsia="宋体" w:hint="default"/>
                <w:spacing w:val="-8"/>
                <w:sz w:val="18"/>
                <w:szCs w:val="18"/>
              </w:rPr>
              <w:t>取得方式（过户时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间）</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激光绣花一体机及加工方法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ZL200710051516.9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2007.2.9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15"/>
              <w:jc w:val="left"/>
              <w:rPr>
                <w:rFonts w:ascii="宋体" w:hAnsi="宋体" w:cs="宋体" w:eastAsia="宋体" w:hint="default"/>
                <w:sz w:val="18"/>
                <w:szCs w:val="18"/>
              </w:rPr>
            </w:pPr>
            <w:r>
              <w:rPr>
                <w:rFonts w:ascii="宋体" w:hAnsi="宋体" w:cs="宋体" w:eastAsia="宋体" w:hint="default"/>
                <w:spacing w:val="-10"/>
                <w:sz w:val="18"/>
                <w:szCs w:val="18"/>
              </w:rPr>
              <w:t>受让（</w:t>
            </w:r>
            <w:r>
              <w:rPr>
                <w:rFonts w:ascii="Times New Roman" w:hAnsi="Times New Roman" w:cs="Times New Roman" w:eastAsia="Times New Roman" w:hint="default"/>
                <w:spacing w:val="-10"/>
                <w:sz w:val="18"/>
                <w:szCs w:val="18"/>
              </w:rPr>
              <w:t>2009.08.28</w:t>
            </w:r>
            <w:r>
              <w:rPr>
                <w:rFonts w:ascii="宋体" w:hAnsi="宋体" w:cs="宋体" w:eastAsia="宋体" w:hint="default"/>
                <w:spacing w:val="-10"/>
                <w:sz w:val="18"/>
                <w:szCs w:val="18"/>
              </w:rPr>
              <w:t>）</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实质审查</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具有纠偏装置的激光切割机及激光加工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ZL201010188466.0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2010.05.22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一种布料激光分层切割方法及其应用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ZL201010215571.9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2010.07.02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一种激光轮廓填充方法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ZL201010245364.8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2010.7.29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42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ZL201010540032.2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2010.10.20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一种激光切割机工作台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ZL201010540129.3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2010.10.29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一种激光切割机及包装箱的激光加工方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ZL201110089077.7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2011.04.03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一种桥架式激光绣花一体机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ZL201110156754.2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2011.06.01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进入实审</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一种镜片调节装置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ZL201110156953.3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2011.06.01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一种激光切割机导轨装置及宽幅面激光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切割机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ZL201110216281.0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2011.07.29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审查意见</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ZL201110216282.5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2011.07.29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一种拼接式激光绣花一体机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ZL201110258152.8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2011.09.02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13</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一种多头激光切割机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ZL201110258157.0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2011.09.02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一种激光切割机导轨装置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ZL201110280262.4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2011.09.07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初审合格</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15</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一种带有镜片调整装置的激光头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ZL201110462325.8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2011.12.31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16</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一种激光管座体及激光切割机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实审</w:t>
            </w:r>
          </w:p>
        </w:tc>
      </w:tr>
      <w:tr>
        <w:trPr>
          <w:trHeight w:val="42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17</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一种镜片调整装置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ZL201110462321.x</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一种喷墨印花激光加工一体机及纺织品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ZL201110463094.2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549"/>
        <w:gridCol w:w="3127"/>
        <w:gridCol w:w="816"/>
        <w:gridCol w:w="1662"/>
        <w:gridCol w:w="1138"/>
        <w:gridCol w:w="1400"/>
        <w:gridCol w:w="980"/>
      </w:tblGrid>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一种喷墨印花激光切割雕花一体机及纺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织品加工方法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ZL201110462995.X</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一种喷墨印花机光雕刻机和纺织品加工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ZL201110462993.0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一种喷墨印花激光加工一体机及纺织品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ZL201110462992.6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一种喷墨印花激光切割雕花一体机及纺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织品加工方法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ZL201110462991.1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一种喷墨印花激光加工系统和纺织品加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zl201110463095.7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2011.12.14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基于嵌入式排版的多头智能互移裁切控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ZL201110444469.0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2011.12.26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25</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一种履带式工作台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ZL201110462322.4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2011.12.31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一种带有自动纠偏装置的激光切割机及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其纠偏系统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ZL201210011283.0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2012.01.01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一种带有高度可调式抽风装置的激光切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割头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ZL201210056824.1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2012.2.28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28</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一种激光振镜飞行打标方法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ZL201210057851.0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2012.2.28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29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一种随动式激光切割头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left"/>
              <w:rPr>
                <w:rFonts w:ascii="Times New Roman" w:hAnsi="Times New Roman" w:cs="Times New Roman" w:eastAsia="Times New Roman" w:hint="default"/>
                <w:sz w:val="18"/>
                <w:szCs w:val="18"/>
              </w:rPr>
            </w:pPr>
            <w:r>
              <w:rPr>
                <w:rFonts w:ascii="Times New Roman"/>
                <w:sz w:val="18"/>
              </w:rPr>
              <w:t>ZL201210141972.3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2012.4.28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卷对卷激光商标加工系统及其加工方法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ZL201210137250.0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2012.05.07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激光振镜位图加工方式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ZL201210138942.7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2012.05.07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鞋面激光打孔系统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ZL201210138974.7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2012.05.07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公开</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33</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一种带有张力调整装置的送料机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ZL201210228412.1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2012.06.23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初审合格</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一种装有调焦装置的激光切割头及确定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焦距的方法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ZL201210228363.1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2012.6.23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35</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一种带有抽烟装置的激光切割头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ZL201210228361.2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2012.6.23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36</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一种带有百分表的激光切割头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ZL201210284680.5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2012.08.04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带有张力控制装置的料辊及装有该料辊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的激光切割机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ZL201210341728.1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2012.9.03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38</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一种全反镜端盖与直管焊接的方法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ZL201210341746.X</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2012.09.03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一种喷墨印花激光加工一体机及纺织品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PCTCN2012086455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2012.12.12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5"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一种喷墨印花激光加工一体机及纺织品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PCTCN2012086462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2012.12.12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7"/>
              <w:jc w:val="left"/>
              <w:rPr>
                <w:rFonts w:ascii="宋体" w:hAnsi="宋体" w:cs="宋体" w:eastAsia="宋体" w:hint="default"/>
                <w:sz w:val="18"/>
                <w:szCs w:val="18"/>
              </w:rPr>
            </w:pPr>
            <w:r>
              <w:rPr>
                <w:rFonts w:ascii="宋体" w:hAnsi="宋体" w:cs="宋体" w:eastAsia="宋体" w:hint="default"/>
                <w:spacing w:val="2"/>
                <w:sz w:val="18"/>
                <w:szCs w:val="18"/>
              </w:rPr>
              <w:t>一种桥架式激光喷墨绣花一体机及其使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PCTCN2012086835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2012.12.12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549"/>
        <w:gridCol w:w="3127"/>
        <w:gridCol w:w="816"/>
        <w:gridCol w:w="1662"/>
        <w:gridCol w:w="1138"/>
        <w:gridCol w:w="1400"/>
        <w:gridCol w:w="980"/>
      </w:tblGrid>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一种用于加工金属薄膜的激光切割机工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作台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ZL201210597748.5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初审合格</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43</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一种整体结构的激光雕花机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zl201210597747.0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2012.12.22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5"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44</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一种可切换气路的激光加工气路装置及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其使用方法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ZL201210597732.4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发明公布</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一种可选择气路的激光加工气路装置及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其使用方法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ZL201210597749.X</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73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7"/>
              <w:jc w:val="left"/>
              <w:rPr>
                <w:rFonts w:ascii="宋体" w:hAnsi="宋体" w:cs="宋体" w:eastAsia="宋体" w:hint="default"/>
                <w:sz w:val="18"/>
                <w:szCs w:val="18"/>
              </w:rPr>
            </w:pPr>
            <w:r>
              <w:rPr>
                <w:rFonts w:ascii="宋体" w:hAnsi="宋体" w:cs="宋体" w:eastAsia="宋体" w:hint="default"/>
                <w:spacing w:val="2"/>
                <w:sz w:val="18"/>
                <w:szCs w:val="18"/>
              </w:rPr>
              <w:t>一种激光腔体外冷却管嵌入压平装置及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其使用方法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ZL201210597746.6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2012.12.22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初审合格</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47</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一种手持激光焊接机及焊接物料的方法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ZL201210596853.7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2012.12.28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初审合格</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48</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7"/>
              <w:jc w:val="left"/>
              <w:rPr>
                <w:rFonts w:ascii="宋体" w:hAnsi="宋体" w:cs="宋体" w:eastAsia="宋体" w:hint="default"/>
                <w:sz w:val="18"/>
                <w:szCs w:val="18"/>
              </w:rPr>
            </w:pPr>
            <w:r>
              <w:rPr>
                <w:rFonts w:ascii="宋体" w:hAnsi="宋体" w:cs="宋体" w:eastAsia="宋体" w:hint="default"/>
                <w:spacing w:val="2"/>
                <w:sz w:val="18"/>
                <w:szCs w:val="18"/>
              </w:rPr>
              <w:t>皮芯结构纱线、织物、织物上形成图形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的方法及激光系统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ZL201310164487.2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2013.4.21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一种地毯激光加工机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ZL201310342437.9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2010.10.29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初审合格</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一种牛仔立体激光雕花机及其使用方法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ZL201310402326.2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2013.09.06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一种带有超长横梁桥架式的激光绣花机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ZL201310385519.1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2013.09.06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一种大幅面激光切割机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ZL201310486031.8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2010.10.20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公布</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53</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激光打印系统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ZL201310614931.6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2013.11.28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3"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54</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可反复充气的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CO2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激光器及其充气方法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ZL201310704502.8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2013.12.20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55</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激光切割机排烟装置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ZL201410130582.5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2014.4.3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56</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一种带有自动钥匙锁紧装置的数控卡盘</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ZL201410125299.3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2014.4.1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57</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一种用于焊接金属壳体的自适应夹具</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ZL201420811346.5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58</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打印的塑身方法</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ZL2014108351538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4"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一种用于打印服装的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打印头及服装 打印机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ZL2014108460268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2014.12.30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一种飞梭激光绣花一体机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ZL2014108357144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61</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打印的塑身衣</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left"/>
              <w:rPr>
                <w:rFonts w:ascii="Times New Roman" w:hAnsi="Times New Roman" w:cs="Times New Roman" w:eastAsia="Times New Roman" w:hint="default"/>
                <w:sz w:val="18"/>
                <w:szCs w:val="18"/>
              </w:rPr>
            </w:pPr>
            <w:r>
              <w:rPr>
                <w:rFonts w:ascii="Times New Roman"/>
                <w:sz w:val="18"/>
              </w:rPr>
              <w:t>ZL2014108472778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62</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服装打印系统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sz w:val="18"/>
              </w:rPr>
              <w:t>ZL2014108474241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3"/>
        <w:spacing w:line="240" w:lineRule="auto" w:before="35"/>
        <w:ind w:left="576" w:right="0"/>
        <w:jc w:val="left"/>
        <w:rPr>
          <w:b w:val="0"/>
          <w:bCs w:val="0"/>
        </w:rPr>
      </w:pP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获得实用新型专利申请权为</w:t>
      </w:r>
      <w:r>
        <w:rPr>
          <w:spacing w:val="-52"/>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spacing w:val="-1"/>
        </w:rPr>
        <w:t> </w:t>
      </w:r>
      <w:r>
        <w:rPr/>
        <w:t>项</w:t>
      </w:r>
      <w:r>
        <w:rPr>
          <w:b w:val="0"/>
          <w:bCs w:val="0"/>
        </w:rPr>
      </w:r>
    </w:p>
    <w:p>
      <w:pPr>
        <w:spacing w:line="240" w:lineRule="auto" w:before="9"/>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537"/>
        <w:gridCol w:w="3048"/>
        <w:gridCol w:w="1008"/>
        <w:gridCol w:w="1679"/>
        <w:gridCol w:w="1011"/>
        <w:gridCol w:w="1303"/>
        <w:gridCol w:w="902"/>
      </w:tblGrid>
      <w:tr>
        <w:trPr>
          <w:trHeight w:val="774"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6"/>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3"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具有吸烟装置的激光切割机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ZL200920227443.9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2009.8.14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固体激光器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ZL200920227441.X</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2009.8.14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一种具有紧固装置的激光头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ZL200920227620.3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2009.8.26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83" w:type="dxa"/>
        <w:tblLayout w:type="fixed"/>
        <w:tblCellMar>
          <w:top w:w="0" w:type="dxa"/>
          <w:left w:w="0" w:type="dxa"/>
          <w:bottom w:w="0" w:type="dxa"/>
          <w:right w:w="0" w:type="dxa"/>
        </w:tblCellMar>
        <w:tblLook w:val="01E0"/>
      </w:tblPr>
      <w:tblGrid>
        <w:gridCol w:w="537"/>
        <w:gridCol w:w="3048"/>
        <w:gridCol w:w="1008"/>
        <w:gridCol w:w="1679"/>
        <w:gridCol w:w="1011"/>
        <w:gridCol w:w="1303"/>
        <w:gridCol w:w="902"/>
      </w:tblGrid>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一种激光切割机排烟装置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ZL200920179526.5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2009.9.22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激光打印系统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ZL201320762899.1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2013.11.28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一种用于焊接金属壳体的自适应夹具</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ZL201410794875.3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735"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宋体" w:hAnsi="宋体" w:cs="宋体" w:eastAsia="宋体" w:hint="default"/>
                <w:sz w:val="18"/>
                <w:szCs w:val="18"/>
              </w:rPr>
              <w:t>一种用于打印服装的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打印头及服装 打印机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ZL2014208535999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一种飞梭激光绣花一体机</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ZL2014208630391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打印的塑身衣</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ZL2014208644426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服装打印系统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ZL2014208644093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一种高压防护帽及二氧化碳激光器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ZL2014208620188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line="240" w:lineRule="auto" w:before="0"/>
        <w:rPr>
          <w:rFonts w:ascii="宋体" w:hAnsi="宋体" w:cs="宋体" w:eastAsia="宋体" w:hint="default"/>
          <w:b/>
          <w:bCs/>
          <w:sz w:val="20"/>
          <w:szCs w:val="20"/>
        </w:rPr>
      </w:pPr>
    </w:p>
    <w:p>
      <w:pPr>
        <w:pStyle w:val="Heading3"/>
        <w:spacing w:line="240" w:lineRule="auto" w:before="192"/>
        <w:ind w:left="576" w:right="0"/>
        <w:jc w:val="left"/>
        <w:rPr>
          <w:b w:val="0"/>
          <w:bCs w:val="0"/>
        </w:rPr>
      </w:pP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获得外观专利申请权为</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件，具体情况如下：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25" w:type="dxa"/>
        <w:tblLayout w:type="fixed"/>
        <w:tblCellMar>
          <w:top w:w="0" w:type="dxa"/>
          <w:left w:w="0" w:type="dxa"/>
          <w:bottom w:w="0" w:type="dxa"/>
          <w:right w:w="0" w:type="dxa"/>
        </w:tblCellMar>
        <w:tblLook w:val="01E0"/>
      </w:tblPr>
      <w:tblGrid>
        <w:gridCol w:w="678"/>
        <w:gridCol w:w="2453"/>
        <w:gridCol w:w="948"/>
        <w:gridCol w:w="1698"/>
        <w:gridCol w:w="1330"/>
        <w:gridCol w:w="1622"/>
        <w:gridCol w:w="943"/>
      </w:tblGrid>
      <w:tr>
        <w:trPr>
          <w:trHeight w:val="774"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专利名称</w:t>
            </w:r>
            <w:r>
              <w:rPr>
                <w:rFonts w:ascii="Times New Roman" w:hAnsi="Times New Roman" w:cs="Times New Roman" w:eastAsia="Times New Roman" w:hint="default"/>
                <w:sz w:val="18"/>
                <w:szCs w:val="18"/>
              </w:rPr>
              <w:t>\</w:t>
            </w:r>
            <w:r>
              <w:rPr>
                <w:rFonts w:ascii="宋体" w:hAnsi="宋体" w:cs="宋体" w:eastAsia="宋体" w:hint="default"/>
                <w:sz w:val="18"/>
                <w:szCs w:val="18"/>
              </w:rPr>
              <w:t>使用专利的产品名称</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取得方式</w:t>
            </w:r>
          </w:p>
          <w:p>
            <w:pPr>
              <w:pStyle w:val="TableParagraph"/>
              <w:spacing w:line="240" w:lineRule="auto" w:before="117"/>
              <w:ind w:left="4" w:right="0"/>
              <w:jc w:val="left"/>
              <w:rPr>
                <w:rFonts w:ascii="宋体" w:hAnsi="宋体" w:cs="宋体" w:eastAsia="宋体" w:hint="default"/>
                <w:sz w:val="18"/>
                <w:szCs w:val="18"/>
              </w:rPr>
            </w:pPr>
            <w:r>
              <w:rPr>
                <w:rFonts w:ascii="宋体" w:hAnsi="宋体" w:cs="宋体" w:eastAsia="宋体" w:hint="default"/>
                <w:sz w:val="18"/>
                <w:szCs w:val="18"/>
              </w:rPr>
              <w:t>（过户时间）</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状态</w:t>
            </w:r>
          </w:p>
        </w:tc>
      </w:tr>
      <w:tr>
        <w:trPr>
          <w:trHeight w:val="422"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ZL201030188366.9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2010.05.22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ZL201030188367.3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2010.05.22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激光切割机</w:t>
            </w:r>
            <w:r>
              <w:rPr>
                <w:rFonts w:ascii="Times New Roman" w:hAnsi="Times New Roman" w:cs="Times New Roman" w:eastAsia="Times New Roman" w:hint="default"/>
                <w:sz w:val="18"/>
                <w:szCs w:val="18"/>
              </w:rPr>
              <w:t>(</w:t>
            </w:r>
            <w:r>
              <w:rPr>
                <w:rFonts w:ascii="宋体" w:hAnsi="宋体" w:cs="宋体" w:eastAsia="宋体" w:hint="default"/>
                <w:sz w:val="18"/>
                <w:szCs w:val="18"/>
              </w:rPr>
              <w:t>成套</w:t>
            </w:r>
            <w:r>
              <w:rPr>
                <w:rFonts w:ascii="Times New Roman" w:hAnsi="Times New Roman" w:cs="Times New Roman" w:eastAsia="Times New Roman" w:hint="default"/>
                <w:sz w:val="18"/>
                <w:szCs w:val="18"/>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ZL201030707993.9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2010.12.17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3"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带激光的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zl201430542850.5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扫描仪</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ZL201430542849.2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1"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固体激光切割机（一）</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ZL201430542878.9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固体激光切割机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zl201430542880.6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激光打标机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ZL201430542877.4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2014.12.22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r>
        <w:trPr>
          <w:trHeight w:val="422" w:hRule="exact"/>
        </w:trPr>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激光裁床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ZL201430542876.X</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2014.12.22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自主申请</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申请中</w:t>
            </w:r>
          </w:p>
        </w:tc>
      </w:tr>
    </w:tbl>
    <w:p>
      <w:pPr>
        <w:spacing w:line="240" w:lineRule="auto" w:before="3"/>
        <w:rPr>
          <w:rFonts w:ascii="宋体" w:hAnsi="宋体" w:cs="宋体" w:eastAsia="宋体" w:hint="default"/>
          <w:b/>
          <w:bCs/>
          <w:sz w:val="5"/>
          <w:szCs w:val="5"/>
        </w:rPr>
      </w:pPr>
    </w:p>
    <w:p>
      <w:pPr>
        <w:pStyle w:val="Heading4"/>
        <w:spacing w:line="240" w:lineRule="auto" w:before="35"/>
        <w:ind w:left="574" w:right="0"/>
        <w:jc w:val="left"/>
      </w:pPr>
      <w:r>
        <w:rPr/>
        <w:t>公司拥有的上述专利权及专利申请权不存在产权纠纷或潜在纠纷。</w:t>
      </w:r>
    </w:p>
    <w:p>
      <w:pPr>
        <w:spacing w:line="240" w:lineRule="auto" w:before="9"/>
        <w:rPr>
          <w:rFonts w:ascii="宋体" w:hAnsi="宋体" w:cs="宋体" w:eastAsia="宋体" w:hint="default"/>
          <w:sz w:val="17"/>
          <w:szCs w:val="17"/>
        </w:rPr>
      </w:pPr>
    </w:p>
    <w:p>
      <w:pPr>
        <w:pStyle w:val="Heading3"/>
        <w:spacing w:line="240" w:lineRule="auto"/>
        <w:ind w:left="576" w:right="0"/>
        <w:jc w:val="left"/>
        <w:rPr>
          <w:b w:val="0"/>
          <w:bCs w:val="0"/>
        </w:rPr>
      </w:pPr>
      <w:r>
        <w:rPr>
          <w:rFonts w:ascii="Times New Roman" w:hAnsi="Times New Roman" w:cs="Times New Roman" w:eastAsia="Times New Roman" w:hint="default"/>
        </w:rPr>
        <w:t>3</w:t>
      </w:r>
      <w:r>
        <w:rPr/>
        <w:t>、应用软件技术情况</w:t>
      </w:r>
      <w:r>
        <w:rPr>
          <w:b w:val="0"/>
          <w:bCs w:val="0"/>
        </w:rPr>
      </w:r>
    </w:p>
    <w:p>
      <w:pPr>
        <w:spacing w:line="240" w:lineRule="auto" w:before="9"/>
        <w:rPr>
          <w:rFonts w:ascii="宋体" w:hAnsi="宋体" w:cs="宋体" w:eastAsia="宋体" w:hint="default"/>
          <w:b/>
          <w:bCs/>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日，公司及全资子公</w:t>
      </w:r>
      <w:r>
        <w:rPr>
          <w:rFonts w:ascii="宋体" w:hAnsi="宋体" w:cs="宋体" w:eastAsia="宋体" w:hint="default"/>
          <w:sz w:val="18"/>
          <w:szCs w:val="18"/>
        </w:rPr>
        <w:t>司已登记或者已申请登记的软件著作权为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件，具体情况如</w:t>
      </w:r>
    </w:p>
    <w:p>
      <w:pPr>
        <w:spacing w:line="240" w:lineRule="auto" w:before="2"/>
        <w:rPr>
          <w:rFonts w:ascii="宋体" w:hAnsi="宋体" w:cs="宋体" w:eastAsia="宋体" w:hint="default"/>
          <w:sz w:val="12"/>
          <w:szCs w:val="12"/>
        </w:rPr>
      </w:pPr>
    </w:p>
    <w:p>
      <w:pPr>
        <w:pStyle w:val="BodyText"/>
        <w:spacing w:line="240" w:lineRule="auto" w:before="44"/>
        <w:ind w:left="153" w:right="0"/>
        <w:jc w:val="left"/>
      </w:pPr>
      <w:r>
        <w:rPr/>
        <w:t>下：</w:t>
      </w:r>
    </w:p>
    <w:p>
      <w:pPr>
        <w:spacing w:line="240" w:lineRule="auto" w:before="12"/>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990"/>
        <w:gridCol w:w="1224"/>
        <w:gridCol w:w="3322"/>
        <w:gridCol w:w="1521"/>
        <w:gridCol w:w="1180"/>
        <w:gridCol w:w="1422"/>
      </w:tblGrid>
      <w:tr>
        <w:trPr>
          <w:trHeight w:val="734" w:hRule="exact"/>
        </w:trPr>
        <w:tc>
          <w:tcPr>
            <w:tcW w:w="9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62"/>
              <w:ind w:left="9" w:right="615"/>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应用软件名称</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用途简介</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软件著作权情况</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8"/>
              <w:jc w:val="center"/>
              <w:rPr>
                <w:rFonts w:ascii="宋体" w:hAnsi="宋体" w:cs="宋体" w:eastAsia="宋体" w:hint="default"/>
                <w:sz w:val="18"/>
                <w:szCs w:val="18"/>
              </w:rPr>
            </w:pPr>
            <w:r>
              <w:rPr>
                <w:rFonts w:ascii="宋体" w:hAnsi="宋体" w:cs="宋体" w:eastAsia="宋体" w:hint="default"/>
                <w:sz w:val="18"/>
                <w:szCs w:val="18"/>
              </w:rPr>
              <w:t>登记证书编号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发表日期</w:t>
            </w:r>
          </w:p>
        </w:tc>
      </w:tr>
      <w:tr>
        <w:trPr>
          <w:trHeight w:val="734" w:hRule="exact"/>
        </w:trPr>
        <w:tc>
          <w:tcPr>
            <w:tcW w:w="990" w:type="dxa"/>
            <w:vMerge w:val="restart"/>
            <w:tcBorders>
              <w:top w:val="single" w:sz="4" w:space="0" w:color="000000"/>
              <w:left w:val="nil" w:sz="6" w:space="0" w:color="auto"/>
              <w:right w:val="single" w:sz="4" w:space="0" w:color="000000"/>
            </w:tcBorders>
          </w:tcPr>
          <w:p>
            <w:pPr>
              <w:pStyle w:val="TableParagraph"/>
              <w:spacing w:line="319" w:lineRule="auto" w:before="61"/>
              <w:ind w:left="9" w:right="3"/>
              <w:jc w:val="left"/>
              <w:rPr>
                <w:rFonts w:ascii="宋体" w:hAnsi="宋体" w:cs="宋体" w:eastAsia="宋体" w:hint="default"/>
                <w:sz w:val="18"/>
                <w:szCs w:val="18"/>
              </w:rPr>
            </w:pPr>
            <w:r>
              <w:rPr>
                <w:rFonts w:ascii="宋体" w:hAnsi="宋体" w:cs="宋体" w:eastAsia="宋体" w:hint="default"/>
                <w:spacing w:val="13"/>
                <w:sz w:val="18"/>
                <w:szCs w:val="18"/>
              </w:rPr>
              <w:t>金运激光股</w:t>
            </w:r>
            <w:r>
              <w:rPr>
                <w:rFonts w:ascii="宋体" w:hAnsi="宋体" w:cs="宋体" w:eastAsia="宋体" w:hint="default"/>
                <w:sz w:val="18"/>
                <w:szCs w:val="18"/>
              </w:rPr>
              <w:t> 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3"/>
              <w:jc w:val="left"/>
              <w:rPr>
                <w:rFonts w:ascii="宋体" w:hAnsi="宋体" w:cs="宋体" w:eastAsia="宋体" w:hint="default"/>
                <w:sz w:val="18"/>
                <w:szCs w:val="18"/>
              </w:rPr>
            </w:pPr>
            <w:r>
              <w:rPr>
                <w:rFonts w:ascii="宋体" w:hAnsi="宋体" w:cs="宋体" w:eastAsia="宋体" w:hint="default"/>
                <w:sz w:val="18"/>
                <w:szCs w:val="18"/>
              </w:rPr>
              <w:t>流</w:t>
            </w:r>
            <w:r>
              <w:rPr>
                <w:rFonts w:ascii="宋体" w:hAnsi="宋体" w:cs="宋体" w:eastAsia="宋体" w:hint="default"/>
                <w:spacing w:val="-65"/>
                <w:sz w:val="18"/>
                <w:szCs w:val="18"/>
              </w:rPr>
              <w:t> </w:t>
            </w:r>
            <w:r>
              <w:rPr>
                <w:rFonts w:ascii="宋体" w:hAnsi="宋体" w:cs="宋体" w:eastAsia="宋体" w:hint="default"/>
                <w:sz w:val="18"/>
                <w:szCs w:val="18"/>
              </w:rPr>
              <w:t>水</w:t>
            </w:r>
            <w:r>
              <w:rPr>
                <w:rFonts w:ascii="宋体" w:hAnsi="宋体" w:cs="宋体" w:eastAsia="宋体" w:hint="default"/>
                <w:spacing w:val="-65"/>
                <w:sz w:val="18"/>
                <w:szCs w:val="18"/>
              </w:rPr>
              <w:t> </w:t>
            </w:r>
            <w:r>
              <w:rPr>
                <w:rFonts w:ascii="宋体" w:hAnsi="宋体" w:cs="宋体" w:eastAsia="宋体" w:hint="default"/>
                <w:sz w:val="18"/>
                <w:szCs w:val="18"/>
              </w:rPr>
              <w:t>线</w:t>
            </w:r>
            <w:r>
              <w:rPr>
                <w:rFonts w:ascii="宋体" w:hAnsi="宋体" w:cs="宋体" w:eastAsia="宋体" w:hint="default"/>
                <w:spacing w:val="-65"/>
                <w:sz w:val="18"/>
                <w:szCs w:val="18"/>
              </w:rPr>
              <w:t> </w:t>
            </w:r>
            <w:r>
              <w:rPr>
                <w:rFonts w:ascii="宋体" w:hAnsi="宋体" w:cs="宋体" w:eastAsia="宋体" w:hint="default"/>
                <w:sz w:val="18"/>
                <w:szCs w:val="18"/>
              </w:rPr>
              <w:t>打</w:t>
            </w:r>
            <w:r>
              <w:rPr>
                <w:rFonts w:ascii="宋体" w:hAnsi="宋体" w:cs="宋体" w:eastAsia="宋体" w:hint="default"/>
                <w:spacing w:val="-67"/>
                <w:sz w:val="18"/>
                <w:szCs w:val="18"/>
              </w:rPr>
              <w:t> </w:t>
            </w:r>
            <w:r>
              <w:rPr>
                <w:rFonts w:ascii="宋体" w:hAnsi="宋体" w:cs="宋体" w:eastAsia="宋体" w:hint="default"/>
                <w:sz w:val="18"/>
                <w:szCs w:val="18"/>
              </w:rPr>
              <w:t>标</w:t>
            </w:r>
            <w:r>
              <w:rPr>
                <w:rFonts w:ascii="宋体" w:hAnsi="宋体" w:cs="宋体" w:eastAsia="宋体" w:hint="default"/>
                <w:spacing w:val="-65"/>
                <w:sz w:val="18"/>
                <w:szCs w:val="18"/>
              </w:rPr>
              <w:t> </w:t>
            </w:r>
            <w:r>
              <w:rPr>
                <w:rFonts w:ascii="宋体" w:hAnsi="宋体" w:cs="宋体" w:eastAsia="宋体" w:hint="default"/>
                <w:sz w:val="18"/>
                <w:szCs w:val="18"/>
              </w:rPr>
              <w:t>软</w:t>
            </w:r>
            <w:r>
              <w:rPr>
                <w:rFonts w:ascii="宋体" w:hAnsi="宋体" w:cs="宋体" w:eastAsia="宋体" w:hint="default"/>
                <w:sz w:val="18"/>
                <w:szCs w:val="18"/>
              </w:rPr>
              <w:t> 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用于包装印刷行业，支持条形码和数字跳 </w:t>
            </w:r>
            <w:r>
              <w:rPr>
                <w:rFonts w:ascii="宋体" w:hAnsi="宋体" w:cs="宋体" w:eastAsia="宋体" w:hint="default"/>
                <w:sz w:val="18"/>
                <w:szCs w:val="18"/>
              </w:rPr>
              <w:t>号打标功能。</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金运激光流水线打</w:t>
            </w:r>
            <w:r>
              <w:rPr>
                <w:rFonts w:ascii="宋体" w:hAnsi="宋体" w:cs="宋体" w:eastAsia="宋体" w:hint="default"/>
                <w:sz w:val="18"/>
                <w:szCs w:val="18"/>
              </w:rPr>
              <w:t> 标软件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34"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3"/>
              <w:jc w:val="left"/>
              <w:rPr>
                <w:rFonts w:ascii="宋体" w:hAnsi="宋体" w:cs="宋体" w:eastAsia="宋体" w:hint="default"/>
                <w:sz w:val="18"/>
                <w:szCs w:val="18"/>
              </w:rPr>
            </w:pPr>
            <w:r>
              <w:rPr>
                <w:rFonts w:ascii="宋体" w:hAnsi="宋体" w:cs="宋体" w:eastAsia="宋体" w:hint="default"/>
                <w:sz w:val="18"/>
                <w:szCs w:val="18"/>
              </w:rPr>
              <w:t>印</w:t>
            </w:r>
            <w:r>
              <w:rPr>
                <w:rFonts w:ascii="宋体" w:hAnsi="宋体" w:cs="宋体" w:eastAsia="宋体" w:hint="default"/>
                <w:spacing w:val="-65"/>
                <w:sz w:val="18"/>
                <w:szCs w:val="18"/>
              </w:rPr>
              <w:t> </w:t>
            </w:r>
            <w:r>
              <w:rPr>
                <w:rFonts w:ascii="宋体" w:hAnsi="宋体" w:cs="宋体" w:eastAsia="宋体" w:hint="default"/>
                <w:sz w:val="18"/>
                <w:szCs w:val="18"/>
              </w:rPr>
              <w:t>刷</w:t>
            </w:r>
            <w:r>
              <w:rPr>
                <w:rFonts w:ascii="宋体" w:hAnsi="宋体" w:cs="宋体" w:eastAsia="宋体" w:hint="default"/>
                <w:spacing w:val="-65"/>
                <w:sz w:val="18"/>
                <w:szCs w:val="18"/>
              </w:rPr>
              <w:t> </w:t>
            </w:r>
            <w:r>
              <w:rPr>
                <w:rFonts w:ascii="宋体" w:hAnsi="宋体" w:cs="宋体" w:eastAsia="宋体" w:hint="default"/>
                <w:sz w:val="18"/>
                <w:szCs w:val="18"/>
              </w:rPr>
              <w:t>滚</w:t>
            </w:r>
            <w:r>
              <w:rPr>
                <w:rFonts w:ascii="宋体" w:hAnsi="宋体" w:cs="宋体" w:eastAsia="宋体" w:hint="default"/>
                <w:spacing w:val="-65"/>
                <w:sz w:val="18"/>
                <w:szCs w:val="18"/>
              </w:rPr>
              <w:t> </w:t>
            </w:r>
            <w:r>
              <w:rPr>
                <w:rFonts w:ascii="宋体" w:hAnsi="宋体" w:cs="宋体" w:eastAsia="宋体" w:hint="default"/>
                <w:sz w:val="18"/>
                <w:szCs w:val="18"/>
              </w:rPr>
              <w:t>筒</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纹</w:t>
            </w:r>
            <w:r>
              <w:rPr>
                <w:rFonts w:ascii="宋体" w:hAnsi="宋体" w:cs="宋体" w:eastAsia="宋体" w:hint="default"/>
                <w:sz w:val="18"/>
                <w:szCs w:val="18"/>
              </w:rPr>
              <w:t> 雕刻专用软件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用于凸版滚筒、压印滚筒的图文处理及激 </w:t>
            </w:r>
            <w:r>
              <w:rPr>
                <w:rFonts w:ascii="宋体" w:hAnsi="宋体" w:cs="宋体" w:eastAsia="宋体" w:hint="default"/>
                <w:sz w:val="18"/>
                <w:szCs w:val="18"/>
              </w:rPr>
              <w:t>光控制输出</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金运激光滚筒雕花</w:t>
            </w:r>
            <w:r>
              <w:rPr>
                <w:rFonts w:ascii="宋体" w:hAnsi="宋体" w:cs="宋体" w:eastAsia="宋体" w:hint="default"/>
                <w:sz w:val="18"/>
                <w:szCs w:val="18"/>
              </w:rPr>
              <w:t>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22" w:hRule="exact"/>
        </w:trPr>
        <w:tc>
          <w:tcPr>
            <w:tcW w:w="990" w:type="dxa"/>
            <w:vMerge/>
            <w:tcBorders>
              <w:left w:val="nil" w:sz="6" w:space="0" w:color="auto"/>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5"/>
                <w:sz w:val="18"/>
                <w:szCs w:val="18"/>
              </w:rPr>
              <w:t> </w:t>
            </w:r>
            <w:r>
              <w:rPr>
                <w:rFonts w:ascii="宋体" w:hAnsi="宋体" w:cs="宋体" w:eastAsia="宋体" w:hint="default"/>
                <w:sz w:val="18"/>
                <w:szCs w:val="18"/>
              </w:rPr>
              <w:t>绣</w:t>
            </w:r>
            <w:r>
              <w:rPr>
                <w:rFonts w:ascii="宋体" w:hAnsi="宋体" w:cs="宋体" w:eastAsia="宋体" w:hint="default"/>
                <w:spacing w:val="-65"/>
                <w:sz w:val="18"/>
                <w:szCs w:val="18"/>
              </w:rPr>
              <w:t> </w:t>
            </w:r>
            <w:r>
              <w:rPr>
                <w:rFonts w:ascii="宋体" w:hAnsi="宋体" w:cs="宋体" w:eastAsia="宋体" w:hint="default"/>
                <w:sz w:val="18"/>
                <w:szCs w:val="18"/>
              </w:rPr>
              <w:t>花</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5"/>
                <w:sz w:val="18"/>
                <w:szCs w:val="18"/>
              </w:rPr>
              <w:t> </w:t>
            </w:r>
            <w:r>
              <w:rPr>
                <w:rFonts w:ascii="宋体" w:hAnsi="宋体" w:cs="宋体" w:eastAsia="宋体" w:hint="default"/>
                <w:sz w:val="18"/>
                <w:szCs w:val="18"/>
              </w:rPr>
              <w:t>体</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采用大幅面动态调焦技术，可快速高效分</w:t>
            </w:r>
            <w:r>
              <w:rPr>
                <w:rFonts w:ascii="宋体" w:hAnsi="宋体" w:cs="宋体" w:eastAsia="宋体" w:hint="default"/>
                <w:sz w:val="18"/>
                <w:szCs w:val="18"/>
              </w:rPr>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激光绣花一体机软</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990"/>
        <w:gridCol w:w="1224"/>
        <w:gridCol w:w="3322"/>
        <w:gridCol w:w="1521"/>
        <w:gridCol w:w="1180"/>
        <w:gridCol w:w="1422"/>
      </w:tblGrid>
      <w:tr>
        <w:trPr>
          <w:trHeight w:val="422" w:hRule="exact"/>
        </w:trPr>
        <w:tc>
          <w:tcPr>
            <w:tcW w:w="990" w:type="dxa"/>
            <w:vMerge w:val="restart"/>
            <w:tcBorders>
              <w:top w:val="single" w:sz="4" w:space="0" w:color="000000"/>
              <w:left w:val="nil" w:sz="6" w:space="0" w:color="auto"/>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机软件</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层切割绣标</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072693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5"/>
                <w:sz w:val="18"/>
                <w:szCs w:val="18"/>
              </w:rPr>
              <w:t> </w:t>
            </w:r>
            <w:r>
              <w:rPr>
                <w:rFonts w:ascii="宋体" w:hAnsi="宋体" w:cs="宋体" w:eastAsia="宋体" w:hint="default"/>
                <w:sz w:val="18"/>
                <w:szCs w:val="18"/>
              </w:rPr>
              <w:t>绣</w:t>
            </w:r>
            <w:r>
              <w:rPr>
                <w:rFonts w:ascii="宋体" w:hAnsi="宋体" w:cs="宋体" w:eastAsia="宋体" w:hint="default"/>
                <w:spacing w:val="-65"/>
                <w:sz w:val="18"/>
                <w:szCs w:val="18"/>
              </w:rPr>
              <w:t> </w:t>
            </w:r>
            <w:r>
              <w:rPr>
                <w:rFonts w:ascii="宋体" w:hAnsi="宋体" w:cs="宋体" w:eastAsia="宋体" w:hint="default"/>
                <w:sz w:val="18"/>
                <w:szCs w:val="18"/>
              </w:rPr>
              <w:t>花</w:t>
            </w:r>
            <w:r>
              <w:rPr>
                <w:rFonts w:ascii="宋体" w:hAnsi="宋体" w:cs="宋体" w:eastAsia="宋体" w:hint="default"/>
                <w:spacing w:val="-67"/>
                <w:sz w:val="18"/>
                <w:szCs w:val="18"/>
              </w:rPr>
              <w:t> </w:t>
            </w:r>
            <w:r>
              <w:rPr>
                <w:rFonts w:ascii="宋体" w:hAnsi="宋体" w:cs="宋体" w:eastAsia="宋体" w:hint="default"/>
                <w:sz w:val="18"/>
                <w:szCs w:val="18"/>
              </w:rPr>
              <w:t>一</w:t>
            </w:r>
            <w:r>
              <w:rPr>
                <w:rFonts w:ascii="宋体" w:hAnsi="宋体" w:cs="宋体" w:eastAsia="宋体" w:hint="default"/>
                <w:spacing w:val="-65"/>
                <w:sz w:val="18"/>
                <w:szCs w:val="18"/>
              </w:rPr>
              <w:t> </w:t>
            </w:r>
            <w:r>
              <w:rPr>
                <w:rFonts w:ascii="宋体" w:hAnsi="宋体" w:cs="宋体" w:eastAsia="宋体" w:hint="default"/>
                <w:sz w:val="18"/>
                <w:szCs w:val="18"/>
              </w:rPr>
              <w:t>体</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采用绣花机加装激光切割技术可进行分层</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7"/>
                <w:sz w:val="18"/>
                <w:szCs w:val="18"/>
              </w:rPr>
              <w:t>激光绣花一体机软</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60"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机软件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切割和绣花镂空</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5"/>
                <w:sz w:val="18"/>
                <w:szCs w:val="18"/>
              </w:rPr>
              <w:t> </w:t>
            </w:r>
            <w:r>
              <w:rPr>
                <w:rFonts w:ascii="宋体" w:hAnsi="宋体" w:cs="宋体" w:eastAsia="宋体" w:hint="default"/>
                <w:sz w:val="18"/>
                <w:szCs w:val="18"/>
              </w:rPr>
              <w:t>裁</w:t>
            </w:r>
            <w:r>
              <w:rPr>
                <w:rFonts w:ascii="宋体" w:hAnsi="宋体" w:cs="宋体" w:eastAsia="宋体" w:hint="default"/>
                <w:spacing w:val="-65"/>
                <w:sz w:val="18"/>
                <w:szCs w:val="18"/>
              </w:rPr>
              <w:t> </w:t>
            </w:r>
            <w:r>
              <w:rPr>
                <w:rFonts w:ascii="宋体" w:hAnsi="宋体" w:cs="宋体" w:eastAsia="宋体" w:hint="default"/>
                <w:sz w:val="18"/>
                <w:szCs w:val="18"/>
              </w:rPr>
              <w:t>床</w:t>
            </w:r>
            <w:r>
              <w:rPr>
                <w:rFonts w:ascii="宋体" w:hAnsi="宋体" w:cs="宋体" w:eastAsia="宋体" w:hint="default"/>
                <w:spacing w:val="-67"/>
                <w:sz w:val="18"/>
                <w:szCs w:val="18"/>
              </w:rPr>
              <w:t> </w:t>
            </w:r>
            <w:r>
              <w:rPr>
                <w:rFonts w:ascii="宋体" w:hAnsi="宋体" w:cs="宋体" w:eastAsia="宋体" w:hint="default"/>
                <w:sz w:val="18"/>
                <w:szCs w:val="18"/>
              </w:rPr>
              <w:t>专</w:t>
            </w:r>
            <w:r>
              <w:rPr>
                <w:rFonts w:ascii="宋体" w:hAnsi="宋体" w:cs="宋体" w:eastAsia="宋体" w:hint="default"/>
                <w:spacing w:val="-65"/>
                <w:sz w:val="18"/>
                <w:szCs w:val="18"/>
              </w:rPr>
              <w:t> </w:t>
            </w:r>
            <w:r>
              <w:rPr>
                <w:rFonts w:ascii="宋体" w:hAnsi="宋体" w:cs="宋体" w:eastAsia="宋体" w:hint="default"/>
                <w:sz w:val="18"/>
                <w:szCs w:val="18"/>
              </w:rPr>
              <w:t>用</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15"/>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、适合连续送料切割、具有标识视觉定位、</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金运激光裁床专用</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打孔等多种功能；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、可配合排版放码软件</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模块进行连续自动加工。</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5"/>
                <w:sz w:val="18"/>
                <w:szCs w:val="18"/>
              </w:rPr>
              <w:t> </w:t>
            </w:r>
            <w:r>
              <w:rPr>
                <w:rFonts w:ascii="宋体" w:hAnsi="宋体" w:cs="宋体" w:eastAsia="宋体" w:hint="default"/>
                <w:sz w:val="18"/>
                <w:szCs w:val="18"/>
              </w:rPr>
              <w:t>裁</w:t>
            </w:r>
            <w:r>
              <w:rPr>
                <w:rFonts w:ascii="宋体" w:hAnsi="宋体" w:cs="宋体" w:eastAsia="宋体" w:hint="default"/>
                <w:spacing w:val="-65"/>
                <w:sz w:val="18"/>
                <w:szCs w:val="18"/>
              </w:rPr>
              <w:t> </w:t>
            </w:r>
            <w:r>
              <w:rPr>
                <w:rFonts w:ascii="宋体" w:hAnsi="宋体" w:cs="宋体" w:eastAsia="宋体" w:hint="default"/>
                <w:sz w:val="18"/>
                <w:szCs w:val="18"/>
              </w:rPr>
              <w:t>床</w:t>
            </w:r>
            <w:r>
              <w:rPr>
                <w:rFonts w:ascii="宋体" w:hAnsi="宋体" w:cs="宋体" w:eastAsia="宋体" w:hint="default"/>
                <w:spacing w:val="-67"/>
                <w:sz w:val="18"/>
                <w:szCs w:val="18"/>
              </w:rPr>
              <w:t> </w:t>
            </w:r>
            <w:r>
              <w:rPr>
                <w:rFonts w:ascii="宋体" w:hAnsi="宋体" w:cs="宋体" w:eastAsia="宋体" w:hint="default"/>
                <w:sz w:val="18"/>
                <w:szCs w:val="18"/>
              </w:rPr>
              <w:t>专</w:t>
            </w:r>
            <w:r>
              <w:rPr>
                <w:rFonts w:ascii="宋体" w:hAnsi="宋体" w:cs="宋体" w:eastAsia="宋体" w:hint="default"/>
                <w:spacing w:val="-65"/>
                <w:sz w:val="18"/>
                <w:szCs w:val="18"/>
              </w:rPr>
              <w:t> </w:t>
            </w:r>
            <w:r>
              <w:rPr>
                <w:rFonts w:ascii="宋体" w:hAnsi="宋体" w:cs="宋体" w:eastAsia="宋体" w:hint="default"/>
                <w:sz w:val="18"/>
                <w:szCs w:val="18"/>
              </w:rPr>
              <w:t>用</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用于服装纺织行业，支持大裁片切割，可</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金运激光裁床专用</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13"/>
                <w:sz w:val="18"/>
                <w:szCs w:val="18"/>
              </w:rPr>
              <w:t>配合排版放码软件模块进行连续自动加</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工。</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2"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宋体" w:hAnsi="宋体" w:cs="宋体" w:eastAsia="宋体" w:hint="default"/>
                <w:sz w:val="18"/>
                <w:szCs w:val="18"/>
              </w:rPr>
              <w:t>幅</w:t>
            </w:r>
            <w:r>
              <w:rPr>
                <w:rFonts w:ascii="宋体" w:hAnsi="宋体" w:cs="宋体" w:eastAsia="宋体" w:hint="default"/>
                <w:spacing w:val="-65"/>
                <w:sz w:val="18"/>
                <w:szCs w:val="18"/>
              </w:rPr>
              <w:t> </w:t>
            </w:r>
            <w:r>
              <w:rPr>
                <w:rFonts w:ascii="宋体" w:hAnsi="宋体" w:cs="宋体" w:eastAsia="宋体" w:hint="default"/>
                <w:sz w:val="18"/>
                <w:szCs w:val="18"/>
              </w:rPr>
              <w:t>面</w:t>
            </w:r>
            <w:r>
              <w:rPr>
                <w:rFonts w:ascii="宋体" w:hAnsi="宋体" w:cs="宋体" w:eastAsia="宋体" w:hint="default"/>
                <w:spacing w:val="-65"/>
                <w:sz w:val="18"/>
                <w:szCs w:val="18"/>
              </w:rPr>
              <w:t> </w:t>
            </w:r>
            <w:r>
              <w:rPr>
                <w:rFonts w:ascii="宋体" w:hAnsi="宋体" w:cs="宋体" w:eastAsia="宋体" w:hint="default"/>
                <w:sz w:val="18"/>
                <w:szCs w:val="18"/>
              </w:rPr>
              <w:t>打</w:t>
            </w:r>
            <w:r>
              <w:rPr>
                <w:rFonts w:ascii="宋体" w:hAnsi="宋体" w:cs="宋体" w:eastAsia="宋体" w:hint="default"/>
                <w:spacing w:val="-67"/>
                <w:sz w:val="18"/>
                <w:szCs w:val="18"/>
              </w:rPr>
              <w:t> </w:t>
            </w:r>
            <w:r>
              <w:rPr>
                <w:rFonts w:ascii="宋体" w:hAnsi="宋体" w:cs="宋体" w:eastAsia="宋体" w:hint="default"/>
                <w:sz w:val="18"/>
                <w:szCs w:val="18"/>
              </w:rPr>
              <w:t>标</w:t>
            </w:r>
            <w:r>
              <w:rPr>
                <w:rFonts w:ascii="宋体" w:hAnsi="宋体" w:cs="宋体" w:eastAsia="宋体" w:hint="default"/>
                <w:spacing w:val="-65"/>
                <w:sz w:val="18"/>
                <w:szCs w:val="18"/>
              </w:rPr>
              <w:t> </w:t>
            </w:r>
            <w:r>
              <w:rPr>
                <w:rFonts w:ascii="宋体" w:hAnsi="宋体" w:cs="宋体" w:eastAsia="宋体" w:hint="default"/>
                <w:sz w:val="18"/>
                <w:szCs w:val="18"/>
              </w:rPr>
              <w:t>软</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、采用闭环控制模式，切割与打标对位精</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7"/>
                <w:sz w:val="18"/>
                <w:szCs w:val="18"/>
              </w:rPr>
              <w:t>金运大幅面打标软</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10"/>
                <w:sz w:val="18"/>
                <w:szCs w:val="18"/>
              </w:rPr>
              <w:t>度高；</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、具有对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轴系列进行飞行连续</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1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大幅面打标和变动切割功能；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、可选配特</w:t>
            </w:r>
          </w:p>
        </w:tc>
        <w:tc>
          <w:tcPr>
            <w:tcW w:w="152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色模块多，支持自动跳号；</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、提供独特的</w:t>
            </w:r>
          </w:p>
        </w:tc>
        <w:tc>
          <w:tcPr>
            <w:tcW w:w="152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
        </w:tc>
      </w:tr>
      <w:tr>
        <w:trPr>
          <w:trHeight w:val="360"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灰度位图雕刻功能，雕刻效果好</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宋体" w:hAnsi="宋体" w:cs="宋体" w:eastAsia="宋体" w:hint="default"/>
                <w:sz w:val="18"/>
                <w:szCs w:val="18"/>
              </w:rPr>
              <w:t>幅</w:t>
            </w:r>
            <w:r>
              <w:rPr>
                <w:rFonts w:ascii="宋体" w:hAnsi="宋体" w:cs="宋体" w:eastAsia="宋体" w:hint="default"/>
                <w:spacing w:val="-65"/>
                <w:sz w:val="18"/>
                <w:szCs w:val="18"/>
              </w:rPr>
              <w:t> </w:t>
            </w:r>
            <w:r>
              <w:rPr>
                <w:rFonts w:ascii="宋体" w:hAnsi="宋体" w:cs="宋体" w:eastAsia="宋体" w:hint="default"/>
                <w:sz w:val="18"/>
                <w:szCs w:val="18"/>
              </w:rPr>
              <w:t>面</w:t>
            </w:r>
            <w:r>
              <w:rPr>
                <w:rFonts w:ascii="宋体" w:hAnsi="宋体" w:cs="宋体" w:eastAsia="宋体" w:hint="default"/>
                <w:spacing w:val="-65"/>
                <w:sz w:val="18"/>
                <w:szCs w:val="18"/>
              </w:rPr>
              <w:t> </w:t>
            </w:r>
            <w:r>
              <w:rPr>
                <w:rFonts w:ascii="宋体" w:hAnsi="宋体" w:cs="宋体" w:eastAsia="宋体" w:hint="default"/>
                <w:sz w:val="18"/>
                <w:szCs w:val="18"/>
              </w:rPr>
              <w:t>打</w:t>
            </w:r>
            <w:r>
              <w:rPr>
                <w:rFonts w:ascii="宋体" w:hAnsi="宋体" w:cs="宋体" w:eastAsia="宋体" w:hint="default"/>
                <w:spacing w:val="-67"/>
                <w:sz w:val="18"/>
                <w:szCs w:val="18"/>
              </w:rPr>
              <w:t> </w:t>
            </w:r>
            <w:r>
              <w:rPr>
                <w:rFonts w:ascii="宋体" w:hAnsi="宋体" w:cs="宋体" w:eastAsia="宋体" w:hint="default"/>
                <w:sz w:val="18"/>
                <w:szCs w:val="18"/>
              </w:rPr>
              <w:t>标</w:t>
            </w:r>
            <w:r>
              <w:rPr>
                <w:rFonts w:ascii="宋体" w:hAnsi="宋体" w:cs="宋体" w:eastAsia="宋体" w:hint="default"/>
                <w:spacing w:val="-65"/>
                <w:sz w:val="18"/>
                <w:szCs w:val="18"/>
              </w:rPr>
              <w:t> </w:t>
            </w:r>
            <w:r>
              <w:rPr>
                <w:rFonts w:ascii="宋体" w:hAnsi="宋体" w:cs="宋体" w:eastAsia="宋体" w:hint="default"/>
                <w:sz w:val="18"/>
                <w:szCs w:val="18"/>
              </w:rPr>
              <w:t>软</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、采用闭环控制模式，切割与打标对位精</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金运大幅面打标软</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2"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10"/>
                <w:sz w:val="18"/>
                <w:szCs w:val="18"/>
              </w:rPr>
              <w:t>度高；</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、具有对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轴系列进行飞行连续</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1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大幅面打标和变动切割功能；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、可选配特</w:t>
            </w:r>
          </w:p>
        </w:tc>
        <w:tc>
          <w:tcPr>
            <w:tcW w:w="152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色模块多，支持自动跳号；</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、提供独特的</w:t>
            </w:r>
          </w:p>
        </w:tc>
        <w:tc>
          <w:tcPr>
            <w:tcW w:w="152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
        </w:tc>
      </w:tr>
      <w:tr>
        <w:trPr>
          <w:trHeight w:val="362"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灰度位图雕刻功能，雕刻效果好</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4"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5"/>
                <w:sz w:val="18"/>
                <w:szCs w:val="18"/>
              </w:rPr>
              <w:t> </w:t>
            </w:r>
            <w:r>
              <w:rPr>
                <w:rFonts w:ascii="宋体" w:hAnsi="宋体" w:cs="宋体" w:eastAsia="宋体" w:hint="default"/>
                <w:sz w:val="18"/>
                <w:szCs w:val="18"/>
              </w:rPr>
              <w:t>动</w:t>
            </w:r>
            <w:r>
              <w:rPr>
                <w:rFonts w:ascii="宋体" w:hAnsi="宋体" w:cs="宋体" w:eastAsia="宋体" w:hint="default"/>
                <w:spacing w:val="-65"/>
                <w:sz w:val="18"/>
                <w:szCs w:val="18"/>
              </w:rPr>
              <w:t> </w:t>
            </w:r>
            <w:r>
              <w:rPr>
                <w:rFonts w:ascii="宋体" w:hAnsi="宋体" w:cs="宋体" w:eastAsia="宋体" w:hint="default"/>
                <w:sz w:val="18"/>
                <w:szCs w:val="18"/>
              </w:rPr>
              <w:t>识</w:t>
            </w:r>
            <w:r>
              <w:rPr>
                <w:rFonts w:ascii="宋体" w:hAnsi="宋体" w:cs="宋体" w:eastAsia="宋体" w:hint="default"/>
                <w:spacing w:val="-65"/>
                <w:sz w:val="18"/>
                <w:szCs w:val="18"/>
              </w:rPr>
              <w:t> </w:t>
            </w:r>
            <w:r>
              <w:rPr>
                <w:rFonts w:ascii="宋体" w:hAnsi="宋体" w:cs="宋体" w:eastAsia="宋体" w:hint="default"/>
                <w:sz w:val="18"/>
                <w:szCs w:val="18"/>
              </w:rPr>
              <w:t>别</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1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、识别幅面大，精度高；</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、可定位识别、</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金运自动识别激光</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36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切割软件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多模块匹配识别；</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、界面友好，操作简单</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切割软件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r>
        <w:trPr>
          <w:trHeight w:val="372"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5"/>
                <w:sz w:val="18"/>
                <w:szCs w:val="18"/>
              </w:rPr>
              <w:t> </w:t>
            </w:r>
            <w:r>
              <w:rPr>
                <w:rFonts w:ascii="宋体" w:hAnsi="宋体" w:cs="宋体" w:eastAsia="宋体" w:hint="default"/>
                <w:sz w:val="18"/>
                <w:szCs w:val="18"/>
              </w:rPr>
              <w:t>动</w:t>
            </w:r>
            <w:r>
              <w:rPr>
                <w:rFonts w:ascii="宋体" w:hAnsi="宋体" w:cs="宋体" w:eastAsia="宋体" w:hint="default"/>
                <w:spacing w:val="-65"/>
                <w:sz w:val="18"/>
                <w:szCs w:val="18"/>
              </w:rPr>
              <w:t> </w:t>
            </w:r>
            <w:r>
              <w:rPr>
                <w:rFonts w:ascii="宋体" w:hAnsi="宋体" w:cs="宋体" w:eastAsia="宋体" w:hint="default"/>
                <w:sz w:val="18"/>
                <w:szCs w:val="18"/>
              </w:rPr>
              <w:t>识</w:t>
            </w:r>
            <w:r>
              <w:rPr>
                <w:rFonts w:ascii="宋体" w:hAnsi="宋体" w:cs="宋体" w:eastAsia="宋体" w:hint="default"/>
                <w:spacing w:val="-65"/>
                <w:sz w:val="18"/>
                <w:szCs w:val="18"/>
              </w:rPr>
              <w:t> </w:t>
            </w:r>
            <w:r>
              <w:rPr>
                <w:rFonts w:ascii="宋体" w:hAnsi="宋体" w:cs="宋体" w:eastAsia="宋体" w:hint="default"/>
                <w:sz w:val="18"/>
                <w:szCs w:val="18"/>
              </w:rPr>
              <w:t>别</w:t>
            </w:r>
            <w:r>
              <w:rPr>
                <w:rFonts w:ascii="宋体" w:hAnsi="宋体" w:cs="宋体" w:eastAsia="宋体" w:hint="default"/>
                <w:spacing w:val="-67"/>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1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、识别幅面大，精度高；</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、可定位识别、</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7"/>
                <w:sz w:val="18"/>
                <w:szCs w:val="18"/>
              </w:rPr>
              <w:t>金运自动识别激光</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切割软件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多模块匹配识别；</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、界面友好，操作简单</w:t>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切割软件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0"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主要适用于服装纺织行业</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运</w:t>
            </w:r>
            <w:r>
              <w:rPr>
                <w:rFonts w:ascii="宋体" w:hAnsi="宋体" w:cs="宋体" w:eastAsia="宋体" w:hint="default"/>
                <w:spacing w:val="-65"/>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切</w:t>
            </w:r>
            <w:r>
              <w:rPr>
                <w:rFonts w:ascii="宋体" w:hAnsi="宋体" w:cs="宋体" w:eastAsia="宋体" w:hint="default"/>
                <w:spacing w:val="-65"/>
                <w:sz w:val="18"/>
                <w:szCs w:val="18"/>
              </w:rPr>
              <w:t> </w:t>
            </w:r>
            <w:r>
              <w:rPr>
                <w:rFonts w:ascii="宋体" w:hAnsi="宋体" w:cs="宋体" w:eastAsia="宋体" w:hint="default"/>
                <w:sz w:val="18"/>
                <w:szCs w:val="18"/>
              </w:rPr>
              <w:t>割</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、功能多；</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、适用范围宽，格式兼容性</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金运激光切割雕刻</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36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雕刻软件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强；</w:t>
            </w:r>
            <w:r>
              <w:rPr>
                <w:rFonts w:ascii="Times New Roman" w:hAnsi="Times New Roman" w:cs="Times New Roman" w:eastAsia="Times New Roman" w:hint="default"/>
                <w:sz w:val="18"/>
                <w:szCs w:val="18"/>
              </w:rPr>
              <w:t>3</w:t>
            </w:r>
            <w:r>
              <w:rPr>
                <w:rFonts w:ascii="宋体" w:hAnsi="宋体" w:cs="宋体" w:eastAsia="宋体" w:hint="default"/>
                <w:sz w:val="18"/>
                <w:szCs w:val="18"/>
              </w:rPr>
              <w:t>、人性化设计，操作简单</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运</w:t>
            </w:r>
            <w:r>
              <w:rPr>
                <w:rFonts w:ascii="宋体" w:hAnsi="宋体" w:cs="宋体" w:eastAsia="宋体" w:hint="default"/>
                <w:spacing w:val="-65"/>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属</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主要适用于广告工艺行业的金属切割，支</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金运激光金属固体</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固体切割软件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持厚板材的切割。和金属排版软件搭配可</w:t>
            </w:r>
            <w:r>
              <w:rPr>
                <w:rFonts w:ascii="宋体" w:hAnsi="宋体" w:cs="宋体" w:eastAsia="宋体" w:hint="default"/>
                <w:sz w:val="18"/>
                <w:szCs w:val="18"/>
              </w:rPr>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切割软件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提高切割效率。</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2"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运</w:t>
            </w:r>
            <w:r>
              <w:rPr>
                <w:rFonts w:ascii="宋体" w:hAnsi="宋体" w:cs="宋体" w:eastAsia="宋体" w:hint="default"/>
                <w:spacing w:val="-65"/>
                <w:sz w:val="18"/>
                <w:szCs w:val="18"/>
              </w:rPr>
              <w:t> </w:t>
            </w:r>
            <w:r>
              <w:rPr>
                <w:rFonts w:ascii="宋体" w:hAnsi="宋体" w:cs="宋体" w:eastAsia="宋体" w:hint="default"/>
                <w:sz w:val="18"/>
                <w:szCs w:val="18"/>
              </w:rPr>
              <w:t>视</w:t>
            </w:r>
            <w:r>
              <w:rPr>
                <w:rFonts w:ascii="宋体" w:hAnsi="宋体" w:cs="宋体" w:eastAsia="宋体" w:hint="default"/>
                <w:spacing w:val="-65"/>
                <w:sz w:val="18"/>
                <w:szCs w:val="18"/>
              </w:rPr>
              <w:t> </w:t>
            </w:r>
            <w:r>
              <w:rPr>
                <w:rFonts w:ascii="宋体" w:hAnsi="宋体" w:cs="宋体" w:eastAsia="宋体" w:hint="default"/>
                <w:sz w:val="18"/>
                <w:szCs w:val="18"/>
              </w:rPr>
              <w:t>觉</w:t>
            </w:r>
            <w:r>
              <w:rPr>
                <w:rFonts w:ascii="宋体" w:hAnsi="宋体" w:cs="宋体" w:eastAsia="宋体" w:hint="default"/>
                <w:spacing w:val="-67"/>
                <w:sz w:val="18"/>
                <w:szCs w:val="18"/>
              </w:rPr>
              <w:t> </w:t>
            </w:r>
            <w:r>
              <w:rPr>
                <w:rFonts w:ascii="宋体" w:hAnsi="宋体" w:cs="宋体" w:eastAsia="宋体" w:hint="default"/>
                <w:sz w:val="18"/>
                <w:szCs w:val="18"/>
              </w:rPr>
              <w:t>抄</w:t>
            </w:r>
            <w:r>
              <w:rPr>
                <w:rFonts w:ascii="宋体" w:hAnsi="宋体" w:cs="宋体" w:eastAsia="宋体" w:hint="default"/>
                <w:spacing w:val="-65"/>
                <w:sz w:val="18"/>
                <w:szCs w:val="18"/>
              </w:rPr>
              <w:t> </w:t>
            </w:r>
            <w:r>
              <w:rPr>
                <w:rFonts w:ascii="宋体" w:hAnsi="宋体" w:cs="宋体" w:eastAsia="宋体" w:hint="default"/>
                <w:sz w:val="18"/>
                <w:szCs w:val="18"/>
              </w:rPr>
              <w:t>板</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13"/>
                <w:sz w:val="18"/>
                <w:szCs w:val="18"/>
              </w:rPr>
              <w:t>主要适用于服装纺织行业的排版放码软</w:t>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7"/>
                <w:sz w:val="18"/>
                <w:szCs w:val="18"/>
              </w:rPr>
              <w:t>金运视觉抄板软件</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件，为其提供原始矢量图形，简化设计，</w:t>
            </w:r>
            <w:r>
              <w:rPr>
                <w:rFonts w:ascii="宋体" w:hAnsi="宋体" w:cs="宋体" w:eastAsia="宋体" w:hint="default"/>
                <w:sz w:val="18"/>
                <w:szCs w:val="18"/>
              </w:rPr>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18"/>
                <w:szCs w:val="18"/>
              </w:rPr>
            </w:pPr>
            <w:r>
              <w:rPr>
                <w:rFonts w:ascii="Times New Roman"/>
                <w:sz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0325469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0"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缩短整个设计周期</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3"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运</w:t>
            </w:r>
            <w:r>
              <w:rPr>
                <w:rFonts w:ascii="宋体" w:hAnsi="宋体" w:cs="宋体" w:eastAsia="宋体" w:hint="default"/>
                <w:spacing w:val="-65"/>
                <w:sz w:val="18"/>
                <w:szCs w:val="18"/>
              </w:rPr>
              <w:t> </w:t>
            </w: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7"/>
                <w:sz w:val="18"/>
                <w:szCs w:val="18"/>
              </w:rPr>
              <w:t> </w:t>
            </w:r>
            <w:r>
              <w:rPr>
                <w:rFonts w:ascii="宋体" w:hAnsi="宋体" w:cs="宋体" w:eastAsia="宋体" w:hint="default"/>
                <w:sz w:val="18"/>
                <w:szCs w:val="18"/>
              </w:rPr>
              <w:t>切</w:t>
            </w:r>
            <w:r>
              <w:rPr>
                <w:rFonts w:ascii="宋体" w:hAnsi="宋体" w:cs="宋体" w:eastAsia="宋体" w:hint="default"/>
                <w:spacing w:val="-65"/>
                <w:sz w:val="18"/>
                <w:szCs w:val="18"/>
              </w:rPr>
              <w:t> </w:t>
            </w:r>
            <w:r>
              <w:rPr>
                <w:rFonts w:ascii="宋体" w:hAnsi="宋体" w:cs="宋体" w:eastAsia="宋体" w:hint="default"/>
                <w:sz w:val="18"/>
                <w:szCs w:val="18"/>
              </w:rPr>
              <w:t>割</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主要适用于服装纺织行业，采用雕刻头和</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金运激光切割雕刻</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3"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雕刻软件</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切割头独立控制技术提高雕刻效率，增加</w:t>
            </w:r>
            <w:r>
              <w:rPr>
                <w:rFonts w:ascii="宋体" w:hAnsi="宋体" w:cs="宋体" w:eastAsia="宋体" w:hint="default"/>
                <w:sz w:val="18"/>
                <w:szCs w:val="18"/>
              </w:rPr>
            </w:r>
          </w:p>
        </w:tc>
        <w:tc>
          <w:tcPr>
            <w:tcW w:w="15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0325118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nil" w:sz="6" w:space="0" w:color="auto"/>
              <w:right w:val="nil" w:sz="6" w:space="0" w:color="auto"/>
            </w:tcBorders>
          </w:tcPr>
          <w:p>
            <w:pPr/>
          </w:p>
        </w:tc>
      </w:tr>
      <w:tr>
        <w:trPr>
          <w:trHeight w:val="361" w:hRule="exact"/>
        </w:trPr>
        <w:tc>
          <w:tcPr>
            <w:tcW w:w="990" w:type="dxa"/>
            <w:vMerge/>
            <w:tcBorders>
              <w:left w:val="nil" w:sz="6" w:space="0" w:color="auto"/>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切割激光器使用寿命。</w:t>
            </w:r>
          </w:p>
        </w:tc>
        <w:tc>
          <w:tcPr>
            <w:tcW w:w="152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nil" w:sz="6" w:space="0" w:color="auto"/>
            </w:tcBorders>
          </w:tcPr>
          <w:p>
            <w:pPr/>
          </w:p>
        </w:tc>
      </w:tr>
      <w:tr>
        <w:trPr>
          <w:trHeight w:val="374" w:hRule="exact"/>
        </w:trPr>
        <w:tc>
          <w:tcPr>
            <w:tcW w:w="990" w:type="dxa"/>
            <w:vMerge/>
            <w:tcBorders>
              <w:left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激</w:t>
            </w:r>
            <w:r>
              <w:rPr>
                <w:rFonts w:ascii="宋体" w:hAnsi="宋体" w:cs="宋体" w:eastAsia="宋体" w:hint="default"/>
                <w:spacing w:val="-65"/>
                <w:sz w:val="18"/>
                <w:szCs w:val="18"/>
              </w:rPr>
              <w:t> </w:t>
            </w:r>
            <w:r>
              <w:rPr>
                <w:rFonts w:ascii="宋体" w:hAnsi="宋体" w:cs="宋体" w:eastAsia="宋体" w:hint="default"/>
                <w:sz w:val="18"/>
                <w:szCs w:val="18"/>
              </w:rPr>
              <w:t>光</w:t>
            </w:r>
            <w:r>
              <w:rPr>
                <w:rFonts w:ascii="宋体" w:hAnsi="宋体" w:cs="宋体" w:eastAsia="宋体" w:hint="default"/>
                <w:spacing w:val="-65"/>
                <w:sz w:val="18"/>
                <w:szCs w:val="18"/>
              </w:rPr>
              <w:t> </w:t>
            </w:r>
            <w:r>
              <w:rPr>
                <w:rFonts w:ascii="宋体" w:hAnsi="宋体" w:cs="宋体" w:eastAsia="宋体" w:hint="default"/>
                <w:sz w:val="18"/>
                <w:szCs w:val="18"/>
              </w:rPr>
              <w:t>桥</w:t>
            </w:r>
            <w:r>
              <w:rPr>
                <w:rFonts w:ascii="宋体" w:hAnsi="宋体" w:cs="宋体" w:eastAsia="宋体" w:hint="default"/>
                <w:spacing w:val="-65"/>
                <w:sz w:val="18"/>
                <w:szCs w:val="18"/>
              </w:rPr>
              <w:t> </w:t>
            </w:r>
            <w:r>
              <w:rPr>
                <w:rFonts w:ascii="宋体" w:hAnsi="宋体" w:cs="宋体" w:eastAsia="宋体" w:hint="default"/>
                <w:sz w:val="18"/>
                <w:szCs w:val="18"/>
              </w:rPr>
              <w:t>架</w:t>
            </w:r>
            <w:r>
              <w:rPr>
                <w:rFonts w:ascii="宋体" w:hAnsi="宋体" w:cs="宋体" w:eastAsia="宋体" w:hint="default"/>
                <w:spacing w:val="-67"/>
                <w:sz w:val="18"/>
                <w:szCs w:val="18"/>
              </w:rPr>
              <w:t> </w:t>
            </w:r>
            <w:r>
              <w:rPr>
                <w:rFonts w:ascii="宋体" w:hAnsi="宋体" w:cs="宋体" w:eastAsia="宋体" w:hint="default"/>
                <w:sz w:val="18"/>
                <w:szCs w:val="18"/>
              </w:rPr>
              <w:t>绣</w:t>
            </w:r>
            <w:r>
              <w:rPr>
                <w:rFonts w:ascii="宋体" w:hAnsi="宋体" w:cs="宋体" w:eastAsia="宋体" w:hint="default"/>
                <w:spacing w:val="-65"/>
                <w:sz w:val="18"/>
                <w:szCs w:val="18"/>
              </w:rPr>
              <w:t> </w:t>
            </w:r>
            <w:r>
              <w:rPr>
                <w:rFonts w:ascii="宋体" w:hAnsi="宋体" w:cs="宋体" w:eastAsia="宋体" w:hint="default"/>
                <w:sz w:val="18"/>
                <w:szCs w:val="18"/>
              </w:rPr>
              <w:t>花</w:t>
            </w: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3"/>
                <w:sz w:val="18"/>
                <w:szCs w:val="18"/>
              </w:rPr>
              <w:t>主要适用于绣花行业，利用振镜高速加工</w:t>
            </w:r>
            <w:r>
              <w:rPr>
                <w:rFonts w:ascii="宋体" w:hAnsi="宋体" w:cs="宋体" w:eastAsia="宋体" w:hint="default"/>
                <w:sz w:val="18"/>
                <w:szCs w:val="18"/>
              </w:rPr>
            </w:r>
          </w:p>
        </w:tc>
        <w:tc>
          <w:tcPr>
            <w:tcW w:w="15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7"/>
                <w:sz w:val="18"/>
                <w:szCs w:val="18"/>
              </w:rPr>
              <w:t>激光桥架绣花一体</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pacing w:val="48"/>
                <w:sz w:val="18"/>
                <w:szCs w:val="18"/>
              </w:rPr>
              <w:t>软著登字</w:t>
            </w:r>
            <w:r>
              <w:rPr>
                <w:rFonts w:ascii="宋体" w:hAnsi="宋体" w:cs="宋体" w:eastAsia="宋体" w:hint="default"/>
                <w:spacing w:val="-27"/>
                <w:sz w:val="18"/>
                <w:szCs w:val="18"/>
              </w:rPr>
              <w:t> </w:t>
            </w:r>
            <w:r>
              <w:rPr>
                <w:rFonts w:ascii="宋体" w:hAnsi="宋体" w:cs="宋体" w:eastAsia="宋体" w:hint="default"/>
                <w:sz w:val="18"/>
                <w:szCs w:val="18"/>
              </w:rPr>
              <w:t>第</w:t>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61" w:hRule="exact"/>
        </w:trPr>
        <w:tc>
          <w:tcPr>
            <w:tcW w:w="990" w:type="dxa"/>
            <w:vMerge/>
            <w:tcBorders>
              <w:left w:val="nil" w:sz="6" w:space="0" w:color="auto"/>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一体机软件</w:t>
            </w: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技术，提高生产效率。</w:t>
            </w:r>
          </w:p>
        </w:tc>
        <w:tc>
          <w:tcPr>
            <w:tcW w:w="15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0324967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22"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980"/>
        </w:sect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Heading4"/>
        <w:spacing w:line="240" w:lineRule="auto" w:before="35"/>
        <w:ind w:left="140" w:right="119"/>
        <w:jc w:val="left"/>
      </w:pPr>
      <w:bookmarkStart w:name="（5）投资状况分析" w:id="26"/>
      <w:bookmarkEnd w:id="26"/>
      <w:r>
        <w:rPr/>
      </w:r>
      <w:r>
        <w:rPr>
          <w:rFonts w:ascii="Times New Roman" w:hAnsi="Times New Roman" w:cs="Times New Roman" w:eastAsia="Times New Roman" w:hint="default"/>
        </w:rPr>
        <w:t>1</w:t>
      </w:r>
      <w:r>
        <w:rPr/>
        <w:t>）对外投资情况</w:t>
      </w:r>
    </w:p>
    <w:p>
      <w:pPr>
        <w:pStyle w:val="Heading4"/>
        <w:spacing w:line="240" w:lineRule="auto" w:before="177"/>
        <w:ind w:left="140" w:right="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85"/>
        <w:gridCol w:w="1663"/>
        <w:gridCol w:w="420"/>
        <w:gridCol w:w="2068"/>
        <w:gridCol w:w="1662"/>
        <w:gridCol w:w="622"/>
        <w:gridCol w:w="2382"/>
        <w:gridCol w:w="1362"/>
        <w:gridCol w:w="1551"/>
      </w:tblGrid>
      <w:tr>
        <w:trPr>
          <w:trHeight w:val="402" w:hRule="exact"/>
        </w:trPr>
        <w:tc>
          <w:tcPr>
            <w:tcW w:w="14015"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948"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162"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7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5295"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94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16,020,000.00</w:t>
            </w:r>
          </w:p>
        </w:tc>
        <w:tc>
          <w:tcPr>
            <w:tcW w:w="47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36,620,000.00</w:t>
            </w:r>
          </w:p>
        </w:tc>
        <w:tc>
          <w:tcPr>
            <w:tcW w:w="529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-56.25%</w:t>
            </w:r>
          </w:p>
        </w:tc>
      </w:tr>
      <w:tr>
        <w:trPr>
          <w:trHeight w:val="402" w:hRule="exact"/>
        </w:trPr>
        <w:tc>
          <w:tcPr>
            <w:tcW w:w="14015"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22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8" w:right="37" w:hanging="720"/>
              <w:jc w:val="left"/>
              <w:rPr>
                <w:rFonts w:ascii="宋体" w:hAnsi="宋体" w:cs="宋体" w:eastAsia="宋体" w:hint="default"/>
                <w:sz w:val="18"/>
                <w:szCs w:val="18"/>
              </w:rPr>
            </w:pPr>
            <w:r>
              <w:rPr>
                <w:rFonts w:ascii="宋体" w:hAnsi="宋体" w:cs="宋体" w:eastAsia="宋体" w:hint="default"/>
                <w:sz w:val="18"/>
                <w:szCs w:val="18"/>
              </w:rPr>
              <w:t>上市公司占被投资公司权 益比例</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本期投资盈亏</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55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402"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3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杨博智、杨林、王志强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-2,749,849.68</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长沙落地</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3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武汉落地、何劲鹏</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-179,546.36</w:t>
            </w:r>
            <w:r>
              <w:rPr>
                <w:rFonts w:ascii="Times New Roman"/>
                <w:sz w:val="18"/>
              </w:rPr>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武汉良拓</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3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朱佳、徐欢</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-106,349.51</w:t>
            </w:r>
            <w:r>
              <w:rPr>
                <w:rFonts w:ascii="Times New Roman"/>
                <w:sz w:val="18"/>
              </w:rPr>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股权类投资管理</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3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湖北省高新技术产业投资有限公司、 专业管理团队</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-43,695.20</w:t>
            </w:r>
            <w:r>
              <w:rPr>
                <w:rFonts w:ascii="Times New Roman"/>
                <w:sz w:val="18"/>
              </w:rPr>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CORP</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3004" w:type="dxa"/>
            <w:gridSpan w:val="2"/>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nil" w:sz="6" w:space="0" w:color="auto"/>
            </w:tcBorders>
          </w:tcPr>
          <w:p>
            <w:pPr/>
          </w:p>
        </w:tc>
      </w:tr>
    </w:tbl>
    <w:p>
      <w:pPr>
        <w:pStyle w:val="Heading4"/>
        <w:spacing w:line="240" w:lineRule="auto" w:before="63"/>
        <w:ind w:left="140" w:right="119"/>
        <w:jc w:val="left"/>
      </w:pPr>
      <w:r>
        <w:rPr>
          <w:rFonts w:ascii="Times New Roman" w:hAnsi="Times New Roman" w:cs="Times New Roman" w:eastAsia="Times New Roman" w:hint="default"/>
        </w:rPr>
        <w:t>2</w:t>
      </w:r>
      <w:r>
        <w:rPr/>
        <w:t>）募集资金使用情况</w:t>
      </w:r>
    </w:p>
    <w:p>
      <w:pPr>
        <w:pStyle w:val="Heading4"/>
        <w:spacing w:line="240" w:lineRule="auto" w:before="177"/>
        <w:ind w:left="140" w:right="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Heading4"/>
        <w:spacing w:line="240" w:lineRule="auto" w:before="177"/>
        <w:ind w:left="140" w:right="119"/>
        <w:jc w:val="left"/>
      </w:pPr>
      <w:r>
        <w:rPr>
          <w:rFonts w:ascii="Times New Roman" w:hAnsi="Times New Roman" w:cs="Times New Roman" w:eastAsia="Times New Roman" w:hint="default"/>
        </w:rPr>
        <w:t>1.</w:t>
      </w:r>
      <w:r>
        <w:rPr/>
        <w:t>募集资金总体使用情况</w:t>
      </w:r>
    </w:p>
    <w:p>
      <w:pPr>
        <w:pStyle w:val="Heading4"/>
        <w:spacing w:line="240" w:lineRule="auto" w:before="177"/>
        <w:ind w:left="140" w:right="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3"/>
        <w:rPr>
          <w:rFonts w:ascii="宋体" w:hAnsi="宋体" w:cs="宋体" w:eastAsia="宋体" w:hint="default"/>
          <w:sz w:val="9"/>
          <w:szCs w:val="9"/>
        </w:rPr>
      </w:pPr>
    </w:p>
    <w:p>
      <w:pPr>
        <w:pStyle w:val="BodyText"/>
        <w:spacing w:line="240" w:lineRule="auto" w:before="44"/>
        <w:ind w:left="0" w:right="235"/>
        <w:jc w:val="right"/>
      </w:pPr>
      <w:r>
        <w:rPr/>
        <w:t>单位：万元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6006"/>
        <w:gridCol w:w="8008"/>
      </w:tblGrid>
      <w:tr>
        <w:trPr>
          <w:trHeight w:val="402" w:hRule="exact"/>
        </w:trPr>
        <w:tc>
          <w:tcPr>
            <w:tcW w:w="60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8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18,304.25</w:t>
            </w:r>
          </w:p>
        </w:tc>
      </w:tr>
      <w:tr>
        <w:trPr>
          <w:trHeight w:val="402" w:hRule="exact"/>
        </w:trPr>
        <w:tc>
          <w:tcPr>
            <w:tcW w:w="60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8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168.68</w:t>
            </w:r>
          </w:p>
        </w:tc>
      </w:tr>
    </w:tbl>
    <w:p>
      <w:pPr>
        <w:spacing w:after="0" w:line="240" w:lineRule="auto"/>
        <w:jc w:val="right"/>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877" w:footer="979" w:top="1120" w:bottom="1160" w:left="1300" w:right="1300"/>
          <w:pgNumType w:start="32"/>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981"/>
        <w:gridCol w:w="8007"/>
      </w:tblGrid>
      <w:tr>
        <w:trPr>
          <w:trHeight w:val="421" w:hRule="exact"/>
        </w:trPr>
        <w:tc>
          <w:tcPr>
            <w:tcW w:w="5981"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8007" w:type="dxa"/>
            <w:tcBorders>
              <w:top w:val="single" w:sz="15"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17,591.72</w:t>
            </w:r>
          </w:p>
        </w:tc>
      </w:tr>
      <w:tr>
        <w:trPr>
          <w:trHeight w:val="398" w:hRule="exact"/>
        </w:trPr>
        <w:tc>
          <w:tcPr>
            <w:tcW w:w="13987"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pStyle w:val="Heading4"/>
        <w:spacing w:line="240" w:lineRule="auto" w:before="63"/>
        <w:ind w:left="140" w:right="0"/>
        <w:jc w:val="left"/>
      </w:pPr>
      <w:r>
        <w:rPr>
          <w:rFonts w:ascii="Times New Roman" w:hAnsi="Times New Roman" w:cs="Times New Roman" w:eastAsia="Times New Roman" w:hint="default"/>
        </w:rPr>
        <w:t>2.</w:t>
      </w:r>
      <w:r>
        <w:rPr/>
        <w:t>募集资金承诺项目情况</w:t>
      </w:r>
    </w:p>
    <w:p>
      <w:pPr>
        <w:pStyle w:val="Heading4"/>
        <w:spacing w:line="240" w:lineRule="auto" w:before="177"/>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3"/>
        <w:rPr>
          <w:rFonts w:ascii="宋体" w:hAnsi="宋体" w:cs="宋体" w:eastAsia="宋体" w:hint="default"/>
          <w:sz w:val="9"/>
          <w:szCs w:val="9"/>
        </w:rPr>
      </w:pPr>
    </w:p>
    <w:p>
      <w:pPr>
        <w:pStyle w:val="BodyText"/>
        <w:spacing w:line="240" w:lineRule="auto" w:before="44"/>
        <w:ind w:left="0" w:right="255"/>
        <w:jc w:val="right"/>
      </w:pPr>
      <w:r>
        <w:rPr/>
        <w:t>单位：万元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58"/>
        <w:gridCol w:w="943"/>
        <w:gridCol w:w="132"/>
        <w:gridCol w:w="1057"/>
        <w:gridCol w:w="1057"/>
        <w:gridCol w:w="1054"/>
        <w:gridCol w:w="1033"/>
        <w:gridCol w:w="1082"/>
        <w:gridCol w:w="1211"/>
        <w:gridCol w:w="902"/>
        <w:gridCol w:w="1057"/>
        <w:gridCol w:w="1058"/>
        <w:gridCol w:w="1057"/>
      </w:tblGrid>
      <w:tr>
        <w:trPr>
          <w:trHeight w:val="1026" w:hRule="exact"/>
        </w:trPr>
        <w:tc>
          <w:tcPr>
            <w:tcW w:w="23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93" w:right="87" w:hanging="990"/>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10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60" w:right="4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3" w:right="72"/>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7" w:right="72"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73"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81" w:right="59"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1"/>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71"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0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4001"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18"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中小功率金属射频激励二 氧化碳激光器产业化项目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2,819.36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2,819.36</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2,882.12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122.37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200.63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18"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中小功率激光设备异地技 改项目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5,291.6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5,291.6</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5,334.39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100.81%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256.99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988.27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营销网络建设项目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2,563.1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2,563.1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168.68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2,563.96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研发中心建设项目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1,996.81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1,996.81</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2,022.31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3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sz w:val="18"/>
              </w:rPr>
              <w:t>--</w:t>
            </w:r>
          </w:p>
        </w:tc>
        <w:tc>
          <w:tcPr>
            <w:tcW w:w="118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12,670.87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12,670.87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168.68</w:t>
            </w:r>
          </w:p>
        </w:tc>
        <w:tc>
          <w:tcPr>
            <w:tcW w:w="10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12,802.78</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379.36</w:t>
            </w:r>
          </w:p>
        </w:tc>
        <w:tc>
          <w:tcPr>
            <w:tcW w:w="10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1,188.9</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466"/>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4001"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7"/>
              <w:ind w:left="18"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购买工业生产厂房</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4,788.94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99.77%</w:t>
            </w:r>
          </w:p>
        </w:tc>
        <w:tc>
          <w:tcPr>
            <w:tcW w:w="12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58" w:type="dxa"/>
            <w:tcBorders>
              <w:top w:val="single" w:sz="4" w:space="0" w:color="000000"/>
              <w:left w:val="nil" w:sz="6" w:space="0" w:color="auto"/>
              <w:bottom w:val="single" w:sz="4" w:space="0" w:color="000000"/>
              <w:right w:val="single" w:sz="4" w:space="0" w:color="000000"/>
            </w:tcBorders>
          </w:tcPr>
          <w:p>
            <w:pP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0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9" w:space="0" w:color="D2D2D2"/>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4,788.94</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46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12,670.87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17,470.87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168.68</w:t>
            </w:r>
          </w:p>
        </w:tc>
        <w:tc>
          <w:tcPr>
            <w:tcW w:w="103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17,591.72</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379.36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1,188.9</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466"/>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3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8" w:right="-6"/>
              <w:jc w:val="left"/>
              <w:rPr>
                <w:rFonts w:ascii="宋体" w:hAnsi="宋体" w:cs="宋体" w:eastAsia="宋体" w:hint="default"/>
                <w:sz w:val="18"/>
                <w:szCs w:val="18"/>
              </w:rPr>
            </w:pPr>
            <w:r>
              <w:rPr>
                <w:rFonts w:ascii="宋体" w:hAnsi="宋体" w:cs="宋体" w:eastAsia="宋体" w:hint="default"/>
                <w:sz w:val="18"/>
                <w:szCs w:val="18"/>
              </w:rPr>
              <w:t>未达到计划进度或预计收益 的情况和原因（分具体项目）</w:t>
            </w:r>
          </w:p>
        </w:tc>
        <w:tc>
          <w:tcPr>
            <w:tcW w:w="11643" w:type="dxa"/>
            <w:gridSpan w:val="12"/>
            <w:tcBorders>
              <w:top w:val="single" w:sz="4" w:space="0" w:color="000000"/>
              <w:left w:val="single" w:sz="13" w:space="0" w:color="D2D2D2"/>
              <w:bottom w:val="single" w:sz="4" w:space="0" w:color="000000"/>
              <w:right w:val="nil" w:sz="6" w:space="0" w:color="auto"/>
            </w:tcBorders>
          </w:tcPr>
          <w:p>
            <w:pPr>
              <w:pStyle w:val="TableParagraph"/>
              <w:spacing w:line="300" w:lineRule="auto" w:before="71"/>
              <w:ind w:left="30"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、中小功率金属射频激励二氧化碳激光器产业化项目因项目初始投入完成，正在进行小批量生产及产品测试试用，产品的生产及测试周期较长，以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致项目效益未能到达预期。</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、中小功率激光设备异地技改项目已投产，由于产品下游目标市场行业受宏观经济影响较大，以致项目效益未能到达预</w:t>
            </w:r>
          </w:p>
        </w:tc>
      </w:tr>
    </w:tbl>
    <w:p>
      <w:pPr>
        <w:spacing w:after="0" w:line="300" w:lineRule="auto"/>
        <w:jc w:val="left"/>
        <w:rPr>
          <w:rFonts w:ascii="宋体" w:hAnsi="宋体" w:cs="宋体" w:eastAsia="宋体" w:hint="default"/>
          <w:sz w:val="18"/>
          <w:szCs w:val="18"/>
        </w:rPr>
        <w:sectPr>
          <w:headerReference w:type="default" r:id="rId35"/>
          <w:pgSz w:w="16840" w:h="11910" w:orient="landscape"/>
          <w:pgMar w:header="867" w:footer="979" w:top="1060" w:bottom="1160" w:left="1300" w:right="1280"/>
        </w:sectPr>
      </w:pPr>
    </w:p>
    <w:p>
      <w:pPr>
        <w:spacing w:line="240" w:lineRule="auto" w:before="0"/>
        <w:rPr>
          <w:rFonts w:ascii="宋体" w:hAnsi="宋体" w:cs="宋体" w:eastAsia="宋体" w:hint="default"/>
          <w:sz w:val="20"/>
          <w:szCs w:val="20"/>
        </w:rPr>
      </w:pPr>
      <w:r>
        <w:rPr/>
        <w:pict>
          <v:shape style="position:absolute;margin-left:69.660004pt;margin-top:55.260006pt;width:703.75pt;height:464.1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6"/>
                    <w:gridCol w:w="11631"/>
                  </w:tblGrid>
                  <w:tr>
                    <w:trPr>
                      <w:trHeight w:val="1001" w:hRule="exact"/>
                    </w:trPr>
                    <w:tc>
                      <w:tcPr>
                        <w:tcW w:w="2386" w:type="dxa"/>
                        <w:tcBorders>
                          <w:top w:val="single" w:sz="15" w:space="0" w:color="000000"/>
                          <w:left w:val="nil" w:sz="6" w:space="0" w:color="auto"/>
                          <w:bottom w:val="single" w:sz="4" w:space="0" w:color="000000"/>
                          <w:right w:val="single" w:sz="4" w:space="0" w:color="000000"/>
                        </w:tcBorders>
                        <w:shd w:val="clear" w:color="auto" w:fill="D2D2D2"/>
                      </w:tcPr>
                      <w:p>
                        <w:pPr/>
                      </w:p>
                    </w:tc>
                    <w:tc>
                      <w:tcPr>
                        <w:tcW w:w="11631" w:type="dxa"/>
                        <w:tcBorders>
                          <w:top w:val="single" w:sz="15" w:space="0" w:color="000000"/>
                          <w:left w:val="single" w:sz="4" w:space="0" w:color="000000"/>
                          <w:bottom w:val="single" w:sz="4" w:space="0" w:color="000000"/>
                          <w:right w:val="nil" w:sz="6" w:space="0" w:color="auto"/>
                        </w:tcBorders>
                      </w:tcPr>
                      <w:p>
                        <w:pPr>
                          <w:pStyle w:val="TableParagraph"/>
                          <w:spacing w:line="309" w:lineRule="auto" w:before="10"/>
                          <w:ind w:left="22" w:right="81"/>
                          <w:jc w:val="both"/>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3</w:t>
                        </w:r>
                        <w:r>
                          <w:rPr>
                            <w:rFonts w:ascii="宋体" w:hAnsi="宋体" w:cs="宋体" w:eastAsia="宋体" w:hint="default"/>
                            <w:sz w:val="18"/>
                            <w:szCs w:val="18"/>
                          </w:rPr>
                          <w:t>、营销网络建设项目由于设备选购、供货、交付以及宏观经济环境的影响，未能按期完成，已于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月项目达到预定可使用状态；</w:t>
                        </w:r>
                        <w:r>
                          <w:rPr>
                            <w:rFonts w:ascii="Times New Roman" w:hAnsi="Times New Roman" w:cs="Times New Roman" w:eastAsia="Times New Roman" w:hint="default"/>
                            <w:sz w:val="18"/>
                            <w:szCs w:val="18"/>
                          </w:rPr>
                          <w:t>4</w:t>
                        </w:r>
                        <w:r>
                          <w:rPr>
                            <w:rFonts w:ascii="宋体" w:hAnsi="宋体" w:cs="宋体" w:eastAsia="宋体" w:hint="default"/>
                            <w:sz w:val="18"/>
                            <w:szCs w:val="18"/>
                          </w:rPr>
                          <w:t>、 中小功率金属射频激励二氧化碳激光器、中小功率激光设备异地技改项目、研发中心建设项目目前募集资金已使用完毕，项目皆已达到预定可使用 状态，公司将按照实际情况对项目进行日常使用和持续经营。</w:t>
                        </w:r>
                      </w:p>
                    </w:tc>
                  </w:tr>
                  <w:tr>
                    <w:trPr>
                      <w:trHeight w:val="402" w:hRule="exact"/>
                    </w:trPr>
                    <w:tc>
                      <w:tcPr>
                        <w:tcW w:w="238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7" w:right="20"/>
                          <w:jc w:val="left"/>
                          <w:rPr>
                            <w:rFonts w:ascii="宋体" w:hAnsi="宋体" w:cs="宋体" w:eastAsia="宋体" w:hint="default"/>
                            <w:sz w:val="18"/>
                            <w:szCs w:val="18"/>
                          </w:rPr>
                        </w:pPr>
                        <w:r>
                          <w:rPr>
                            <w:rFonts w:ascii="宋体" w:hAnsi="宋体" w:cs="宋体" w:eastAsia="宋体" w:hint="default"/>
                            <w:spacing w:val="-1"/>
                            <w:sz w:val="18"/>
                            <w:szCs w:val="18"/>
                          </w:rPr>
                          <w:t>超募资金的金额、用途及使用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进展情况</w:t>
                        </w: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2386" w:type="dxa"/>
                        <w:vMerge/>
                        <w:tcBorders>
                          <w:left w:val="nil" w:sz="6" w:space="0" w:color="auto"/>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56,333,77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.76 </w:t>
                        </w:r>
                        <w:r>
                          <w:rPr>
                            <w:rFonts w:ascii="宋体" w:hAnsi="宋体" w:cs="宋体" w:eastAsia="宋体" w:hint="default"/>
                            <w:sz w:val="18"/>
                            <w:szCs w:val="18"/>
                          </w:rPr>
                          <w:t>元，经公司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r>
                          <w:rPr>
                            <w:rFonts w:ascii="宋体" w:hAnsi="宋体" w:cs="宋体" w:eastAsia="宋体" w:hint="default"/>
                            <w:spacing w:val="1"/>
                            <w:sz w:val="18"/>
                            <w:szCs w:val="18"/>
                          </w:rPr>
                          <w:t>届</w:t>
                        </w:r>
                        <w:r>
                          <w:rPr>
                            <w:rFonts w:ascii="宋体" w:hAnsi="宋体" w:cs="宋体" w:eastAsia="宋体" w:hint="default"/>
                            <w:sz w:val="18"/>
                            <w:szCs w:val="18"/>
                          </w:rPr>
                          <w:t>董事会第十六次会议审议通过《关于使用部分超募资金购买工业生产厂房的议案</w:t>
                        </w:r>
                        <w:r>
                          <w:rPr>
                            <w:rFonts w:ascii="宋体" w:hAnsi="宋体" w:cs="宋体" w:eastAsia="宋体" w:hint="default"/>
                            <w:spacing w:val="-90"/>
                            <w:sz w:val="18"/>
                            <w:szCs w:val="18"/>
                          </w:rPr>
                          <w:t>》</w:t>
                        </w:r>
                        <w:r>
                          <w:rPr>
                            <w:rFonts w:ascii="宋体" w:hAnsi="宋体" w:cs="宋体" w:eastAsia="宋体" w:hint="default"/>
                            <w:sz w:val="18"/>
                            <w:szCs w:val="18"/>
                          </w:rPr>
                          <w:t>，对超</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4"/>
                            <w:sz w:val="18"/>
                            <w:szCs w:val="18"/>
                          </w:rPr>
                          <w:t>募资金的使用做出决议，拟使用不超过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万元的超募资金购买武汉市黄浦科技园黄浦科技发展有限公司位于武汉市江岸区石桥一路三号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业厂房，用作上述募投项目的生产建设用地。房产权证已于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日办理完毕。</w:t>
                        </w:r>
                      </w:p>
                    </w:tc>
                  </w:tr>
                  <w:tr>
                    <w:trPr>
                      <w:trHeight w:val="402" w:hRule="exact"/>
                    </w:trPr>
                    <w:tc>
                      <w:tcPr>
                        <w:tcW w:w="238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7" w:right="191"/>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386" w:type="dxa"/>
                        <w:vMerge/>
                        <w:tcBorders>
                          <w:left w:val="nil" w:sz="6" w:space="0" w:color="auto"/>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6" w:type="dxa"/>
                        <w:vMerge/>
                        <w:tcBorders>
                          <w:left w:val="nil" w:sz="6" w:space="0" w:color="auto"/>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 w:right="191"/>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2386" w:type="dxa"/>
                        <w:vMerge/>
                        <w:tcBorders>
                          <w:left w:val="nil" w:sz="6" w:space="0" w:color="auto"/>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前期及报告期内发生</w:t>
                        </w:r>
                      </w:p>
                    </w:tc>
                  </w:tr>
                  <w:tr>
                    <w:trPr>
                      <w:trHeight w:val="2586" w:hRule="exact"/>
                    </w:trPr>
                    <w:tc>
                      <w:tcPr>
                        <w:tcW w:w="2386" w:type="dxa"/>
                        <w:vMerge/>
                        <w:tcBorders>
                          <w:left w:val="nil" w:sz="6" w:space="0" w:color="auto"/>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年第一届董事会第十七次会议审议通过《关于部分募投项目实施方式变更的议案》，经公司</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年第二次临时股东大会审议通过《关</w:t>
                        </w:r>
                        <w:r>
                          <w:rPr>
                            <w:rFonts w:ascii="宋体" w:hAnsi="宋体" w:cs="宋体" w:eastAsia="宋体" w:hint="default"/>
                            <w:sz w:val="18"/>
                            <w:szCs w:val="18"/>
                          </w:rPr>
                          <w:t> </w:t>
                        </w:r>
                        <w:r>
                          <w:rPr>
                            <w:rFonts w:ascii="宋体" w:hAnsi="宋体" w:cs="宋体" w:eastAsia="宋体" w:hint="default"/>
                            <w:spacing w:val="-3"/>
                            <w:sz w:val="18"/>
                            <w:szCs w:val="18"/>
                          </w:rPr>
                          <w:t>于部分募投项目实施方式变更的议案》，经保荐机构发表审核意见和独立董事发表独立意见，公司将原来计划的租赁工业生产厂房（武汉市江岸区石</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桥一路三号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层工业厂房）建设募投项目变更为使用自有工业生产厂房用于部分募投项目的建设。</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年第二届董事会第七次会议决</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议审议通</w:t>
                        </w:r>
                        <w:r>
                          <w:rPr>
                            <w:rFonts w:ascii="宋体" w:hAnsi="宋体" w:cs="宋体" w:eastAsia="宋体" w:hint="default"/>
                            <w:spacing w:val="-21"/>
                            <w:sz w:val="18"/>
                            <w:szCs w:val="18"/>
                          </w:rPr>
                          <w:t>过</w:t>
                        </w:r>
                        <w:r>
                          <w:rPr>
                            <w:rFonts w:ascii="宋体" w:hAnsi="宋体" w:cs="宋体" w:eastAsia="宋体" w:hint="default"/>
                            <w:sz w:val="18"/>
                            <w:szCs w:val="18"/>
                          </w:rPr>
                          <w:t>《关于部分募投项目实施方式变更的议案</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年年度股东大会审议通</w:t>
                        </w:r>
                        <w:r>
                          <w:rPr>
                            <w:rFonts w:ascii="宋体" w:hAnsi="宋体" w:cs="宋体" w:eastAsia="宋体" w:hint="default"/>
                            <w:spacing w:val="-21"/>
                            <w:sz w:val="18"/>
                            <w:szCs w:val="18"/>
                          </w:rPr>
                          <w:t>过</w:t>
                        </w:r>
                        <w:r>
                          <w:rPr>
                            <w:rFonts w:ascii="宋体" w:hAnsi="宋体" w:cs="宋体" w:eastAsia="宋体" w:hint="default"/>
                            <w:sz w:val="18"/>
                            <w:szCs w:val="18"/>
                          </w:rPr>
                          <w:t>《关于部分募</w:t>
                        </w:r>
                        <w:r>
                          <w:rPr>
                            <w:rFonts w:ascii="宋体" w:hAnsi="宋体" w:cs="宋体" w:eastAsia="宋体" w:hint="default"/>
                            <w:spacing w:val="-1"/>
                            <w:sz w:val="18"/>
                            <w:szCs w:val="18"/>
                          </w:rPr>
                          <w:t>投</w:t>
                        </w:r>
                        <w:r>
                          <w:rPr>
                            <w:rFonts w:ascii="宋体" w:hAnsi="宋体" w:cs="宋体" w:eastAsia="宋体" w:hint="default"/>
                            <w:sz w:val="18"/>
                            <w:szCs w:val="18"/>
                          </w:rPr>
                          <w:t>项目实施方式变更的议案</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经保荐机</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构发布审核意见和独立董事发布独立意见，公司将原来计划的租赁工业生产厂房（武汉市江岸区石桥一路三号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层工业厂房）建设募投项目变更</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为使用自有工业生产厂房用于部分募投项目的建设。</w:t>
                        </w:r>
                        <w:r>
                          <w:rPr>
                            <w:rFonts w:ascii="Times New Roman" w:hAnsi="Times New Roman" w:cs="Times New Roman" w:eastAsia="Times New Roman" w:hint="default"/>
                            <w:sz w:val="18"/>
                            <w:szCs w:val="18"/>
                          </w:rPr>
                          <w:t>3</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年第二届董事会第十四次会议审议通过《关于部分募投项目实施方式变更的议</w:t>
                        </w:r>
                      </w:p>
                      <w:p>
                        <w:pPr>
                          <w:pStyle w:val="TableParagraph"/>
                          <w:spacing w:line="302" w:lineRule="auto" w:before="63"/>
                          <w:ind w:left="22" w:right="121"/>
                          <w:jc w:val="both"/>
                          <w:rPr>
                            <w:rFonts w:ascii="宋体" w:hAnsi="宋体" w:cs="宋体" w:eastAsia="宋体" w:hint="default"/>
                            <w:sz w:val="18"/>
                            <w:szCs w:val="18"/>
                          </w:rPr>
                        </w:pPr>
                        <w:r>
                          <w:rPr>
                            <w:rFonts w:ascii="宋体" w:hAnsi="宋体" w:cs="宋体" w:eastAsia="宋体" w:hint="default"/>
                            <w:spacing w:val="-23"/>
                            <w:sz w:val="18"/>
                            <w:szCs w:val="18"/>
                          </w:rPr>
                          <w:t>案》，经公司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年第一次临时股东大会的审议通过《关于部分募投项目实施方式变更的议案》，经保荐机构发布审核意见和独立董事发布独立意见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公司将部分募投项目实施方式进行变更，减少了设备投入金额，增加了流动资金投入金额。</w:t>
                        </w:r>
                      </w:p>
                    </w:tc>
                  </w:tr>
                  <w:tr>
                    <w:trPr>
                      <w:trHeight w:val="402" w:hRule="exact"/>
                    </w:trPr>
                    <w:tc>
                      <w:tcPr>
                        <w:tcW w:w="238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7" w:right="191"/>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2386" w:type="dxa"/>
                        <w:vMerge/>
                        <w:tcBorders>
                          <w:left w:val="nil" w:sz="6" w:space="0" w:color="auto"/>
                          <w:bottom w:val="single" w:sz="4" w:space="0" w:color="FFFFFF"/>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FFFFFF"/>
                          <w:right w:val="nil" w:sz="6" w:space="0" w:color="auto"/>
                        </w:tcBorders>
                      </w:tcPr>
                      <w:p>
                        <w:pPr>
                          <w:pStyle w:val="TableParagraph"/>
                          <w:spacing w:line="300"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年第一届董事会第十五次会议审议通过《关于使用募集资金置换预先投入募集资金投资项目的自筹资金的议案》，经大华会计师事务所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有限公司出具大华核字</w:t>
                        </w:r>
                        <w:r>
                          <w:rPr>
                            <w:rFonts w:ascii="Times New Roman" w:hAnsi="Times New Roman" w:cs="Times New Roman" w:eastAsia="Times New Roman" w:hint="default"/>
                            <w:spacing w:val="-1"/>
                            <w:sz w:val="18"/>
                            <w:szCs w:val="18"/>
                          </w:rPr>
                          <w:t>[2011]2074</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号《武汉金运激光股份有限公司以自筹资金预先投入募集资金投资项目的鉴证报告》，经保荐机构发表审核意见和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独立董事发表独立意见，公司用募集资金置换公司预先已投入募集资金投资项目建设的自筹资金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386" w:type="dxa"/>
                        <w:vMerge w:val="restart"/>
                        <w:tcBorders>
                          <w:top w:val="single" w:sz="4" w:space="0" w:color="FFFFFF"/>
                          <w:left w:val="nil" w:sz="6" w:space="0" w:color="auto"/>
                          <w:right w:val="single" w:sz="4" w:space="0" w:color="000000"/>
                        </w:tcBorders>
                        <w:shd w:val="clear" w:color="auto" w:fill="D2D2D2"/>
                      </w:tcPr>
                      <w:p>
                        <w:pPr>
                          <w:pStyle w:val="TableParagraph"/>
                          <w:spacing w:line="319" w:lineRule="auto" w:before="95"/>
                          <w:ind w:left="27" w:right="191"/>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1631" w:type="dxa"/>
                        <w:tcBorders>
                          <w:top w:val="single" w:sz="4" w:space="0" w:color="FFFFFF"/>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386" w:type="dxa"/>
                        <w:vMerge/>
                        <w:tcBorders>
                          <w:left w:val="nil" w:sz="6" w:space="0" w:color="auto"/>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left="0" w:right="111"/>
        <w:jc w:val="right"/>
      </w:pPr>
      <w:r>
        <w:rPr/>
        <w:t>，</w:t>
      </w:r>
    </w:p>
    <w:p>
      <w:pPr>
        <w:spacing w:after="0" w:line="240" w:lineRule="auto"/>
        <w:jc w:val="right"/>
        <w:sectPr>
          <w:pgSz w:w="16840" w:h="11910" w:orient="landscape"/>
          <w:pgMar w:header="867" w:footer="979" w:top="1060" w:bottom="1160" w:left="1280" w:right="1240"/>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86"/>
        <w:gridCol w:w="11631"/>
      </w:tblGrid>
      <w:tr>
        <w:trPr>
          <w:trHeight w:val="416" w:hRule="exact"/>
        </w:trPr>
        <w:tc>
          <w:tcPr>
            <w:tcW w:w="2386" w:type="dxa"/>
            <w:vMerge w:val="restart"/>
            <w:tcBorders>
              <w:top w:val="single" w:sz="15" w:space="0" w:color="000000"/>
              <w:left w:val="nil" w:sz="6" w:space="0" w:color="auto"/>
              <w:right w:val="single" w:sz="4" w:space="0" w:color="000000"/>
            </w:tcBorders>
            <w:shd w:val="clear" w:color="auto" w:fill="D2D2D2"/>
          </w:tcPr>
          <w:p>
            <w:pPr>
              <w:pStyle w:val="TableParagraph"/>
              <w:spacing w:line="319" w:lineRule="auto" w:before="97"/>
              <w:ind w:left="27" w:right="191"/>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1631"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386" w:type="dxa"/>
            <w:vMerge/>
            <w:tcBorders>
              <w:left w:val="nil" w:sz="6" w:space="0" w:color="auto"/>
              <w:bottom w:val="single" w:sz="4" w:space="0" w:color="000000"/>
              <w:right w:val="single" w:sz="4" w:space="0" w:color="000000"/>
            </w:tcBorders>
            <w:shd w:val="clear" w:color="auto" w:fill="D2D2D2"/>
          </w:tcPr>
          <w:p>
            <w:pPr/>
          </w:p>
        </w:tc>
        <w:tc>
          <w:tcPr>
            <w:tcW w:w="116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3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1"/>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尚未使用的募集资金仍存放于募集资金专用账户。</w:t>
            </w:r>
          </w:p>
        </w:tc>
      </w:tr>
      <w:tr>
        <w:trPr>
          <w:trHeight w:val="1962" w:hRule="exact"/>
        </w:trPr>
        <w:tc>
          <w:tcPr>
            <w:tcW w:w="23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 w:right="191"/>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1631"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、上海浦东发展银行江岸支行账户（账号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70080155200003354</w:t>
            </w:r>
            <w:r>
              <w:rPr>
                <w:rFonts w:ascii="宋体" w:hAnsi="宋体" w:cs="宋体" w:eastAsia="宋体" w:hint="default"/>
                <w:sz w:val="18"/>
                <w:szCs w:val="18"/>
              </w:rPr>
              <w:t>）在作为募集资金专户前曾作为一般账户使用，</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年转为募集资金专户后银行仍从 该募集资金专户扣取了信用证手续费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年公司从其他账户转入该账户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年公司已将该账户误多转入的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元转出。</w:t>
            </w:r>
            <w:r>
              <w:rPr>
                <w:rFonts w:ascii="Times New Roman" w:hAnsi="Times New Roman" w:cs="Times New Roman" w:eastAsia="Times New Roman" w:hint="default"/>
                <w:sz w:val="18"/>
                <w:szCs w:val="18"/>
              </w:rPr>
              <w:t>2</w:t>
            </w:r>
            <w:r>
              <w:rPr>
                <w:rFonts w:ascii="宋体" w:hAnsi="宋体" w:cs="宋体" w:eastAsia="宋体" w:hint="default"/>
                <w:sz w:val="18"/>
                <w:szCs w:val="18"/>
              </w:rPr>
              <w:t>、购买</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工业生产厂房（</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层）共缴纳税款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9,336,720.18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年使用募集资金缴纳税金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6,629,429.94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年使用自有资金缴纳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2,707,290.24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元，若以合同签订时评估价进行分摊，归属于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层募集资金购买的部分税金为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6,180,742.56 </w:t>
            </w:r>
            <w:r>
              <w:rPr>
                <w:rFonts w:ascii="宋体" w:hAnsi="宋体" w:cs="宋体" w:eastAsia="宋体" w:hint="default"/>
                <w:spacing w:val="-6"/>
                <w:sz w:val="18"/>
                <w:szCs w:val="18"/>
              </w:rPr>
              <w:t>元，归属于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层税金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3,155,977.62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02" w:lineRule="auto" w:before="63"/>
              <w:ind w:left="22" w:right="3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日办理房产证，由于土地的相关税费及手续尚未完结，公司拟待该等事项完结后对归属于超募资金购买的房产部分进行整体清算，多退少 补。</w:t>
            </w:r>
          </w:p>
        </w:tc>
      </w:tr>
    </w:tbl>
    <w:p>
      <w:pPr>
        <w:pStyle w:val="Heading4"/>
        <w:spacing w:line="240" w:lineRule="auto" w:before="63"/>
        <w:ind w:left="160" w:right="10128"/>
        <w:jc w:val="left"/>
      </w:pPr>
      <w:r>
        <w:rPr>
          <w:rFonts w:ascii="Times New Roman" w:hAnsi="Times New Roman" w:cs="Times New Roman" w:eastAsia="Times New Roman" w:hint="default"/>
        </w:rPr>
        <w:t>3.</w:t>
      </w:r>
      <w:r>
        <w:rPr/>
        <w:t>募集资金变更项目情况</w:t>
      </w:r>
    </w:p>
    <w:p>
      <w:pPr>
        <w:pStyle w:val="Heading4"/>
        <w:spacing w:line="398" w:lineRule="auto" w:before="177"/>
        <w:ind w:left="160" w:right="10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Heading4"/>
        <w:spacing w:line="398" w:lineRule="auto" w:before="24"/>
        <w:ind w:left="160" w:right="10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Heading4"/>
        <w:spacing w:line="240" w:lineRule="auto" w:before="24"/>
        <w:ind w:left="160" w:right="10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Heading4"/>
        <w:spacing w:line="240" w:lineRule="auto" w:before="177"/>
        <w:ind w:left="160" w:right="10128"/>
        <w:jc w:val="left"/>
      </w:pPr>
      <w:r>
        <w:rPr>
          <w:rFonts w:ascii="Times New Roman" w:hAnsi="Times New Roman" w:cs="Times New Roman" w:eastAsia="Times New Roman" w:hint="default"/>
        </w:rPr>
        <w:t>5</w:t>
      </w:r>
      <w:r>
        <w:rPr/>
        <w:t>）持有金融企业股权情况</w:t>
      </w:r>
    </w:p>
    <w:p>
      <w:pPr>
        <w:pStyle w:val="Heading4"/>
        <w:spacing w:line="398" w:lineRule="auto" w:before="177"/>
        <w:ind w:left="160" w:right="109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Heading4"/>
        <w:spacing w:line="240" w:lineRule="auto" w:before="24"/>
        <w:ind w:left="160" w:right="10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6840" w:h="11910" w:orient="landscape"/>
          <w:pgMar w:header="867" w:footer="979" w:top="1060" w:bottom="1160" w:left="1280" w:right="126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72"/>
        <w:ind w:left="140" w:right="119"/>
        <w:jc w:val="left"/>
      </w:pPr>
      <w:r>
        <w:rPr>
          <w:rFonts w:ascii="Times New Roman" w:hAnsi="Times New Roman" w:cs="Times New Roman" w:eastAsia="Times New Roman" w:hint="default"/>
        </w:rPr>
        <w:t>7</w:t>
      </w:r>
      <w:r>
        <w:rPr/>
        <w:t>）以公允价值计量的金融资产</w:t>
      </w:r>
    </w:p>
    <w:p>
      <w:pPr>
        <w:pStyle w:val="Heading4"/>
        <w:spacing w:line="240" w:lineRule="auto" w:before="177"/>
        <w:ind w:left="140" w:right="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30"/>
          <w:szCs w:val="30"/>
        </w:rPr>
      </w:pPr>
    </w:p>
    <w:p>
      <w:pPr>
        <w:pStyle w:val="Heading3"/>
        <w:spacing w:line="240" w:lineRule="auto"/>
        <w:ind w:left="140" w:right="119"/>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30"/>
          <w:szCs w:val="30"/>
        </w:rPr>
      </w:pPr>
    </w:p>
    <w:p>
      <w:pPr>
        <w:pStyle w:val="Heading4"/>
        <w:spacing w:line="386" w:lineRule="auto"/>
        <w:ind w:left="140" w:right="115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主要子公司、参股公司情况</w:t>
      </w:r>
    </w:p>
    <w:p>
      <w:pPr>
        <w:pStyle w:val="BodyText"/>
        <w:spacing w:line="240" w:lineRule="auto" w:before="53"/>
        <w:ind w:left="0" w:right="235"/>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49"/>
        <w:gridCol w:w="815"/>
        <w:gridCol w:w="1134"/>
        <w:gridCol w:w="3501"/>
        <w:gridCol w:w="1211"/>
        <w:gridCol w:w="1091"/>
        <w:gridCol w:w="1002"/>
        <w:gridCol w:w="1091"/>
        <w:gridCol w:w="1061"/>
        <w:gridCol w:w="1061"/>
      </w:tblGrid>
      <w:tr>
        <w:trPr>
          <w:trHeight w:val="402" w:hRule="exact"/>
        </w:trPr>
        <w:tc>
          <w:tcPr>
            <w:tcW w:w="20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6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3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4"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6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武汉唯拓光纤激光工程有 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光纤激光设备研发生产销售，数控系统及软 件开发、销售及技术服务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28,258,575.07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927,654.86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25,971,027.06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184,403.66</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224,118.74</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诸暨金运激光绣花设备有 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激光设备的生产、销售和售后服务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2,000,000.00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1,843,243.57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1,763,973.07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-11,842.45</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-11,842.45</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扬州市金运环宇激光设备 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激光设备的生产、销售和售后服务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3,350,352.88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1,137,046.57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5,254,529.76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80,930.75</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64,641.50</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武汉赛凡精密科技有限公 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工业自动化产品、精细加工设备的开发、生 产、销售及服务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Times New Roman" w:hAnsi="Times New Roman" w:cs="Times New Roman" w:eastAsia="Times New Roman" w:hint="default"/>
                <w:sz w:val="18"/>
                <w:szCs w:val="18"/>
              </w:rPr>
            </w:pPr>
            <w:r>
              <w:rPr>
                <w:rFonts w:ascii="Times New Roman"/>
                <w:spacing w:val="-1"/>
                <w:sz w:val="18"/>
              </w:rPr>
              <w:t>5,000,000.00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3,633,130.94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3,365,825.06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2,813,767.55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-971,520.88</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-963,321.40</w:t>
            </w:r>
            <w:r>
              <w:rPr>
                <w:rFonts w:ascii="Times New Roman"/>
                <w:sz w:val="18"/>
              </w:rPr>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东莞市金运汇研激光科技 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激光装置及零配件、印刷包装设备、光电一 体化设备</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4,002,165.60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1,155,427.99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3,096,153.93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202,279.39</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163,905.25</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辽宁金之运激光工程技术 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激光制造与再制造工矿产品、激光加工成套 设备的研制、生产、销售与技术服务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6,925,470.57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6,564,318.30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3,462,661.03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62,549.83</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72,810.52</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武汉斯利沃激光器技术有 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激光设备和相关配件的研发、生产、销售</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1,480,691.25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1,152,314.35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1,623,393.59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222,943.67</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183,818.82</w:t>
            </w:r>
          </w:p>
        </w:tc>
      </w:tr>
      <w:tr>
        <w:trPr>
          <w:trHeight w:val="714"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34"/>
              <w:jc w:val="left"/>
              <w:rPr>
                <w:rFonts w:ascii="宋体" w:hAnsi="宋体" w:cs="宋体" w:eastAsia="宋体" w:hint="default"/>
                <w:sz w:val="18"/>
                <w:szCs w:val="18"/>
              </w:rPr>
            </w:pPr>
            <w:r>
              <w:rPr>
                <w:rFonts w:ascii="宋体" w:hAnsi="宋体" w:cs="宋体" w:eastAsia="宋体" w:hint="default"/>
                <w:sz w:val="18"/>
                <w:szCs w:val="18"/>
              </w:rPr>
              <w:t>上海金萃激光技术有限公 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激光熔覆系统的集成、组装、销售和熔覆服 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8,977,233.01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8,596,241.04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4,552,751.18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-1,536,957.95</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-1,074,926.54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63"/>
        <w:gridCol w:w="815"/>
        <w:gridCol w:w="1134"/>
        <w:gridCol w:w="3501"/>
        <w:gridCol w:w="1211"/>
        <w:gridCol w:w="1091"/>
        <w:gridCol w:w="1002"/>
        <w:gridCol w:w="1091"/>
        <w:gridCol w:w="1061"/>
        <w:gridCol w:w="1063"/>
      </w:tblGrid>
      <w:tr>
        <w:trPr>
          <w:trHeight w:val="729" w:hRule="exact"/>
        </w:trPr>
        <w:tc>
          <w:tcPr>
            <w:tcW w:w="2063" w:type="dxa"/>
            <w:tcBorders>
              <w:top w:val="single" w:sz="15" w:space="0" w:color="000000"/>
              <w:left w:val="nil" w:sz="6" w:space="0" w:color="auto"/>
              <w:bottom w:val="single" w:sz="4" w:space="0" w:color="000000"/>
              <w:right w:val="single" w:sz="4" w:space="0" w:color="000000"/>
            </w:tcBorders>
          </w:tcPr>
          <w:p>
            <w:pPr>
              <w:pStyle w:val="TableParagraph"/>
              <w:spacing w:line="319" w:lineRule="auto" w:before="51"/>
              <w:ind w:left="41" w:right="34"/>
              <w:jc w:val="left"/>
              <w:rPr>
                <w:rFonts w:ascii="宋体" w:hAnsi="宋体" w:cs="宋体" w:eastAsia="宋体" w:hint="default"/>
                <w:sz w:val="18"/>
                <w:szCs w:val="18"/>
              </w:rPr>
            </w:pPr>
            <w:r>
              <w:rPr>
                <w:rFonts w:ascii="宋体" w:hAnsi="宋体" w:cs="宋体" w:eastAsia="宋体" w:hint="default"/>
                <w:sz w:val="18"/>
                <w:szCs w:val="18"/>
              </w:rPr>
              <w:t>武汉落地创意文化传播有 限公司</w:t>
            </w:r>
          </w:p>
        </w:tc>
        <w:tc>
          <w:tcPr>
            <w:tcW w:w="8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302" w:lineRule="auto" w:before="51"/>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打印及设 计策划</w:t>
            </w:r>
          </w:p>
        </w:tc>
        <w:tc>
          <w:tcPr>
            <w:tcW w:w="35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打印及设计策划</w:t>
            </w:r>
          </w:p>
        </w:tc>
        <w:tc>
          <w:tcPr>
            <w:tcW w:w="12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0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11,765,910.88</w:t>
            </w:r>
          </w:p>
        </w:tc>
        <w:tc>
          <w:tcPr>
            <w:tcW w:w="10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9,192,215.40</w:t>
            </w:r>
          </w:p>
        </w:tc>
        <w:tc>
          <w:tcPr>
            <w:tcW w:w="10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9,991,092.67</w:t>
            </w:r>
          </w:p>
        </w:tc>
        <w:tc>
          <w:tcPr>
            <w:tcW w:w="10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-3,685,512.03</w:t>
            </w:r>
          </w:p>
        </w:tc>
        <w:tc>
          <w:tcPr>
            <w:tcW w:w="106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-2,749,849.68</w:t>
            </w:r>
          </w:p>
        </w:tc>
      </w:tr>
      <w:tr>
        <w:trPr>
          <w:trHeight w:val="71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1" w:right="34"/>
              <w:jc w:val="left"/>
              <w:rPr>
                <w:rFonts w:ascii="宋体" w:hAnsi="宋体" w:cs="宋体" w:eastAsia="宋体" w:hint="default"/>
                <w:sz w:val="18"/>
                <w:szCs w:val="18"/>
              </w:rPr>
            </w:pPr>
            <w:r>
              <w:rPr>
                <w:rFonts w:ascii="宋体" w:hAnsi="宋体" w:cs="宋体" w:eastAsia="宋体" w:hint="default"/>
                <w:sz w:val="18"/>
                <w:szCs w:val="18"/>
              </w:rPr>
              <w:t>长沙落地创意文化传播有 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打印及设 计策划</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打印及设计策划</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1,087,773.43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1,020,453.64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291,779.10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-240,336.12</w:t>
            </w:r>
            <w:r>
              <w:rPr>
                <w:rFonts w:ascii="Times New Roman"/>
                <w:sz w:val="18"/>
              </w:rPr>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-179,546.36</w:t>
            </w:r>
            <w:r>
              <w:rPr>
                <w:rFonts w:ascii="Times New Roman"/>
                <w:sz w:val="18"/>
              </w:rPr>
            </w:r>
          </w:p>
        </w:tc>
      </w:tr>
      <w:tr>
        <w:trPr>
          <w:trHeight w:val="71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1" w:right="34"/>
              <w:jc w:val="left"/>
              <w:rPr>
                <w:rFonts w:ascii="宋体" w:hAnsi="宋体" w:cs="宋体" w:eastAsia="宋体" w:hint="default"/>
                <w:sz w:val="18"/>
                <w:szCs w:val="18"/>
              </w:rPr>
            </w:pPr>
            <w:r>
              <w:rPr>
                <w:rFonts w:ascii="宋体" w:hAnsi="宋体" w:cs="宋体" w:eastAsia="宋体" w:hint="default"/>
                <w:sz w:val="18"/>
                <w:szCs w:val="18"/>
              </w:rPr>
              <w:t>武汉良拓工业设备有限公 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经营进口液压流体及电气工控产品及相关系 统工程设计与制造，技术咨询服务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650,092.80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593,650.49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218,383.73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-155,528.99</w:t>
            </w:r>
            <w:r>
              <w:rPr>
                <w:rFonts w:ascii="Times New Roman"/>
                <w:sz w:val="18"/>
              </w:rPr>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-106,349.51</w:t>
            </w:r>
            <w:r>
              <w:rPr>
                <w:rFonts w:ascii="Times New Roman"/>
                <w:sz w:val="18"/>
              </w:rPr>
            </w:r>
          </w:p>
        </w:tc>
      </w:tr>
      <w:tr>
        <w:trPr>
          <w:trHeight w:val="71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1" w:right="34"/>
              <w:jc w:val="left"/>
              <w:rPr>
                <w:rFonts w:ascii="宋体" w:hAnsi="宋体" w:cs="宋体" w:eastAsia="宋体" w:hint="default"/>
                <w:sz w:val="18"/>
                <w:szCs w:val="18"/>
              </w:rPr>
            </w:pPr>
            <w:r>
              <w:rPr>
                <w:rFonts w:ascii="宋体" w:hAnsi="宋体" w:cs="宋体" w:eastAsia="宋体" w:hint="default"/>
                <w:sz w:val="18"/>
                <w:szCs w:val="18"/>
              </w:rPr>
              <w:t>湖北高投金运激光产业投 资管理有限公司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管理股权类投资及咨询服务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4,250,000.00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2,081,304.80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2,081,304.80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-57,885.94</w:t>
            </w:r>
            <w:r>
              <w:rPr>
                <w:rFonts w:ascii="Times New Roman"/>
                <w:sz w:val="18"/>
              </w:rPr>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-43,695.20</w:t>
            </w:r>
            <w:r>
              <w:rPr>
                <w:rFonts w:ascii="Times New Roman"/>
                <w:sz w:val="18"/>
              </w:rPr>
            </w:r>
          </w:p>
        </w:tc>
      </w:tr>
      <w:tr>
        <w:trPr>
          <w:trHeight w:val="71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1" w:right="34"/>
              <w:jc w:val="left"/>
              <w:rPr>
                <w:rFonts w:ascii="宋体" w:hAnsi="宋体" w:cs="宋体" w:eastAsia="宋体" w:hint="default"/>
                <w:sz w:val="18"/>
                <w:szCs w:val="18"/>
              </w:rPr>
            </w:pPr>
            <w:r>
              <w:rPr>
                <w:rFonts w:ascii="宋体" w:hAnsi="宋体" w:cs="宋体" w:eastAsia="宋体" w:hint="default"/>
                <w:sz w:val="18"/>
                <w:szCs w:val="18"/>
              </w:rPr>
              <w:t>高汇科技（香港）有限公 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CORP</w:t>
            </w:r>
          </w:p>
        </w:tc>
        <w:tc>
          <w:tcPr>
            <w:tcW w:w="350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HKD500000.00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1" w:right="34"/>
              <w:jc w:val="left"/>
              <w:rPr>
                <w:rFonts w:ascii="宋体" w:hAnsi="宋体" w:cs="宋体" w:eastAsia="宋体" w:hint="default"/>
                <w:sz w:val="18"/>
                <w:szCs w:val="18"/>
              </w:rPr>
            </w:pPr>
            <w:r>
              <w:rPr>
                <w:rFonts w:ascii="宋体" w:hAnsi="宋体" w:cs="宋体" w:eastAsia="宋体" w:hint="default"/>
                <w:sz w:val="18"/>
                <w:szCs w:val="18"/>
              </w:rPr>
              <w:t>深圳市精易迅科技有限公 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35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光机电一体化软硬件、计算机视觉软硬件系 统的技术开发、销售及技术维护</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9,313,419.14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7,296,392.41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2,348,439.46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-337,465.48</w:t>
            </w:r>
            <w:r>
              <w:rPr>
                <w:rFonts w:ascii="Times New Roman"/>
                <w:sz w:val="18"/>
              </w:rPr>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-66,734.70</w:t>
            </w:r>
            <w:r>
              <w:rPr>
                <w:rFonts w:ascii="Times New Roman"/>
                <w:sz w:val="18"/>
              </w:rPr>
            </w:r>
          </w:p>
        </w:tc>
      </w:tr>
    </w:tbl>
    <w:p>
      <w:pPr>
        <w:pStyle w:val="Heading4"/>
        <w:spacing w:line="240" w:lineRule="auto" w:before="63"/>
        <w:ind w:left="180" w:right="268"/>
        <w:jc w:val="left"/>
      </w:pPr>
      <w:r>
        <w:rPr/>
        <w:t>主要子公司、参股公司情况说明</w:t>
      </w:r>
    </w:p>
    <w:p>
      <w:pPr>
        <w:spacing w:line="240" w:lineRule="auto" w:before="10"/>
        <w:rPr>
          <w:rFonts w:ascii="宋体" w:hAnsi="宋体" w:cs="宋体" w:eastAsia="宋体" w:hint="default"/>
          <w:sz w:val="14"/>
          <w:szCs w:val="14"/>
        </w:rPr>
      </w:pPr>
    </w:p>
    <w:p>
      <w:pPr>
        <w:pStyle w:val="Heading4"/>
        <w:spacing w:line="386" w:lineRule="auto"/>
        <w:ind w:left="179" w:right="268"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日，本公司与杨博智、杨林、王志强签订《股权转让与增资协议书》</w:t>
      </w:r>
      <w:r>
        <w:rPr>
          <w:rFonts w:ascii="Times New Roman" w:hAnsi="Times New Roman" w:cs="Times New Roman" w:eastAsia="Times New Roman" w:hint="default"/>
        </w:rPr>
        <w:t>,</w:t>
      </w:r>
      <w:r>
        <w:rPr/>
        <w:t>其中：本公司以货币</w:t>
      </w:r>
      <w:r>
        <w:rPr>
          <w:spacing w:val="-54"/>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万元增资武汉落地，取得武汉落 地</w:t>
      </w:r>
      <w:r>
        <w:rPr>
          <w:spacing w:val="-54"/>
        </w:rPr>
        <w:t> </w:t>
      </w:r>
      <w:r>
        <w:rPr>
          <w:rFonts w:ascii="Times New Roman" w:hAnsi="Times New Roman" w:cs="Times New Roman" w:eastAsia="Times New Roman" w:hint="default"/>
        </w:rPr>
        <w:t>40%</w:t>
      </w:r>
      <w:r>
        <w:rPr/>
        <w:t>的股权，并于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日支付了出资款；增资后，本公司持股</w:t>
      </w:r>
      <w:r>
        <w:rPr>
          <w:spacing w:val="-53"/>
        </w:rPr>
        <w:t> </w:t>
      </w:r>
      <w:r>
        <w:rPr>
          <w:rFonts w:ascii="Times New Roman" w:hAnsi="Times New Roman" w:cs="Times New Roman" w:eastAsia="Times New Roman" w:hint="default"/>
        </w:rPr>
        <w:t>40%</w:t>
      </w:r>
      <w:r>
        <w:rPr/>
        <w:t>，杨博智、杨林、王志强三人持股</w:t>
      </w:r>
      <w:r>
        <w:rPr>
          <w:spacing w:val="-54"/>
        </w:rPr>
        <w:t> </w:t>
      </w:r>
      <w:r>
        <w:rPr>
          <w:rFonts w:ascii="Times New Roman" w:hAnsi="Times New Roman" w:cs="Times New Roman" w:eastAsia="Times New Roman" w:hint="default"/>
        </w:rPr>
        <w:t>60%</w:t>
      </w:r>
      <w:r>
        <w:rPr/>
        <w:t>。</w:t>
      </w:r>
    </w:p>
    <w:p>
      <w:pPr>
        <w:pStyle w:val="Heading4"/>
        <w:spacing w:line="386" w:lineRule="auto" w:before="35"/>
        <w:ind w:left="180" w:right="164" w:firstLine="420"/>
        <w:jc w:val="left"/>
      </w:pPr>
      <w:r>
        <w:rPr>
          <w:spacing w:val="-3"/>
        </w:rPr>
        <w:t>同时根据协议，本公司以货币</w:t>
      </w:r>
      <w:r>
        <w:rPr>
          <w:spacing w:val="-47"/>
        </w:rPr>
        <w:t> </w:t>
      </w:r>
      <w:r>
        <w:rPr>
          <w:rFonts w:ascii="Times New Roman" w:hAnsi="Times New Roman" w:cs="Times New Roman" w:eastAsia="Times New Roman" w:hint="default"/>
        </w:rPr>
        <w:t>600</w:t>
      </w:r>
      <w:r>
        <w:rPr>
          <w:rFonts w:ascii="Times New Roman" w:hAnsi="Times New Roman" w:cs="Times New Roman" w:eastAsia="Times New Roman" w:hint="default"/>
          <w:spacing w:val="4"/>
        </w:rPr>
        <w:t> </w:t>
      </w:r>
      <w:r>
        <w:rPr>
          <w:spacing w:val="-3"/>
        </w:rPr>
        <w:t>万元受让杨博智、杨林、王志强三人持有的武汉落地</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6"/>
        </w:rPr>
        <w:t>的股权（即：杨博智、杨林、王志强三人持股</w:t>
      </w:r>
      <w:r>
        <w:rPr>
          <w:spacing w:val="-47"/>
        </w:rPr>
        <w:t> </w:t>
      </w:r>
      <w:r>
        <w:rPr>
          <w:rFonts w:ascii="Times New Roman" w:hAnsi="Times New Roman" w:cs="Times New Roman" w:eastAsia="Times New Roman" w:hint="default"/>
        </w:rPr>
        <w:t>60%</w:t>
      </w:r>
      <w:r>
        <w:rPr/>
        <w:t>的</w:t>
      </w:r>
      <w:r>
        <w:rPr>
          <w:spacing w:val="-48"/>
        </w:rPr>
        <w:t> </w:t>
      </w:r>
      <w:r>
        <w:rPr>
          <w:rFonts w:ascii="Times New Roman" w:hAnsi="Times New Roman" w:cs="Times New Roman" w:eastAsia="Times New Roman" w:hint="default"/>
        </w:rPr>
        <w:t>1/3</w:t>
      </w:r>
      <w:r>
        <w:rPr/>
        <w:t>， 为武汉落地</w:t>
      </w:r>
      <w:r>
        <w:rPr>
          <w:spacing w:val="-50"/>
        </w:rPr>
        <w:t> </w:t>
      </w:r>
      <w:r>
        <w:rPr>
          <w:rFonts w:ascii="Times New Roman" w:hAnsi="Times New Roman" w:cs="Times New Roman" w:eastAsia="Times New Roman" w:hint="default"/>
          <w:spacing w:val="-5"/>
        </w:rPr>
        <w:t>20%</w:t>
      </w:r>
      <w:r>
        <w:rPr>
          <w:spacing w:val="-5"/>
        </w:rPr>
        <w:t>的股权）。协议约定：本公司首期支付该三人</w:t>
      </w:r>
      <w:r>
        <w:rPr>
          <w:spacing w:val="-50"/>
        </w:rPr>
        <w:t> </w:t>
      </w:r>
      <w:r>
        <w:rPr>
          <w:rFonts w:ascii="Times New Roman" w:hAnsi="Times New Roman" w:cs="Times New Roman" w:eastAsia="Times New Roman" w:hint="default"/>
        </w:rPr>
        <w:t>400</w:t>
      </w:r>
      <w:r>
        <w:rPr>
          <w:rFonts w:ascii="Times New Roman" w:hAnsi="Times New Roman" w:cs="Times New Roman" w:eastAsia="Times New Roman" w:hint="default"/>
          <w:spacing w:val="3"/>
        </w:rPr>
        <w:t> </w:t>
      </w:r>
      <w:r>
        <w:rPr>
          <w:spacing w:val="-2"/>
        </w:rPr>
        <w:t>万元，剩余</w:t>
      </w:r>
      <w:r>
        <w:rPr>
          <w:spacing w:val="-49"/>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spacing w:val="-1"/>
        </w:rPr>
        <w:t>万元于本协议签订并生效后的第二年的会计年度完成后的</w:t>
      </w:r>
      <w:r>
        <w:rPr>
          <w:spacing w:val="-49"/>
        </w:rPr>
        <w:t> </w:t>
      </w:r>
      <w:r>
        <w:rPr>
          <w:rFonts w:ascii="Times New Roman" w:hAnsi="Times New Roman" w:cs="Times New Roman" w:eastAsia="Times New Roman" w:hint="default"/>
          <w:spacing w:val="-1"/>
        </w:rPr>
        <w:t>60</w:t>
      </w:r>
      <w:r>
        <w:rPr>
          <w:rFonts w:ascii="Times New Roman" w:hAnsi="Times New Roman" w:cs="Times New Roman" w:eastAsia="Times New Roman" w:hint="default"/>
          <w:spacing w:val="3"/>
        </w:rPr>
        <w:t> </w:t>
      </w:r>
      <w:r>
        <w:rPr>
          <w:spacing w:val="-2"/>
        </w:rPr>
        <w:t>日内，根</w:t>
      </w:r>
      <w:r>
        <w:rPr>
          <w:spacing w:val="-99"/>
        </w:rPr>
        <w:t> </w:t>
      </w:r>
      <w:r>
        <w:rPr>
          <w:spacing w:val="-99"/>
        </w:rPr>
      </w:r>
      <w:r>
        <w:rPr/>
        <w:t>据本协议约定的武汉落地的业绩完成情况，按照确定的结算金额支付给杨博智、杨林、王志强三人。</w:t>
      </w:r>
    </w:p>
    <w:p>
      <w:pPr>
        <w:pStyle w:val="Heading4"/>
        <w:spacing w:line="240" w:lineRule="auto" w:before="65"/>
        <w:ind w:left="600" w:right="268"/>
        <w:jc w:val="left"/>
      </w:pPr>
      <w:r>
        <w:rPr/>
        <w:t>增资与受让股权后，本公司合计持有武汉落地</w:t>
      </w:r>
      <w:r>
        <w:rPr>
          <w:spacing w:val="-52"/>
        </w:rPr>
        <w:t> </w:t>
      </w:r>
      <w:r>
        <w:rPr>
          <w:rFonts w:ascii="Times New Roman" w:hAnsi="Times New Roman" w:cs="Times New Roman" w:eastAsia="Times New Roman" w:hint="default"/>
        </w:rPr>
        <w:t>60%</w:t>
      </w:r>
      <w:r>
        <w:rPr/>
        <w:t>的股权。</w:t>
      </w:r>
    </w:p>
    <w:p>
      <w:pPr>
        <w:pStyle w:val="Heading4"/>
        <w:spacing w:line="240" w:lineRule="auto" w:before="177"/>
        <w:ind w:left="600" w:right="26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日，武汉落地完成工商变更手续，将其纳入合并范围。</w:t>
      </w:r>
    </w:p>
    <w:p>
      <w:pPr>
        <w:pStyle w:val="Heading4"/>
        <w:spacing w:line="240" w:lineRule="auto" w:before="177"/>
        <w:ind w:left="600" w:right="164"/>
        <w:jc w:val="left"/>
      </w:pPr>
      <w:r>
        <w:rPr>
          <w:rFonts w:ascii="Times New Roman" w:hAnsi="Times New Roman" w:cs="Times New Roman" w:eastAsia="Times New Roman" w:hint="default"/>
        </w:rPr>
        <w:t>2</w:t>
      </w:r>
      <w:r>
        <w:rPr/>
        <w:t>、武汉良拓系由本公司、朱佳和徐欢共同出资设立，注册资本为人民币</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万元。其中本公司以货币认缴注册资本</w:t>
      </w:r>
      <w:r>
        <w:rPr>
          <w:spacing w:val="-58"/>
        </w:rPr>
        <w:t> </w:t>
      </w:r>
      <w:r>
        <w:rPr>
          <w:rFonts w:ascii="Times New Roman" w:hAnsi="Times New Roman" w:cs="Times New Roman" w:eastAsia="Times New Roman" w:hint="default"/>
        </w:rPr>
        <w:t>60</w:t>
      </w:r>
      <w:r>
        <w:rPr>
          <w:rFonts w:ascii="Times New Roman" w:hAnsi="Times New Roman" w:cs="Times New Roman" w:eastAsia="Times New Roman" w:hint="default"/>
          <w:spacing w:val="-5"/>
        </w:rPr>
        <w:t> </w:t>
      </w:r>
      <w:r>
        <w:rPr/>
        <w:t>万元，占比</w:t>
      </w:r>
      <w:r>
        <w:rPr>
          <w:spacing w:val="-58"/>
        </w:rPr>
        <w:t> </w:t>
      </w:r>
      <w:r>
        <w:rPr>
          <w:rFonts w:ascii="Times New Roman" w:hAnsi="Times New Roman" w:cs="Times New Roman" w:eastAsia="Times New Roman" w:hint="default"/>
        </w:rPr>
        <w:t>60%</w:t>
      </w:r>
      <w:r>
        <w:rPr/>
        <w:t>；朱佳以货</w:t>
      </w:r>
    </w:p>
    <w:p>
      <w:pPr>
        <w:pStyle w:val="Heading4"/>
        <w:spacing w:line="386" w:lineRule="auto" w:before="177"/>
        <w:ind w:left="180" w:right="268"/>
        <w:jc w:val="left"/>
      </w:pPr>
      <w:r>
        <w:rPr/>
        <w:t>币认缴注册资本</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万元，占比</w:t>
      </w:r>
      <w:r>
        <w:rPr>
          <w:spacing w:val="-57"/>
        </w:rPr>
        <w:t> </w:t>
      </w:r>
      <w:r>
        <w:rPr>
          <w:rFonts w:ascii="Times New Roman" w:hAnsi="Times New Roman" w:cs="Times New Roman" w:eastAsia="Times New Roman" w:hint="default"/>
        </w:rPr>
        <w:t>20%</w:t>
      </w:r>
      <w:r>
        <w:rPr/>
        <w:t>；徐欢以货币认缴注册资本</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万元，占比</w:t>
      </w:r>
      <w:r>
        <w:rPr>
          <w:spacing w:val="-56"/>
        </w:rPr>
        <w:t> </w:t>
      </w:r>
      <w:r>
        <w:rPr>
          <w:rFonts w:ascii="Times New Roman" w:hAnsi="Times New Roman" w:cs="Times New Roman" w:eastAsia="Times New Roman" w:hint="default"/>
        </w:rPr>
        <w:t>20%</w:t>
      </w:r>
      <w:r>
        <w:rPr/>
        <w:t>。截至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日止，武汉良拓实收资本</w:t>
      </w:r>
      <w:r>
        <w:rPr>
          <w:spacing w:val="-57"/>
        </w:rPr>
        <w:t> </w:t>
      </w:r>
      <w:r>
        <w:rPr>
          <w:rFonts w:ascii="Times New Roman" w:hAnsi="Times New Roman" w:cs="Times New Roman" w:eastAsia="Times New Roman" w:hint="default"/>
        </w:rPr>
        <w:t>70</w:t>
      </w:r>
      <w:r>
        <w:rPr>
          <w:rFonts w:ascii="Times New Roman" w:hAnsi="Times New Roman" w:cs="Times New Roman" w:eastAsia="Times New Roman" w:hint="default"/>
          <w:spacing w:val="-4"/>
        </w:rPr>
        <w:t> </w:t>
      </w:r>
      <w:r>
        <w:rPr/>
        <w:t>万元，其中本公 司以货币</w:t>
      </w:r>
      <w:r>
        <w:rPr>
          <w:spacing w:val="-54"/>
        </w:rPr>
        <w:t> </w:t>
      </w:r>
      <w:r>
        <w:rPr>
          <w:rFonts w:ascii="Times New Roman" w:hAnsi="Times New Roman" w:cs="Times New Roman" w:eastAsia="Times New Roman" w:hint="default"/>
        </w:rPr>
        <w:t>60</w:t>
      </w:r>
      <w:r>
        <w:rPr>
          <w:rFonts w:ascii="Times New Roman" w:hAnsi="Times New Roman" w:cs="Times New Roman" w:eastAsia="Times New Roman" w:hint="default"/>
          <w:spacing w:val="-2"/>
        </w:rPr>
        <w:t> </w:t>
      </w:r>
      <w:r>
        <w:rPr/>
        <w:t>万元出资，占比</w:t>
      </w:r>
      <w:r>
        <w:rPr>
          <w:spacing w:val="-53"/>
        </w:rPr>
        <w:t> </w:t>
      </w:r>
      <w:r>
        <w:rPr>
          <w:rFonts w:ascii="Times New Roman" w:hAnsi="Times New Roman" w:cs="Times New Roman" w:eastAsia="Times New Roman" w:hint="default"/>
        </w:rPr>
        <w:t>85.7143%</w:t>
      </w:r>
      <w:r>
        <w:rPr/>
        <w:t>；朱佳以货币</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万元出资，占比</w:t>
      </w:r>
      <w:r>
        <w:rPr>
          <w:spacing w:val="-54"/>
        </w:rPr>
        <w:t> </w:t>
      </w:r>
      <w:r>
        <w:rPr>
          <w:rFonts w:ascii="Times New Roman" w:hAnsi="Times New Roman" w:cs="Times New Roman" w:eastAsia="Times New Roman" w:hint="default"/>
        </w:rPr>
        <w:t>14.2857%</w:t>
      </w:r>
      <w:r>
        <w:rPr/>
        <w:t>。</w:t>
      </w:r>
    </w:p>
    <w:p>
      <w:pPr>
        <w:spacing w:after="0" w:line="386" w:lineRule="auto"/>
        <w:jc w:val="left"/>
        <w:sectPr>
          <w:pgSz w:w="16840" w:h="11910" w:orient="landscape"/>
          <w:pgMar w:header="867" w:footer="979" w:top="1060" w:bottom="1160" w:left="1260" w:right="126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72"/>
        <w:ind w:left="560" w:right="164"/>
        <w:jc w:val="left"/>
      </w:pPr>
      <w:r>
        <w:rPr>
          <w:rFonts w:ascii="Times New Roman" w:hAnsi="Times New Roman" w:cs="Times New Roman" w:eastAsia="Times New Roman" w:hint="default"/>
          <w:spacing w:val="-4"/>
        </w:rPr>
        <w:t>3</w:t>
      </w:r>
      <w:r>
        <w:rPr>
          <w:spacing w:val="-4"/>
        </w:rPr>
        <w:t>、高投金运系由本公司、湖北省高新技术产业投资有限公司（以下简称</w:t>
      </w:r>
      <w:r>
        <w:rPr>
          <w:rFonts w:ascii="Times New Roman" w:hAnsi="Times New Roman" w:cs="Times New Roman" w:eastAsia="Times New Roman" w:hint="default"/>
          <w:spacing w:val="-4"/>
        </w:rPr>
        <w:t>“</w:t>
      </w:r>
      <w:r>
        <w:rPr>
          <w:spacing w:val="-4"/>
        </w:rPr>
        <w:t>湖北高新投</w:t>
      </w:r>
      <w:r>
        <w:rPr>
          <w:rFonts w:ascii="Times New Roman" w:hAnsi="Times New Roman" w:cs="Times New Roman" w:eastAsia="Times New Roman" w:hint="default"/>
          <w:spacing w:val="-4"/>
        </w:rPr>
        <w:t>”</w:t>
      </w:r>
      <w:r>
        <w:rPr>
          <w:spacing w:val="-4"/>
        </w:rPr>
        <w:t>）和专业管理团队共同出资设立，注册资本为人民币 </w:t>
      </w:r>
      <w:r>
        <w:rPr>
          <w:rFonts w:ascii="Times New Roman" w:hAnsi="Times New Roman" w:cs="Times New Roman" w:eastAsia="Times New Roman" w:hint="default"/>
        </w:rPr>
        <w:t>425</w:t>
      </w:r>
      <w:r>
        <w:rPr>
          <w:rFonts w:ascii="Times New Roman" w:hAnsi="Times New Roman" w:cs="Times New Roman" w:eastAsia="Times New Roman" w:hint="default"/>
          <w:spacing w:val="8"/>
        </w:rPr>
        <w:t> </w:t>
      </w:r>
      <w:r>
        <w:rPr/>
        <w:t>万元。</w:t>
      </w:r>
    </w:p>
    <w:p>
      <w:pPr>
        <w:pStyle w:val="Heading4"/>
        <w:spacing w:line="240" w:lineRule="auto" w:before="177"/>
        <w:ind w:left="139" w:right="268"/>
        <w:jc w:val="left"/>
        <w:rPr>
          <w:rFonts w:ascii="Times New Roman" w:hAnsi="Times New Roman" w:cs="Times New Roman" w:eastAsia="Times New Roman" w:hint="default"/>
        </w:rPr>
      </w:pPr>
      <w:r>
        <w:rPr/>
        <w:t>其中本公司以货币认缴注册资本</w:t>
      </w:r>
      <w:r>
        <w:rPr>
          <w:spacing w:val="-59"/>
        </w:rPr>
        <w:t> </w:t>
      </w:r>
      <w:r>
        <w:rPr>
          <w:rFonts w:ascii="Times New Roman" w:hAnsi="Times New Roman" w:cs="Times New Roman" w:eastAsia="Times New Roman" w:hint="default"/>
        </w:rPr>
        <w:t>170</w:t>
      </w:r>
      <w:r>
        <w:rPr>
          <w:rFonts w:ascii="Times New Roman" w:hAnsi="Times New Roman" w:cs="Times New Roman" w:eastAsia="Times New Roman" w:hint="default"/>
          <w:spacing w:val="-7"/>
        </w:rPr>
        <w:t> </w:t>
      </w:r>
      <w:r>
        <w:rPr>
          <w:spacing w:val="-5"/>
        </w:rPr>
        <w:t>万元，占比</w:t>
      </w:r>
      <w:r>
        <w:rPr>
          <w:spacing w:val="-60"/>
        </w:rPr>
        <w:t> </w:t>
      </w:r>
      <w:r>
        <w:rPr>
          <w:rFonts w:ascii="Times New Roman" w:hAnsi="Times New Roman" w:cs="Times New Roman" w:eastAsia="Times New Roman" w:hint="default"/>
        </w:rPr>
        <w:t>40%</w:t>
      </w:r>
      <w:r>
        <w:rPr/>
        <w:t>；湖北高新投以货币认缴注册资本</w:t>
      </w:r>
      <w:r>
        <w:rPr>
          <w:spacing w:val="-59"/>
        </w:rPr>
        <w:t> </w:t>
      </w:r>
      <w:r>
        <w:rPr>
          <w:rFonts w:ascii="Times New Roman" w:hAnsi="Times New Roman" w:cs="Times New Roman" w:eastAsia="Times New Roman" w:hint="default"/>
        </w:rPr>
        <w:t>127.5</w:t>
      </w:r>
      <w:r>
        <w:rPr>
          <w:rFonts w:ascii="Times New Roman" w:hAnsi="Times New Roman" w:cs="Times New Roman" w:eastAsia="Times New Roman" w:hint="default"/>
          <w:spacing w:val="-8"/>
        </w:rPr>
        <w:t> </w:t>
      </w:r>
      <w:r>
        <w:rPr>
          <w:spacing w:val="-5"/>
        </w:rPr>
        <w:t>万元，占比</w:t>
      </w:r>
      <w:r>
        <w:rPr>
          <w:spacing w:val="-60"/>
        </w:rPr>
        <w:t> </w:t>
      </w:r>
      <w:r>
        <w:rPr>
          <w:rFonts w:ascii="Times New Roman" w:hAnsi="Times New Roman" w:cs="Times New Roman" w:eastAsia="Times New Roman" w:hint="default"/>
        </w:rPr>
        <w:t>30%</w:t>
      </w:r>
      <w:r>
        <w:rPr/>
        <w:t>；专业管理团队以货币认缴注册资本</w:t>
      </w:r>
      <w:r>
        <w:rPr>
          <w:spacing w:val="-59"/>
        </w:rPr>
        <w:t> </w:t>
      </w:r>
      <w:r>
        <w:rPr>
          <w:rFonts w:ascii="Times New Roman" w:hAnsi="Times New Roman" w:cs="Times New Roman" w:eastAsia="Times New Roman" w:hint="default"/>
        </w:rPr>
        <w:t>127.5</w:t>
      </w:r>
    </w:p>
    <w:p>
      <w:pPr>
        <w:pStyle w:val="Heading4"/>
        <w:spacing w:line="386" w:lineRule="auto" w:before="177"/>
        <w:ind w:left="140" w:right="268"/>
        <w:jc w:val="left"/>
      </w:pPr>
      <w:r>
        <w:rPr/>
        <w:t>万元，占比</w:t>
      </w:r>
      <w:r>
        <w:rPr>
          <w:spacing w:val="-54"/>
        </w:rPr>
        <w:t> </w:t>
      </w:r>
      <w:r>
        <w:rPr>
          <w:rFonts w:ascii="Times New Roman" w:hAnsi="Times New Roman" w:cs="Times New Roman" w:eastAsia="Times New Roman" w:hint="default"/>
        </w:rPr>
        <w:t>30%</w:t>
      </w:r>
      <w:r>
        <w:rPr/>
        <w:t>。截至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日止，高投金运实收资本</w:t>
      </w:r>
      <w:r>
        <w:rPr>
          <w:spacing w:val="-54"/>
        </w:rPr>
        <w:t> </w:t>
      </w:r>
      <w:r>
        <w:rPr>
          <w:rFonts w:ascii="Times New Roman" w:hAnsi="Times New Roman" w:cs="Times New Roman" w:eastAsia="Times New Roman" w:hint="default"/>
        </w:rPr>
        <w:t>212.5</w:t>
      </w:r>
      <w:r>
        <w:rPr>
          <w:rFonts w:ascii="Times New Roman" w:hAnsi="Times New Roman" w:cs="Times New Roman" w:eastAsia="Times New Roman" w:hint="default"/>
          <w:spacing w:val="-1"/>
        </w:rPr>
        <w:t> </w:t>
      </w:r>
      <w:r>
        <w:rPr/>
        <w:t>万元，其中本公司以货币</w:t>
      </w:r>
      <w:r>
        <w:rPr>
          <w:spacing w:val="-53"/>
        </w:rPr>
        <w:t> </w:t>
      </w:r>
      <w:r>
        <w:rPr>
          <w:rFonts w:ascii="Times New Roman" w:hAnsi="Times New Roman" w:cs="Times New Roman" w:eastAsia="Times New Roman" w:hint="default"/>
        </w:rPr>
        <w:t>85</w:t>
      </w:r>
      <w:r>
        <w:rPr>
          <w:rFonts w:ascii="Times New Roman" w:hAnsi="Times New Roman" w:cs="Times New Roman" w:eastAsia="Times New Roman" w:hint="default"/>
          <w:spacing w:val="-2"/>
        </w:rPr>
        <w:t> </w:t>
      </w:r>
      <w:r>
        <w:rPr/>
        <w:t>万元出资，占比</w:t>
      </w:r>
      <w:r>
        <w:rPr>
          <w:spacing w:val="-54"/>
        </w:rPr>
        <w:t> </w:t>
      </w:r>
      <w:r>
        <w:rPr>
          <w:rFonts w:ascii="Times New Roman" w:hAnsi="Times New Roman" w:cs="Times New Roman" w:eastAsia="Times New Roman" w:hint="default"/>
        </w:rPr>
        <w:t>40%</w:t>
      </w:r>
      <w:r>
        <w:rPr/>
        <w:t>；湖北高新投以货币</w:t>
      </w:r>
      <w:r>
        <w:rPr>
          <w:spacing w:val="-53"/>
        </w:rPr>
        <w:t> </w:t>
      </w:r>
      <w:r>
        <w:rPr>
          <w:rFonts w:ascii="Times New Roman" w:hAnsi="Times New Roman" w:cs="Times New Roman" w:eastAsia="Times New Roman" w:hint="default"/>
        </w:rPr>
        <w:t>21.25</w:t>
      </w:r>
      <w:r>
        <w:rPr>
          <w:rFonts w:ascii="Times New Roman" w:hAnsi="Times New Roman" w:cs="Times New Roman" w:eastAsia="Times New Roman" w:hint="default"/>
          <w:spacing w:val="-2"/>
        </w:rPr>
        <w:t> </w:t>
      </w:r>
      <w:r>
        <w:rPr/>
        <w:t>万 元出资，占比</w:t>
      </w:r>
      <w:r>
        <w:rPr>
          <w:spacing w:val="-54"/>
        </w:rPr>
        <w:t> </w:t>
      </w:r>
      <w:r>
        <w:rPr>
          <w:rFonts w:ascii="Times New Roman" w:hAnsi="Times New Roman" w:cs="Times New Roman" w:eastAsia="Times New Roman" w:hint="default"/>
        </w:rPr>
        <w:t>10%</w:t>
      </w:r>
      <w:r>
        <w:rPr/>
        <w:t>；专业管理团队佟德瑞和钱斌分别以货币</w:t>
      </w:r>
      <w:r>
        <w:rPr>
          <w:spacing w:val="-54"/>
        </w:rPr>
        <w:t> </w:t>
      </w:r>
      <w:r>
        <w:rPr>
          <w:rFonts w:ascii="Times New Roman" w:hAnsi="Times New Roman" w:cs="Times New Roman" w:eastAsia="Times New Roman" w:hint="default"/>
        </w:rPr>
        <w:t>63.75</w:t>
      </w:r>
      <w:r>
        <w:rPr>
          <w:rFonts w:ascii="Times New Roman" w:hAnsi="Times New Roman" w:cs="Times New Roman" w:eastAsia="Times New Roman" w:hint="default"/>
          <w:spacing w:val="-1"/>
        </w:rPr>
        <w:t> </w:t>
      </w:r>
      <w:r>
        <w:rPr/>
        <w:t>万元和</w:t>
      </w:r>
      <w:r>
        <w:rPr>
          <w:spacing w:val="-54"/>
        </w:rPr>
        <w:t> </w:t>
      </w:r>
      <w:r>
        <w:rPr>
          <w:rFonts w:ascii="Times New Roman" w:hAnsi="Times New Roman" w:cs="Times New Roman" w:eastAsia="Times New Roman" w:hint="default"/>
        </w:rPr>
        <w:t>42.5</w:t>
      </w:r>
      <w:r>
        <w:rPr>
          <w:rFonts w:ascii="Times New Roman" w:hAnsi="Times New Roman" w:cs="Times New Roman" w:eastAsia="Times New Roman" w:hint="default"/>
          <w:spacing w:val="-1"/>
        </w:rPr>
        <w:t> </w:t>
      </w:r>
      <w:r>
        <w:rPr/>
        <w:t>万元出资，分别占比</w:t>
      </w:r>
      <w:r>
        <w:rPr>
          <w:spacing w:val="-54"/>
        </w:rPr>
        <w:t> </w:t>
      </w:r>
      <w:r>
        <w:rPr>
          <w:rFonts w:ascii="Times New Roman" w:hAnsi="Times New Roman" w:cs="Times New Roman" w:eastAsia="Times New Roman" w:hint="default"/>
        </w:rPr>
        <w:t>30%</w:t>
      </w:r>
      <w:r>
        <w:rPr/>
        <w:t>和</w:t>
      </w:r>
      <w:r>
        <w:rPr>
          <w:spacing w:val="-54"/>
        </w:rPr>
        <w:t> </w:t>
      </w:r>
      <w:r>
        <w:rPr>
          <w:rFonts w:ascii="Times New Roman" w:hAnsi="Times New Roman" w:cs="Times New Roman" w:eastAsia="Times New Roman" w:hint="default"/>
        </w:rPr>
        <w:t>20%</w:t>
      </w:r>
      <w:r>
        <w:rPr/>
        <w:t>。</w:t>
      </w:r>
    </w:p>
    <w:p>
      <w:pPr>
        <w:pStyle w:val="Heading4"/>
        <w:spacing w:line="240" w:lineRule="auto" w:before="35"/>
        <w:ind w:left="560" w:right="268"/>
        <w:jc w:val="left"/>
      </w:pPr>
      <w:r>
        <w:rPr>
          <w:rFonts w:ascii="Times New Roman" w:hAnsi="Times New Roman" w:cs="Times New Roman" w:eastAsia="Times New Roman" w:hint="default"/>
        </w:rPr>
        <w:t>4</w:t>
      </w:r>
      <w:r>
        <w:rPr/>
        <w:t>、高汇科技于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月在香港成立，系本公司的全资境外子公司，注册资本</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万元港币。截至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日止，本公司尚未实际出资。</w:t>
      </w:r>
    </w:p>
    <w:p>
      <w:pPr>
        <w:pStyle w:val="Heading4"/>
        <w:spacing w:line="386" w:lineRule="auto" w:before="177"/>
        <w:ind w:left="139" w:right="0" w:firstLine="409"/>
        <w:jc w:val="left"/>
      </w:pPr>
      <w:r>
        <w:rPr>
          <w:rFonts w:ascii="Times New Roman" w:hAnsi="Times New Roman" w:cs="Times New Roman" w:eastAsia="Times New Roman" w:hint="default"/>
        </w:rPr>
        <w:t>5</w:t>
      </w:r>
      <w:r>
        <w:rPr/>
        <w:t>、长沙落地系由武汉落地和何劲鹏共同出资设立，注册资本</w:t>
      </w:r>
      <w:r>
        <w:rPr>
          <w:rFonts w:ascii="Times New Roman" w:hAnsi="Times New Roman" w:cs="Times New Roman" w:eastAsia="Times New Roman" w:hint="default"/>
        </w:rPr>
        <w:t>200</w:t>
      </w:r>
      <w:r>
        <w:rPr/>
        <w:t>万元。其中武汉落地以货币认缴注册资本</w:t>
      </w:r>
      <w:r>
        <w:rPr>
          <w:rFonts w:ascii="Times New Roman" w:hAnsi="Times New Roman" w:cs="Times New Roman" w:eastAsia="Times New Roman" w:hint="default"/>
        </w:rPr>
        <w:t>120</w:t>
      </w:r>
      <w:r>
        <w:rPr/>
        <w:t>万元，占比</w:t>
      </w:r>
      <w:r>
        <w:rPr>
          <w:rFonts w:ascii="Times New Roman" w:hAnsi="Times New Roman" w:cs="Times New Roman" w:eastAsia="Times New Roman" w:hint="default"/>
        </w:rPr>
        <w:t>60%</w:t>
      </w:r>
      <w:r>
        <w:rPr/>
        <w:t>；何劲鹏以货币认缴注 </w:t>
      </w:r>
      <w:r>
        <w:rPr>
          <w:spacing w:val="-1"/>
        </w:rPr>
        <w:t>册资本</w:t>
      </w:r>
      <w:r>
        <w:rPr>
          <w:rFonts w:ascii="Times New Roman" w:hAnsi="Times New Roman" w:cs="Times New Roman" w:eastAsia="Times New Roman" w:hint="default"/>
          <w:spacing w:val="-1"/>
        </w:rPr>
        <w:t>80</w:t>
      </w:r>
      <w:r>
        <w:rPr>
          <w:spacing w:val="-1"/>
        </w:rPr>
        <w:t>万元，占比</w:t>
      </w:r>
      <w:r>
        <w:rPr>
          <w:rFonts w:ascii="Times New Roman" w:hAnsi="Times New Roman" w:cs="Times New Roman" w:eastAsia="Times New Roman" w:hint="default"/>
          <w:spacing w:val="-1"/>
        </w:rPr>
        <w:t>40%</w:t>
      </w:r>
      <w:r>
        <w:rPr>
          <w:spacing w:val="-1"/>
        </w:rPr>
        <w:t>。截至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日止，长沙落地实收资本</w:t>
      </w:r>
      <w:r>
        <w:rPr>
          <w:rFonts w:ascii="Times New Roman" w:hAnsi="Times New Roman" w:cs="Times New Roman" w:eastAsia="Times New Roman" w:hint="default"/>
          <w:spacing w:val="-1"/>
        </w:rPr>
        <w:t>120</w:t>
      </w:r>
      <w:r>
        <w:rPr>
          <w:spacing w:val="-1"/>
        </w:rPr>
        <w:t>万元，其中武汉落地以货币</w:t>
      </w:r>
      <w:r>
        <w:rPr>
          <w:rFonts w:ascii="Times New Roman" w:hAnsi="Times New Roman" w:cs="Times New Roman" w:eastAsia="Times New Roman" w:hint="default"/>
          <w:spacing w:val="-1"/>
        </w:rPr>
        <w:t>72</w:t>
      </w:r>
      <w:r>
        <w:rPr>
          <w:spacing w:val="-1"/>
        </w:rPr>
        <w:t>万元出资，占比</w:t>
      </w:r>
      <w:r>
        <w:rPr>
          <w:rFonts w:ascii="Times New Roman" w:hAnsi="Times New Roman" w:cs="Times New Roman" w:eastAsia="Times New Roman" w:hint="default"/>
          <w:spacing w:val="-1"/>
        </w:rPr>
        <w:t>60%</w:t>
      </w:r>
      <w:r>
        <w:rPr>
          <w:spacing w:val="-1"/>
        </w:rPr>
        <w:t>，何劲鹏以货币</w:t>
      </w:r>
      <w:r>
        <w:rPr>
          <w:rFonts w:ascii="Times New Roman" w:hAnsi="Times New Roman" w:cs="Times New Roman" w:eastAsia="Times New Roman" w:hint="default"/>
          <w:spacing w:val="-1"/>
        </w:rPr>
        <w:t>48</w:t>
      </w:r>
      <w:r>
        <w:rPr>
          <w:spacing w:val="-1"/>
        </w:rPr>
        <w:t>万元出资，</w:t>
      </w:r>
      <w:r>
        <w:rPr>
          <w:spacing w:val="-89"/>
        </w:rPr>
        <w:t> </w:t>
      </w:r>
      <w:r>
        <w:rPr>
          <w:spacing w:val="-89"/>
        </w:rPr>
      </w:r>
      <w:r>
        <w:rPr/>
        <w:t>占比</w:t>
      </w:r>
      <w:r>
        <w:rPr>
          <w:rFonts w:ascii="Times New Roman" w:hAnsi="Times New Roman" w:cs="Times New Roman" w:eastAsia="Times New Roman" w:hint="default"/>
        </w:rPr>
        <w:t>40%</w:t>
      </w:r>
      <w:r>
        <w:rPr/>
        <w:t>。</w:t>
      </w:r>
    </w:p>
    <w:p>
      <w:pPr>
        <w:pStyle w:val="Heading4"/>
        <w:spacing w:line="386" w:lineRule="auto" w:before="36"/>
        <w:ind w:left="140" w:right="164" w:firstLine="409"/>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日，本公司之控股子公司鞍山万隆取得鞍山市工商行政管理局高新技术产业开发区分局《企业注销核准通知书》，自注销日起，鞍山</w:t>
      </w:r>
      <w:r>
        <w:rPr/>
        <w:t> 万隆不再纳入合并范围。</w:t>
      </w:r>
    </w:p>
    <w:p>
      <w:pPr>
        <w:pStyle w:val="Heading4"/>
        <w:spacing w:line="386" w:lineRule="auto" w:before="65"/>
        <w:ind w:left="139" w:right="164" w:firstLine="409"/>
        <w:jc w:val="left"/>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日，本公司之全资子公司盛兴业取得武汉市工商行政管理局东湖新技术开发区分局《企业注销核准通知书》，自注销日起，盛兴业不</w:t>
      </w:r>
      <w:r>
        <w:rPr/>
        <w:t> 再纳入合并范围。</w:t>
      </w:r>
    </w:p>
    <w:p>
      <w:pPr>
        <w:spacing w:line="240" w:lineRule="auto" w:before="11"/>
        <w:rPr>
          <w:rFonts w:ascii="宋体" w:hAnsi="宋体" w:cs="宋体" w:eastAsia="宋体" w:hint="default"/>
          <w:sz w:val="28"/>
          <w:szCs w:val="28"/>
        </w:rPr>
      </w:pPr>
    </w:p>
    <w:p>
      <w:pPr>
        <w:pStyle w:val="Heading4"/>
        <w:spacing w:line="240" w:lineRule="auto"/>
        <w:ind w:left="139" w:right="268"/>
        <w:jc w:val="left"/>
      </w:pPr>
      <w:r>
        <w:rPr/>
        <w:t>报告期内取得和处置子公司的情况</w:t>
      </w:r>
    </w:p>
    <w:p>
      <w:pPr>
        <w:spacing w:line="240" w:lineRule="auto" w:before="12"/>
        <w:rPr>
          <w:rFonts w:ascii="宋体" w:hAnsi="宋体" w:cs="宋体" w:eastAsia="宋体" w:hint="default"/>
          <w:sz w:val="17"/>
          <w:szCs w:val="17"/>
        </w:rPr>
      </w:pPr>
    </w:p>
    <w:p>
      <w:pPr>
        <w:pStyle w:val="Heading4"/>
        <w:spacing w:line="240" w:lineRule="auto"/>
        <w:ind w:left="139" w:right="2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503"/>
        <w:gridCol w:w="3330"/>
        <w:gridCol w:w="3261"/>
        <w:gridCol w:w="3921"/>
      </w:tblGrid>
      <w:tr>
        <w:trPr>
          <w:trHeight w:val="402" w:hRule="exact"/>
        </w:trPr>
        <w:tc>
          <w:tcPr>
            <w:tcW w:w="35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9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64"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3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武汉落地创意文化传播有限公司</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可进一步贴近用户市场，完善区域的产品 和技术服务。</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本期收购</w:t>
            </w:r>
          </w:p>
        </w:tc>
        <w:tc>
          <w:tcPr>
            <w:tcW w:w="392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有利于公司品牌和市场的推广，符合公司的长期 利益。</w:t>
            </w:r>
          </w:p>
        </w:tc>
      </w:tr>
      <w:tr>
        <w:trPr>
          <w:trHeight w:val="714" w:hRule="exact"/>
        </w:trPr>
        <w:tc>
          <w:tcPr>
            <w:tcW w:w="3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长沙落地创意文化传播有限公司</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可进一步贴近用户市场，完善区域的产品 和技术服务。</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92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有利于公司品牌和市场的推广，符合公司的长期 利益。</w:t>
            </w:r>
          </w:p>
        </w:tc>
      </w:tr>
      <w:tr>
        <w:trPr>
          <w:trHeight w:val="714" w:hRule="exact"/>
        </w:trPr>
        <w:tc>
          <w:tcPr>
            <w:tcW w:w="3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武汉良拓工业设备有限公司</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可进一步贴近用户市场，完善区域的产品 和技术服务。</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92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有利于产品的质量管理和成本控制以及交付和维 护，符合公司的长期利益。</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300" w:right="1220"/>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18"/>
        <w:gridCol w:w="3330"/>
        <w:gridCol w:w="3261"/>
        <w:gridCol w:w="3923"/>
      </w:tblGrid>
      <w:tr>
        <w:trPr>
          <w:trHeight w:val="729" w:hRule="exact"/>
        </w:trPr>
        <w:tc>
          <w:tcPr>
            <w:tcW w:w="3518"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高汇科技（香港）有限公司</w:t>
            </w:r>
          </w:p>
        </w:tc>
        <w:tc>
          <w:tcPr>
            <w:tcW w:w="333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可针对区域市场特点提供针对性的产品和 市场布局。</w:t>
            </w:r>
          </w:p>
        </w:tc>
        <w:tc>
          <w:tcPr>
            <w:tcW w:w="32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923" w:type="dxa"/>
            <w:tcBorders>
              <w:top w:val="single" w:sz="15" w:space="0" w:color="000000"/>
              <w:left w:val="single" w:sz="4" w:space="0" w:color="000000"/>
              <w:bottom w:val="single" w:sz="4" w:space="0" w:color="000000"/>
              <w:right w:val="nil" w:sz="6" w:space="0" w:color="auto"/>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有利于扩充业务领域，完善产品服务能力，符合 公司的长期利益。</w:t>
            </w:r>
          </w:p>
        </w:tc>
      </w:tr>
      <w:tr>
        <w:trPr>
          <w:trHeight w:val="714"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湖北高投金运激光产业投资管理有限公司</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进一步完善股权类投资管理。</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923"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有利于公司品牌和市场的推广，符合公司的长期 利益。</w:t>
            </w:r>
          </w:p>
        </w:tc>
      </w:tr>
      <w:tr>
        <w:trPr>
          <w:trHeight w:val="714"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鞍山金运万隆激光工程有限公司</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公司设立后不能达到预期目的，综合考虑 决定注销该公司。</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923"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子公司实际运营时间短，除承担的投资亏损份额 外，对公司无其他影响。</w:t>
            </w:r>
          </w:p>
        </w:tc>
      </w:tr>
      <w:tr>
        <w:trPr>
          <w:trHeight w:val="714"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武汉盛兴业软件有限公司</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公司设立后不能达到预期目的，综合考虑 决定注销该公司。</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923"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子公司实际运营时间短，除承担的投资亏损份额 外，对公司无其他影响。</w:t>
            </w:r>
          </w:p>
        </w:tc>
      </w:tr>
    </w:tbl>
    <w:p>
      <w:pPr>
        <w:spacing w:line="240" w:lineRule="auto" w:before="2"/>
        <w:rPr>
          <w:rFonts w:ascii="宋体" w:hAnsi="宋体" w:cs="宋体" w:eastAsia="宋体" w:hint="default"/>
          <w:sz w:val="19"/>
          <w:szCs w:val="19"/>
        </w:rPr>
      </w:pPr>
    </w:p>
    <w:p>
      <w:pPr>
        <w:pStyle w:val="Heading3"/>
        <w:spacing w:line="240" w:lineRule="auto" w:before="35"/>
        <w:ind w:left="180" w:right="268"/>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180" w:right="2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6840" w:h="11910" w:orient="landscape"/>
          <w:pgMar w:header="867" w:footer="979" w:top="1060" w:bottom="1160" w:left="1260" w:right="126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6"/>
        <w:rPr>
          <w:rFonts w:ascii="宋体" w:hAnsi="宋体" w:cs="宋体" w:eastAsia="宋体" w:hint="default"/>
          <w:b/>
          <w:bCs/>
          <w:sz w:val="30"/>
          <w:szCs w:val="30"/>
        </w:rPr>
      </w:pPr>
    </w:p>
    <w:p>
      <w:pPr>
        <w:pStyle w:val="Heading4"/>
        <w:spacing w:line="386" w:lineRule="auto"/>
        <w:ind w:left="573" w:right="196"/>
        <w:jc w:val="left"/>
      </w:pPr>
      <w:r>
        <w:rPr>
          <w:rFonts w:ascii="Times New Roman" w:hAnsi="Times New Roman" w:cs="Times New Roman" w:eastAsia="Times New Roman" w:hint="default"/>
        </w:rPr>
        <w:t>1</w:t>
      </w:r>
      <w:r>
        <w:rPr/>
        <w:t>、行业发展趋势 </w:t>
      </w:r>
      <w:r>
        <w:rPr>
          <w:spacing w:val="-1"/>
        </w:rPr>
        <w:t>激光行业已形成完整、成熟的产业链分布。随着激光技术的进步，激光行业必将延续其快速发展的步</w:t>
      </w:r>
    </w:p>
    <w:p>
      <w:pPr>
        <w:pStyle w:val="Heading4"/>
        <w:spacing w:line="398" w:lineRule="auto" w:before="65"/>
        <w:ind w:right="208"/>
        <w:jc w:val="both"/>
      </w:pPr>
      <w:r>
        <w:rPr>
          <w:spacing w:val="-1"/>
        </w:rPr>
        <w:t>伐。但未来几年内，大批小、微型企业会不断进入，中、低端市场竞争将更加激烈；高端市场对于技术的</w:t>
      </w:r>
      <w:r>
        <w:rPr>
          <w:spacing w:val="-83"/>
        </w:rPr>
        <w:t> </w:t>
      </w:r>
      <w:r>
        <w:rPr>
          <w:spacing w:val="-83"/>
        </w:rPr>
      </w:r>
      <w:r>
        <w:rPr>
          <w:spacing w:val="2"/>
        </w:rPr>
        <w:t>研发要求，产品的智能化、数字化、整合优势的要求会愈发增高。随着工业化生产与互联网的结合，</w:t>
      </w:r>
      <w:r>
        <w:rPr>
          <w:rFonts w:ascii="Times New Roman" w:hAnsi="Times New Roman" w:cs="Times New Roman" w:eastAsia="Times New Roman" w:hint="default"/>
          <w:spacing w:val="2"/>
        </w:rPr>
        <w:t>“</w:t>
      </w:r>
      <w:r>
        <w:rPr>
          <w:spacing w:val="2"/>
        </w:rPr>
        <w:t>互</w:t>
      </w:r>
      <w:r>
        <w:rPr/>
        <w:t> </w:t>
      </w:r>
      <w:r>
        <w:rPr>
          <w:spacing w:val="-1"/>
        </w:rPr>
        <w:t>联网平台</w:t>
      </w:r>
      <w:r>
        <w:rPr>
          <w:rFonts w:ascii="Times New Roman" w:hAnsi="Times New Roman" w:cs="Times New Roman" w:eastAsia="Times New Roman" w:hint="default"/>
          <w:spacing w:val="-1"/>
        </w:rPr>
        <w:t>+</w:t>
      </w:r>
      <w:r>
        <w:rPr>
          <w:spacing w:val="-1"/>
        </w:rPr>
        <w:t>先进激光技术</w:t>
      </w:r>
      <w:r>
        <w:rPr>
          <w:rFonts w:ascii="Times New Roman" w:hAnsi="Times New Roman" w:cs="Times New Roman" w:eastAsia="Times New Roman" w:hint="default"/>
          <w:spacing w:val="-1"/>
        </w:rPr>
        <w:t>”</w:t>
      </w:r>
      <w:r>
        <w:rPr>
          <w:spacing w:val="-1"/>
        </w:rPr>
        <w:t>将成为传统产业和传统工艺的改革新趋向。客户会从单一的设备采购演变为对行</w:t>
      </w:r>
      <w:r>
        <w:rPr>
          <w:spacing w:val="-82"/>
        </w:rPr>
        <w:t> </w:t>
      </w:r>
      <w:r>
        <w:rPr>
          <w:spacing w:val="-82"/>
        </w:rPr>
      </w:r>
      <w:r>
        <w:rPr>
          <w:spacing w:val="-1"/>
        </w:rPr>
        <w:t>业解决方案的需求及对工业数字智能化的需求。这需要激光行业者拥有敏锐的市场分析能力和先进的科技</w:t>
      </w:r>
      <w:r>
        <w:rPr>
          <w:spacing w:val="-81"/>
        </w:rPr>
        <w:t> </w:t>
      </w:r>
      <w:r>
        <w:rPr>
          <w:spacing w:val="-81"/>
        </w:rPr>
      </w:r>
      <w:r>
        <w:rPr/>
        <w:t>研发能力，积极创新并且对行业有着充分理解，提供更全面，更具有综合能力的服务。</w:t>
      </w:r>
    </w:p>
    <w:p>
      <w:pPr>
        <w:pStyle w:val="Heading4"/>
        <w:spacing w:line="386" w:lineRule="auto" w:before="54"/>
        <w:ind w:right="210" w:firstLine="420"/>
        <w:jc w:val="both"/>
      </w:pPr>
      <w:r>
        <w:rPr/>
        <w:t>全球 </w:t>
      </w:r>
      <w:r>
        <w:rPr>
          <w:rFonts w:ascii="Times New Roman" w:hAnsi="Times New Roman" w:cs="Times New Roman" w:eastAsia="Times New Roman" w:hint="default"/>
        </w:rPr>
        <w:t>3D </w:t>
      </w:r>
      <w:r>
        <w:rPr/>
        <w:t>打印行业将迎来爆发式增长。根据</w:t>
      </w:r>
      <w:r>
        <w:rPr>
          <w:rFonts w:ascii="Times New Roman" w:hAnsi="Times New Roman" w:cs="Times New Roman" w:eastAsia="Times New Roman" w:hint="default"/>
        </w:rPr>
        <w:t>Wohlers </w:t>
      </w:r>
      <w:r>
        <w:rPr/>
        <w:t>协会数据，</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3D </w:t>
      </w:r>
      <w:r>
        <w:rPr>
          <w:rFonts w:ascii="Times New Roman" w:hAnsi="Times New Roman" w:cs="Times New Roman" w:eastAsia="Times New Roman" w:hint="default"/>
          <w:spacing w:val="8"/>
        </w:rPr>
        <w:t> </w:t>
      </w:r>
      <w:r>
        <w:rPr/>
        <w:t>打印市场规模已经达到 </w:t>
      </w:r>
      <w:r>
        <w:rPr>
          <w:rFonts w:ascii="Times New Roman" w:hAnsi="Times New Roman" w:cs="Times New Roman" w:eastAsia="Times New Roman" w:hint="default"/>
        </w:rPr>
        <w:t>40 </w:t>
      </w:r>
      <w:r>
        <w:rPr/>
        <w:t>亿美元，同 比增长 </w:t>
      </w:r>
      <w:r>
        <w:rPr>
          <w:rFonts w:ascii="Times New Roman" w:hAnsi="Times New Roman" w:cs="Times New Roman" w:eastAsia="Times New Roman" w:hint="default"/>
        </w:rPr>
        <w:t>40%</w:t>
      </w:r>
      <w:r>
        <w:rPr/>
        <w:t>以上。相比于 </w:t>
      </w:r>
      <w:r>
        <w:rPr>
          <w:rFonts w:ascii="Times New Roman" w:hAnsi="Times New Roman" w:cs="Times New Roman" w:eastAsia="Times New Roman" w:hint="default"/>
        </w:rPr>
        <w:t>2003 </w:t>
      </w:r>
      <w:r>
        <w:rPr/>
        <w:t>年起步初期，十年内翻了八倍。</w:t>
      </w:r>
      <w:r>
        <w:rPr>
          <w:rFonts w:ascii="Times New Roman" w:hAnsi="Times New Roman" w:cs="Times New Roman" w:eastAsia="Times New Roman" w:hint="default"/>
        </w:rPr>
        <w:t>2013 </w:t>
      </w:r>
      <w:r>
        <w:rPr/>
        <w:t>年全 球 </w:t>
      </w:r>
      <w:r>
        <w:rPr>
          <w:rFonts w:ascii="Times New Roman" w:hAnsi="Times New Roman" w:cs="Times New Roman" w:eastAsia="Times New Roman" w:hint="default"/>
        </w:rPr>
        <w:t>3D</w:t>
      </w:r>
      <w:r>
        <w:rPr>
          <w:rFonts w:ascii="Times New Roman" w:hAnsi="Times New Roman" w:cs="Times New Roman" w:eastAsia="Times New Roman" w:hint="default"/>
          <w:spacing w:val="9"/>
        </w:rPr>
        <w:t> </w:t>
      </w:r>
      <w:r>
        <w:rPr/>
        <w:t>打印</w:t>
      </w:r>
      <w:r>
        <w:rPr>
          <w:spacing w:val="1"/>
        </w:rPr>
        <w:t> </w:t>
      </w:r>
      <w:r>
        <w:rPr/>
        <w:t>行业总共实现销售收入 </w:t>
      </w:r>
      <w:r>
        <w:rPr>
          <w:rFonts w:ascii="Times New Roman" w:hAnsi="Times New Roman" w:cs="Times New Roman" w:eastAsia="Times New Roman" w:hint="default"/>
        </w:rPr>
        <w:t>30 </w:t>
      </w:r>
      <w:r>
        <w:rPr/>
        <w:t>亿美元以上，同比增长接近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年以后随着核心技术专利到期以及开 源模式普及，全球 </w:t>
      </w:r>
      <w:r>
        <w:rPr>
          <w:rFonts w:ascii="Times New Roman" w:hAnsi="Times New Roman" w:cs="Times New Roman" w:eastAsia="Times New Roman" w:hint="default"/>
        </w:rPr>
        <w:t>3D  </w:t>
      </w:r>
      <w:r>
        <w:rPr/>
        <w:t>打印行业迎来了 爆发式增长，</w:t>
      </w:r>
      <w:r>
        <w:rPr>
          <w:rFonts w:ascii="Times New Roman" w:hAnsi="Times New Roman" w:cs="Times New Roman" w:eastAsia="Times New Roman" w:hint="default"/>
        </w:rPr>
        <w:t>2010-2013  </w:t>
      </w:r>
      <w:r>
        <w:rPr/>
        <w:t>年总销售收入复合增长率达</w:t>
      </w:r>
      <w:r>
        <w:rPr>
          <w:spacing w:val="-5"/>
        </w:rPr>
        <w:t> </w:t>
      </w:r>
      <w:r>
        <w:rPr>
          <w:rFonts w:ascii="Times New Roman" w:hAnsi="Times New Roman" w:cs="Times New Roman" w:eastAsia="Times New Roman" w:hint="default"/>
        </w:rPr>
        <w:t>32%</w:t>
      </w:r>
      <w:r>
        <w:rPr/>
        <w:t>。</w:t>
      </w:r>
    </w:p>
    <w:p>
      <w:pPr>
        <w:pStyle w:val="Heading4"/>
        <w:spacing w:line="240" w:lineRule="auto" w:before="35"/>
        <w:ind w:left="573" w:right="196"/>
        <w:jc w:val="left"/>
      </w:pPr>
      <w:r>
        <w:rPr>
          <w:rFonts w:ascii="Times New Roman" w:hAnsi="Times New Roman" w:cs="Times New Roman" w:eastAsia="Times New Roman" w:hint="default"/>
        </w:rPr>
        <w:t>2.</w:t>
      </w:r>
      <w:r>
        <w:rPr/>
        <w:t>、机遇和挑战</w:t>
      </w:r>
    </w:p>
    <w:p>
      <w:pPr>
        <w:pStyle w:val="Heading4"/>
        <w:spacing w:line="386" w:lineRule="auto" w:before="177"/>
        <w:ind w:left="574" w:right="196"/>
        <w:jc w:val="left"/>
      </w:pPr>
      <w:r>
        <w:rPr/>
        <w:t>（</w:t>
      </w:r>
      <w:r>
        <w:rPr>
          <w:rFonts w:ascii="Times New Roman" w:hAnsi="Times New Roman" w:cs="Times New Roman" w:eastAsia="Times New Roman" w:hint="default"/>
        </w:rPr>
        <w:t>1</w:t>
      </w:r>
      <w:r>
        <w:rPr/>
        <w:t>）面临的机遇： </w:t>
      </w:r>
      <w:r>
        <w:rPr>
          <w:spacing w:val="-1"/>
        </w:rPr>
        <w:t>随着</w:t>
      </w:r>
      <w:r>
        <w:rPr>
          <w:rFonts w:ascii="Times New Roman" w:hAnsi="Times New Roman" w:cs="Times New Roman" w:eastAsia="Times New Roman" w:hint="default"/>
          <w:spacing w:val="-1"/>
        </w:rPr>
        <w:t>2014</w:t>
      </w:r>
      <w:r>
        <w:rPr>
          <w:spacing w:val="-1"/>
        </w:rPr>
        <w:t>年全国两会的召开，国家将大力执行深化改革的政策。这意味着传统企业必将革新，传统产</w:t>
      </w:r>
    </w:p>
    <w:p>
      <w:pPr>
        <w:pStyle w:val="Heading4"/>
        <w:spacing w:line="403" w:lineRule="auto" w:before="35"/>
        <w:ind w:left="154" w:right="190"/>
        <w:jc w:val="both"/>
      </w:pPr>
      <w:r>
        <w:rPr>
          <w:spacing w:val="-1"/>
        </w:rPr>
        <w:t>业必将升级为更高效、更环保的行业结构。激光技术将作为这些重大变革的先驱科技，彻底改变传统行业</w:t>
      </w:r>
      <w:r>
        <w:rPr>
          <w:spacing w:val="-83"/>
        </w:rPr>
        <w:t> </w:t>
      </w:r>
      <w:r>
        <w:rPr>
          <w:spacing w:val="-83"/>
        </w:rPr>
      </w:r>
      <w:r>
        <w:rPr/>
        <w:t>的生产工艺、人工成本、产品品质和工作环境。伴随着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的应用与激光技术的结合，会协助传统</w:t>
      </w:r>
      <w:r>
        <w:rPr>
          <w:spacing w:val="-20"/>
        </w:rPr>
        <w:t> </w:t>
      </w:r>
      <w:r>
        <w:rPr>
          <w:spacing w:val="-20"/>
        </w:rPr>
      </w:r>
      <w:r>
        <w:rPr/>
        <w:t>行业转型成为</w:t>
      </w:r>
      <w:r>
        <w:rPr>
          <w:rFonts w:ascii="Times New Roman" w:hAnsi="Times New Roman" w:cs="Times New Roman" w:eastAsia="Times New Roman" w:hint="default"/>
        </w:rPr>
        <w:t>“</w:t>
      </w:r>
      <w:r>
        <w:rPr/>
        <w:t>进料</w:t>
      </w:r>
      <w:r>
        <w:rPr>
          <w:rFonts w:ascii="Times New Roman" w:hAnsi="Times New Roman" w:cs="Times New Roman" w:eastAsia="Times New Roman" w:hint="default"/>
        </w:rPr>
        <w:t>-</w:t>
      </w:r>
      <w:r>
        <w:rPr/>
        <w:t>生产</w:t>
      </w:r>
      <w:r>
        <w:rPr>
          <w:rFonts w:ascii="Times New Roman" w:hAnsi="Times New Roman" w:cs="Times New Roman" w:eastAsia="Times New Roman" w:hint="default"/>
        </w:rPr>
        <w:t>-</w:t>
      </w:r>
      <w:r>
        <w:rPr/>
        <w:t>销售</w:t>
      </w:r>
      <w:r>
        <w:rPr>
          <w:rFonts w:ascii="Times New Roman" w:hAnsi="Times New Roman" w:cs="Times New Roman" w:eastAsia="Times New Roman" w:hint="default"/>
        </w:rPr>
        <w:t>”</w:t>
      </w:r>
      <w:r>
        <w:rPr/>
        <w:t>一体化式的智能云工厂，这也为激光行业提供了巨大的机遇。公司作为纺</w:t>
      </w:r>
      <w:r>
        <w:rPr>
          <w:spacing w:val="-48"/>
        </w:rPr>
        <w:t> </w:t>
      </w:r>
      <w:r>
        <w:rPr>
          <w:spacing w:val="-48"/>
        </w:rPr>
      </w:r>
      <w:r>
        <w:rPr>
          <w:spacing w:val="-1"/>
        </w:rPr>
        <w:t>织服装及柔性面料等领域的先驱领导者，在业内有着良好的口碑和品牌优势。在金属材料加工领域，大力</w:t>
      </w:r>
      <w:r>
        <w:rPr>
          <w:spacing w:val="-83"/>
        </w:rPr>
        <w:t> </w:t>
      </w:r>
      <w:r>
        <w:rPr>
          <w:spacing w:val="-83"/>
        </w:rPr>
      </w:r>
      <w:r>
        <w:rPr>
          <w:spacing w:val="-1"/>
        </w:rPr>
        <w:t>投入研发光纤和半导体的激光应用技术，成果卓著。在智能化领域的一些软硬件开发、平台开发方面都取</w:t>
      </w:r>
      <w:r>
        <w:rPr>
          <w:spacing w:val="-83"/>
        </w:rPr>
        <w:t> </w:t>
      </w:r>
      <w:r>
        <w:rPr>
          <w:spacing w:val="-83"/>
        </w:rPr>
      </w:r>
      <w:r>
        <w:rPr/>
        <w:t>得了长足进展，部分智能化设计已经投产进行测试。公司有能力、也有信心把握住当下面临的巨大机遇， </w:t>
      </w:r>
      <w:r>
        <w:rPr>
          <w:spacing w:val="-1"/>
        </w:rPr>
        <w:t>在技术上不断推陈出行，在产品上更加精益求精，用饱满的状态、全面的综合能力投身于传统行业、产业</w:t>
      </w:r>
      <w:r>
        <w:rPr>
          <w:spacing w:val="-86"/>
        </w:rPr>
        <w:t> </w:t>
      </w:r>
      <w:r>
        <w:rPr>
          <w:spacing w:val="-86"/>
        </w:rPr>
      </w:r>
      <w:r>
        <w:rPr/>
        <w:t>的改革、创新之中。</w:t>
      </w:r>
    </w:p>
    <w:p>
      <w:pPr>
        <w:pStyle w:val="Heading4"/>
        <w:spacing w:line="391" w:lineRule="auto" w:before="50"/>
        <w:ind w:right="94" w:firstLine="420"/>
        <w:jc w:val="left"/>
      </w:pPr>
      <w:r>
        <w:rPr/>
        <w:t>根据</w:t>
      </w:r>
      <w:r>
        <w:rPr>
          <w:rFonts w:ascii="Times New Roman" w:hAnsi="Times New Roman" w:cs="Times New Roman" w:eastAsia="Times New Roman" w:hint="default"/>
        </w:rPr>
        <w:t>Wohlers </w:t>
      </w:r>
      <w:r>
        <w:rPr/>
        <w:t>预测，未来 </w:t>
      </w:r>
      <w:r>
        <w:rPr>
          <w:rFonts w:ascii="Times New Roman" w:hAnsi="Times New Roman" w:cs="Times New Roman" w:eastAsia="Times New Roman" w:hint="default"/>
        </w:rPr>
        <w:t>3D </w:t>
      </w:r>
      <w:r>
        <w:rPr/>
        <w:t>打印行业仍将保持高速增长，</w:t>
      </w:r>
      <w:r>
        <w:rPr>
          <w:rFonts w:ascii="Times New Roman" w:hAnsi="Times New Roman" w:cs="Times New Roman" w:eastAsia="Times New Roman" w:hint="default"/>
        </w:rPr>
        <w:t>2018 </w:t>
      </w:r>
      <w:r>
        <w:rPr/>
        <w:t>年全球 </w:t>
      </w:r>
      <w:r>
        <w:rPr>
          <w:rFonts w:ascii="Times New Roman" w:hAnsi="Times New Roman" w:cs="Times New Roman" w:eastAsia="Times New Roman" w:hint="default"/>
        </w:rPr>
        <w:t>3D </w:t>
      </w:r>
      <w:r>
        <w:rPr>
          <w:rFonts w:ascii="Times New Roman" w:hAnsi="Times New Roman" w:cs="Times New Roman" w:eastAsia="Times New Roman" w:hint="default"/>
          <w:spacing w:val="6"/>
        </w:rPr>
        <w:t> </w:t>
      </w:r>
      <w:r>
        <w:rPr/>
        <w:t>打印销售总收入将突破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亿美元，</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年总收入将达到</w:t>
      </w:r>
      <w:r>
        <w:rPr>
          <w:spacing w:val="10"/>
        </w:rPr>
        <w:t> </w:t>
      </w:r>
      <w:r>
        <w:rPr>
          <w:rFonts w:ascii="Times New Roman" w:hAnsi="Times New Roman" w:cs="Times New Roman" w:eastAsia="Times New Roman" w:hint="default"/>
        </w:rPr>
        <w:t>214</w:t>
      </w:r>
      <w:r>
        <w:rPr>
          <w:rFonts w:ascii="Times New Roman" w:hAnsi="Times New Roman" w:cs="Times New Roman" w:eastAsia="Times New Roman" w:hint="default"/>
          <w:spacing w:val="6"/>
        </w:rPr>
        <w:t> </w:t>
      </w:r>
      <w:r>
        <w:rPr/>
        <w:t>亿美元，年复合增长率达</w:t>
      </w:r>
      <w:r>
        <w:rPr>
          <w:spacing w:val="9"/>
        </w:rPr>
        <w:t> </w:t>
      </w:r>
      <w:r>
        <w:rPr>
          <w:rFonts w:ascii="Times New Roman" w:hAnsi="Times New Roman" w:cs="Times New Roman" w:eastAsia="Times New Roman" w:hint="default"/>
        </w:rPr>
        <w:t>32%</w:t>
      </w:r>
      <w:r>
        <w:rPr/>
        <w:t>。当前</w:t>
      </w:r>
      <w:r>
        <w:rPr>
          <w:spacing w:val="8"/>
        </w:rPr>
        <w:t> </w:t>
      </w:r>
      <w:r>
        <w:rPr>
          <w:rFonts w:ascii="Times New Roman" w:hAnsi="Times New Roman" w:cs="Times New Roman" w:eastAsia="Times New Roman" w:hint="default"/>
        </w:rPr>
        <w:t>3D</w:t>
      </w:r>
      <w:r>
        <w:rPr>
          <w:rFonts w:ascii="Times New Roman" w:hAnsi="Times New Roman" w:cs="Times New Roman" w:eastAsia="Times New Roman" w:hint="default"/>
          <w:spacing w:val="8"/>
        </w:rPr>
        <w:t> </w:t>
      </w:r>
      <w:r>
        <w:rPr/>
        <w:t>打印技术、材料均在</w:t>
      </w:r>
      <w:r>
        <w:rPr>
          <w:spacing w:val="-100"/>
        </w:rPr>
        <w:t> </w:t>
      </w:r>
      <w:r>
        <w:rPr>
          <w:spacing w:val="-100"/>
        </w:rPr>
      </w:r>
      <w:r>
        <w:rPr>
          <w:spacing w:val="-3"/>
        </w:rPr>
        <w:t>快速发展并将逐步步入成熟，随着行业并购的持续和更完美产品的诞生，相比减材制造的优势会更加显著，</w:t>
      </w:r>
      <w:r>
        <w:rPr>
          <w:spacing w:val="-92"/>
        </w:rPr>
        <w:t> </w:t>
      </w:r>
      <w:r>
        <w:rPr>
          <w:spacing w:val="-92"/>
        </w:rPr>
      </w:r>
      <w:r>
        <w:rPr/>
        <w:t>年均 </w:t>
      </w:r>
      <w:r>
        <w:rPr>
          <w:rFonts w:ascii="Times New Roman" w:hAnsi="Times New Roman" w:cs="Times New Roman" w:eastAsia="Times New Roman" w:hint="default"/>
          <w:spacing w:val="-3"/>
        </w:rPr>
        <w:t>30%</w:t>
      </w:r>
      <w:r>
        <w:rPr>
          <w:spacing w:val="-3"/>
        </w:rPr>
        <w:t>的收入增速有预期希望。目前，个人级设备的应用在全球已十分成熟，在教育模具、首饰</w:t>
      </w:r>
      <w:r>
        <w:rPr>
          <w:spacing w:val="30"/>
        </w:rPr>
        <w:t> </w:t>
      </w:r>
      <w:r>
        <w:rPr/>
        <w:t>设计、</w:t>
      </w:r>
      <w:r>
        <w:rPr/>
        <w:t> 时尚家居等私人定制领域</w:t>
      </w:r>
      <w:r>
        <w:rPr>
          <w:spacing w:val="9"/>
        </w:rPr>
        <w:t> </w:t>
      </w:r>
      <w:r>
        <w:rPr>
          <w:rFonts w:ascii="Times New Roman" w:hAnsi="Times New Roman" w:cs="Times New Roman" w:eastAsia="Times New Roman" w:hint="default"/>
        </w:rPr>
        <w:t>3D</w:t>
      </w:r>
      <w:r>
        <w:rPr>
          <w:rFonts w:ascii="Times New Roman" w:hAnsi="Times New Roman" w:cs="Times New Roman" w:eastAsia="Times New Roman" w:hint="default"/>
          <w:spacing w:val="6"/>
        </w:rPr>
        <w:t> </w:t>
      </w:r>
      <w:r>
        <w:rPr/>
        <w:t>打印技术均有深度涉足。</w:t>
      </w:r>
      <w:r>
        <w:rPr>
          <w:spacing w:val="8"/>
        </w:rPr>
        <w:t> </w:t>
      </w:r>
      <w:r>
        <w:rPr/>
        <w:t>继桌面级设备爆发后，工业级应用技术也逐渐成</w:t>
      </w:r>
      <w:r>
        <w:rPr>
          <w:spacing w:val="-98"/>
        </w:rPr>
        <w:t> </w:t>
      </w:r>
      <w:r>
        <w:rPr>
          <w:spacing w:val="-98"/>
        </w:rPr>
      </w:r>
      <w:r>
        <w:rPr/>
        <w:t>熟。在</w:t>
      </w:r>
      <w:r>
        <w:rPr>
          <w:rFonts w:ascii="Times New Roman" w:hAnsi="Times New Roman" w:cs="Times New Roman" w:eastAsia="Times New Roman" w:hint="default"/>
        </w:rPr>
        <w:t>Wohlers   </w:t>
      </w:r>
      <w:r>
        <w:rPr/>
        <w:t>的年度报告中，工业</w:t>
      </w:r>
      <w:r>
        <w:rPr>
          <w:rFonts w:ascii="Times New Roman" w:hAnsi="Times New Roman" w:cs="Times New Roman" w:eastAsia="Times New Roman" w:hint="default"/>
        </w:rPr>
        <w:t>/</w:t>
      </w:r>
      <w:r>
        <w:rPr/>
        <w:t>商业机器在所有</w:t>
      </w:r>
      <w:r>
        <w:rPr>
          <w:rFonts w:ascii="Times New Roman" w:hAnsi="Times New Roman" w:cs="Times New Roman" w:eastAsia="Times New Roman" w:hint="default"/>
        </w:rPr>
        <w:t>3D</w:t>
      </w:r>
      <w:r>
        <w:rPr/>
        <w:t>打印机应用行业的占比已经从</w:t>
      </w:r>
      <w:r>
        <w:rPr>
          <w:rFonts w:ascii="Times New Roman" w:hAnsi="Times New Roman" w:cs="Times New Roman" w:eastAsia="Times New Roman" w:hint="default"/>
        </w:rPr>
        <w:t>2010</w:t>
      </w:r>
      <w:r>
        <w:rPr/>
        <w:t>年的</w:t>
      </w:r>
      <w:r>
        <w:rPr>
          <w:rFonts w:ascii="Times New Roman" w:hAnsi="Times New Roman" w:cs="Times New Roman" w:eastAsia="Times New Roman" w:hint="default"/>
        </w:rPr>
        <w:t>11.4% </w:t>
      </w:r>
      <w:r>
        <w:rPr>
          <w:rFonts w:ascii="Times New Roman" w:hAnsi="Times New Roman" w:cs="Times New Roman" w:eastAsia="Times New Roman" w:hint="default"/>
          <w:spacing w:val="26"/>
        </w:rPr>
        <w:t> </w:t>
      </w:r>
      <w:r>
        <w:rPr/>
        <w:t>上</w:t>
      </w:r>
    </w:p>
    <w:p>
      <w:pPr>
        <w:spacing w:after="0" w:line="391" w:lineRule="auto"/>
        <w:jc w:val="left"/>
        <w:sectPr>
          <w:headerReference w:type="default" r:id="rId36"/>
          <w:footerReference w:type="default" r:id="rId37"/>
          <w:pgSz w:w="11910" w:h="16840"/>
          <w:pgMar w:header="877" w:footer="979" w:top="1100" w:bottom="1160" w:left="980" w:right="920"/>
          <w:pgNumType w:start="40"/>
        </w:sectPr>
      </w:pPr>
    </w:p>
    <w:p>
      <w:pPr>
        <w:spacing w:line="240" w:lineRule="auto" w:before="8"/>
        <w:rPr>
          <w:rFonts w:ascii="宋体" w:hAnsi="宋体" w:cs="宋体" w:eastAsia="宋体" w:hint="default"/>
          <w:sz w:val="26"/>
          <w:szCs w:val="26"/>
        </w:rPr>
      </w:pPr>
    </w:p>
    <w:p>
      <w:pPr>
        <w:pStyle w:val="Heading4"/>
        <w:spacing w:line="386" w:lineRule="auto" w:before="35"/>
        <w:ind w:right="210"/>
        <w:jc w:val="both"/>
      </w:pPr>
      <w:r>
        <w:rPr/>
        <w:t>升到</w:t>
      </w:r>
      <w:r>
        <w:rPr>
          <w:spacing w:val="3"/>
        </w:rPr>
        <w:t> </w:t>
      </w:r>
      <w:r>
        <w:rPr>
          <w:rFonts w:ascii="Times New Roman" w:hAnsi="Times New Roman" w:cs="Times New Roman" w:eastAsia="Times New Roman" w:hint="default"/>
          <w:spacing w:val="-2"/>
        </w:rPr>
        <w:t>18.5%</w:t>
      </w:r>
      <w:r>
        <w:rPr>
          <w:spacing w:val="-2"/>
        </w:rPr>
        <w:t>。</w:t>
      </w:r>
      <w:r>
        <w:rPr>
          <w:rFonts w:ascii="Times New Roman" w:hAnsi="Times New Roman" w:cs="Times New Roman" w:eastAsia="Times New Roman" w:hint="default"/>
          <w:spacing w:val="-2"/>
        </w:rPr>
        <w:t>3D</w:t>
      </w:r>
      <w:r>
        <w:rPr>
          <w:spacing w:val="-2"/>
        </w:rPr>
        <w:t>打印需求的爆发速度已大超预期、大规模工业应用即将开启，其未来的规模不可估量。国</w:t>
      </w:r>
      <w:r>
        <w:rPr/>
        <w:t> </w:t>
      </w:r>
      <w:r>
        <w:rPr>
          <w:spacing w:val="2"/>
        </w:rPr>
        <w:t>家工业和信息化部、发展改革委、财政部联合研究制定了《国家增材制造产业发展推进计划（</w:t>
      </w:r>
      <w:r>
        <w:rPr>
          <w:rFonts w:ascii="Times New Roman" w:hAnsi="Times New Roman" w:cs="Times New Roman" w:eastAsia="Times New Roman" w:hint="default"/>
          <w:spacing w:val="2"/>
        </w:rPr>
        <w:t>2015-2016</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年）》，支持</w:t>
      </w:r>
      <w:r>
        <w:rPr>
          <w:rFonts w:ascii="Times New Roman" w:hAnsi="Times New Roman" w:cs="Times New Roman" w:eastAsia="Times New Roman" w:hint="default"/>
        </w:rPr>
        <w:t>3D</w:t>
      </w:r>
      <w:r>
        <w:rPr/>
        <w:t>打印产业快速发展。</w:t>
      </w:r>
      <w:r>
        <w:rPr>
          <w:rFonts w:ascii="Times New Roman" w:hAnsi="Times New Roman" w:cs="Times New Roman" w:eastAsia="Times New Roman" w:hint="default"/>
        </w:rPr>
        <w:t>3D</w:t>
      </w:r>
      <w:r>
        <w:rPr/>
        <w:t>打印的政策环境和市场环境均处于机遇期。</w:t>
      </w:r>
    </w:p>
    <w:p>
      <w:pPr>
        <w:pStyle w:val="Heading4"/>
        <w:spacing w:line="386" w:lineRule="auto" w:before="36"/>
        <w:ind w:left="573" w:right="196"/>
        <w:jc w:val="left"/>
      </w:pPr>
      <w:r>
        <w:rPr/>
        <w:t>（</w:t>
      </w:r>
      <w:r>
        <w:rPr>
          <w:rFonts w:ascii="Times New Roman" w:hAnsi="Times New Roman" w:cs="Times New Roman" w:eastAsia="Times New Roman" w:hint="default"/>
        </w:rPr>
        <w:t>2</w:t>
      </w:r>
      <w:r>
        <w:rPr/>
        <w:t>）面临的挑战： </w:t>
      </w:r>
      <w:r>
        <w:rPr>
          <w:spacing w:val="-1"/>
        </w:rPr>
        <w:t>中、小、微型传统行业变革的不确定性：中、小、微型传统行业往往以眼前的利益最大化为企业生存</w:t>
      </w:r>
    </w:p>
    <w:p>
      <w:pPr>
        <w:pStyle w:val="Heading4"/>
        <w:spacing w:line="408" w:lineRule="auto" w:before="65"/>
        <w:ind w:right="196"/>
        <w:jc w:val="left"/>
      </w:pPr>
      <w:r>
        <w:rPr>
          <w:spacing w:val="-1"/>
        </w:rPr>
        <w:t>点，忽视长期的可持续发展规划，在转型中不彻底或者追求低成本的投入而降低智能化要求。面对这种情</w:t>
      </w:r>
      <w:r>
        <w:rPr>
          <w:spacing w:val="-83"/>
        </w:rPr>
        <w:t> </w:t>
      </w:r>
      <w:r>
        <w:rPr>
          <w:spacing w:val="-83"/>
        </w:rPr>
      </w:r>
      <w:r>
        <w:rPr/>
        <w:t>况，公司尽量为客户规划阶段性投入的软硬件设施，协助客户进行阶段性智能化改革。</w:t>
      </w:r>
    </w:p>
    <w:p>
      <w:pPr>
        <w:pStyle w:val="Heading4"/>
        <w:spacing w:line="398" w:lineRule="auto" w:before="87"/>
        <w:ind w:right="211" w:firstLine="420"/>
        <w:jc w:val="both"/>
      </w:pPr>
      <w:r>
        <w:rPr>
          <w:rFonts w:ascii="Times New Roman" w:hAnsi="Times New Roman" w:cs="Times New Roman" w:eastAsia="Times New Roman" w:hint="default"/>
          <w:spacing w:val="-2"/>
        </w:rPr>
        <w:t>3D</w:t>
      </w:r>
      <w:r>
        <w:rPr>
          <w:spacing w:val="-2"/>
        </w:rPr>
        <w:t>业务项目和激光业务项目进展的不确定性：公司为落实发展战略，正在且将不断投入研发和建设培</w:t>
      </w:r>
      <w:r>
        <w:rPr/>
        <w:t> </w:t>
      </w:r>
      <w:r>
        <w:rPr>
          <w:spacing w:val="-1"/>
        </w:rPr>
        <w:t>育开发项目，虽然在项目立项和投入前都经过大量调研和论证，按程序审核批准执行，但由于市场经济各</w:t>
      </w:r>
      <w:r>
        <w:rPr>
          <w:spacing w:val="-83"/>
        </w:rPr>
        <w:t> </w:t>
      </w:r>
      <w:r>
        <w:rPr>
          <w:spacing w:val="-83"/>
        </w:rPr>
      </w:r>
      <w:r>
        <w:rPr/>
        <w:t>方面因素存在的不确定性，不排除可能出现意外情况或进展不如计划理想等情况。</w:t>
      </w:r>
    </w:p>
    <w:p>
      <w:pPr>
        <w:pStyle w:val="Heading4"/>
        <w:spacing w:line="410" w:lineRule="auto" w:before="94"/>
        <w:ind w:right="196" w:firstLine="421"/>
        <w:jc w:val="left"/>
      </w:pPr>
      <w:r>
        <w:rPr>
          <w:spacing w:val="-1"/>
        </w:rPr>
        <w:t>宏观经济的不确定性：公司主要产品的下游行业与宏观经济景气程度密切相关，且公司客户规模均不</w:t>
      </w:r>
      <w:r>
        <w:rPr/>
        <w:t> 大，抵御经济周期波动的能力较弱，</w:t>
      </w:r>
      <w:r>
        <w:rPr>
          <w:spacing w:val="-1"/>
        </w:rPr>
        <w:t> </w:t>
      </w:r>
      <w:r>
        <w:rPr/>
        <w:t>故公司所处的激光设备制造业在一定程度上也会受到国民经济周期</w:t>
      </w:r>
      <w:r>
        <w:rPr/>
        <w:t> 波动的影响。</w:t>
      </w:r>
    </w:p>
    <w:p>
      <w:pPr>
        <w:pStyle w:val="Heading4"/>
        <w:spacing w:line="410" w:lineRule="auto" w:before="82"/>
        <w:ind w:right="173" w:firstLine="420"/>
        <w:jc w:val="left"/>
      </w:pPr>
      <w:r>
        <w:rPr/>
        <w:t>对于挑战，公司主要的应对手段是采取谨慎的态度，密切跟踪外部环境和进展，努力掌握实际情况， 有效地分析和评估风险，根据市场变化灵活调整经营策略，最大程度地控制风险。</w:t>
      </w:r>
    </w:p>
    <w:p>
      <w:pPr>
        <w:pStyle w:val="Heading4"/>
        <w:spacing w:line="240" w:lineRule="auto" w:before="82"/>
        <w:ind w:left="573" w:right="196"/>
        <w:jc w:val="left"/>
      </w:pPr>
      <w:r>
        <w:rPr>
          <w:rFonts w:ascii="Times New Roman" w:hAnsi="Times New Roman" w:cs="Times New Roman" w:eastAsia="Times New Roman" w:hint="default"/>
        </w:rPr>
        <w:t>3</w:t>
      </w:r>
      <w:r>
        <w:rPr/>
        <w:t>、公司发展战略与</w:t>
      </w:r>
      <w:r>
        <w:rPr>
          <w:rFonts w:ascii="Times New Roman" w:hAnsi="Times New Roman" w:cs="Times New Roman" w:eastAsia="Times New Roman" w:hint="default"/>
        </w:rPr>
        <w:t>2015</w:t>
      </w:r>
      <w:r>
        <w:rPr/>
        <w:t>年度经营计划</w:t>
      </w:r>
    </w:p>
    <w:p>
      <w:pPr>
        <w:pStyle w:val="Heading4"/>
        <w:spacing w:line="240" w:lineRule="auto" w:before="177"/>
        <w:ind w:left="574" w:right="196"/>
        <w:jc w:val="left"/>
      </w:pPr>
      <w:r>
        <w:rPr/>
        <w:t>（</w:t>
      </w:r>
      <w:r>
        <w:rPr>
          <w:rFonts w:ascii="Times New Roman" w:hAnsi="Times New Roman" w:cs="Times New Roman" w:eastAsia="Times New Roman" w:hint="default"/>
        </w:rPr>
        <w:t>1</w:t>
      </w:r>
      <w:r>
        <w:rPr/>
        <w:t>）公司发展战略</w:t>
      </w:r>
    </w:p>
    <w:p>
      <w:pPr>
        <w:pStyle w:val="Heading4"/>
        <w:spacing w:line="408" w:lineRule="auto" w:before="177"/>
        <w:ind w:left="574" w:right="196"/>
        <w:jc w:val="left"/>
      </w:pPr>
      <w:r>
        <w:rPr/>
        <w:t>①加大内生应变能力，提高核心竞争力 在结合两会精神，充分理解中国经济形势</w:t>
      </w:r>
      <w:r>
        <w:rPr>
          <w:rFonts w:ascii="Times New Roman" w:hAnsi="Times New Roman" w:cs="Times New Roman" w:eastAsia="Times New Roman" w:hint="default"/>
        </w:rPr>
        <w:t>“</w:t>
      </w:r>
      <w:r>
        <w:rPr/>
        <w:t>新常态</w:t>
      </w:r>
      <w:r>
        <w:rPr>
          <w:rFonts w:ascii="Times New Roman" w:hAnsi="Times New Roman" w:cs="Times New Roman" w:eastAsia="Times New Roman" w:hint="default"/>
        </w:rPr>
        <w:t>”</w:t>
      </w:r>
      <w:r>
        <w:rPr/>
        <w:t>的基础上，公司管理层进一步明确了公司的中长期</w:t>
      </w:r>
    </w:p>
    <w:p>
      <w:pPr>
        <w:pStyle w:val="Heading4"/>
        <w:spacing w:line="396" w:lineRule="auto" w:before="14"/>
        <w:ind w:right="104"/>
        <w:jc w:val="left"/>
      </w:pPr>
      <w:r>
        <w:rPr/>
        <w:t>发展战略。利用工业与互联网相结合的理念，公司确立了加大力度建造大型激光、</w:t>
      </w:r>
      <w:r>
        <w:rPr>
          <w:rFonts w:ascii="Times New Roman" w:hAnsi="Times New Roman" w:cs="Times New Roman" w:eastAsia="Times New Roman" w:hint="default"/>
        </w:rPr>
        <w:t>3D</w:t>
      </w:r>
      <w:r>
        <w:rPr/>
        <w:t>数字技术应用创新平 </w:t>
      </w:r>
      <w:r>
        <w:rPr>
          <w:spacing w:val="-3"/>
        </w:rPr>
        <w:t>台：</w:t>
      </w:r>
      <w:r>
        <w:rPr>
          <w:rFonts w:ascii="Times New Roman" w:hAnsi="Times New Roman" w:cs="Times New Roman" w:eastAsia="Times New Roman" w:hint="default"/>
          <w:spacing w:val="-3"/>
        </w:rPr>
        <w:t>“</w:t>
      </w:r>
      <w:r>
        <w:rPr>
          <w:spacing w:val="-3"/>
        </w:rPr>
        <w:t>金运</w:t>
      </w:r>
      <w:r>
        <w:rPr>
          <w:rFonts w:ascii="Times New Roman" w:hAnsi="Times New Roman" w:cs="Times New Roman" w:eastAsia="Times New Roman" w:hint="default"/>
          <w:spacing w:val="-3"/>
          <w:position w:val="10"/>
          <w:sz w:val="14"/>
          <w:szCs w:val="14"/>
        </w:rPr>
        <w:t>+</w:t>
      </w:r>
      <w:r>
        <w:rPr>
          <w:rFonts w:ascii="Times New Roman" w:hAnsi="Times New Roman" w:cs="Times New Roman" w:eastAsia="Times New Roman" w:hint="default"/>
          <w:spacing w:val="-3"/>
        </w:rPr>
        <w:t>”</w:t>
      </w:r>
      <w:r>
        <w:rPr>
          <w:spacing w:val="-3"/>
        </w:rPr>
        <w:t>。继续发展公司现有</w:t>
      </w:r>
      <w:r>
        <w:rPr>
          <w:rFonts w:ascii="Times New Roman" w:hAnsi="Times New Roman" w:cs="Times New Roman" w:eastAsia="Times New Roman" w:hint="default"/>
          <w:spacing w:val="-3"/>
        </w:rPr>
        <w:t>O2O</w:t>
      </w:r>
      <w:r>
        <w:rPr>
          <w:spacing w:val="-3"/>
        </w:rPr>
        <w:t>平台的</w:t>
      </w:r>
      <w:r>
        <w:rPr>
          <w:rFonts w:ascii="Times New Roman" w:hAnsi="Times New Roman" w:cs="Times New Roman" w:eastAsia="Times New Roman" w:hint="default"/>
          <w:spacing w:val="-3"/>
        </w:rPr>
        <w:t>C2B2C“</w:t>
      </w:r>
      <w:r>
        <w:rPr>
          <w:spacing w:val="-3"/>
        </w:rPr>
        <w:t>意造网</w:t>
      </w:r>
      <w:r>
        <w:rPr>
          <w:rFonts w:ascii="Times New Roman" w:hAnsi="Times New Roman" w:cs="Times New Roman" w:eastAsia="Times New Roman" w:hint="default"/>
          <w:spacing w:val="-3"/>
        </w:rPr>
        <w:t>”</w:t>
      </w:r>
      <w:r>
        <w:rPr>
          <w:spacing w:val="-3"/>
        </w:rPr>
        <w:t>，并加快研发后继将要推出的</w:t>
      </w:r>
      <w:r>
        <w:rPr>
          <w:rFonts w:ascii="Times New Roman" w:hAnsi="Times New Roman" w:cs="Times New Roman" w:eastAsia="Times New Roman" w:hint="default"/>
          <w:spacing w:val="-3"/>
        </w:rPr>
        <w:t>B2B2C</w:t>
      </w:r>
      <w:r>
        <w:rPr>
          <w:spacing w:val="-3"/>
        </w:rPr>
        <w:t>网络平台，</w:t>
      </w:r>
      <w:r>
        <w:rPr>
          <w:spacing w:val="-94"/>
        </w:rPr>
        <w:t> </w:t>
      </w:r>
      <w:r>
        <w:rPr>
          <w:spacing w:val="-94"/>
        </w:rPr>
      </w:r>
      <w:r>
        <w:rPr/>
        <w:t>通过</w:t>
      </w:r>
      <w:r>
        <w:rPr>
          <w:rFonts w:ascii="Times New Roman" w:hAnsi="Times New Roman" w:cs="Times New Roman" w:eastAsia="Times New Roman" w:hint="default"/>
        </w:rPr>
        <w:t>O2O</w:t>
      </w:r>
      <w:r>
        <w:rPr/>
        <w:t>平台与传统工业、产业相结合，建立</w:t>
      </w:r>
      <w:r>
        <w:rPr>
          <w:rFonts w:ascii="Times New Roman" w:hAnsi="Times New Roman" w:cs="Times New Roman" w:eastAsia="Times New Roman" w:hint="default"/>
        </w:rPr>
        <w:t>“</w:t>
      </w:r>
      <w:r>
        <w:rPr/>
        <w:t>工业</w:t>
      </w:r>
      <w:r>
        <w:rPr>
          <w:rFonts w:ascii="Times New Roman" w:hAnsi="Times New Roman" w:cs="Times New Roman" w:eastAsia="Times New Roman" w:hint="default"/>
        </w:rPr>
        <w:t>4.0”</w:t>
      </w:r>
      <w:r>
        <w:rPr/>
        <w:t>应用示范生产工厂，并进行大力推广。按照行业发 展趋势和竞争态势，公司将加快产业链的整合，有步骤、有针对性地为公司提前进入带有核心技术的产业 高端领地进行积极的战略储备，抢占未来市场竞争的战略制高点；顺应全球化、移动互联、数字智能化的 要求。</w:t>
      </w:r>
    </w:p>
    <w:p>
      <w:pPr>
        <w:pStyle w:val="Heading4"/>
        <w:spacing w:line="408" w:lineRule="auto" w:before="56"/>
        <w:ind w:left="573" w:right="196"/>
        <w:jc w:val="left"/>
      </w:pPr>
      <w:r>
        <w:rPr/>
        <w:t>②积极处延拓展，顺利实现转型 </w:t>
      </w:r>
      <w:r>
        <w:rPr>
          <w:spacing w:val="-2"/>
        </w:rPr>
        <w:t>激光和</w:t>
      </w:r>
      <w:r>
        <w:rPr>
          <w:rFonts w:ascii="Times New Roman" w:hAnsi="Times New Roman" w:cs="Times New Roman" w:eastAsia="Times New Roman" w:hint="default"/>
          <w:spacing w:val="-2"/>
        </w:rPr>
        <w:t>3D</w:t>
      </w:r>
      <w:r>
        <w:rPr>
          <w:spacing w:val="-2"/>
        </w:rPr>
        <w:t>打印同属于数字化技术的一种应用，二者互为相通。这两大业务的发展目的均是为了改造传</w:t>
      </w:r>
    </w:p>
    <w:p>
      <w:pPr>
        <w:pStyle w:val="Heading4"/>
        <w:spacing w:line="386" w:lineRule="auto" w:before="14"/>
        <w:ind w:right="196"/>
        <w:jc w:val="left"/>
      </w:pPr>
      <w:r>
        <w:rPr>
          <w:spacing w:val="-2"/>
        </w:rPr>
        <w:t>统产业，面对产业升级改造、消费个性化、创新产出价值的大发展趋势，公司确定了</w:t>
      </w:r>
      <w:r>
        <w:rPr>
          <w:rFonts w:ascii="Times New Roman" w:hAnsi="Times New Roman" w:cs="Times New Roman" w:eastAsia="Times New Roman" w:hint="default"/>
          <w:spacing w:val="-2"/>
        </w:rPr>
        <w:t>3D</w:t>
      </w:r>
      <w:r>
        <w:rPr>
          <w:spacing w:val="-2"/>
        </w:rPr>
        <w:t>打印应用运营领军</w:t>
      </w:r>
      <w:r>
        <w:rPr>
          <w:spacing w:val="-79"/>
        </w:rPr>
        <w:t> </w:t>
      </w:r>
      <w:r>
        <w:rPr/>
        <w:t>企业的战略方向，充分利用与</w:t>
      </w:r>
      <w:r>
        <w:rPr>
          <w:rFonts w:ascii="Times New Roman" w:hAnsi="Times New Roman" w:cs="Times New Roman" w:eastAsia="Times New Roman" w:hint="default"/>
        </w:rPr>
        <w:t>3D</w:t>
      </w:r>
      <w:r>
        <w:rPr/>
        <w:t>有关的激光技术发展</w:t>
      </w:r>
      <w:r>
        <w:rPr>
          <w:rFonts w:ascii="Times New Roman" w:hAnsi="Times New Roman" w:cs="Times New Roman" w:eastAsia="Times New Roman" w:hint="default"/>
        </w:rPr>
        <w:t>3D</w:t>
      </w:r>
      <w:r>
        <w:rPr/>
        <w:t>业务，传统的激光业务将随着</w:t>
      </w:r>
      <w:r>
        <w:rPr>
          <w:rFonts w:ascii="Times New Roman" w:hAnsi="Times New Roman" w:cs="Times New Roman" w:eastAsia="Times New Roman" w:hint="default"/>
        </w:rPr>
        <w:t>3D</w:t>
      </w:r>
      <w:r>
        <w:rPr/>
        <w:t>业务的利润增厚</w:t>
      </w:r>
    </w:p>
    <w:p>
      <w:pPr>
        <w:spacing w:after="0" w:line="386" w:lineRule="auto"/>
        <w:jc w:val="left"/>
        <w:sectPr>
          <w:pgSz w:w="11910" w:h="16840"/>
          <w:pgMar w:header="877" w:footer="979" w:top="1100" w:bottom="1160" w:left="980" w:right="920"/>
        </w:sectPr>
      </w:pPr>
    </w:p>
    <w:p>
      <w:pPr>
        <w:spacing w:line="240" w:lineRule="auto" w:before="8"/>
        <w:rPr>
          <w:rFonts w:ascii="宋体" w:hAnsi="宋体" w:cs="宋体" w:eastAsia="宋体" w:hint="default"/>
          <w:sz w:val="26"/>
          <w:szCs w:val="26"/>
        </w:rPr>
      </w:pPr>
    </w:p>
    <w:p>
      <w:pPr>
        <w:pStyle w:val="Heading4"/>
        <w:spacing w:line="396" w:lineRule="auto" w:before="35"/>
        <w:ind w:right="105"/>
        <w:jc w:val="both"/>
      </w:pPr>
      <w:r>
        <w:rPr/>
        <w:t>逐步淡化，坚决打造鲜明突出的</w:t>
      </w:r>
      <w:r>
        <w:rPr>
          <w:rFonts w:ascii="Times New Roman" w:hAnsi="Times New Roman" w:cs="Times New Roman" w:eastAsia="Times New Roman" w:hint="default"/>
        </w:rPr>
        <w:t>3D</w:t>
      </w:r>
      <w:r>
        <w:rPr/>
        <w:t>主业，确立其在应用方面的核心竞争力，以分享</w:t>
      </w:r>
      <w:r>
        <w:rPr>
          <w:rFonts w:ascii="Times New Roman" w:hAnsi="Times New Roman" w:cs="Times New Roman" w:eastAsia="Times New Roman" w:hint="default"/>
        </w:rPr>
        <w:t>3D</w:t>
      </w:r>
      <w:r>
        <w:rPr/>
        <w:t>行业发展中的巨大</w:t>
      </w:r>
      <w:r>
        <w:rPr>
          <w:spacing w:val="-18"/>
        </w:rPr>
        <w:t> </w:t>
      </w:r>
      <w:r>
        <w:rPr>
          <w:spacing w:val="-18"/>
        </w:rPr>
      </w:r>
      <w:r>
        <w:rPr/>
        <w:t>市场份额，提升公司价值。为了抓住机遇快速发展，公司需要发挥资本市场的作用，通过融资、并购整合</w:t>
      </w:r>
      <w:r>
        <w:rPr/>
        <w:t> 的方式，增强公司资金实力，以外延扩张为主整合行业优质资源，在不断提升经营业绩的同时，尽早完成 </w:t>
      </w:r>
      <w:r>
        <w:rPr>
          <w:rFonts w:ascii="Times New Roman" w:hAnsi="Times New Roman" w:cs="Times New Roman" w:eastAsia="Times New Roman" w:hint="default"/>
        </w:rPr>
        <w:t>3D</w:t>
      </w:r>
      <w:r>
        <w:rPr/>
        <w:t>布局，做好充分的准备迎接</w:t>
      </w:r>
      <w:r>
        <w:rPr>
          <w:rFonts w:ascii="Times New Roman" w:hAnsi="Times New Roman" w:cs="Times New Roman" w:eastAsia="Times New Roman" w:hint="default"/>
        </w:rPr>
        <w:t>3D</w:t>
      </w:r>
      <w:r>
        <w:rPr/>
        <w:t>技术在各个传统行业的渗透和市场爆发，使公司在帮助传统行业改造的</w:t>
      </w:r>
      <w:r>
        <w:rPr>
          <w:spacing w:val="-25"/>
        </w:rPr>
        <w:t> </w:t>
      </w:r>
      <w:r>
        <w:rPr>
          <w:spacing w:val="-25"/>
        </w:rPr>
      </w:r>
      <w:r>
        <w:rPr/>
        <w:t>前提下分享行业升级改造的广阔市场空间。公司的外延拓展，将本着</w:t>
      </w:r>
      <w:r>
        <w:rPr>
          <w:rFonts w:ascii="Times New Roman" w:hAnsi="Times New Roman" w:cs="Times New Roman" w:eastAsia="Times New Roman" w:hint="default"/>
        </w:rPr>
        <w:t>“</w:t>
      </w:r>
      <w:r>
        <w:rPr/>
        <w:t>创新优先、重点突破</w:t>
      </w:r>
      <w:r>
        <w:rPr>
          <w:rFonts w:ascii="Times New Roman" w:hAnsi="Times New Roman" w:cs="Times New Roman" w:eastAsia="Times New Roman" w:hint="default"/>
        </w:rPr>
        <w:t>”</w:t>
      </w:r>
      <w:r>
        <w:rPr/>
        <w:t>的原则，着重 </w:t>
      </w:r>
      <w:r>
        <w:rPr>
          <w:spacing w:val="-3"/>
        </w:rPr>
        <w:t>业务、技术、市场等的合作，不断开发新领域，牢牢抓住发展的战略机遇期，为公司打造新的利润增长点。</w:t>
      </w:r>
    </w:p>
    <w:p>
      <w:pPr>
        <w:pStyle w:val="Heading4"/>
        <w:spacing w:line="240" w:lineRule="auto" w:before="56"/>
        <w:ind w:left="574" w:right="19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年度经营计划</w:t>
      </w:r>
    </w:p>
    <w:p>
      <w:pPr>
        <w:spacing w:line="240" w:lineRule="auto" w:before="9"/>
        <w:rPr>
          <w:rFonts w:ascii="宋体" w:hAnsi="宋体" w:cs="宋体" w:eastAsia="宋体" w:hint="default"/>
          <w:sz w:val="16"/>
          <w:szCs w:val="16"/>
        </w:rPr>
      </w:pPr>
    </w:p>
    <w:p>
      <w:pPr>
        <w:pStyle w:val="Heading4"/>
        <w:spacing w:line="386" w:lineRule="auto"/>
        <w:ind w:left="154" w:right="104" w:firstLine="420"/>
        <w:jc w:val="left"/>
      </w:pPr>
      <w:r>
        <w:rPr>
          <w:rFonts w:ascii="Times New Roman" w:hAnsi="Times New Roman" w:cs="Times New Roman" w:eastAsia="Times New Roman" w:hint="default"/>
        </w:rPr>
        <w:t>2015</w:t>
      </w:r>
      <w:r>
        <w:rPr/>
        <w:t>年，公司拟加大</w:t>
      </w:r>
      <w:r>
        <w:rPr>
          <w:rFonts w:ascii="Times New Roman" w:hAnsi="Times New Roman" w:cs="Times New Roman" w:eastAsia="Times New Roman" w:hint="default"/>
        </w:rPr>
        <w:t>“</w:t>
      </w:r>
      <w:r>
        <w:rPr/>
        <w:t>金运</w:t>
      </w:r>
      <w:r>
        <w:rPr>
          <w:rFonts w:ascii="Times New Roman" w:hAnsi="Times New Roman" w:cs="Times New Roman" w:eastAsia="Times New Roman" w:hint="default"/>
        </w:rPr>
        <w:t>+”</w:t>
      </w:r>
      <w:r>
        <w:rPr/>
        <w:t>激光</w:t>
      </w:r>
      <w:r>
        <w:rPr>
          <w:rFonts w:ascii="Times New Roman" w:hAnsi="Times New Roman" w:cs="Times New Roman" w:eastAsia="Times New Roman" w:hint="default"/>
        </w:rPr>
        <w:t>3D</w:t>
      </w:r>
      <w:r>
        <w:rPr/>
        <w:t>数字化应用平台的创建力度，通过搭建互联网</w:t>
      </w:r>
      <w:r>
        <w:rPr>
          <w:rFonts w:ascii="Times New Roman" w:hAnsi="Times New Roman" w:cs="Times New Roman" w:eastAsia="Times New Roman" w:hint="default"/>
        </w:rPr>
        <w:t>+</w:t>
      </w:r>
      <w:r>
        <w:rPr/>
        <w:t>系列应用平台，进 </w:t>
      </w:r>
      <w:r>
        <w:rPr>
          <w:spacing w:val="-4"/>
        </w:rPr>
        <w:t>一步明确公司</w:t>
      </w:r>
      <w:r>
        <w:rPr>
          <w:rFonts w:ascii="Times New Roman" w:hAnsi="Times New Roman" w:cs="Times New Roman" w:eastAsia="Times New Roman" w:hint="default"/>
          <w:spacing w:val="-4"/>
        </w:rPr>
        <w:t>2015</w:t>
      </w:r>
      <w:r>
        <w:rPr>
          <w:spacing w:val="-4"/>
        </w:rPr>
        <w:t>年工业</w:t>
      </w:r>
      <w:r>
        <w:rPr>
          <w:rFonts w:ascii="Times New Roman" w:hAnsi="Times New Roman" w:cs="Times New Roman" w:eastAsia="Times New Roman" w:hint="default"/>
          <w:spacing w:val="-4"/>
        </w:rPr>
        <w:t>4.0</w:t>
      </w:r>
      <w:r>
        <w:rPr>
          <w:spacing w:val="-4"/>
        </w:rPr>
        <w:t>的布局和规划思路，即制定先进制造与传统行业的融合解决方案；确定智能化、</w:t>
      </w:r>
      <w:r>
        <w:rPr>
          <w:spacing w:val="-86"/>
        </w:rPr>
        <w:t> </w:t>
      </w:r>
      <w:r>
        <w:rPr>
          <w:spacing w:val="-86"/>
        </w:rPr>
      </w:r>
      <w:r>
        <w:rPr/>
        <w:t>自动化、个性化的行业应用发展方向。</w:t>
      </w:r>
    </w:p>
    <w:p>
      <w:pPr>
        <w:pStyle w:val="Heading4"/>
        <w:spacing w:line="240" w:lineRule="auto" w:before="104"/>
        <w:ind w:left="574" w:right="196"/>
        <w:jc w:val="left"/>
      </w:pPr>
      <w:r>
        <w:rPr/>
        <w:t>激光业务方面：</w:t>
      </w:r>
    </w:p>
    <w:p>
      <w:pPr>
        <w:spacing w:line="240" w:lineRule="auto" w:before="10"/>
        <w:rPr>
          <w:rFonts w:ascii="宋体" w:hAnsi="宋体" w:cs="宋体" w:eastAsia="宋体" w:hint="default"/>
          <w:sz w:val="14"/>
          <w:szCs w:val="14"/>
        </w:rPr>
      </w:pPr>
    </w:p>
    <w:p>
      <w:pPr>
        <w:pStyle w:val="Heading4"/>
        <w:spacing w:line="398" w:lineRule="auto"/>
        <w:ind w:left="154" w:right="103" w:firstLine="420"/>
        <w:jc w:val="left"/>
      </w:pPr>
      <w:r>
        <w:rPr>
          <w:rFonts w:ascii="Times New Roman" w:hAnsi="Times New Roman" w:cs="Times New Roman" w:eastAsia="Times New Roman" w:hint="default"/>
        </w:rPr>
        <w:t>2015</w:t>
      </w:r>
      <w:r>
        <w:rPr/>
        <w:t>年，公司将加强对工厂流水线生产解决方案的制定和营销，集中攻克大型传统行业工厂的改革难 </w:t>
      </w:r>
      <w:r>
        <w:rPr>
          <w:spacing w:val="-3"/>
        </w:rPr>
        <w:t>点，协助传统行业进行工业改革。在中高端产品领域继续增强研发力度和市场开拓，提升公司的盈利能力，</w:t>
      </w:r>
      <w:r>
        <w:rPr>
          <w:spacing w:val="-90"/>
        </w:rPr>
        <w:t> </w:t>
      </w:r>
      <w:r>
        <w:rPr>
          <w:spacing w:val="-90"/>
        </w:rPr>
      </w:r>
      <w:r>
        <w:rPr/>
        <w:t>巩固公司的品牌地位和市场领导力。</w:t>
      </w:r>
    </w:p>
    <w:p>
      <w:pPr>
        <w:pStyle w:val="Heading4"/>
        <w:spacing w:line="398" w:lineRule="auto" w:before="54"/>
        <w:ind w:right="190" w:firstLine="420"/>
        <w:jc w:val="both"/>
      </w:pPr>
      <w:r>
        <w:rPr>
          <w:spacing w:val="-1"/>
        </w:rPr>
        <w:t>重点在六方面加强举措：提供传统行业改革的解决方案、设立智能化产品结构单元、加速激光技术与</w:t>
      </w:r>
      <w:r>
        <w:rPr/>
        <w:t> 互联网的结合、提升产品品质、加强售后服务建设、深化产业链整合，为公司</w:t>
      </w:r>
      <w:r>
        <w:rPr>
          <w:rFonts w:ascii="Times New Roman" w:hAnsi="Times New Roman" w:cs="Times New Roman" w:eastAsia="Times New Roman" w:hint="default"/>
        </w:rPr>
        <w:t>2015</w:t>
      </w:r>
      <w:r>
        <w:rPr/>
        <w:t>年度经营服务的同时， 为后续战略开展奠定扎实基础。</w:t>
      </w:r>
    </w:p>
    <w:p>
      <w:pPr>
        <w:pStyle w:val="Heading4"/>
        <w:spacing w:line="420" w:lineRule="auto" w:before="54"/>
        <w:ind w:left="575" w:right="196" w:hanging="2"/>
        <w:jc w:val="left"/>
      </w:pPr>
      <w:r>
        <w:rPr>
          <w:rFonts w:ascii="Times New Roman" w:hAnsi="Times New Roman" w:cs="Times New Roman" w:eastAsia="Times New Roman" w:hint="default"/>
        </w:rPr>
        <w:t>3D</w:t>
      </w:r>
      <w:r>
        <w:rPr/>
        <w:t>打印业务方面： 在巩固现有</w:t>
      </w:r>
      <w:r>
        <w:rPr>
          <w:rFonts w:ascii="Times New Roman" w:hAnsi="Times New Roman" w:cs="Times New Roman" w:eastAsia="Times New Roman" w:hint="default"/>
        </w:rPr>
        <w:t>3D</w:t>
      </w:r>
      <w:r>
        <w:rPr/>
        <w:t>打印服务业务的基础上，加大和延伸云平台、云工厂、</w:t>
      </w:r>
      <w:r>
        <w:rPr>
          <w:rFonts w:ascii="Times New Roman" w:hAnsi="Times New Roman" w:cs="Times New Roman" w:eastAsia="Times New Roman" w:hint="default"/>
        </w:rPr>
        <w:t>3D</w:t>
      </w:r>
      <w:r>
        <w:rPr/>
        <w:t>记梦馆的建设及服务功能，</w:t>
      </w:r>
    </w:p>
    <w:p>
      <w:pPr>
        <w:pStyle w:val="Heading4"/>
        <w:spacing w:line="240" w:lineRule="auto" w:before="3"/>
        <w:ind w:right="0"/>
        <w:jc w:val="both"/>
      </w:pPr>
      <w:r>
        <w:rPr/>
        <w:t>确立</w:t>
      </w:r>
      <w:r>
        <w:rPr>
          <w:rFonts w:ascii="Times New Roman" w:hAnsi="Times New Roman" w:cs="Times New Roman" w:eastAsia="Times New Roman" w:hint="default"/>
        </w:rPr>
        <w:t>“</w:t>
      </w:r>
      <w:r>
        <w:rPr/>
        <w:t>中国首家规模化</w:t>
      </w:r>
      <w:r>
        <w:rPr>
          <w:rFonts w:ascii="Times New Roman" w:hAnsi="Times New Roman" w:cs="Times New Roman" w:eastAsia="Times New Roman" w:hint="default"/>
        </w:rPr>
        <w:t>3D</w:t>
      </w:r>
      <w:r>
        <w:rPr/>
        <w:t>打印应用领军品牌</w:t>
      </w:r>
      <w:r>
        <w:rPr>
          <w:rFonts w:ascii="Times New Roman" w:hAnsi="Times New Roman" w:cs="Times New Roman" w:eastAsia="Times New Roman" w:hint="default"/>
        </w:rPr>
        <w:t>”</w:t>
      </w:r>
      <w:r>
        <w:rPr/>
        <w:t>行业龙头地位。</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2"/>
        <w:ind w:right="0"/>
        <w:jc w:val="both"/>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9"/>
          <w:szCs w:val="29"/>
        </w:rPr>
      </w:pPr>
    </w:p>
    <w:p>
      <w:pPr>
        <w:pStyle w:val="Heading4"/>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28"/>
          <w:szCs w:val="28"/>
        </w:rPr>
      </w:pPr>
    </w:p>
    <w:p>
      <w:pPr>
        <w:pStyle w:val="Heading2"/>
        <w:spacing w:line="240" w:lineRule="auto"/>
        <w:ind w:right="0"/>
        <w:jc w:val="both"/>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30"/>
          <w:szCs w:val="30"/>
        </w:rPr>
      </w:pPr>
    </w:p>
    <w:p>
      <w:pPr>
        <w:pStyle w:val="Heading4"/>
        <w:spacing w:line="386" w:lineRule="auto"/>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会计政策变更原因</w:t>
      </w:r>
    </w:p>
    <w:p>
      <w:pPr>
        <w:pStyle w:val="Heading4"/>
        <w:spacing w:line="240" w:lineRule="auto" w:before="65"/>
        <w:ind w:left="574" w:right="104"/>
        <w:jc w:val="left"/>
      </w:pPr>
      <w:r>
        <w:rPr>
          <w:rFonts w:ascii="Times New Roman" w:hAnsi="Times New Roman" w:cs="Times New Roman" w:eastAsia="Times New Roman" w:hint="default"/>
        </w:rPr>
        <w:t>2014  </w:t>
      </w:r>
      <w:r>
        <w:rPr/>
        <w:t>年，财政部修订和新发布了八项会计准则，其中新增三项，分别为《企业会计准则第 </w:t>
      </w:r>
      <w:r>
        <w:rPr>
          <w:rFonts w:ascii="Times New Roman" w:hAnsi="Times New Roman" w:cs="Times New Roman" w:eastAsia="Times New Roman" w:hint="default"/>
        </w:rPr>
        <w:t>39</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公</w:t>
      </w:r>
    </w:p>
    <w:p>
      <w:pPr>
        <w:pStyle w:val="Heading4"/>
        <w:spacing w:line="240" w:lineRule="auto" w:before="177"/>
        <w:ind w:right="0"/>
        <w:jc w:val="both"/>
      </w:pPr>
      <w:r>
        <w:rPr/>
        <w:t>允价值计量</w:t>
      </w:r>
      <w:r>
        <w:rPr>
          <w:spacing w:val="-106"/>
        </w:rPr>
        <w:t>》</w:t>
      </w:r>
      <w:r>
        <w:rPr>
          <w:spacing w:val="-105"/>
        </w:rPr>
        <w:t>、</w:t>
      </w:r>
      <w:r>
        <w:rPr/>
        <w:t>《企业会</w:t>
      </w:r>
      <w:r>
        <w:rPr>
          <w:spacing w:val="-2"/>
        </w:rPr>
        <w:t>计</w:t>
      </w:r>
      <w:r>
        <w:rPr/>
        <w:t>准则第</w:t>
      </w:r>
      <w:r>
        <w:rPr>
          <w:spacing w:val="1"/>
        </w:rPr>
        <w:t> </w:t>
      </w:r>
      <w:r>
        <w:rPr>
          <w:rFonts w:ascii="Times New Roman" w:hAnsi="Times New Roman" w:cs="Times New Roman" w:eastAsia="Times New Roman" w:hint="default"/>
        </w:rPr>
        <w:t>40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t>合营安排</w:t>
      </w:r>
      <w:r>
        <w:rPr>
          <w:spacing w:val="-105"/>
        </w:rPr>
        <w:t>》、</w:t>
      </w:r>
      <w:r>
        <w:rPr/>
        <w:t>《企业会</w:t>
      </w:r>
      <w:r>
        <w:rPr>
          <w:spacing w:val="-2"/>
        </w:rPr>
        <w:t>计</w:t>
      </w:r>
      <w:r>
        <w:rPr/>
        <w:t>准则第</w:t>
      </w:r>
      <w:r>
        <w:rPr>
          <w:spacing w:val="1"/>
        </w:rPr>
        <w:t> </w:t>
      </w:r>
      <w:r>
        <w:rPr>
          <w:rFonts w:ascii="Times New Roman" w:hAnsi="Times New Roman" w:cs="Times New Roman" w:eastAsia="Times New Roman" w:hint="default"/>
        </w:rPr>
        <w:t>41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t>在其他主体中权益的披露</w:t>
      </w:r>
      <w:r>
        <w:rPr>
          <w:spacing w:val="-104"/>
        </w:rPr>
        <w:t>》</w:t>
      </w:r>
      <w:r>
        <w:rPr/>
        <w:t>，</w:t>
      </w:r>
    </w:p>
    <w:p>
      <w:pPr>
        <w:spacing w:after="0" w:line="240" w:lineRule="auto"/>
        <w:jc w:val="both"/>
        <w:sectPr>
          <w:pgSz w:w="11910" w:h="16840"/>
          <w:pgMar w:header="877" w:footer="979" w:top="1100" w:bottom="1160" w:left="980" w:right="920"/>
        </w:sectPr>
      </w:pPr>
    </w:p>
    <w:p>
      <w:pPr>
        <w:spacing w:line="240" w:lineRule="auto" w:before="8"/>
        <w:rPr>
          <w:rFonts w:ascii="宋体" w:hAnsi="宋体" w:cs="宋体" w:eastAsia="宋体" w:hint="default"/>
          <w:sz w:val="26"/>
          <w:szCs w:val="26"/>
        </w:rPr>
      </w:pPr>
    </w:p>
    <w:p>
      <w:pPr>
        <w:pStyle w:val="Heading4"/>
        <w:spacing w:line="240" w:lineRule="auto" w:before="35"/>
        <w:ind w:left="253" w:right="222"/>
        <w:jc w:val="left"/>
      </w:pPr>
      <w:r>
        <w:rPr/>
        <w:t>修订五项，分别为《企业会计准则第</w:t>
      </w:r>
      <w:r>
        <w:rPr>
          <w:spacing w:val="1"/>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spacing w:val="-1"/>
        </w:rPr>
        <w:t>-</w:t>
      </w:r>
      <w:r>
        <w:rPr/>
        <w:t>长期股权投资</w:t>
      </w:r>
      <w:r>
        <w:rPr>
          <w:spacing w:val="-105"/>
        </w:rPr>
        <w:t>》</w:t>
      </w:r>
      <w:r>
        <w:rPr>
          <w:spacing w:val="-106"/>
        </w:rPr>
        <w:t>、</w:t>
      </w:r>
      <w:r>
        <w:rPr/>
        <w:t>《企业会计准则第</w:t>
      </w:r>
      <w:r>
        <w:rPr>
          <w:spacing w:val="1"/>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spacing w:val="-1"/>
        </w:rPr>
        <w:t>-</w:t>
      </w:r>
      <w:r>
        <w:rPr/>
        <w:t>职工薪酬</w:t>
      </w:r>
      <w:r>
        <w:rPr>
          <w:spacing w:val="-105"/>
        </w:rPr>
        <w:t>》</w:t>
      </w:r>
      <w:r>
        <w:rPr>
          <w:spacing w:val="-106"/>
        </w:rPr>
        <w:t>、</w:t>
      </w:r>
      <w:r>
        <w:rPr/>
        <w:t>《企业会</w:t>
      </w:r>
    </w:p>
    <w:p>
      <w:pPr>
        <w:pStyle w:val="Heading4"/>
        <w:spacing w:line="386" w:lineRule="auto" w:before="177"/>
        <w:ind w:left="254" w:right="222"/>
        <w:jc w:val="left"/>
      </w:pPr>
      <w:r>
        <w:rPr/>
        <w:t>计准则第</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t>号</w:t>
      </w:r>
      <w:r>
        <w:rPr>
          <w:rFonts w:ascii="Times New Roman" w:hAnsi="Times New Roman" w:cs="Times New Roman" w:eastAsia="Times New Roman" w:hint="default"/>
          <w:spacing w:val="-1"/>
        </w:rPr>
        <w:t>-</w:t>
      </w:r>
      <w:r>
        <w:rPr/>
        <w:t>财务报表列报</w:t>
      </w:r>
      <w:r>
        <w:rPr>
          <w:spacing w:val="-105"/>
        </w:rPr>
        <w:t>》</w:t>
      </w:r>
      <w:r>
        <w:rPr>
          <w:spacing w:val="-116"/>
        </w:rPr>
        <w:t>、</w:t>
      </w:r>
      <w:r>
        <w:rPr/>
        <w:t>《</w:t>
      </w:r>
      <w:r>
        <w:rPr>
          <w:spacing w:val="-2"/>
        </w:rPr>
        <w:t>企</w:t>
      </w:r>
      <w:r>
        <w:rPr/>
        <w:t>业会计准则第</w:t>
      </w:r>
      <w:r>
        <w:rPr>
          <w:spacing w:val="1"/>
        </w:rPr>
        <w:t> </w:t>
      </w:r>
      <w:r>
        <w:rPr>
          <w:rFonts w:ascii="Times New Roman" w:hAnsi="Times New Roman" w:cs="Times New Roman" w:eastAsia="Times New Roman" w:hint="default"/>
        </w:rPr>
        <w:t>33  </w:t>
      </w:r>
      <w:r>
        <w:rPr/>
        <w:t>号</w:t>
      </w:r>
      <w:r>
        <w:rPr>
          <w:rFonts w:ascii="Times New Roman" w:hAnsi="Times New Roman" w:cs="Times New Roman" w:eastAsia="Times New Roman" w:hint="default"/>
          <w:spacing w:val="-1"/>
        </w:rPr>
        <w:t>-</w:t>
      </w:r>
      <w:r>
        <w:rPr>
          <w:spacing w:val="-2"/>
        </w:rPr>
        <w:t>合</w:t>
      </w:r>
      <w:r>
        <w:rPr/>
        <w:t>并财务报表</w:t>
      </w:r>
      <w:r>
        <w:rPr>
          <w:spacing w:val="-106"/>
        </w:rPr>
        <w:t>》</w:t>
      </w:r>
      <w:r>
        <w:rPr>
          <w:spacing w:val="-116"/>
        </w:rPr>
        <w:t>、</w:t>
      </w:r>
      <w:r>
        <w:rPr/>
        <w:t>《企业会</w:t>
      </w:r>
      <w:r>
        <w:rPr>
          <w:spacing w:val="-2"/>
        </w:rPr>
        <w:t>计</w:t>
      </w:r>
      <w:r>
        <w:rPr/>
        <w:t>准则第 </w:t>
      </w:r>
      <w:r>
        <w:rPr>
          <w:rFonts w:ascii="Times New Roman" w:hAnsi="Times New Roman" w:cs="Times New Roman" w:eastAsia="Times New Roman" w:hint="default"/>
        </w:rPr>
        <w:t>37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spacing w:val="1"/>
        </w:rPr>
        <w:t>金融 </w:t>
      </w:r>
      <w:r>
        <w:rPr/>
        <w:t>工具列报</w:t>
      </w:r>
      <w:r>
        <w:rPr>
          <w:spacing w:val="-105"/>
        </w:rPr>
        <w:t>》</w:t>
      </w:r>
      <w:r>
        <w:rPr/>
        <w:t>。</w:t>
      </w:r>
    </w:p>
    <w:p>
      <w:pPr>
        <w:pStyle w:val="Heading4"/>
        <w:spacing w:line="240" w:lineRule="auto" w:before="65"/>
        <w:ind w:left="675" w:right="222"/>
        <w:jc w:val="left"/>
      </w:pPr>
      <w:r>
        <w:rPr/>
        <w:t>根据财政部要求，以上准则自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日起在所有执行企业会计准则的企业范围内施行。</w:t>
      </w:r>
    </w:p>
    <w:p>
      <w:pPr>
        <w:pStyle w:val="Heading4"/>
        <w:spacing w:line="240" w:lineRule="auto" w:before="177"/>
        <w:ind w:left="674" w:right="222"/>
        <w:jc w:val="left"/>
      </w:pPr>
      <w:r>
        <w:rPr>
          <w:rFonts w:ascii="Times New Roman" w:hAnsi="Times New Roman" w:cs="Times New Roman" w:eastAsia="Times New Roman" w:hint="default"/>
        </w:rPr>
        <w:t>2</w:t>
      </w:r>
      <w:r>
        <w:rPr/>
        <w:t>、变更前采用的会计政策</w:t>
      </w:r>
    </w:p>
    <w:p>
      <w:pPr>
        <w:pStyle w:val="Heading4"/>
        <w:spacing w:line="398" w:lineRule="auto" w:before="177"/>
        <w:ind w:left="253" w:right="222" w:firstLine="421"/>
        <w:jc w:val="left"/>
      </w:pPr>
      <w:r>
        <w:rPr/>
        <w:t>公司按照财政部于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 </w:t>
      </w:r>
      <w:r>
        <w:rPr>
          <w:spacing w:val="-4"/>
        </w:rPr>
        <w:t>日颁布的《企业会计准则</w:t>
      </w:r>
      <w:r>
        <w:rPr>
          <w:rFonts w:ascii="Times New Roman" w:hAnsi="Times New Roman" w:cs="Times New Roman" w:eastAsia="Times New Roman" w:hint="default"/>
          <w:spacing w:val="-4"/>
        </w:rPr>
        <w:t>-</w:t>
      </w:r>
      <w:r>
        <w:rPr>
          <w:spacing w:val="-4"/>
        </w:rPr>
        <w:t>基本准则》和</w:t>
      </w:r>
      <w:r>
        <w:rPr>
          <w:spacing w:val="3"/>
        </w:rPr>
        <w:t> </w:t>
      </w:r>
      <w:r>
        <w:rPr>
          <w:rFonts w:ascii="Times New Roman" w:hAnsi="Times New Roman" w:cs="Times New Roman" w:eastAsia="Times New Roman" w:hint="default"/>
          <w:spacing w:val="-3"/>
        </w:rPr>
        <w:t>38</w:t>
      </w:r>
      <w:r>
        <w:rPr>
          <w:spacing w:val="-3"/>
        </w:rPr>
        <w:t>项具体会计准则、其</w:t>
      </w:r>
      <w:r>
        <w:rPr/>
        <w:t> 后颁布的企业会计准则应用指南、企业会计准则解释及其他相 关规定制定了本公司的会计政策和会计制度。</w:t>
      </w:r>
    </w:p>
    <w:p>
      <w:pPr>
        <w:pStyle w:val="Heading4"/>
        <w:spacing w:line="240" w:lineRule="auto" w:before="54"/>
        <w:ind w:left="674" w:right="222"/>
        <w:jc w:val="left"/>
      </w:pPr>
      <w:r>
        <w:rPr>
          <w:rFonts w:ascii="Times New Roman" w:hAnsi="Times New Roman" w:cs="Times New Roman" w:eastAsia="Times New Roman" w:hint="default"/>
        </w:rPr>
        <w:t>3</w:t>
      </w:r>
      <w:r>
        <w:rPr/>
        <w:t>、变更后釆用的会计政策</w:t>
      </w:r>
    </w:p>
    <w:p>
      <w:pPr>
        <w:pStyle w:val="Heading4"/>
        <w:spacing w:line="386" w:lineRule="auto" w:before="177"/>
        <w:ind w:left="254" w:right="222" w:firstLine="421"/>
        <w:jc w:val="left"/>
      </w:pPr>
      <w:r>
        <w:rPr/>
        <w:t>根据财政部的规定，公司自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日起执行上述八项新会计准则，公司已按照有关规定和 要求对公司原有会计政策及会计制度进行了相应的修订。</w:t>
      </w:r>
    </w:p>
    <w:p>
      <w:pPr>
        <w:pStyle w:val="Heading4"/>
        <w:spacing w:line="408" w:lineRule="auto" w:before="65"/>
        <w:ind w:left="675" w:right="222" w:hanging="422"/>
        <w:jc w:val="left"/>
      </w:pPr>
      <w:r>
        <w:rPr/>
        <w:t>二、本次会计政策变更对公司的影响 </w:t>
      </w:r>
      <w:r>
        <w:rPr>
          <w:spacing w:val="-1"/>
        </w:rPr>
        <w:t>本次会计政策变更主要涉及以下一方面，此变更不会对公司财务报表产生重大影响。执行《企业会计</w:t>
      </w:r>
    </w:p>
    <w:p>
      <w:pPr>
        <w:pStyle w:val="Heading4"/>
        <w:spacing w:line="386" w:lineRule="auto" w:before="46"/>
        <w:ind w:left="254" w:right="0"/>
        <w:jc w:val="left"/>
      </w:pPr>
      <w:r>
        <w:rPr/>
        <w:t>准则第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spacing w:val="-5"/>
        </w:rPr>
        <w:t>号</w:t>
      </w:r>
      <w:r>
        <w:rPr>
          <w:rFonts w:ascii="Times New Roman" w:hAnsi="Times New Roman" w:cs="Times New Roman" w:eastAsia="Times New Roman" w:hint="default"/>
          <w:spacing w:val="-5"/>
        </w:rPr>
        <w:t>-</w:t>
      </w:r>
      <w:r>
        <w:rPr>
          <w:spacing w:val="-5"/>
        </w:rPr>
        <w:t>财务报表列报》，根据列报要求将递延收益进行单独列报，并采用追溯调整法进行调整列报，</w:t>
      </w:r>
      <w:r>
        <w:rPr/>
        <w:t> 追溯调整影响如下：</w:t>
      </w:r>
    </w:p>
    <w:p>
      <w:pPr>
        <w:pStyle w:val="BodyText"/>
        <w:spacing w:line="240" w:lineRule="auto" w:before="13"/>
        <w:ind w:left="0" w:right="230"/>
        <w:jc w:val="right"/>
      </w:pPr>
      <w:r>
        <w:rPr/>
        <w:t>单位：元</w:t>
      </w:r>
    </w:p>
    <w:p>
      <w:pPr>
        <w:spacing w:line="240" w:lineRule="auto" w:before="0"/>
        <w:rPr>
          <w:rFonts w:ascii="宋体" w:hAnsi="宋体" w:cs="宋体" w:eastAsia="宋体" w:hint="default"/>
          <w:sz w:val="5"/>
          <w:szCs w:val="5"/>
        </w:rPr>
      </w:pPr>
    </w:p>
    <w:p>
      <w:pPr>
        <w:spacing w:line="1449" w:lineRule="exact"/>
        <w:ind w:left="116"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95pt;height:72.5pt;mso-position-horizontal-relative:char;mso-position-vertical-relative:line" coordorigin="0,0" coordsize="9900,1450">
            <v:group style="position:absolute;left:29;top:15;width:2752;height:2" coordorigin="29,15" coordsize="2752,2">
              <v:shape style="position:absolute;left:29;top:15;width:2752;height:2" coordorigin="29,15" coordsize="2752,0" path="m29,15l2781,15e" filled="false" stroked="true" strokeweight="1.5pt" strokecolor="#000000">
                <v:path arrowok="t"/>
              </v:shape>
            </v:group>
            <v:group style="position:absolute;left:2781;top:15;width:30;height:2" coordorigin="2781,15" coordsize="30,2">
              <v:shape style="position:absolute;left:2781;top:15;width:30;height:2" coordorigin="2781,15" coordsize="30,0" path="m2781,15l2811,15e" filled="false" stroked="true" strokeweight="1.5pt" strokecolor="#000000">
                <v:path arrowok="t"/>
              </v:shape>
            </v:group>
            <v:group style="position:absolute;left:2811;top:15;width:3520;height:2" coordorigin="2811,15" coordsize="3520,2">
              <v:shape style="position:absolute;left:2811;top:15;width:3520;height:2" coordorigin="2811,15" coordsize="3520,0" path="m2811,15l6331,15e" filled="false" stroked="true" strokeweight="1.5pt" strokecolor="#000000">
                <v:path arrowok="t"/>
              </v:shape>
            </v:group>
            <v:group style="position:absolute;left:6331;top:15;width:30;height:2" coordorigin="6331,15" coordsize="30,2">
              <v:shape style="position:absolute;left:6331;top:15;width:30;height:2" coordorigin="6331,15" coordsize="30,0" path="m6331,15l6361,15e" filled="false" stroked="true" strokeweight="1.5pt" strokecolor="#000000">
                <v:path arrowok="t"/>
              </v:shape>
            </v:group>
            <v:group style="position:absolute;left:6361;top:15;width:3524;height:2" coordorigin="6361,15" coordsize="3524,2">
              <v:shape style="position:absolute;left:6361;top:15;width:3524;height:2" coordorigin="6361,15" coordsize="3524,0" path="m6361,15l9885,15e" filled="false" stroked="true" strokeweight="1.5pt" strokecolor="#000000">
                <v:path arrowok="t"/>
              </v:shape>
            </v:group>
            <v:group style="position:absolute;left:2781;top:30;width:10;height:20" coordorigin="2781,30" coordsize="10,20">
              <v:shape style="position:absolute;left:2781;top:30;width:10;height:20" coordorigin="2781,30" coordsize="10,20" path="m2781,49l2791,49,2791,30,2781,30,2781,49xe" filled="true" fillcolor="#000000" stroked="false">
                <v:path arrowok="t"/>
                <v:fill type="solid"/>
              </v:shape>
            </v:group>
            <v:group style="position:absolute;left:2781;top:49;width:10;height:20" coordorigin="2781,49" coordsize="10,20">
              <v:shape style="position:absolute;left:2781;top:49;width:10;height:20" coordorigin="2781,49" coordsize="10,20" path="m2781,68l2791,68,2791,49,2781,49,2781,68xe" filled="true" fillcolor="#000000" stroked="false">
                <v:path arrowok="t"/>
                <v:fill type="solid"/>
              </v:shape>
            </v:group>
            <v:group style="position:absolute;left:2781;top:68;width:10;height:20" coordorigin="2781,68" coordsize="10,20">
              <v:shape style="position:absolute;left:2781;top:68;width:10;height:20" coordorigin="2781,68" coordsize="10,20" path="m2781,88l2791,88,2791,68,2781,68,2781,88xe" filled="true" fillcolor="#000000" stroked="false">
                <v:path arrowok="t"/>
                <v:fill type="solid"/>
              </v:shape>
            </v:group>
            <v:group style="position:absolute;left:2781;top:88;width:10;height:20" coordorigin="2781,88" coordsize="10,20">
              <v:shape style="position:absolute;left:2781;top:88;width:10;height:20" coordorigin="2781,88" coordsize="10,20" path="m2781,107l2791,107,2791,88,2781,88,2781,107xe" filled="true" fillcolor="#000000" stroked="false">
                <v:path arrowok="t"/>
                <v:fill type="solid"/>
              </v:shape>
            </v:group>
            <v:group style="position:absolute;left:2781;top:107;width:10;height:20" coordorigin="2781,107" coordsize="10,20">
              <v:shape style="position:absolute;left:2781;top:107;width:10;height:20" coordorigin="2781,107" coordsize="10,20" path="m2781,126l2791,126,2791,107,2781,107,2781,126xe" filled="true" fillcolor="#000000" stroked="false">
                <v:path arrowok="t"/>
                <v:fill type="solid"/>
              </v:shape>
            </v:group>
            <v:group style="position:absolute;left:2781;top:126;width:10;height:20" coordorigin="2781,126" coordsize="10,20">
              <v:shape style="position:absolute;left:2781;top:126;width:10;height:20" coordorigin="2781,126" coordsize="10,20" path="m2781,145l2791,145,2791,126,2781,126,2781,145xe" filled="true" fillcolor="#000000" stroked="false">
                <v:path arrowok="t"/>
                <v:fill type="solid"/>
              </v:shape>
            </v:group>
            <v:group style="position:absolute;left:2781;top:145;width:10;height:20" coordorigin="2781,145" coordsize="10,20">
              <v:shape style="position:absolute;left:2781;top:145;width:10;height:20" coordorigin="2781,145" coordsize="10,20" path="m2781,164l2791,164,2791,145,2781,145,2781,164xe" filled="true" fillcolor="#000000" stroked="false">
                <v:path arrowok="t"/>
                <v:fill type="solid"/>
              </v:shape>
            </v:group>
            <v:group style="position:absolute;left:2781;top:164;width:10;height:20" coordorigin="2781,164" coordsize="10,20">
              <v:shape style="position:absolute;left:2781;top:164;width:10;height:20" coordorigin="2781,164" coordsize="10,20" path="m2781,184l2791,184,2791,164,2781,164,2781,184xe" filled="true" fillcolor="#000000" stroked="false">
                <v:path arrowok="t"/>
                <v:fill type="solid"/>
              </v:shape>
            </v:group>
            <v:group style="position:absolute;left:2781;top:184;width:10;height:20" coordorigin="2781,184" coordsize="10,20">
              <v:shape style="position:absolute;left:2781;top:184;width:10;height:20" coordorigin="2781,184" coordsize="10,20" path="m2781,203l2791,203,2791,184,2781,184,2781,203xe" filled="true" fillcolor="#000000" stroked="false">
                <v:path arrowok="t"/>
                <v:fill type="solid"/>
              </v:shape>
            </v:group>
            <v:group style="position:absolute;left:2781;top:203;width:10;height:20" coordorigin="2781,203" coordsize="10,20">
              <v:shape style="position:absolute;left:2781;top:203;width:10;height:20" coordorigin="2781,203" coordsize="10,20" path="m2781,222l2791,222,2791,203,2781,203,2781,222xe" filled="true" fillcolor="#000000" stroked="false">
                <v:path arrowok="t"/>
                <v:fill type="solid"/>
              </v:shape>
            </v:group>
            <v:group style="position:absolute;left:2781;top:222;width:10;height:20" coordorigin="2781,222" coordsize="10,20">
              <v:shape style="position:absolute;left:2781;top:222;width:10;height:20" coordorigin="2781,222" coordsize="10,20" path="m2781,241l2791,241,2791,222,2781,222,2781,241xe" filled="true" fillcolor="#000000" stroked="false">
                <v:path arrowok="t"/>
                <v:fill type="solid"/>
              </v:shape>
            </v:group>
            <v:group style="position:absolute;left:2781;top:241;width:10;height:20" coordorigin="2781,241" coordsize="10,20">
              <v:shape style="position:absolute;left:2781;top:241;width:10;height:20" coordorigin="2781,241" coordsize="10,20" path="m2781,260l2791,260,2791,241,2781,241,2781,260xe" filled="true" fillcolor="#000000" stroked="false">
                <v:path arrowok="t"/>
                <v:fill type="solid"/>
              </v:shape>
            </v:group>
            <v:group style="position:absolute;left:2781;top:260;width:10;height:20" coordorigin="2781,260" coordsize="10,20">
              <v:shape style="position:absolute;left:2781;top:260;width:10;height:20" coordorigin="2781,260" coordsize="10,20" path="m2781,280l2791,280,2791,260,2781,260,2781,280xe" filled="true" fillcolor="#000000" stroked="false">
                <v:path arrowok="t"/>
                <v:fill type="solid"/>
              </v:shape>
            </v:group>
            <v:group style="position:absolute;left:2781;top:280;width:10;height:20" coordorigin="2781,280" coordsize="10,20">
              <v:shape style="position:absolute;left:2781;top:280;width:10;height:20" coordorigin="2781,280" coordsize="10,20" path="m2781,299l2791,299,2791,280,2781,280,2781,299xe" filled="true" fillcolor="#000000" stroked="false">
                <v:path arrowok="t"/>
                <v:fill type="solid"/>
              </v:shape>
            </v:group>
            <v:group style="position:absolute;left:2781;top:299;width:10;height:20" coordorigin="2781,299" coordsize="10,20">
              <v:shape style="position:absolute;left:2781;top:299;width:10;height:20" coordorigin="2781,299" coordsize="10,20" path="m2781,318l2791,318,2791,299,2781,299,2781,318xe" filled="true" fillcolor="#000000" stroked="false">
                <v:path arrowok="t"/>
                <v:fill type="solid"/>
              </v:shape>
            </v:group>
            <v:group style="position:absolute;left:2781;top:318;width:10;height:20" coordorigin="2781,318" coordsize="10,20">
              <v:shape style="position:absolute;left:2781;top:318;width:10;height:20" coordorigin="2781,318" coordsize="10,20" path="m2781,337l2791,337,2791,318,2781,318,2781,337xe" filled="true" fillcolor="#000000" stroked="false">
                <v:path arrowok="t"/>
                <v:fill type="solid"/>
              </v:shape>
            </v:group>
            <v:group style="position:absolute;left:2781;top:337;width:10;height:20" coordorigin="2781,337" coordsize="10,20">
              <v:shape style="position:absolute;left:2781;top:337;width:10;height:20" coordorigin="2781,337" coordsize="10,20" path="m2781,356l2791,356,2791,337,2781,337,2781,356xe" filled="true" fillcolor="#000000" stroked="false">
                <v:path arrowok="t"/>
                <v:fill type="solid"/>
              </v:shape>
            </v:group>
            <v:group style="position:absolute;left:2781;top:363;width:10;height:2" coordorigin="2781,363" coordsize="10,2">
              <v:shape style="position:absolute;left:2781;top:363;width:10;height:2" coordorigin="2781,363" coordsize="10,0" path="m2781,363l2791,363e" filled="false" stroked="true" strokeweight=".660004pt" strokecolor="#000000">
                <v:path arrowok="t"/>
              </v:shape>
            </v:group>
            <v:group style="position:absolute;left:6331;top:30;width:10;height:20" coordorigin="6331,30" coordsize="10,20">
              <v:shape style="position:absolute;left:6331;top:30;width:10;height:20" coordorigin="6331,30" coordsize="10,20" path="m6331,49l6341,49,6341,30,6331,30,6331,49xe" filled="true" fillcolor="#000000" stroked="false">
                <v:path arrowok="t"/>
                <v:fill type="solid"/>
              </v:shape>
            </v:group>
            <v:group style="position:absolute;left:6331;top:49;width:10;height:20" coordorigin="6331,49" coordsize="10,20">
              <v:shape style="position:absolute;left:6331;top:49;width:10;height:20" coordorigin="6331,49" coordsize="10,20" path="m6331,68l6341,68,6341,49,6331,49,6331,68xe" filled="true" fillcolor="#000000" stroked="false">
                <v:path arrowok="t"/>
                <v:fill type="solid"/>
              </v:shape>
            </v:group>
            <v:group style="position:absolute;left:6331;top:68;width:10;height:20" coordorigin="6331,68" coordsize="10,20">
              <v:shape style="position:absolute;left:6331;top:68;width:10;height:20" coordorigin="6331,68" coordsize="10,20" path="m6331,88l6341,88,6341,68,6331,68,6331,88xe" filled="true" fillcolor="#000000" stroked="false">
                <v:path arrowok="t"/>
                <v:fill type="solid"/>
              </v:shape>
            </v:group>
            <v:group style="position:absolute;left:6331;top:88;width:10;height:20" coordorigin="6331,88" coordsize="10,20">
              <v:shape style="position:absolute;left:6331;top:88;width:10;height:20" coordorigin="6331,88" coordsize="10,20" path="m6331,107l6341,107,6341,88,6331,88,6331,107xe" filled="true" fillcolor="#000000" stroked="false">
                <v:path arrowok="t"/>
                <v:fill type="solid"/>
              </v:shape>
            </v:group>
            <v:group style="position:absolute;left:6331;top:107;width:10;height:20" coordorigin="6331,107" coordsize="10,20">
              <v:shape style="position:absolute;left:6331;top:107;width:10;height:20" coordorigin="6331,107" coordsize="10,20" path="m6331,126l6341,126,6341,107,6331,107,6331,126xe" filled="true" fillcolor="#000000" stroked="false">
                <v:path arrowok="t"/>
                <v:fill type="solid"/>
              </v:shape>
            </v:group>
            <v:group style="position:absolute;left:6331;top:126;width:10;height:20" coordorigin="6331,126" coordsize="10,20">
              <v:shape style="position:absolute;left:6331;top:126;width:10;height:20" coordorigin="6331,126" coordsize="10,20" path="m6331,145l6341,145,6341,126,6331,126,6331,145xe" filled="true" fillcolor="#000000" stroked="false">
                <v:path arrowok="t"/>
                <v:fill type="solid"/>
              </v:shape>
            </v:group>
            <v:group style="position:absolute;left:6331;top:145;width:10;height:20" coordorigin="6331,145" coordsize="10,20">
              <v:shape style="position:absolute;left:6331;top:145;width:10;height:20" coordorigin="6331,145" coordsize="10,20" path="m6331,164l6341,164,6341,145,6331,145,6331,164xe" filled="true" fillcolor="#000000" stroked="false">
                <v:path arrowok="t"/>
                <v:fill type="solid"/>
              </v:shape>
            </v:group>
            <v:group style="position:absolute;left:6331;top:164;width:10;height:20" coordorigin="6331,164" coordsize="10,20">
              <v:shape style="position:absolute;left:6331;top:164;width:10;height:20" coordorigin="6331,164" coordsize="10,20" path="m6331,184l6341,184,6341,164,6331,164,6331,184xe" filled="true" fillcolor="#000000" stroked="false">
                <v:path arrowok="t"/>
                <v:fill type="solid"/>
              </v:shape>
            </v:group>
            <v:group style="position:absolute;left:6331;top:184;width:10;height:20" coordorigin="6331,184" coordsize="10,20">
              <v:shape style="position:absolute;left:6331;top:184;width:10;height:20" coordorigin="6331,184" coordsize="10,20" path="m6331,203l6341,203,6341,184,6331,184,6331,203xe" filled="true" fillcolor="#000000" stroked="false">
                <v:path arrowok="t"/>
                <v:fill type="solid"/>
              </v:shape>
            </v:group>
            <v:group style="position:absolute;left:6331;top:203;width:10;height:20" coordorigin="6331,203" coordsize="10,20">
              <v:shape style="position:absolute;left:6331;top:203;width:10;height:20" coordorigin="6331,203" coordsize="10,20" path="m6331,222l6341,222,6341,203,6331,203,6331,222xe" filled="true" fillcolor="#000000" stroked="false">
                <v:path arrowok="t"/>
                <v:fill type="solid"/>
              </v:shape>
            </v:group>
            <v:group style="position:absolute;left:6331;top:222;width:10;height:20" coordorigin="6331,222" coordsize="10,20">
              <v:shape style="position:absolute;left:6331;top:222;width:10;height:20" coordorigin="6331,222" coordsize="10,20" path="m6331,241l6341,241,6341,222,6331,222,6331,241xe" filled="true" fillcolor="#000000" stroked="false">
                <v:path arrowok="t"/>
                <v:fill type="solid"/>
              </v:shape>
            </v:group>
            <v:group style="position:absolute;left:6331;top:241;width:10;height:20" coordorigin="6331,241" coordsize="10,20">
              <v:shape style="position:absolute;left:6331;top:241;width:10;height:20" coordorigin="6331,241" coordsize="10,20" path="m6331,260l6341,260,6341,241,6331,241,6331,260xe" filled="true" fillcolor="#000000" stroked="false">
                <v:path arrowok="t"/>
                <v:fill type="solid"/>
              </v:shape>
            </v:group>
            <v:group style="position:absolute;left:6331;top:260;width:10;height:20" coordorigin="6331,260" coordsize="10,20">
              <v:shape style="position:absolute;left:6331;top:260;width:10;height:20" coordorigin="6331,260" coordsize="10,20" path="m6331,280l6341,280,6341,260,6331,260,6331,280xe" filled="true" fillcolor="#000000" stroked="false">
                <v:path arrowok="t"/>
                <v:fill type="solid"/>
              </v:shape>
            </v:group>
            <v:group style="position:absolute;left:6331;top:280;width:10;height:20" coordorigin="6331,280" coordsize="10,20">
              <v:shape style="position:absolute;left:6331;top:280;width:10;height:20" coordorigin="6331,280" coordsize="10,20" path="m6331,299l6341,299,6341,280,6331,280,6331,299xe" filled="true" fillcolor="#000000" stroked="false">
                <v:path arrowok="t"/>
                <v:fill type="solid"/>
              </v:shape>
            </v:group>
            <v:group style="position:absolute;left:6331;top:299;width:10;height:20" coordorigin="6331,299" coordsize="10,20">
              <v:shape style="position:absolute;left:6331;top:299;width:10;height:20" coordorigin="6331,299" coordsize="10,20" path="m6331,318l6341,318,6341,299,6331,299,6331,318xe" filled="true" fillcolor="#000000" stroked="false">
                <v:path arrowok="t"/>
                <v:fill type="solid"/>
              </v:shape>
            </v:group>
            <v:group style="position:absolute;left:6331;top:318;width:10;height:20" coordorigin="6331,318" coordsize="10,20">
              <v:shape style="position:absolute;left:6331;top:318;width:10;height:20" coordorigin="6331,318" coordsize="10,20" path="m6331,337l6341,337,6341,318,6331,318,6331,337xe" filled="true" fillcolor="#000000" stroked="false">
                <v:path arrowok="t"/>
                <v:fill type="solid"/>
              </v:shape>
            </v:group>
            <v:group style="position:absolute;left:6331;top:337;width:10;height:20" coordorigin="6331,337" coordsize="10,20">
              <v:shape style="position:absolute;left:6331;top:337;width:10;height:20" coordorigin="6331,337" coordsize="10,20" path="m6331,356l6341,356,6341,337,6331,337,6331,356xe" filled="true" fillcolor="#000000" stroked="false">
                <v:path arrowok="t"/>
                <v:fill type="solid"/>
              </v:shape>
            </v:group>
            <v:group style="position:absolute;left:6331;top:363;width:10;height:2" coordorigin="6331,363" coordsize="10,2">
              <v:shape style="position:absolute;left:6331;top:363;width:10;height:2" coordorigin="6331,363" coordsize="10,0" path="m6331,363l6341,363e" filled="false" stroked="true" strokeweight=".660004pt" strokecolor="#000000">
                <v:path arrowok="t"/>
              </v:shape>
            </v:group>
            <v:group style="position:absolute;left:2781;top:374;width:10;height:2" coordorigin="2781,374" coordsize="10,2">
              <v:shape style="position:absolute;left:2781;top:374;width:10;height:2" coordorigin="2781,374" coordsize="10,0" path="m2781,374l2791,374e" filled="false" stroked="true" strokeweight=".480011pt" strokecolor="#000000">
                <v:path arrowok="t"/>
              </v:shape>
            </v:group>
            <v:group style="position:absolute;left:4555;top:374;width:10;height:2" coordorigin="4555,374" coordsize="10,2">
              <v:shape style="position:absolute;left:4555;top:374;width:10;height:2" coordorigin="4555,374" coordsize="10,0" path="m4555,374l4565,374e" filled="false" stroked="true" strokeweight=".480011pt" strokecolor="#000000">
                <v:path arrowok="t"/>
              </v:shape>
              <v:shape style="position:absolute;left:2791;top:370;width:3540;height:10" type="#_x0000_t75" stroked="false">
                <v:imagedata r:id="rId39" o:title=""/>
              </v:shape>
              <v:shape style="position:absolute;left:6327;top:370;width:3558;height:10" type="#_x0000_t75" stroked="false">
                <v:imagedata r:id="rId40" o:title=""/>
              </v:shape>
            </v:group>
            <v:group style="position:absolute;left:2781;top:379;width:10;height:20" coordorigin="2781,379" coordsize="10,20">
              <v:shape style="position:absolute;left:2781;top:379;width:10;height:20" coordorigin="2781,379" coordsize="10,20" path="m2781,398l2791,398,2791,379,2781,379,2781,398xe" filled="true" fillcolor="#000000" stroked="false">
                <v:path arrowok="t"/>
                <v:fill type="solid"/>
              </v:shape>
            </v:group>
            <v:group style="position:absolute;left:2781;top:398;width:10;height:20" coordorigin="2781,398" coordsize="10,20">
              <v:shape style="position:absolute;left:2781;top:398;width:10;height:20" coordorigin="2781,398" coordsize="10,20" path="m2781,418l2791,418,2791,398,2781,398,2781,418xe" filled="true" fillcolor="#000000" stroked="false">
                <v:path arrowok="t"/>
                <v:fill type="solid"/>
              </v:shape>
            </v:group>
            <v:group style="position:absolute;left:2781;top:418;width:10;height:20" coordorigin="2781,418" coordsize="10,20">
              <v:shape style="position:absolute;left:2781;top:418;width:10;height:20" coordorigin="2781,418" coordsize="10,20" path="m2781,437l2791,437,2791,418,2781,418,2781,437xe" filled="true" fillcolor="#000000" stroked="false">
                <v:path arrowok="t"/>
                <v:fill type="solid"/>
              </v:shape>
            </v:group>
            <v:group style="position:absolute;left:2781;top:437;width:10;height:20" coordorigin="2781,437" coordsize="10,20">
              <v:shape style="position:absolute;left:2781;top:437;width:10;height:20" coordorigin="2781,437" coordsize="10,20" path="m2781,456l2791,456,2791,437,2781,437,2781,456xe" filled="true" fillcolor="#000000" stroked="false">
                <v:path arrowok="t"/>
                <v:fill type="solid"/>
              </v:shape>
            </v:group>
            <v:group style="position:absolute;left:2781;top:456;width:10;height:20" coordorigin="2781,456" coordsize="10,20">
              <v:shape style="position:absolute;left:2781;top:456;width:10;height:20" coordorigin="2781,456" coordsize="10,20" path="m2781,475l2791,475,2791,456,2781,456,2781,475xe" filled="true" fillcolor="#000000" stroked="false">
                <v:path arrowok="t"/>
                <v:fill type="solid"/>
              </v:shape>
            </v:group>
            <v:group style="position:absolute;left:2781;top:475;width:10;height:20" coordorigin="2781,475" coordsize="10,20">
              <v:shape style="position:absolute;left:2781;top:475;width:10;height:20" coordorigin="2781,475" coordsize="10,20" path="m2781,494l2791,494,2791,475,2781,475,2781,494xe" filled="true" fillcolor="#000000" stroked="false">
                <v:path arrowok="t"/>
                <v:fill type="solid"/>
              </v:shape>
            </v:group>
            <v:group style="position:absolute;left:2781;top:494;width:10;height:20" coordorigin="2781,494" coordsize="10,20">
              <v:shape style="position:absolute;left:2781;top:494;width:10;height:20" coordorigin="2781,494" coordsize="10,20" path="m2781,514l2791,514,2791,494,2781,494,2781,514xe" filled="true" fillcolor="#000000" stroked="false">
                <v:path arrowok="t"/>
                <v:fill type="solid"/>
              </v:shape>
            </v:group>
            <v:group style="position:absolute;left:2781;top:514;width:10;height:20" coordorigin="2781,514" coordsize="10,20">
              <v:shape style="position:absolute;left:2781;top:514;width:10;height:20" coordorigin="2781,514" coordsize="10,20" path="m2781,533l2791,533,2791,514,2781,514,2781,533xe" filled="true" fillcolor="#000000" stroked="false">
                <v:path arrowok="t"/>
                <v:fill type="solid"/>
              </v:shape>
            </v:group>
            <v:group style="position:absolute;left:2781;top:533;width:10;height:20" coordorigin="2781,533" coordsize="10,20">
              <v:shape style="position:absolute;left:2781;top:533;width:10;height:20" coordorigin="2781,533" coordsize="10,20" path="m2781,552l2791,552,2791,533,2781,533,2781,552xe" filled="true" fillcolor="#000000" stroked="false">
                <v:path arrowok="t"/>
                <v:fill type="solid"/>
              </v:shape>
            </v:group>
            <v:group style="position:absolute;left:2781;top:552;width:10;height:20" coordorigin="2781,552" coordsize="10,20">
              <v:shape style="position:absolute;left:2781;top:552;width:10;height:20" coordorigin="2781,552" coordsize="10,20" path="m2781,571l2791,571,2791,552,2781,552,2781,571xe" filled="true" fillcolor="#000000" stroked="false">
                <v:path arrowok="t"/>
                <v:fill type="solid"/>
              </v:shape>
            </v:group>
            <v:group style="position:absolute;left:2781;top:571;width:10;height:20" coordorigin="2781,571" coordsize="10,20">
              <v:shape style="position:absolute;left:2781;top:571;width:10;height:20" coordorigin="2781,571" coordsize="10,20" path="m2781,590l2791,590,2791,571,2781,571,2781,590xe" filled="true" fillcolor="#000000" stroked="false">
                <v:path arrowok="t"/>
                <v:fill type="solid"/>
              </v:shape>
            </v:group>
            <v:group style="position:absolute;left:2781;top:590;width:10;height:20" coordorigin="2781,590" coordsize="10,20">
              <v:shape style="position:absolute;left:2781;top:590;width:10;height:20" coordorigin="2781,590" coordsize="10,20" path="m2781,610l2791,610,2791,590,2781,590,2781,610xe" filled="true" fillcolor="#000000" stroked="false">
                <v:path arrowok="t"/>
                <v:fill type="solid"/>
              </v:shape>
            </v:group>
            <v:group style="position:absolute;left:2781;top:610;width:10;height:20" coordorigin="2781,610" coordsize="10,20">
              <v:shape style="position:absolute;left:2781;top:610;width:10;height:20" coordorigin="2781,610" coordsize="10,20" path="m2781,629l2791,629,2791,610,2781,610,2781,629xe" filled="true" fillcolor="#000000" stroked="false">
                <v:path arrowok="t"/>
                <v:fill type="solid"/>
              </v:shape>
            </v:group>
            <v:group style="position:absolute;left:4555;top:379;width:10;height:20" coordorigin="4555,379" coordsize="10,20">
              <v:shape style="position:absolute;left:4555;top:379;width:10;height:20" coordorigin="4555,379" coordsize="10,20" path="m4555,398l4565,398,4565,379,4555,379,4555,398xe" filled="true" fillcolor="#000000" stroked="false">
                <v:path arrowok="t"/>
                <v:fill type="solid"/>
              </v:shape>
            </v:group>
            <v:group style="position:absolute;left:4555;top:398;width:10;height:20" coordorigin="4555,398" coordsize="10,20">
              <v:shape style="position:absolute;left:4555;top:398;width:10;height:20" coordorigin="4555,398" coordsize="10,20" path="m4555,418l4565,418,4565,398,4555,398,4555,418xe" filled="true" fillcolor="#000000" stroked="false">
                <v:path arrowok="t"/>
                <v:fill type="solid"/>
              </v:shape>
            </v:group>
            <v:group style="position:absolute;left:4555;top:418;width:10;height:20" coordorigin="4555,418" coordsize="10,20">
              <v:shape style="position:absolute;left:4555;top:418;width:10;height:20" coordorigin="4555,418" coordsize="10,20" path="m4555,437l4565,437,4565,418,4555,418,4555,437xe" filled="true" fillcolor="#000000" stroked="false">
                <v:path arrowok="t"/>
                <v:fill type="solid"/>
              </v:shape>
            </v:group>
            <v:group style="position:absolute;left:4555;top:437;width:10;height:20" coordorigin="4555,437" coordsize="10,20">
              <v:shape style="position:absolute;left:4555;top:437;width:10;height:20" coordorigin="4555,437" coordsize="10,20" path="m4555,456l4565,456,4565,437,4555,437,4555,456xe" filled="true" fillcolor="#000000" stroked="false">
                <v:path arrowok="t"/>
                <v:fill type="solid"/>
              </v:shape>
            </v:group>
            <v:group style="position:absolute;left:4555;top:456;width:10;height:20" coordorigin="4555,456" coordsize="10,20">
              <v:shape style="position:absolute;left:4555;top:456;width:10;height:20" coordorigin="4555,456" coordsize="10,20" path="m4555,475l4565,475,4565,456,4555,456,4555,475xe" filled="true" fillcolor="#000000" stroked="false">
                <v:path arrowok="t"/>
                <v:fill type="solid"/>
              </v:shape>
            </v:group>
            <v:group style="position:absolute;left:4555;top:475;width:10;height:20" coordorigin="4555,475" coordsize="10,20">
              <v:shape style="position:absolute;left:4555;top:475;width:10;height:20" coordorigin="4555,475" coordsize="10,20" path="m4555,494l4565,494,4565,475,4555,475,4555,494xe" filled="true" fillcolor="#000000" stroked="false">
                <v:path arrowok="t"/>
                <v:fill type="solid"/>
              </v:shape>
            </v:group>
            <v:group style="position:absolute;left:4555;top:494;width:10;height:20" coordorigin="4555,494" coordsize="10,20">
              <v:shape style="position:absolute;left:4555;top:494;width:10;height:20" coordorigin="4555,494" coordsize="10,20" path="m4555,514l4565,514,4565,494,4555,494,4555,514xe" filled="true" fillcolor="#000000" stroked="false">
                <v:path arrowok="t"/>
                <v:fill type="solid"/>
              </v:shape>
            </v:group>
            <v:group style="position:absolute;left:4555;top:514;width:10;height:20" coordorigin="4555,514" coordsize="10,20">
              <v:shape style="position:absolute;left:4555;top:514;width:10;height:20" coordorigin="4555,514" coordsize="10,20" path="m4555,533l4565,533,4565,514,4555,514,4555,533xe" filled="true" fillcolor="#000000" stroked="false">
                <v:path arrowok="t"/>
                <v:fill type="solid"/>
              </v:shape>
            </v:group>
            <v:group style="position:absolute;left:4555;top:533;width:10;height:20" coordorigin="4555,533" coordsize="10,20">
              <v:shape style="position:absolute;left:4555;top:533;width:10;height:20" coordorigin="4555,533" coordsize="10,20" path="m4555,552l4565,552,4565,533,4555,533,4555,552xe" filled="true" fillcolor="#000000" stroked="false">
                <v:path arrowok="t"/>
                <v:fill type="solid"/>
              </v:shape>
            </v:group>
            <v:group style="position:absolute;left:4555;top:552;width:10;height:20" coordorigin="4555,552" coordsize="10,20">
              <v:shape style="position:absolute;left:4555;top:552;width:10;height:20" coordorigin="4555,552" coordsize="10,20" path="m4555,571l4565,571,4565,552,4555,552,4555,571xe" filled="true" fillcolor="#000000" stroked="false">
                <v:path arrowok="t"/>
                <v:fill type="solid"/>
              </v:shape>
            </v:group>
            <v:group style="position:absolute;left:4555;top:571;width:10;height:20" coordorigin="4555,571" coordsize="10,20">
              <v:shape style="position:absolute;left:4555;top:571;width:10;height:20" coordorigin="4555,571" coordsize="10,20" path="m4555,590l4565,590,4565,571,4555,571,4555,590xe" filled="true" fillcolor="#000000" stroked="false">
                <v:path arrowok="t"/>
                <v:fill type="solid"/>
              </v:shape>
            </v:group>
            <v:group style="position:absolute;left:4555;top:590;width:10;height:20" coordorigin="4555,590" coordsize="10,20">
              <v:shape style="position:absolute;left:4555;top:590;width:10;height:20" coordorigin="4555,590" coordsize="10,20" path="m4555,610l4565,610,4565,590,4555,590,4555,610xe" filled="true" fillcolor="#000000" stroked="false">
                <v:path arrowok="t"/>
                <v:fill type="solid"/>
              </v:shape>
            </v:group>
            <v:group style="position:absolute;left:4555;top:610;width:10;height:20" coordorigin="4555,610" coordsize="10,20">
              <v:shape style="position:absolute;left:4555;top:610;width:10;height:20" coordorigin="4555,610" coordsize="10,20" path="m4555,629l4565,629,4565,610,4555,610,4555,629xe" filled="true" fillcolor="#000000" stroked="false">
                <v:path arrowok="t"/>
                <v:fill type="solid"/>
              </v:shape>
            </v:group>
            <v:group style="position:absolute;left:4555;top:629;width:10;height:20" coordorigin="4555,629" coordsize="10,20">
              <v:shape style="position:absolute;left:4555;top:629;width:10;height:20" coordorigin="4555,629" coordsize="10,20" path="m4555,648l4565,648,4565,629,4555,629,4555,648xe" filled="true" fillcolor="#000000" stroked="false">
                <v:path arrowok="t"/>
                <v:fill type="solid"/>
              </v:shape>
            </v:group>
            <v:group style="position:absolute;left:4555;top:648;width:10;height:20" coordorigin="4555,648" coordsize="10,20">
              <v:shape style="position:absolute;left:4555;top:648;width:10;height:20" coordorigin="4555,648" coordsize="10,20" path="m4555,667l4565,667,4565,648,4555,648,4555,667xe" filled="true" fillcolor="#000000" stroked="false">
                <v:path arrowok="t"/>
                <v:fill type="solid"/>
              </v:shape>
            </v:group>
            <v:group style="position:absolute;left:4555;top:667;width:10;height:20" coordorigin="4555,667" coordsize="10,20">
              <v:shape style="position:absolute;left:4555;top:667;width:10;height:20" coordorigin="4555,667" coordsize="10,20" path="m4555,686l4565,686,4565,667,4555,667,4555,686xe" filled="true" fillcolor="#000000" stroked="false">
                <v:path arrowok="t"/>
                <v:fill type="solid"/>
              </v:shape>
            </v:group>
            <v:group style="position:absolute;left:4555;top:686;width:10;height:20" coordorigin="4555,686" coordsize="10,20">
              <v:shape style="position:absolute;left:4555;top:686;width:10;height:20" coordorigin="4555,686" coordsize="10,20" path="m4555,706l4565,706,4565,686,4555,686,4555,706xe" filled="true" fillcolor="#000000" stroked="false">
                <v:path arrowok="t"/>
                <v:fill type="solid"/>
              </v:shape>
            </v:group>
            <v:group style="position:absolute;left:4555;top:713;width:10;height:2" coordorigin="4555,713" coordsize="10,2">
              <v:shape style="position:absolute;left:4555;top:713;width:10;height:2" coordorigin="4555,713" coordsize="10,0" path="m4555,713l4565,713e" filled="false" stroked="true" strokeweight=".720001pt" strokecolor="#000000">
                <v:path arrowok="t"/>
              </v:shape>
            </v:group>
            <v:group style="position:absolute;left:6331;top:379;width:10;height:20" coordorigin="6331,379" coordsize="10,20">
              <v:shape style="position:absolute;left:6331;top:379;width:10;height:20" coordorigin="6331,379" coordsize="10,20" path="m6331,398l6341,398,6341,379,6331,379,6331,398xe" filled="true" fillcolor="#000000" stroked="false">
                <v:path arrowok="t"/>
                <v:fill type="solid"/>
              </v:shape>
            </v:group>
            <v:group style="position:absolute;left:6331;top:398;width:10;height:20" coordorigin="6331,398" coordsize="10,20">
              <v:shape style="position:absolute;left:6331;top:398;width:10;height:20" coordorigin="6331,398" coordsize="10,20" path="m6331,418l6341,418,6341,398,6331,398,6331,418xe" filled="true" fillcolor="#000000" stroked="false">
                <v:path arrowok="t"/>
                <v:fill type="solid"/>
              </v:shape>
            </v:group>
            <v:group style="position:absolute;left:6331;top:418;width:10;height:20" coordorigin="6331,418" coordsize="10,20">
              <v:shape style="position:absolute;left:6331;top:418;width:10;height:20" coordorigin="6331,418" coordsize="10,20" path="m6331,437l6341,437,6341,418,6331,418,6331,437xe" filled="true" fillcolor="#000000" stroked="false">
                <v:path arrowok="t"/>
                <v:fill type="solid"/>
              </v:shape>
            </v:group>
            <v:group style="position:absolute;left:6331;top:437;width:10;height:20" coordorigin="6331,437" coordsize="10,20">
              <v:shape style="position:absolute;left:6331;top:437;width:10;height:20" coordorigin="6331,437" coordsize="10,20" path="m6331,456l6341,456,6341,437,6331,437,6331,456xe" filled="true" fillcolor="#000000" stroked="false">
                <v:path arrowok="t"/>
                <v:fill type="solid"/>
              </v:shape>
            </v:group>
            <v:group style="position:absolute;left:6331;top:456;width:10;height:20" coordorigin="6331,456" coordsize="10,20">
              <v:shape style="position:absolute;left:6331;top:456;width:10;height:20" coordorigin="6331,456" coordsize="10,20" path="m6331,475l6341,475,6341,456,6331,456,6331,475xe" filled="true" fillcolor="#000000" stroked="false">
                <v:path arrowok="t"/>
                <v:fill type="solid"/>
              </v:shape>
            </v:group>
            <v:group style="position:absolute;left:6331;top:475;width:10;height:20" coordorigin="6331,475" coordsize="10,20">
              <v:shape style="position:absolute;left:6331;top:475;width:10;height:20" coordorigin="6331,475" coordsize="10,20" path="m6331,494l6341,494,6341,475,6331,475,6331,494xe" filled="true" fillcolor="#000000" stroked="false">
                <v:path arrowok="t"/>
                <v:fill type="solid"/>
              </v:shape>
            </v:group>
            <v:group style="position:absolute;left:6331;top:494;width:10;height:20" coordorigin="6331,494" coordsize="10,20">
              <v:shape style="position:absolute;left:6331;top:494;width:10;height:20" coordorigin="6331,494" coordsize="10,20" path="m6331,514l6341,514,6341,494,6331,494,6331,514xe" filled="true" fillcolor="#000000" stroked="false">
                <v:path arrowok="t"/>
                <v:fill type="solid"/>
              </v:shape>
            </v:group>
            <v:group style="position:absolute;left:6331;top:514;width:10;height:20" coordorigin="6331,514" coordsize="10,20">
              <v:shape style="position:absolute;left:6331;top:514;width:10;height:20" coordorigin="6331,514" coordsize="10,20" path="m6331,533l6341,533,6341,514,6331,514,6331,533xe" filled="true" fillcolor="#000000" stroked="false">
                <v:path arrowok="t"/>
                <v:fill type="solid"/>
              </v:shape>
            </v:group>
            <v:group style="position:absolute;left:6331;top:533;width:10;height:20" coordorigin="6331,533" coordsize="10,20">
              <v:shape style="position:absolute;left:6331;top:533;width:10;height:20" coordorigin="6331,533" coordsize="10,20" path="m6331,552l6341,552,6341,533,6331,533,6331,552xe" filled="true" fillcolor="#000000" stroked="false">
                <v:path arrowok="t"/>
                <v:fill type="solid"/>
              </v:shape>
            </v:group>
            <v:group style="position:absolute;left:6331;top:552;width:10;height:20" coordorigin="6331,552" coordsize="10,20">
              <v:shape style="position:absolute;left:6331;top:552;width:10;height:20" coordorigin="6331,552" coordsize="10,20" path="m6331,571l6341,571,6341,552,6331,552,6331,571xe" filled="true" fillcolor="#000000" stroked="false">
                <v:path arrowok="t"/>
                <v:fill type="solid"/>
              </v:shape>
            </v:group>
            <v:group style="position:absolute;left:6331;top:571;width:10;height:20" coordorigin="6331,571" coordsize="10,20">
              <v:shape style="position:absolute;left:6331;top:571;width:10;height:20" coordorigin="6331,571" coordsize="10,20" path="m6331,590l6341,590,6341,571,6331,571,6331,590xe" filled="true" fillcolor="#000000" stroked="false">
                <v:path arrowok="t"/>
                <v:fill type="solid"/>
              </v:shape>
            </v:group>
            <v:group style="position:absolute;left:6331;top:590;width:10;height:20" coordorigin="6331,590" coordsize="10,20">
              <v:shape style="position:absolute;left:6331;top:590;width:10;height:20" coordorigin="6331,590" coordsize="10,20" path="m6331,610l6341,610,6341,590,6331,590,6331,610xe" filled="true" fillcolor="#000000" stroked="false">
                <v:path arrowok="t"/>
                <v:fill type="solid"/>
              </v:shape>
            </v:group>
            <v:group style="position:absolute;left:6331;top:610;width:10;height:20" coordorigin="6331,610" coordsize="10,20">
              <v:shape style="position:absolute;left:6331;top:610;width:10;height:20" coordorigin="6331,610" coordsize="10,20" path="m6331,629l6341,629,6341,610,6331,610,6331,629xe" filled="true" fillcolor="#000000" stroked="false">
                <v:path arrowok="t"/>
                <v:fill type="solid"/>
              </v:shape>
            </v:group>
            <v:group style="position:absolute;left:6331;top:629;width:10;height:20" coordorigin="6331,629" coordsize="10,20">
              <v:shape style="position:absolute;left:6331;top:629;width:10;height:20" coordorigin="6331,629" coordsize="10,20" path="m6331,648l6341,648,6341,629,6331,629,6331,648xe" filled="true" fillcolor="#000000" stroked="false">
                <v:path arrowok="t"/>
                <v:fill type="solid"/>
              </v:shape>
            </v:group>
            <v:group style="position:absolute;left:6331;top:648;width:10;height:20" coordorigin="6331,648" coordsize="10,20">
              <v:shape style="position:absolute;left:6331;top:648;width:10;height:20" coordorigin="6331,648" coordsize="10,20" path="m6331,667l6341,667,6341,648,6331,648,6331,667xe" filled="true" fillcolor="#000000" stroked="false">
                <v:path arrowok="t"/>
                <v:fill type="solid"/>
              </v:shape>
            </v:group>
            <v:group style="position:absolute;left:6331;top:667;width:10;height:20" coordorigin="6331,667" coordsize="10,20">
              <v:shape style="position:absolute;left:6331;top:667;width:10;height:20" coordorigin="6331,667" coordsize="10,20" path="m6331,686l6341,686,6341,667,6331,667,6331,686xe" filled="true" fillcolor="#000000" stroked="false">
                <v:path arrowok="t"/>
                <v:fill type="solid"/>
              </v:shape>
            </v:group>
            <v:group style="position:absolute;left:6331;top:686;width:10;height:20" coordorigin="6331,686" coordsize="10,20">
              <v:shape style="position:absolute;left:6331;top:686;width:10;height:20" coordorigin="6331,686" coordsize="10,20" path="m6331,706l6341,706,6341,686,6331,686,6331,706xe" filled="true" fillcolor="#000000" stroked="false">
                <v:path arrowok="t"/>
                <v:fill type="solid"/>
              </v:shape>
            </v:group>
            <v:group style="position:absolute;left:6331;top:713;width:10;height:2" coordorigin="6331,713" coordsize="10,2">
              <v:shape style="position:absolute;left:6331;top:713;width:10;height:2" coordorigin="6331,713" coordsize="10,0" path="m6331,713l6341,713e" filled="false" stroked="true" strokeweight=".720001pt" strokecolor="#000000">
                <v:path arrowok="t"/>
              </v:shape>
            </v:group>
            <v:group style="position:absolute;left:8105;top:379;width:10;height:20" coordorigin="8105,379" coordsize="10,20">
              <v:shape style="position:absolute;left:8105;top:379;width:10;height:20" coordorigin="8105,379" coordsize="10,20" path="m8105,398l8115,398,8115,379,8105,379,8105,398xe" filled="true" fillcolor="#000000" stroked="false">
                <v:path arrowok="t"/>
                <v:fill type="solid"/>
              </v:shape>
            </v:group>
            <v:group style="position:absolute;left:8105;top:398;width:10;height:20" coordorigin="8105,398" coordsize="10,20">
              <v:shape style="position:absolute;left:8105;top:398;width:10;height:20" coordorigin="8105,398" coordsize="10,20" path="m8105,418l8115,418,8115,398,8105,398,8105,418xe" filled="true" fillcolor="#000000" stroked="false">
                <v:path arrowok="t"/>
                <v:fill type="solid"/>
              </v:shape>
            </v:group>
            <v:group style="position:absolute;left:8105;top:418;width:10;height:20" coordorigin="8105,418" coordsize="10,20">
              <v:shape style="position:absolute;left:8105;top:418;width:10;height:20" coordorigin="8105,418" coordsize="10,20" path="m8105,437l8115,437,8115,418,8105,418,8105,437xe" filled="true" fillcolor="#000000" stroked="false">
                <v:path arrowok="t"/>
                <v:fill type="solid"/>
              </v:shape>
            </v:group>
            <v:group style="position:absolute;left:8105;top:437;width:10;height:20" coordorigin="8105,437" coordsize="10,20">
              <v:shape style="position:absolute;left:8105;top:437;width:10;height:20" coordorigin="8105,437" coordsize="10,20" path="m8105,456l8115,456,8115,437,8105,437,8105,456xe" filled="true" fillcolor="#000000" stroked="false">
                <v:path arrowok="t"/>
                <v:fill type="solid"/>
              </v:shape>
            </v:group>
            <v:group style="position:absolute;left:8105;top:456;width:10;height:20" coordorigin="8105,456" coordsize="10,20">
              <v:shape style="position:absolute;left:8105;top:456;width:10;height:20" coordorigin="8105,456" coordsize="10,20" path="m8105,475l8115,475,8115,456,8105,456,8105,475xe" filled="true" fillcolor="#000000" stroked="false">
                <v:path arrowok="t"/>
                <v:fill type="solid"/>
              </v:shape>
            </v:group>
            <v:group style="position:absolute;left:8105;top:475;width:10;height:20" coordorigin="8105,475" coordsize="10,20">
              <v:shape style="position:absolute;left:8105;top:475;width:10;height:20" coordorigin="8105,475" coordsize="10,20" path="m8105,494l8115,494,8115,475,8105,475,8105,494xe" filled="true" fillcolor="#000000" stroked="false">
                <v:path arrowok="t"/>
                <v:fill type="solid"/>
              </v:shape>
            </v:group>
            <v:group style="position:absolute;left:8105;top:494;width:10;height:20" coordorigin="8105,494" coordsize="10,20">
              <v:shape style="position:absolute;left:8105;top:494;width:10;height:20" coordorigin="8105,494" coordsize="10,20" path="m8105,514l8115,514,8115,494,8105,494,8105,514xe" filled="true" fillcolor="#000000" stroked="false">
                <v:path arrowok="t"/>
                <v:fill type="solid"/>
              </v:shape>
            </v:group>
            <v:group style="position:absolute;left:8105;top:514;width:10;height:20" coordorigin="8105,514" coordsize="10,20">
              <v:shape style="position:absolute;left:8105;top:514;width:10;height:20" coordorigin="8105,514" coordsize="10,20" path="m8105,533l8115,533,8115,514,8105,514,8105,533xe" filled="true" fillcolor="#000000" stroked="false">
                <v:path arrowok="t"/>
                <v:fill type="solid"/>
              </v:shape>
            </v:group>
            <v:group style="position:absolute;left:8105;top:533;width:10;height:20" coordorigin="8105,533" coordsize="10,20">
              <v:shape style="position:absolute;left:8105;top:533;width:10;height:20" coordorigin="8105,533" coordsize="10,20" path="m8105,552l8115,552,8115,533,8105,533,8105,552xe" filled="true" fillcolor="#000000" stroked="false">
                <v:path arrowok="t"/>
                <v:fill type="solid"/>
              </v:shape>
            </v:group>
            <v:group style="position:absolute;left:8105;top:552;width:10;height:20" coordorigin="8105,552" coordsize="10,20">
              <v:shape style="position:absolute;left:8105;top:552;width:10;height:20" coordorigin="8105,552" coordsize="10,20" path="m8105,571l8115,571,8115,552,8105,552,8105,571xe" filled="true" fillcolor="#000000" stroked="false">
                <v:path arrowok="t"/>
                <v:fill type="solid"/>
              </v:shape>
            </v:group>
            <v:group style="position:absolute;left:8105;top:571;width:10;height:20" coordorigin="8105,571" coordsize="10,20">
              <v:shape style="position:absolute;left:8105;top:571;width:10;height:20" coordorigin="8105,571" coordsize="10,20" path="m8105,590l8115,590,8115,571,8105,571,8105,590xe" filled="true" fillcolor="#000000" stroked="false">
                <v:path arrowok="t"/>
                <v:fill type="solid"/>
              </v:shape>
            </v:group>
            <v:group style="position:absolute;left:8105;top:590;width:10;height:20" coordorigin="8105,590" coordsize="10,20">
              <v:shape style="position:absolute;left:8105;top:590;width:10;height:20" coordorigin="8105,590" coordsize="10,20" path="m8105,610l8115,610,8115,590,8105,590,8105,610xe" filled="true" fillcolor="#000000" stroked="false">
                <v:path arrowok="t"/>
                <v:fill type="solid"/>
              </v:shape>
            </v:group>
            <v:group style="position:absolute;left:8105;top:610;width:10;height:20" coordorigin="8105,610" coordsize="10,20">
              <v:shape style="position:absolute;left:8105;top:610;width:10;height:20" coordorigin="8105,610" coordsize="10,20" path="m8105,629l8115,629,8115,610,8105,610,8105,629xe" filled="true" fillcolor="#000000" stroked="false">
                <v:path arrowok="t"/>
                <v:fill type="solid"/>
              </v:shape>
            </v:group>
            <v:group style="position:absolute;left:8105;top:629;width:10;height:20" coordorigin="8105,629" coordsize="10,20">
              <v:shape style="position:absolute;left:8105;top:629;width:10;height:20" coordorigin="8105,629" coordsize="10,20" path="m8105,648l8115,648,8115,629,8105,629,8105,648xe" filled="true" fillcolor="#000000" stroked="false">
                <v:path arrowok="t"/>
                <v:fill type="solid"/>
              </v:shape>
            </v:group>
            <v:group style="position:absolute;left:8105;top:648;width:10;height:20" coordorigin="8105,648" coordsize="10,20">
              <v:shape style="position:absolute;left:8105;top:648;width:10;height:20" coordorigin="8105,648" coordsize="10,20" path="m8105,667l8115,667,8115,648,8105,648,8105,667xe" filled="true" fillcolor="#000000" stroked="false">
                <v:path arrowok="t"/>
                <v:fill type="solid"/>
              </v:shape>
            </v:group>
            <v:group style="position:absolute;left:8105;top:667;width:10;height:20" coordorigin="8105,667" coordsize="10,20">
              <v:shape style="position:absolute;left:8105;top:667;width:10;height:20" coordorigin="8105,667" coordsize="10,20" path="m8105,686l8115,686,8115,667,8105,667,8105,686xe" filled="true" fillcolor="#000000" stroked="false">
                <v:path arrowok="t"/>
                <v:fill type="solid"/>
              </v:shape>
            </v:group>
            <v:group style="position:absolute;left:8105;top:686;width:10;height:20" coordorigin="8105,686" coordsize="10,20">
              <v:shape style="position:absolute;left:8105;top:686;width:10;height:20" coordorigin="8105,686" coordsize="10,20" path="m8105,706l8115,706,8115,686,8105,686,8105,706xe" filled="true" fillcolor="#000000" stroked="false">
                <v:path arrowok="t"/>
                <v:fill type="solid"/>
              </v:shape>
            </v:group>
            <v:group style="position:absolute;left:8105;top:713;width:10;height:2" coordorigin="8105,713" coordsize="10,2">
              <v:shape style="position:absolute;left:8105;top:713;width:10;height:2" coordorigin="8105,713" coordsize="10,0" path="m8105,713l8115,713e" filled="false" stroked="true" strokeweight=".720001pt" strokecolor="#000000">
                <v:path arrowok="t"/>
              </v:shape>
              <v:shape style="position:absolute;left:29;top:629;width:2771;height:101" type="#_x0000_t75" stroked="false">
                <v:imagedata r:id="rId41" o:title=""/>
              </v:shape>
              <v:shape style="position:absolute;left:2777;top:720;width:3555;height:10" type="#_x0000_t75" stroked="false">
                <v:imagedata r:id="rId42" o:title=""/>
              </v:shape>
              <v:shape style="position:absolute;left:6327;top:720;width:3558;height:10" type="#_x0000_t75" stroked="false">
                <v:imagedata r:id="rId40" o:title=""/>
              </v:shape>
            </v:group>
            <v:group style="position:absolute;left:2781;top:730;width:10;height:20" coordorigin="2781,730" coordsize="10,20">
              <v:shape style="position:absolute;left:2781;top:730;width:10;height:20" coordorigin="2781,730" coordsize="10,20" path="m2781,749l2791,749,2791,730,2781,730,2781,749xe" filled="true" fillcolor="#000000" stroked="false">
                <v:path arrowok="t"/>
                <v:fill type="solid"/>
              </v:shape>
            </v:group>
            <v:group style="position:absolute;left:2781;top:749;width:10;height:20" coordorigin="2781,749" coordsize="10,20">
              <v:shape style="position:absolute;left:2781;top:749;width:10;height:20" coordorigin="2781,749" coordsize="10,20" path="m2781,768l2791,768,2791,749,2781,749,2781,768xe" filled="true" fillcolor="#000000" stroked="false">
                <v:path arrowok="t"/>
                <v:fill type="solid"/>
              </v:shape>
            </v:group>
            <v:group style="position:absolute;left:2781;top:768;width:10;height:20" coordorigin="2781,768" coordsize="10,20">
              <v:shape style="position:absolute;left:2781;top:768;width:10;height:20" coordorigin="2781,768" coordsize="10,20" path="m2781,787l2791,787,2791,768,2781,768,2781,787xe" filled="true" fillcolor="#000000" stroked="false">
                <v:path arrowok="t"/>
                <v:fill type="solid"/>
              </v:shape>
            </v:group>
            <v:group style="position:absolute;left:2781;top:787;width:10;height:20" coordorigin="2781,787" coordsize="10,20">
              <v:shape style="position:absolute;left:2781;top:787;width:10;height:20" coordorigin="2781,787" coordsize="10,20" path="m2781,806l2791,806,2791,787,2781,787,2781,806xe" filled="true" fillcolor="#000000" stroked="false">
                <v:path arrowok="t"/>
                <v:fill type="solid"/>
              </v:shape>
            </v:group>
            <v:group style="position:absolute;left:2781;top:806;width:10;height:20" coordorigin="2781,806" coordsize="10,20">
              <v:shape style="position:absolute;left:2781;top:806;width:10;height:20" coordorigin="2781,806" coordsize="10,20" path="m2781,826l2791,826,2791,806,2781,806,2781,826xe" filled="true" fillcolor="#000000" stroked="false">
                <v:path arrowok="t"/>
                <v:fill type="solid"/>
              </v:shape>
            </v:group>
            <v:group style="position:absolute;left:2781;top:826;width:10;height:20" coordorigin="2781,826" coordsize="10,20">
              <v:shape style="position:absolute;left:2781;top:826;width:10;height:20" coordorigin="2781,826" coordsize="10,20" path="m2781,845l2791,845,2791,826,2781,826,2781,845xe" filled="true" fillcolor="#000000" stroked="false">
                <v:path arrowok="t"/>
                <v:fill type="solid"/>
              </v:shape>
            </v:group>
            <v:group style="position:absolute;left:2781;top:845;width:10;height:20" coordorigin="2781,845" coordsize="10,20">
              <v:shape style="position:absolute;left:2781;top:845;width:10;height:20" coordorigin="2781,845" coordsize="10,20" path="m2781,864l2791,864,2791,845,2781,845,2781,864xe" filled="true" fillcolor="#000000" stroked="false">
                <v:path arrowok="t"/>
                <v:fill type="solid"/>
              </v:shape>
            </v:group>
            <v:group style="position:absolute;left:2781;top:864;width:10;height:20" coordorigin="2781,864" coordsize="10,20">
              <v:shape style="position:absolute;left:2781;top:864;width:10;height:20" coordorigin="2781,864" coordsize="10,20" path="m2781,883l2791,883,2791,864,2781,864,2781,883xe" filled="true" fillcolor="#000000" stroked="false">
                <v:path arrowok="t"/>
                <v:fill type="solid"/>
              </v:shape>
            </v:group>
            <v:group style="position:absolute;left:2781;top:883;width:10;height:20" coordorigin="2781,883" coordsize="10,20">
              <v:shape style="position:absolute;left:2781;top:883;width:10;height:20" coordorigin="2781,883" coordsize="10,20" path="m2781,902l2791,902,2791,883,2781,883,2781,902xe" filled="true" fillcolor="#000000" stroked="false">
                <v:path arrowok="t"/>
                <v:fill type="solid"/>
              </v:shape>
            </v:group>
            <v:group style="position:absolute;left:2781;top:902;width:10;height:20" coordorigin="2781,902" coordsize="10,20">
              <v:shape style="position:absolute;left:2781;top:902;width:10;height:20" coordorigin="2781,902" coordsize="10,20" path="m2781,922l2791,922,2791,902,2781,902,2781,922xe" filled="true" fillcolor="#000000" stroked="false">
                <v:path arrowok="t"/>
                <v:fill type="solid"/>
              </v:shape>
            </v:group>
            <v:group style="position:absolute;left:2781;top:922;width:10;height:20" coordorigin="2781,922" coordsize="10,20">
              <v:shape style="position:absolute;left:2781;top:922;width:10;height:20" coordorigin="2781,922" coordsize="10,20" path="m2781,941l2791,941,2791,922,2781,922,2781,941xe" filled="true" fillcolor="#000000" stroked="false">
                <v:path arrowok="t"/>
                <v:fill type="solid"/>
              </v:shape>
            </v:group>
            <v:group style="position:absolute;left:2781;top:941;width:10;height:20" coordorigin="2781,941" coordsize="10,20">
              <v:shape style="position:absolute;left:2781;top:941;width:10;height:20" coordorigin="2781,941" coordsize="10,20" path="m2781,960l2791,960,2791,941,2781,941,2781,960xe" filled="true" fillcolor="#000000" stroked="false">
                <v:path arrowok="t"/>
                <v:fill type="solid"/>
              </v:shape>
            </v:group>
            <v:group style="position:absolute;left:2781;top:960;width:10;height:20" coordorigin="2781,960" coordsize="10,20">
              <v:shape style="position:absolute;left:2781;top:960;width:10;height:20" coordorigin="2781,960" coordsize="10,20" path="m2781,979l2791,979,2791,960,2781,960,2781,979xe" filled="true" fillcolor="#000000" stroked="false">
                <v:path arrowok="t"/>
                <v:fill type="solid"/>
              </v:shape>
            </v:group>
            <v:group style="position:absolute;left:4555;top:730;width:10;height:20" coordorigin="4555,730" coordsize="10,20">
              <v:shape style="position:absolute;left:4555;top:730;width:10;height:20" coordorigin="4555,730" coordsize="10,20" path="m4555,749l4565,749,4565,730,4555,730,4555,749xe" filled="true" fillcolor="#000000" stroked="false">
                <v:path arrowok="t"/>
                <v:fill type="solid"/>
              </v:shape>
            </v:group>
            <v:group style="position:absolute;left:4555;top:749;width:10;height:20" coordorigin="4555,749" coordsize="10,20">
              <v:shape style="position:absolute;left:4555;top:749;width:10;height:20" coordorigin="4555,749" coordsize="10,20" path="m4555,768l4565,768,4565,749,4555,749,4555,768xe" filled="true" fillcolor="#000000" stroked="false">
                <v:path arrowok="t"/>
                <v:fill type="solid"/>
              </v:shape>
            </v:group>
            <v:group style="position:absolute;left:4555;top:768;width:10;height:20" coordorigin="4555,768" coordsize="10,20">
              <v:shape style="position:absolute;left:4555;top:768;width:10;height:20" coordorigin="4555,768" coordsize="10,20" path="m4555,787l4565,787,4565,768,4555,768,4555,787xe" filled="true" fillcolor="#000000" stroked="false">
                <v:path arrowok="t"/>
                <v:fill type="solid"/>
              </v:shape>
            </v:group>
            <v:group style="position:absolute;left:4555;top:787;width:10;height:20" coordorigin="4555,787" coordsize="10,20">
              <v:shape style="position:absolute;left:4555;top:787;width:10;height:20" coordorigin="4555,787" coordsize="10,20" path="m4555,806l4565,806,4565,787,4555,787,4555,806xe" filled="true" fillcolor="#000000" stroked="false">
                <v:path arrowok="t"/>
                <v:fill type="solid"/>
              </v:shape>
            </v:group>
            <v:group style="position:absolute;left:4555;top:806;width:10;height:20" coordorigin="4555,806" coordsize="10,20">
              <v:shape style="position:absolute;left:4555;top:806;width:10;height:20" coordorigin="4555,806" coordsize="10,20" path="m4555,826l4565,826,4565,806,4555,806,4555,826xe" filled="true" fillcolor="#000000" stroked="false">
                <v:path arrowok="t"/>
                <v:fill type="solid"/>
              </v:shape>
            </v:group>
            <v:group style="position:absolute;left:4555;top:826;width:10;height:20" coordorigin="4555,826" coordsize="10,20">
              <v:shape style="position:absolute;left:4555;top:826;width:10;height:20" coordorigin="4555,826" coordsize="10,20" path="m4555,845l4565,845,4565,826,4555,826,4555,845xe" filled="true" fillcolor="#000000" stroked="false">
                <v:path arrowok="t"/>
                <v:fill type="solid"/>
              </v:shape>
            </v:group>
            <v:group style="position:absolute;left:4555;top:845;width:10;height:20" coordorigin="4555,845" coordsize="10,20">
              <v:shape style="position:absolute;left:4555;top:845;width:10;height:20" coordorigin="4555,845" coordsize="10,20" path="m4555,864l4565,864,4565,845,4555,845,4555,864xe" filled="true" fillcolor="#000000" stroked="false">
                <v:path arrowok="t"/>
                <v:fill type="solid"/>
              </v:shape>
            </v:group>
            <v:group style="position:absolute;left:4555;top:864;width:10;height:20" coordorigin="4555,864" coordsize="10,20">
              <v:shape style="position:absolute;left:4555;top:864;width:10;height:20" coordorigin="4555,864" coordsize="10,20" path="m4555,883l4565,883,4565,864,4555,864,4555,883xe" filled="true" fillcolor="#000000" stroked="false">
                <v:path arrowok="t"/>
                <v:fill type="solid"/>
              </v:shape>
            </v:group>
            <v:group style="position:absolute;left:4555;top:883;width:10;height:20" coordorigin="4555,883" coordsize="10,20">
              <v:shape style="position:absolute;left:4555;top:883;width:10;height:20" coordorigin="4555,883" coordsize="10,20" path="m4555,902l4565,902,4565,883,4555,883,4555,902xe" filled="true" fillcolor="#000000" stroked="false">
                <v:path arrowok="t"/>
                <v:fill type="solid"/>
              </v:shape>
            </v:group>
            <v:group style="position:absolute;left:4555;top:902;width:10;height:20" coordorigin="4555,902" coordsize="10,20">
              <v:shape style="position:absolute;left:4555;top:902;width:10;height:20" coordorigin="4555,902" coordsize="10,20" path="m4555,922l4565,922,4565,902,4555,902,4555,922xe" filled="true" fillcolor="#000000" stroked="false">
                <v:path arrowok="t"/>
                <v:fill type="solid"/>
              </v:shape>
            </v:group>
            <v:group style="position:absolute;left:4555;top:922;width:10;height:20" coordorigin="4555,922" coordsize="10,20">
              <v:shape style="position:absolute;left:4555;top:922;width:10;height:20" coordorigin="4555,922" coordsize="10,20" path="m4555,941l4565,941,4565,922,4555,922,4555,941xe" filled="true" fillcolor="#000000" stroked="false">
                <v:path arrowok="t"/>
                <v:fill type="solid"/>
              </v:shape>
            </v:group>
            <v:group style="position:absolute;left:4555;top:941;width:10;height:20" coordorigin="4555,941" coordsize="10,20">
              <v:shape style="position:absolute;left:4555;top:941;width:10;height:20" coordorigin="4555,941" coordsize="10,20" path="m4555,960l4565,960,4565,941,4555,941,4555,960xe" filled="true" fillcolor="#000000" stroked="false">
                <v:path arrowok="t"/>
                <v:fill type="solid"/>
              </v:shape>
            </v:group>
            <v:group style="position:absolute;left:4555;top:960;width:10;height:20" coordorigin="4555,960" coordsize="10,20">
              <v:shape style="position:absolute;left:4555;top:960;width:10;height:20" coordorigin="4555,960" coordsize="10,20" path="m4555,979l4565,979,4565,960,4555,960,4555,979xe" filled="true" fillcolor="#000000" stroked="false">
                <v:path arrowok="t"/>
                <v:fill type="solid"/>
              </v:shape>
            </v:group>
            <v:group style="position:absolute;left:4555;top:979;width:10;height:20" coordorigin="4555,979" coordsize="10,20">
              <v:shape style="position:absolute;left:4555;top:979;width:10;height:20" coordorigin="4555,979" coordsize="10,20" path="m4555,998l4565,998,4565,979,4555,979,4555,998xe" filled="true" fillcolor="#000000" stroked="false">
                <v:path arrowok="t"/>
                <v:fill type="solid"/>
              </v:shape>
            </v:group>
            <v:group style="position:absolute;left:4555;top:998;width:10;height:20" coordorigin="4555,998" coordsize="10,20">
              <v:shape style="position:absolute;left:4555;top:998;width:10;height:20" coordorigin="4555,998" coordsize="10,20" path="m4555,1018l4565,1018,4565,998,4555,998,4555,1018xe" filled="true" fillcolor="#000000" stroked="false">
                <v:path arrowok="t"/>
                <v:fill type="solid"/>
              </v:shape>
            </v:group>
            <v:group style="position:absolute;left:4555;top:1018;width:10;height:20" coordorigin="4555,1018" coordsize="10,20">
              <v:shape style="position:absolute;left:4555;top:1018;width:10;height:20" coordorigin="4555,1018" coordsize="10,20" path="m4555,1037l4565,1037,4565,1018,4555,1018,4555,1037xe" filled="true" fillcolor="#000000" stroked="false">
                <v:path arrowok="t"/>
                <v:fill type="solid"/>
              </v:shape>
            </v:group>
            <v:group style="position:absolute;left:4555;top:1037;width:10;height:20" coordorigin="4555,1037" coordsize="10,20">
              <v:shape style="position:absolute;left:4555;top:1037;width:10;height:20" coordorigin="4555,1037" coordsize="10,20" path="m4555,1056l4565,1056,4565,1037,4555,1037,4555,1056xe" filled="true" fillcolor="#000000" stroked="false">
                <v:path arrowok="t"/>
                <v:fill type="solid"/>
              </v:shape>
            </v:group>
            <v:group style="position:absolute;left:4555;top:1063;width:10;height:2" coordorigin="4555,1063" coordsize="10,2">
              <v:shape style="position:absolute;left:4555;top:1063;width:10;height:2" coordorigin="4555,1063" coordsize="10,0" path="m4555,1063l4565,1063e" filled="false" stroked="true" strokeweight=".720001pt" strokecolor="#000000">
                <v:path arrowok="t"/>
              </v:shape>
            </v:group>
            <v:group style="position:absolute;left:6331;top:730;width:10;height:20" coordorigin="6331,730" coordsize="10,20">
              <v:shape style="position:absolute;left:6331;top:730;width:10;height:20" coordorigin="6331,730" coordsize="10,20" path="m6331,749l6341,749,6341,730,6331,730,6331,749xe" filled="true" fillcolor="#000000" stroked="false">
                <v:path arrowok="t"/>
                <v:fill type="solid"/>
              </v:shape>
            </v:group>
            <v:group style="position:absolute;left:6331;top:749;width:10;height:20" coordorigin="6331,749" coordsize="10,20">
              <v:shape style="position:absolute;left:6331;top:749;width:10;height:20" coordorigin="6331,749" coordsize="10,20" path="m6331,768l6341,768,6341,749,6331,749,6331,768xe" filled="true" fillcolor="#000000" stroked="false">
                <v:path arrowok="t"/>
                <v:fill type="solid"/>
              </v:shape>
            </v:group>
            <v:group style="position:absolute;left:6331;top:768;width:10;height:20" coordorigin="6331,768" coordsize="10,20">
              <v:shape style="position:absolute;left:6331;top:768;width:10;height:20" coordorigin="6331,768" coordsize="10,20" path="m6331,787l6341,787,6341,768,6331,768,6331,787xe" filled="true" fillcolor="#000000" stroked="false">
                <v:path arrowok="t"/>
                <v:fill type="solid"/>
              </v:shape>
            </v:group>
            <v:group style="position:absolute;left:6331;top:787;width:10;height:20" coordorigin="6331,787" coordsize="10,20">
              <v:shape style="position:absolute;left:6331;top:787;width:10;height:20" coordorigin="6331,787" coordsize="10,20" path="m6331,806l6341,806,6341,787,6331,787,6331,806xe" filled="true" fillcolor="#000000" stroked="false">
                <v:path arrowok="t"/>
                <v:fill type="solid"/>
              </v:shape>
            </v:group>
            <v:group style="position:absolute;left:6331;top:806;width:10;height:20" coordorigin="6331,806" coordsize="10,20">
              <v:shape style="position:absolute;left:6331;top:806;width:10;height:20" coordorigin="6331,806" coordsize="10,20" path="m6331,826l6341,826,6341,806,6331,806,6331,826xe" filled="true" fillcolor="#000000" stroked="false">
                <v:path arrowok="t"/>
                <v:fill type="solid"/>
              </v:shape>
            </v:group>
            <v:group style="position:absolute;left:6331;top:826;width:10;height:20" coordorigin="6331,826" coordsize="10,20">
              <v:shape style="position:absolute;left:6331;top:826;width:10;height:20" coordorigin="6331,826" coordsize="10,20" path="m6331,845l6341,845,6341,826,6331,826,6331,845xe" filled="true" fillcolor="#000000" stroked="false">
                <v:path arrowok="t"/>
                <v:fill type="solid"/>
              </v:shape>
            </v:group>
            <v:group style="position:absolute;left:6331;top:845;width:10;height:20" coordorigin="6331,845" coordsize="10,20">
              <v:shape style="position:absolute;left:6331;top:845;width:10;height:20" coordorigin="6331,845" coordsize="10,20" path="m6331,864l6341,864,6341,845,6331,845,6331,864xe" filled="true" fillcolor="#000000" stroked="false">
                <v:path arrowok="t"/>
                <v:fill type="solid"/>
              </v:shape>
            </v:group>
            <v:group style="position:absolute;left:6331;top:864;width:10;height:20" coordorigin="6331,864" coordsize="10,20">
              <v:shape style="position:absolute;left:6331;top:864;width:10;height:20" coordorigin="6331,864" coordsize="10,20" path="m6331,883l6341,883,6341,864,6331,864,6331,883xe" filled="true" fillcolor="#000000" stroked="false">
                <v:path arrowok="t"/>
                <v:fill type="solid"/>
              </v:shape>
            </v:group>
            <v:group style="position:absolute;left:6331;top:883;width:10;height:20" coordorigin="6331,883" coordsize="10,20">
              <v:shape style="position:absolute;left:6331;top:883;width:10;height:20" coordorigin="6331,883" coordsize="10,20" path="m6331,902l6341,902,6341,883,6331,883,6331,902xe" filled="true" fillcolor="#000000" stroked="false">
                <v:path arrowok="t"/>
                <v:fill type="solid"/>
              </v:shape>
            </v:group>
            <v:group style="position:absolute;left:6331;top:902;width:10;height:20" coordorigin="6331,902" coordsize="10,20">
              <v:shape style="position:absolute;left:6331;top:902;width:10;height:20" coordorigin="6331,902" coordsize="10,20" path="m6331,922l6341,922,6341,902,6331,902,6331,922xe" filled="true" fillcolor="#000000" stroked="false">
                <v:path arrowok="t"/>
                <v:fill type="solid"/>
              </v:shape>
            </v:group>
            <v:group style="position:absolute;left:6331;top:922;width:10;height:20" coordorigin="6331,922" coordsize="10,20">
              <v:shape style="position:absolute;left:6331;top:922;width:10;height:20" coordorigin="6331,922" coordsize="10,20" path="m6331,941l6341,941,6341,922,6331,922,6331,941xe" filled="true" fillcolor="#000000" stroked="false">
                <v:path arrowok="t"/>
                <v:fill type="solid"/>
              </v:shape>
            </v:group>
            <v:group style="position:absolute;left:6331;top:941;width:10;height:20" coordorigin="6331,941" coordsize="10,20">
              <v:shape style="position:absolute;left:6331;top:941;width:10;height:20" coordorigin="6331,941" coordsize="10,20" path="m6331,960l6341,960,6341,941,6331,941,6331,960xe" filled="true" fillcolor="#000000" stroked="false">
                <v:path arrowok="t"/>
                <v:fill type="solid"/>
              </v:shape>
            </v:group>
            <v:group style="position:absolute;left:6331;top:960;width:10;height:20" coordorigin="6331,960" coordsize="10,20">
              <v:shape style="position:absolute;left:6331;top:960;width:10;height:20" coordorigin="6331,960" coordsize="10,20" path="m6331,979l6341,979,6341,960,6331,960,6331,979xe" filled="true" fillcolor="#000000" stroked="false">
                <v:path arrowok="t"/>
                <v:fill type="solid"/>
              </v:shape>
            </v:group>
            <v:group style="position:absolute;left:6331;top:979;width:10;height:20" coordorigin="6331,979" coordsize="10,20">
              <v:shape style="position:absolute;left:6331;top:979;width:10;height:20" coordorigin="6331,979" coordsize="10,20" path="m6331,998l6341,998,6341,979,6331,979,6331,998xe" filled="true" fillcolor="#000000" stroked="false">
                <v:path arrowok="t"/>
                <v:fill type="solid"/>
              </v:shape>
            </v:group>
            <v:group style="position:absolute;left:6331;top:998;width:10;height:20" coordorigin="6331,998" coordsize="10,20">
              <v:shape style="position:absolute;left:6331;top:998;width:10;height:20" coordorigin="6331,998" coordsize="10,20" path="m6331,1018l6341,1018,6341,998,6331,998,6331,1018xe" filled="true" fillcolor="#000000" stroked="false">
                <v:path arrowok="t"/>
                <v:fill type="solid"/>
              </v:shape>
            </v:group>
            <v:group style="position:absolute;left:6331;top:1018;width:10;height:20" coordorigin="6331,1018" coordsize="10,20">
              <v:shape style="position:absolute;left:6331;top:1018;width:10;height:20" coordorigin="6331,1018" coordsize="10,20" path="m6331,1037l6341,1037,6341,1018,6331,1018,6331,1037xe" filled="true" fillcolor="#000000" stroked="false">
                <v:path arrowok="t"/>
                <v:fill type="solid"/>
              </v:shape>
            </v:group>
            <v:group style="position:absolute;left:6331;top:1037;width:10;height:20" coordorigin="6331,1037" coordsize="10,20">
              <v:shape style="position:absolute;left:6331;top:1037;width:10;height:20" coordorigin="6331,1037" coordsize="10,20" path="m6331,1056l6341,1056,6341,1037,6331,1037,6331,1056xe" filled="true" fillcolor="#000000" stroked="false">
                <v:path arrowok="t"/>
                <v:fill type="solid"/>
              </v:shape>
            </v:group>
            <v:group style="position:absolute;left:6331;top:1063;width:10;height:2" coordorigin="6331,1063" coordsize="10,2">
              <v:shape style="position:absolute;left:6331;top:1063;width:10;height:2" coordorigin="6331,1063" coordsize="10,0" path="m6331,1063l6341,1063e" filled="false" stroked="true" strokeweight=".720001pt" strokecolor="#000000">
                <v:path arrowok="t"/>
              </v:shape>
            </v:group>
            <v:group style="position:absolute;left:8105;top:730;width:10;height:20" coordorigin="8105,730" coordsize="10,20">
              <v:shape style="position:absolute;left:8105;top:730;width:10;height:20" coordorigin="8105,730" coordsize="10,20" path="m8105,749l8115,749,8115,730,8105,730,8105,749xe" filled="true" fillcolor="#000000" stroked="false">
                <v:path arrowok="t"/>
                <v:fill type="solid"/>
              </v:shape>
            </v:group>
            <v:group style="position:absolute;left:8105;top:749;width:10;height:20" coordorigin="8105,749" coordsize="10,20">
              <v:shape style="position:absolute;left:8105;top:749;width:10;height:20" coordorigin="8105,749" coordsize="10,20" path="m8105,768l8115,768,8115,749,8105,749,8105,768xe" filled="true" fillcolor="#000000" stroked="false">
                <v:path arrowok="t"/>
                <v:fill type="solid"/>
              </v:shape>
            </v:group>
            <v:group style="position:absolute;left:8105;top:768;width:10;height:20" coordorigin="8105,768" coordsize="10,20">
              <v:shape style="position:absolute;left:8105;top:768;width:10;height:20" coordorigin="8105,768" coordsize="10,20" path="m8105,787l8115,787,8115,768,8105,768,8105,787xe" filled="true" fillcolor="#000000" stroked="false">
                <v:path arrowok="t"/>
                <v:fill type="solid"/>
              </v:shape>
            </v:group>
            <v:group style="position:absolute;left:8105;top:787;width:10;height:20" coordorigin="8105,787" coordsize="10,20">
              <v:shape style="position:absolute;left:8105;top:787;width:10;height:20" coordorigin="8105,787" coordsize="10,20" path="m8105,806l8115,806,8115,787,8105,787,8105,806xe" filled="true" fillcolor="#000000" stroked="false">
                <v:path arrowok="t"/>
                <v:fill type="solid"/>
              </v:shape>
            </v:group>
            <v:group style="position:absolute;left:8105;top:806;width:10;height:20" coordorigin="8105,806" coordsize="10,20">
              <v:shape style="position:absolute;left:8105;top:806;width:10;height:20" coordorigin="8105,806" coordsize="10,20" path="m8105,826l8115,826,8115,806,8105,806,8105,826xe" filled="true" fillcolor="#000000" stroked="false">
                <v:path arrowok="t"/>
                <v:fill type="solid"/>
              </v:shape>
            </v:group>
            <v:group style="position:absolute;left:8105;top:826;width:10;height:20" coordorigin="8105,826" coordsize="10,20">
              <v:shape style="position:absolute;left:8105;top:826;width:10;height:20" coordorigin="8105,826" coordsize="10,20" path="m8105,845l8115,845,8115,826,8105,826,8105,845xe" filled="true" fillcolor="#000000" stroked="false">
                <v:path arrowok="t"/>
                <v:fill type="solid"/>
              </v:shape>
            </v:group>
            <v:group style="position:absolute;left:8105;top:845;width:10;height:20" coordorigin="8105,845" coordsize="10,20">
              <v:shape style="position:absolute;left:8105;top:845;width:10;height:20" coordorigin="8105,845" coordsize="10,20" path="m8105,864l8115,864,8115,845,8105,845,8105,864xe" filled="true" fillcolor="#000000" stroked="false">
                <v:path arrowok="t"/>
                <v:fill type="solid"/>
              </v:shape>
            </v:group>
            <v:group style="position:absolute;left:8105;top:864;width:10;height:20" coordorigin="8105,864" coordsize="10,20">
              <v:shape style="position:absolute;left:8105;top:864;width:10;height:20" coordorigin="8105,864" coordsize="10,20" path="m8105,883l8115,883,8115,864,8105,864,8105,883xe" filled="true" fillcolor="#000000" stroked="false">
                <v:path arrowok="t"/>
                <v:fill type="solid"/>
              </v:shape>
            </v:group>
            <v:group style="position:absolute;left:8105;top:883;width:10;height:20" coordorigin="8105,883" coordsize="10,20">
              <v:shape style="position:absolute;left:8105;top:883;width:10;height:20" coordorigin="8105,883" coordsize="10,20" path="m8105,902l8115,902,8115,883,8105,883,8105,902xe" filled="true" fillcolor="#000000" stroked="false">
                <v:path arrowok="t"/>
                <v:fill type="solid"/>
              </v:shape>
            </v:group>
            <v:group style="position:absolute;left:8105;top:902;width:10;height:20" coordorigin="8105,902" coordsize="10,20">
              <v:shape style="position:absolute;left:8105;top:902;width:10;height:20" coordorigin="8105,902" coordsize="10,20" path="m8105,922l8115,922,8115,902,8105,902,8105,922xe" filled="true" fillcolor="#000000" stroked="false">
                <v:path arrowok="t"/>
                <v:fill type="solid"/>
              </v:shape>
            </v:group>
            <v:group style="position:absolute;left:8105;top:922;width:10;height:20" coordorigin="8105,922" coordsize="10,20">
              <v:shape style="position:absolute;left:8105;top:922;width:10;height:20" coordorigin="8105,922" coordsize="10,20" path="m8105,941l8115,941,8115,922,8105,922,8105,941xe" filled="true" fillcolor="#000000" stroked="false">
                <v:path arrowok="t"/>
                <v:fill type="solid"/>
              </v:shape>
            </v:group>
            <v:group style="position:absolute;left:8105;top:941;width:10;height:20" coordorigin="8105,941" coordsize="10,20">
              <v:shape style="position:absolute;left:8105;top:941;width:10;height:20" coordorigin="8105,941" coordsize="10,20" path="m8105,960l8115,960,8115,941,8105,941,8105,960xe" filled="true" fillcolor="#000000" stroked="false">
                <v:path arrowok="t"/>
                <v:fill type="solid"/>
              </v:shape>
            </v:group>
            <v:group style="position:absolute;left:8105;top:960;width:10;height:20" coordorigin="8105,960" coordsize="10,20">
              <v:shape style="position:absolute;left:8105;top:960;width:10;height:20" coordorigin="8105,960" coordsize="10,20" path="m8105,979l8115,979,8115,960,8105,960,8105,979xe" filled="true" fillcolor="#000000" stroked="false">
                <v:path arrowok="t"/>
                <v:fill type="solid"/>
              </v:shape>
            </v:group>
            <v:group style="position:absolute;left:8105;top:979;width:10;height:20" coordorigin="8105,979" coordsize="10,20">
              <v:shape style="position:absolute;left:8105;top:979;width:10;height:20" coordorigin="8105,979" coordsize="10,20" path="m8105,998l8115,998,8115,979,8105,979,8105,998xe" filled="true" fillcolor="#000000" stroked="false">
                <v:path arrowok="t"/>
                <v:fill type="solid"/>
              </v:shape>
            </v:group>
            <v:group style="position:absolute;left:8105;top:998;width:10;height:20" coordorigin="8105,998" coordsize="10,20">
              <v:shape style="position:absolute;left:8105;top:998;width:10;height:20" coordorigin="8105,998" coordsize="10,20" path="m8105,1018l8115,1018,8115,998,8105,998,8105,1018xe" filled="true" fillcolor="#000000" stroked="false">
                <v:path arrowok="t"/>
                <v:fill type="solid"/>
              </v:shape>
            </v:group>
            <v:group style="position:absolute;left:8105;top:1018;width:10;height:20" coordorigin="8105,1018" coordsize="10,20">
              <v:shape style="position:absolute;left:8105;top:1018;width:10;height:20" coordorigin="8105,1018" coordsize="10,20" path="m8105,1037l8115,1037,8115,1018,8105,1018,8105,1037xe" filled="true" fillcolor="#000000" stroked="false">
                <v:path arrowok="t"/>
                <v:fill type="solid"/>
              </v:shape>
            </v:group>
            <v:group style="position:absolute;left:8105;top:1037;width:10;height:20" coordorigin="8105,1037" coordsize="10,20">
              <v:shape style="position:absolute;left:8105;top:1037;width:10;height:20" coordorigin="8105,1037" coordsize="10,20" path="m8105,1056l8115,1056,8115,1037,8105,1037,8105,1056xe" filled="true" fillcolor="#000000" stroked="false">
                <v:path arrowok="t"/>
                <v:fill type="solid"/>
              </v:shape>
            </v:group>
            <v:group style="position:absolute;left:8105;top:1063;width:10;height:2" coordorigin="8105,1063" coordsize="10,2">
              <v:shape style="position:absolute;left:8105;top:1063;width:10;height:2" coordorigin="8105,1063" coordsize="10,0" path="m8105,1063l8115,1063e" filled="false" stroked="true" strokeweight=".720001pt" strokecolor="#000000">
                <v:path arrowok="t"/>
              </v:shape>
              <v:shape style="position:absolute;left:29;top:979;width:2771;height:101" type="#_x0000_t75" stroked="false">
                <v:imagedata r:id="rId41" o:title=""/>
              </v:shape>
              <v:shape style="position:absolute;left:2777;top:1070;width:3555;height:10" type="#_x0000_t75" stroked="false">
                <v:imagedata r:id="rId43" o:title=""/>
              </v:shape>
              <v:shape style="position:absolute;left:6327;top:1070;width:3558;height:10" type="#_x0000_t75" stroked="false">
                <v:imagedata r:id="rId44" o:title=""/>
              </v:shape>
            </v:group>
            <v:group style="position:absolute;left:2781;top:1080;width:10;height:20" coordorigin="2781,1080" coordsize="10,20">
              <v:shape style="position:absolute;left:2781;top:1080;width:10;height:20" coordorigin="2781,1080" coordsize="10,20" path="m2781,1099l2791,1099,2791,1080,2781,1080,2781,1099xe" filled="true" fillcolor="#000000" stroked="false">
                <v:path arrowok="t"/>
                <v:fill type="solid"/>
              </v:shape>
            </v:group>
            <v:group style="position:absolute;left:2781;top:1099;width:10;height:20" coordorigin="2781,1099" coordsize="10,20">
              <v:shape style="position:absolute;left:2781;top:1099;width:10;height:20" coordorigin="2781,1099" coordsize="10,20" path="m2781,1118l2791,1118,2791,1099,2781,1099,2781,1118xe" filled="true" fillcolor="#000000" stroked="false">
                <v:path arrowok="t"/>
                <v:fill type="solid"/>
              </v:shape>
            </v:group>
            <v:group style="position:absolute;left:2781;top:1118;width:10;height:20" coordorigin="2781,1118" coordsize="10,20">
              <v:shape style="position:absolute;left:2781;top:1118;width:10;height:20" coordorigin="2781,1118" coordsize="10,20" path="m2781,1138l2791,1138,2791,1118,2781,1118,2781,1138xe" filled="true" fillcolor="#000000" stroked="false">
                <v:path arrowok="t"/>
                <v:fill type="solid"/>
              </v:shape>
            </v:group>
            <v:group style="position:absolute;left:2781;top:1138;width:10;height:20" coordorigin="2781,1138" coordsize="10,20">
              <v:shape style="position:absolute;left:2781;top:1138;width:10;height:20" coordorigin="2781,1138" coordsize="10,20" path="m2781,1157l2791,1157,2791,1138,2781,1138,2781,1157xe" filled="true" fillcolor="#000000" stroked="false">
                <v:path arrowok="t"/>
                <v:fill type="solid"/>
              </v:shape>
            </v:group>
            <v:group style="position:absolute;left:2781;top:1157;width:10;height:20" coordorigin="2781,1157" coordsize="10,20">
              <v:shape style="position:absolute;left:2781;top:1157;width:10;height:20" coordorigin="2781,1157" coordsize="10,20" path="m2781,1176l2791,1176,2791,1157,2781,1157,2781,1176xe" filled="true" fillcolor="#000000" stroked="false">
                <v:path arrowok="t"/>
                <v:fill type="solid"/>
              </v:shape>
            </v:group>
            <v:group style="position:absolute;left:2781;top:1176;width:10;height:20" coordorigin="2781,1176" coordsize="10,20">
              <v:shape style="position:absolute;left:2781;top:1176;width:10;height:20" coordorigin="2781,1176" coordsize="10,20" path="m2781,1195l2791,1195,2791,1176,2781,1176,2781,1195xe" filled="true" fillcolor="#000000" stroked="false">
                <v:path arrowok="t"/>
                <v:fill type="solid"/>
              </v:shape>
            </v:group>
            <v:group style="position:absolute;left:2781;top:1195;width:10;height:20" coordorigin="2781,1195" coordsize="10,20">
              <v:shape style="position:absolute;left:2781;top:1195;width:10;height:20" coordorigin="2781,1195" coordsize="10,20" path="m2781,1214l2791,1214,2791,1195,2781,1195,2781,1214xe" filled="true" fillcolor="#000000" stroked="false">
                <v:path arrowok="t"/>
                <v:fill type="solid"/>
              </v:shape>
            </v:group>
            <v:group style="position:absolute;left:2781;top:1214;width:10;height:20" coordorigin="2781,1214" coordsize="10,20">
              <v:shape style="position:absolute;left:2781;top:1214;width:10;height:20" coordorigin="2781,1214" coordsize="10,20" path="m2781,1234l2791,1234,2791,1214,2781,1214,2781,1234xe" filled="true" fillcolor="#000000" stroked="false">
                <v:path arrowok="t"/>
                <v:fill type="solid"/>
              </v:shape>
            </v:group>
            <v:group style="position:absolute;left:2781;top:1234;width:10;height:20" coordorigin="2781,1234" coordsize="10,20">
              <v:shape style="position:absolute;left:2781;top:1234;width:10;height:20" coordorigin="2781,1234" coordsize="10,20" path="m2781,1253l2791,1253,2791,1234,2781,1234,2781,1253xe" filled="true" fillcolor="#000000" stroked="false">
                <v:path arrowok="t"/>
                <v:fill type="solid"/>
              </v:shape>
            </v:group>
            <v:group style="position:absolute;left:2781;top:1253;width:10;height:20" coordorigin="2781,1253" coordsize="10,20">
              <v:shape style="position:absolute;left:2781;top:1253;width:10;height:20" coordorigin="2781,1253" coordsize="10,20" path="m2781,1272l2791,1272,2791,1253,2781,1253,2781,1272xe" filled="true" fillcolor="#000000" stroked="false">
                <v:path arrowok="t"/>
                <v:fill type="solid"/>
              </v:shape>
            </v:group>
            <v:group style="position:absolute;left:2781;top:1272;width:10;height:20" coordorigin="2781,1272" coordsize="10,20">
              <v:shape style="position:absolute;left:2781;top:1272;width:10;height:20" coordorigin="2781,1272" coordsize="10,20" path="m2781,1291l2791,1291,2791,1272,2781,1272,2781,1291xe" filled="true" fillcolor="#000000" stroked="false">
                <v:path arrowok="t"/>
                <v:fill type="solid"/>
              </v:shape>
            </v:group>
            <v:group style="position:absolute;left:2781;top:1291;width:10;height:20" coordorigin="2781,1291" coordsize="10,20">
              <v:shape style="position:absolute;left:2781;top:1291;width:10;height:20" coordorigin="2781,1291" coordsize="10,20" path="m2781,1310l2791,1310,2791,1291,2781,1291,2781,1310xe" filled="true" fillcolor="#000000" stroked="false">
                <v:path arrowok="t"/>
                <v:fill type="solid"/>
              </v:shape>
            </v:group>
            <v:group style="position:absolute;left:2781;top:1310;width:10;height:20" coordorigin="2781,1310" coordsize="10,20">
              <v:shape style="position:absolute;left:2781;top:1310;width:10;height:20" coordorigin="2781,1310" coordsize="10,20" path="m2781,1330l2791,1330,2791,1310,2781,1310,2781,1330xe" filled="true" fillcolor="#000000" stroked="false">
                <v:path arrowok="t"/>
                <v:fill type="solid"/>
              </v:shape>
            </v:group>
            <v:group style="position:absolute;left:2781;top:1330;width:10;height:20" coordorigin="2781,1330" coordsize="10,20">
              <v:shape style="position:absolute;left:2781;top:1330;width:10;height:20" coordorigin="2781,1330" coordsize="10,20" path="m2781,1349l2791,1349,2791,1330,2781,1330,2781,1349xe" filled="true" fillcolor="#000000" stroked="false">
                <v:path arrowok="t"/>
                <v:fill type="solid"/>
              </v:shape>
            </v:group>
            <v:group style="position:absolute;left:15;top:1435;width:2767;height:2" coordorigin="15,1435" coordsize="2767,2">
              <v:shape style="position:absolute;left:15;top:1435;width:2767;height:2" coordorigin="15,1435" coordsize="2767,0" path="m15,1435l2781,1435e" filled="false" stroked="true" strokeweight="1.5pt" strokecolor="#000000">
                <v:path arrowok="t"/>
              </v:shape>
            </v:group>
            <v:group style="position:absolute;left:2781;top:1349;width:10;height:20" coordorigin="2781,1349" coordsize="10,20">
              <v:shape style="position:absolute;left:2781;top:1349;width:10;height:20" coordorigin="2781,1349" coordsize="10,20" path="m2781,1368l2791,1368,2791,1349,2781,1349,2781,1368xe" filled="true" fillcolor="#000000" stroked="false">
                <v:path arrowok="t"/>
                <v:fill type="solid"/>
              </v:shape>
            </v:group>
            <v:group style="position:absolute;left:2781;top:1368;width:10;height:20" coordorigin="2781,1368" coordsize="10,20">
              <v:shape style="position:absolute;left:2781;top:1368;width:10;height:20" coordorigin="2781,1368" coordsize="10,20" path="m2781,1387l2791,1387,2791,1368,2781,1368,2781,1387xe" filled="true" fillcolor="#000000" stroked="false">
                <v:path arrowok="t"/>
                <v:fill type="solid"/>
              </v:shape>
            </v:group>
            <v:group style="position:absolute;left:2781;top:1387;width:10;height:20" coordorigin="2781,1387" coordsize="10,20">
              <v:shape style="position:absolute;left:2781;top:1387;width:10;height:20" coordorigin="2781,1387" coordsize="10,20" path="m2781,1406l2791,1406,2791,1387,2781,1387,2781,1406xe" filled="true" fillcolor="#000000" stroked="false">
                <v:path arrowok="t"/>
                <v:fill type="solid"/>
              </v:shape>
            </v:group>
            <v:group style="position:absolute;left:2781;top:1413;width:10;height:2" coordorigin="2781,1413" coordsize="10,2">
              <v:shape style="position:absolute;left:2781;top:1413;width:10;height:2" coordorigin="2781,1413" coordsize="10,0" path="m2781,1413l2791,1413e" filled="false" stroked="true" strokeweight=".660004pt" strokecolor="#000000">
                <v:path arrowok="t"/>
              </v:shape>
            </v:group>
            <v:group style="position:absolute;left:2781;top:1435;width:30;height:2" coordorigin="2781,1435" coordsize="30,2">
              <v:shape style="position:absolute;left:2781;top:1435;width:30;height:2" coordorigin="2781,1435" coordsize="30,0" path="m2781,1435l2811,1435e" filled="false" stroked="true" strokeweight="1.5pt" strokecolor="#000000">
                <v:path arrowok="t"/>
              </v:shape>
            </v:group>
            <v:group style="position:absolute;left:2811;top:1435;width:1744;height:2" coordorigin="2811,1435" coordsize="1744,2">
              <v:shape style="position:absolute;left:2811;top:1435;width:1744;height:2" coordorigin="2811,1435" coordsize="1744,0" path="m2811,1435l4555,1435e" filled="false" stroked="true" strokeweight="1.5pt" strokecolor="#000000">
                <v:path arrowok="t"/>
              </v:shape>
            </v:group>
            <v:group style="position:absolute;left:4555;top:1080;width:10;height:20" coordorigin="4555,1080" coordsize="10,20">
              <v:shape style="position:absolute;left:4555;top:1080;width:10;height:20" coordorigin="4555,1080" coordsize="10,20" path="m4555,1099l4565,1099,4565,1080,4555,1080,4555,1099xe" filled="true" fillcolor="#000000" stroked="false">
                <v:path arrowok="t"/>
                <v:fill type="solid"/>
              </v:shape>
            </v:group>
            <v:group style="position:absolute;left:4555;top:1099;width:10;height:20" coordorigin="4555,1099" coordsize="10,20">
              <v:shape style="position:absolute;left:4555;top:1099;width:10;height:20" coordorigin="4555,1099" coordsize="10,20" path="m4555,1118l4565,1118,4565,1099,4555,1099,4555,1118xe" filled="true" fillcolor="#000000" stroked="false">
                <v:path arrowok="t"/>
                <v:fill type="solid"/>
              </v:shape>
            </v:group>
            <v:group style="position:absolute;left:4555;top:1118;width:10;height:20" coordorigin="4555,1118" coordsize="10,20">
              <v:shape style="position:absolute;left:4555;top:1118;width:10;height:20" coordorigin="4555,1118" coordsize="10,20" path="m4555,1138l4565,1138,4565,1118,4555,1118,4555,1138xe" filled="true" fillcolor="#000000" stroked="false">
                <v:path arrowok="t"/>
                <v:fill type="solid"/>
              </v:shape>
            </v:group>
            <v:group style="position:absolute;left:4555;top:1138;width:10;height:20" coordorigin="4555,1138" coordsize="10,20">
              <v:shape style="position:absolute;left:4555;top:1138;width:10;height:20" coordorigin="4555,1138" coordsize="10,20" path="m4555,1157l4565,1157,4565,1138,4555,1138,4555,1157xe" filled="true" fillcolor="#000000" stroked="false">
                <v:path arrowok="t"/>
                <v:fill type="solid"/>
              </v:shape>
            </v:group>
            <v:group style="position:absolute;left:4555;top:1157;width:10;height:20" coordorigin="4555,1157" coordsize="10,20">
              <v:shape style="position:absolute;left:4555;top:1157;width:10;height:20" coordorigin="4555,1157" coordsize="10,20" path="m4555,1176l4565,1176,4565,1157,4555,1157,4555,1176xe" filled="true" fillcolor="#000000" stroked="false">
                <v:path arrowok="t"/>
                <v:fill type="solid"/>
              </v:shape>
            </v:group>
            <v:group style="position:absolute;left:4555;top:1176;width:10;height:20" coordorigin="4555,1176" coordsize="10,20">
              <v:shape style="position:absolute;left:4555;top:1176;width:10;height:20" coordorigin="4555,1176" coordsize="10,20" path="m4555,1195l4565,1195,4565,1176,4555,1176,4555,1195xe" filled="true" fillcolor="#000000" stroked="false">
                <v:path arrowok="t"/>
                <v:fill type="solid"/>
              </v:shape>
            </v:group>
            <v:group style="position:absolute;left:4555;top:1195;width:10;height:20" coordorigin="4555,1195" coordsize="10,20">
              <v:shape style="position:absolute;left:4555;top:1195;width:10;height:20" coordorigin="4555,1195" coordsize="10,20" path="m4555,1214l4565,1214,4565,1195,4555,1195,4555,1214xe" filled="true" fillcolor="#000000" stroked="false">
                <v:path arrowok="t"/>
                <v:fill type="solid"/>
              </v:shape>
            </v:group>
            <v:group style="position:absolute;left:4555;top:1214;width:10;height:20" coordorigin="4555,1214" coordsize="10,20">
              <v:shape style="position:absolute;left:4555;top:1214;width:10;height:20" coordorigin="4555,1214" coordsize="10,20" path="m4555,1234l4565,1234,4565,1214,4555,1214,4555,1234xe" filled="true" fillcolor="#000000" stroked="false">
                <v:path arrowok="t"/>
                <v:fill type="solid"/>
              </v:shape>
            </v:group>
            <v:group style="position:absolute;left:4555;top:1234;width:10;height:20" coordorigin="4555,1234" coordsize="10,20">
              <v:shape style="position:absolute;left:4555;top:1234;width:10;height:20" coordorigin="4555,1234" coordsize="10,20" path="m4555,1253l4565,1253,4565,1234,4555,1234,4555,1253xe" filled="true" fillcolor="#000000" stroked="false">
                <v:path arrowok="t"/>
                <v:fill type="solid"/>
              </v:shape>
            </v:group>
            <v:group style="position:absolute;left:4555;top:1253;width:10;height:20" coordorigin="4555,1253" coordsize="10,20">
              <v:shape style="position:absolute;left:4555;top:1253;width:10;height:20" coordorigin="4555,1253" coordsize="10,20" path="m4555,1272l4565,1272,4565,1253,4555,1253,4555,1272xe" filled="true" fillcolor="#000000" stroked="false">
                <v:path arrowok="t"/>
                <v:fill type="solid"/>
              </v:shape>
            </v:group>
            <v:group style="position:absolute;left:4555;top:1272;width:10;height:20" coordorigin="4555,1272" coordsize="10,20">
              <v:shape style="position:absolute;left:4555;top:1272;width:10;height:20" coordorigin="4555,1272" coordsize="10,20" path="m4555,1291l4565,1291,4565,1272,4555,1272,4555,1291xe" filled="true" fillcolor="#000000" stroked="false">
                <v:path arrowok="t"/>
                <v:fill type="solid"/>
              </v:shape>
            </v:group>
            <v:group style="position:absolute;left:4555;top:1291;width:10;height:20" coordorigin="4555,1291" coordsize="10,20">
              <v:shape style="position:absolute;left:4555;top:1291;width:10;height:20" coordorigin="4555,1291" coordsize="10,20" path="m4555,1310l4565,1310,4565,1291,4555,1291,4555,1310xe" filled="true" fillcolor="#000000" stroked="false">
                <v:path arrowok="t"/>
                <v:fill type="solid"/>
              </v:shape>
            </v:group>
            <v:group style="position:absolute;left:4555;top:1310;width:10;height:20" coordorigin="4555,1310" coordsize="10,20">
              <v:shape style="position:absolute;left:4555;top:1310;width:10;height:20" coordorigin="4555,1310" coordsize="10,20" path="m4555,1330l4565,1330,4565,1310,4555,1310,4555,1330xe" filled="true" fillcolor="#000000" stroked="false">
                <v:path arrowok="t"/>
                <v:fill type="solid"/>
              </v:shape>
            </v:group>
            <v:group style="position:absolute;left:4555;top:1330;width:10;height:20" coordorigin="4555,1330" coordsize="10,20">
              <v:shape style="position:absolute;left:4555;top:1330;width:10;height:20" coordorigin="4555,1330" coordsize="10,20" path="m4555,1349l4565,1349,4565,1330,4555,1330,4555,1349xe" filled="true" fillcolor="#000000" stroked="false">
                <v:path arrowok="t"/>
                <v:fill type="solid"/>
              </v:shape>
            </v:group>
            <v:group style="position:absolute;left:4555;top:1349;width:10;height:20" coordorigin="4555,1349" coordsize="10,20">
              <v:shape style="position:absolute;left:4555;top:1349;width:10;height:20" coordorigin="4555,1349" coordsize="10,20" path="m4555,1368l4565,1368,4565,1349,4555,1349,4555,1368xe" filled="true" fillcolor="#000000" stroked="false">
                <v:path arrowok="t"/>
                <v:fill type="solid"/>
              </v:shape>
            </v:group>
            <v:group style="position:absolute;left:4555;top:1368;width:10;height:20" coordorigin="4555,1368" coordsize="10,20">
              <v:shape style="position:absolute;left:4555;top:1368;width:10;height:20" coordorigin="4555,1368" coordsize="10,20" path="m4555,1387l4565,1387,4565,1368,4555,1368,4555,1387xe" filled="true" fillcolor="#000000" stroked="false">
                <v:path arrowok="t"/>
                <v:fill type="solid"/>
              </v:shape>
            </v:group>
            <v:group style="position:absolute;left:4555;top:1387;width:10;height:20" coordorigin="4555,1387" coordsize="10,20">
              <v:shape style="position:absolute;left:4555;top:1387;width:10;height:20" coordorigin="4555,1387" coordsize="10,20" path="m4555,1406l4565,1406,4565,1387,4555,1387,4555,1406xe" filled="true" fillcolor="#000000" stroked="false">
                <v:path arrowok="t"/>
                <v:fill type="solid"/>
              </v:shape>
            </v:group>
            <v:group style="position:absolute;left:4555;top:1413;width:10;height:2" coordorigin="4555,1413" coordsize="10,2">
              <v:shape style="position:absolute;left:4555;top:1413;width:10;height:2" coordorigin="4555,1413" coordsize="10,0" path="m4555,1413l4565,1413e" filled="false" stroked="true" strokeweight=".660004pt" strokecolor="#000000">
                <v:path arrowok="t"/>
              </v:shape>
            </v:group>
            <v:group style="position:absolute;left:4555;top:1435;width:30;height:2" coordorigin="4555,1435" coordsize="30,2">
              <v:shape style="position:absolute;left:4555;top:1435;width:30;height:2" coordorigin="4555,1435" coordsize="30,0" path="m4555,1435l4585,1435e" filled="false" stroked="true" strokeweight="1.5pt" strokecolor="#000000">
                <v:path arrowok="t"/>
              </v:shape>
            </v:group>
            <v:group style="position:absolute;left:4585;top:1435;width:1746;height:2" coordorigin="4585,1435" coordsize="1746,2">
              <v:shape style="position:absolute;left:4585;top:1435;width:1746;height:2" coordorigin="4585,1435" coordsize="1746,0" path="m4585,1435l6331,1435e" filled="false" stroked="true" strokeweight="1.5pt" strokecolor="#000000">
                <v:path arrowok="t"/>
              </v:shape>
            </v:group>
            <v:group style="position:absolute;left:6331;top:1080;width:10;height:20" coordorigin="6331,1080" coordsize="10,20">
              <v:shape style="position:absolute;left:6331;top:1080;width:10;height:20" coordorigin="6331,1080" coordsize="10,20" path="m6331,1099l6341,1099,6341,1080,6331,1080,6331,1099xe" filled="true" fillcolor="#000000" stroked="false">
                <v:path arrowok="t"/>
                <v:fill type="solid"/>
              </v:shape>
            </v:group>
            <v:group style="position:absolute;left:6331;top:1099;width:10;height:20" coordorigin="6331,1099" coordsize="10,20">
              <v:shape style="position:absolute;left:6331;top:1099;width:10;height:20" coordorigin="6331,1099" coordsize="10,20" path="m6331,1118l6341,1118,6341,1099,6331,1099,6331,1118xe" filled="true" fillcolor="#000000" stroked="false">
                <v:path arrowok="t"/>
                <v:fill type="solid"/>
              </v:shape>
            </v:group>
            <v:group style="position:absolute;left:6331;top:1118;width:10;height:20" coordorigin="6331,1118" coordsize="10,20">
              <v:shape style="position:absolute;left:6331;top:1118;width:10;height:20" coordorigin="6331,1118" coordsize="10,20" path="m6331,1138l6341,1138,6341,1118,6331,1118,6331,1138xe" filled="true" fillcolor="#000000" stroked="false">
                <v:path arrowok="t"/>
                <v:fill type="solid"/>
              </v:shape>
            </v:group>
            <v:group style="position:absolute;left:6331;top:1138;width:10;height:20" coordorigin="6331,1138" coordsize="10,20">
              <v:shape style="position:absolute;left:6331;top:1138;width:10;height:20" coordorigin="6331,1138" coordsize="10,20" path="m6331,1157l6341,1157,6341,1138,6331,1138,6331,1157xe" filled="true" fillcolor="#000000" stroked="false">
                <v:path arrowok="t"/>
                <v:fill type="solid"/>
              </v:shape>
            </v:group>
            <v:group style="position:absolute;left:6331;top:1157;width:10;height:20" coordorigin="6331,1157" coordsize="10,20">
              <v:shape style="position:absolute;left:6331;top:1157;width:10;height:20" coordorigin="6331,1157" coordsize="10,20" path="m6331,1176l6341,1176,6341,1157,6331,1157,6331,1176xe" filled="true" fillcolor="#000000" stroked="false">
                <v:path arrowok="t"/>
                <v:fill type="solid"/>
              </v:shape>
            </v:group>
            <v:group style="position:absolute;left:6331;top:1176;width:10;height:20" coordorigin="6331,1176" coordsize="10,20">
              <v:shape style="position:absolute;left:6331;top:1176;width:10;height:20" coordorigin="6331,1176" coordsize="10,20" path="m6331,1195l6341,1195,6341,1176,6331,1176,6331,1195xe" filled="true" fillcolor="#000000" stroked="false">
                <v:path arrowok="t"/>
                <v:fill type="solid"/>
              </v:shape>
            </v:group>
            <v:group style="position:absolute;left:6331;top:1195;width:10;height:20" coordorigin="6331,1195" coordsize="10,20">
              <v:shape style="position:absolute;left:6331;top:1195;width:10;height:20" coordorigin="6331,1195" coordsize="10,20" path="m6331,1214l6341,1214,6341,1195,6331,1195,6331,1214xe" filled="true" fillcolor="#000000" stroked="false">
                <v:path arrowok="t"/>
                <v:fill type="solid"/>
              </v:shape>
            </v:group>
            <v:group style="position:absolute;left:6331;top:1214;width:10;height:20" coordorigin="6331,1214" coordsize="10,20">
              <v:shape style="position:absolute;left:6331;top:1214;width:10;height:20" coordorigin="6331,1214" coordsize="10,20" path="m6331,1234l6341,1234,6341,1214,6331,1214,6331,1234xe" filled="true" fillcolor="#000000" stroked="false">
                <v:path arrowok="t"/>
                <v:fill type="solid"/>
              </v:shape>
            </v:group>
            <v:group style="position:absolute;left:6331;top:1234;width:10;height:20" coordorigin="6331,1234" coordsize="10,20">
              <v:shape style="position:absolute;left:6331;top:1234;width:10;height:20" coordorigin="6331,1234" coordsize="10,20" path="m6331,1253l6341,1253,6341,1234,6331,1234,6331,1253xe" filled="true" fillcolor="#000000" stroked="false">
                <v:path arrowok="t"/>
                <v:fill type="solid"/>
              </v:shape>
            </v:group>
            <v:group style="position:absolute;left:6331;top:1253;width:10;height:20" coordorigin="6331,1253" coordsize="10,20">
              <v:shape style="position:absolute;left:6331;top:1253;width:10;height:20" coordorigin="6331,1253" coordsize="10,20" path="m6331,1272l6341,1272,6341,1253,6331,1253,6331,1272xe" filled="true" fillcolor="#000000" stroked="false">
                <v:path arrowok="t"/>
                <v:fill type="solid"/>
              </v:shape>
            </v:group>
            <v:group style="position:absolute;left:6331;top:1272;width:10;height:20" coordorigin="6331,1272" coordsize="10,20">
              <v:shape style="position:absolute;left:6331;top:1272;width:10;height:20" coordorigin="6331,1272" coordsize="10,20" path="m6331,1291l6341,1291,6341,1272,6331,1272,6331,1291xe" filled="true" fillcolor="#000000" stroked="false">
                <v:path arrowok="t"/>
                <v:fill type="solid"/>
              </v:shape>
            </v:group>
            <v:group style="position:absolute;left:6331;top:1291;width:10;height:20" coordorigin="6331,1291" coordsize="10,20">
              <v:shape style="position:absolute;left:6331;top:1291;width:10;height:20" coordorigin="6331,1291" coordsize="10,20" path="m6331,1310l6341,1310,6341,1291,6331,1291,6331,1310xe" filled="true" fillcolor="#000000" stroked="false">
                <v:path arrowok="t"/>
                <v:fill type="solid"/>
              </v:shape>
            </v:group>
            <v:group style="position:absolute;left:6331;top:1310;width:10;height:20" coordorigin="6331,1310" coordsize="10,20">
              <v:shape style="position:absolute;left:6331;top:1310;width:10;height:20" coordorigin="6331,1310" coordsize="10,20" path="m6331,1330l6341,1330,6341,1310,6331,1310,6331,1330xe" filled="true" fillcolor="#000000" stroked="false">
                <v:path arrowok="t"/>
                <v:fill type="solid"/>
              </v:shape>
            </v:group>
            <v:group style="position:absolute;left:6331;top:1330;width:10;height:20" coordorigin="6331,1330" coordsize="10,20">
              <v:shape style="position:absolute;left:6331;top:1330;width:10;height:20" coordorigin="6331,1330" coordsize="10,20" path="m6331,1349l6341,1349,6341,1330,6331,1330,6331,1349xe" filled="true" fillcolor="#000000" stroked="false">
                <v:path arrowok="t"/>
                <v:fill type="solid"/>
              </v:shape>
            </v:group>
            <v:group style="position:absolute;left:6331;top:1349;width:10;height:20" coordorigin="6331,1349" coordsize="10,20">
              <v:shape style="position:absolute;left:6331;top:1349;width:10;height:20" coordorigin="6331,1349" coordsize="10,20" path="m6331,1368l6341,1368,6341,1349,6331,1349,6331,1368xe" filled="true" fillcolor="#000000" stroked="false">
                <v:path arrowok="t"/>
                <v:fill type="solid"/>
              </v:shape>
            </v:group>
            <v:group style="position:absolute;left:6331;top:1368;width:10;height:20" coordorigin="6331,1368" coordsize="10,20">
              <v:shape style="position:absolute;left:6331;top:1368;width:10;height:20" coordorigin="6331,1368" coordsize="10,20" path="m6331,1387l6341,1387,6341,1368,6331,1368,6331,1387xe" filled="true" fillcolor="#000000" stroked="false">
                <v:path arrowok="t"/>
                <v:fill type="solid"/>
              </v:shape>
            </v:group>
            <v:group style="position:absolute;left:6331;top:1387;width:10;height:20" coordorigin="6331,1387" coordsize="10,20">
              <v:shape style="position:absolute;left:6331;top:1387;width:10;height:20" coordorigin="6331,1387" coordsize="10,20" path="m6331,1406l6341,1406,6341,1387,6331,1387,6331,1406xe" filled="true" fillcolor="#000000" stroked="false">
                <v:path arrowok="t"/>
                <v:fill type="solid"/>
              </v:shape>
            </v:group>
            <v:group style="position:absolute;left:6331;top:1413;width:10;height:2" coordorigin="6331,1413" coordsize="10,2">
              <v:shape style="position:absolute;left:6331;top:1413;width:10;height:2" coordorigin="6331,1413" coordsize="10,0" path="m6331,1413l6341,1413e" filled="false" stroked="true" strokeweight=".660004pt" strokecolor="#000000">
                <v:path arrowok="t"/>
              </v:shape>
            </v:group>
            <v:group style="position:absolute;left:6331;top:1435;width:30;height:2" coordorigin="6331,1435" coordsize="30,2">
              <v:shape style="position:absolute;left:6331;top:1435;width:30;height:2" coordorigin="6331,1435" coordsize="30,0" path="m6331,1435l6361,1435e" filled="false" stroked="true" strokeweight="1.5pt" strokecolor="#000000">
                <v:path arrowok="t"/>
              </v:shape>
            </v:group>
            <v:group style="position:absolute;left:6361;top:1435;width:1744;height:2" coordorigin="6361,1435" coordsize="1744,2">
              <v:shape style="position:absolute;left:6361;top:1435;width:1744;height:2" coordorigin="6361,1435" coordsize="1744,0" path="m6361,1435l8105,1435e" filled="false" stroked="true" strokeweight="1.5pt" strokecolor="#000000">
                <v:path arrowok="t"/>
              </v:shape>
            </v:group>
            <v:group style="position:absolute;left:8105;top:1080;width:10;height:20" coordorigin="8105,1080" coordsize="10,20">
              <v:shape style="position:absolute;left:8105;top:1080;width:10;height:20" coordorigin="8105,1080" coordsize="10,20" path="m8105,1099l8115,1099,8115,1080,8105,1080,8105,1099xe" filled="true" fillcolor="#000000" stroked="false">
                <v:path arrowok="t"/>
                <v:fill type="solid"/>
              </v:shape>
            </v:group>
            <v:group style="position:absolute;left:8105;top:1099;width:10;height:20" coordorigin="8105,1099" coordsize="10,20">
              <v:shape style="position:absolute;left:8105;top:1099;width:10;height:20" coordorigin="8105,1099" coordsize="10,20" path="m8105,1118l8115,1118,8115,1099,8105,1099,8105,1118xe" filled="true" fillcolor="#000000" stroked="false">
                <v:path arrowok="t"/>
                <v:fill type="solid"/>
              </v:shape>
            </v:group>
            <v:group style="position:absolute;left:8105;top:1118;width:10;height:20" coordorigin="8105,1118" coordsize="10,20">
              <v:shape style="position:absolute;left:8105;top:1118;width:10;height:20" coordorigin="8105,1118" coordsize="10,20" path="m8105,1138l8115,1138,8115,1118,8105,1118,8105,1138xe" filled="true" fillcolor="#000000" stroked="false">
                <v:path arrowok="t"/>
                <v:fill type="solid"/>
              </v:shape>
            </v:group>
            <v:group style="position:absolute;left:8105;top:1138;width:10;height:20" coordorigin="8105,1138" coordsize="10,20">
              <v:shape style="position:absolute;left:8105;top:1138;width:10;height:20" coordorigin="8105,1138" coordsize="10,20" path="m8105,1157l8115,1157,8115,1138,8105,1138,8105,1157xe" filled="true" fillcolor="#000000" stroked="false">
                <v:path arrowok="t"/>
                <v:fill type="solid"/>
              </v:shape>
            </v:group>
            <v:group style="position:absolute;left:8105;top:1157;width:10;height:20" coordorigin="8105,1157" coordsize="10,20">
              <v:shape style="position:absolute;left:8105;top:1157;width:10;height:20" coordorigin="8105,1157" coordsize="10,20" path="m8105,1176l8115,1176,8115,1157,8105,1157,8105,1176xe" filled="true" fillcolor="#000000" stroked="false">
                <v:path arrowok="t"/>
                <v:fill type="solid"/>
              </v:shape>
            </v:group>
            <v:group style="position:absolute;left:8105;top:1176;width:10;height:20" coordorigin="8105,1176" coordsize="10,20">
              <v:shape style="position:absolute;left:8105;top:1176;width:10;height:20" coordorigin="8105,1176" coordsize="10,20" path="m8105,1195l8115,1195,8115,1176,8105,1176,8105,1195xe" filled="true" fillcolor="#000000" stroked="false">
                <v:path arrowok="t"/>
                <v:fill type="solid"/>
              </v:shape>
            </v:group>
            <v:group style="position:absolute;left:8105;top:1195;width:10;height:20" coordorigin="8105,1195" coordsize="10,20">
              <v:shape style="position:absolute;left:8105;top:1195;width:10;height:20" coordorigin="8105,1195" coordsize="10,20" path="m8105,1214l8115,1214,8115,1195,8105,1195,8105,1214xe" filled="true" fillcolor="#000000" stroked="false">
                <v:path arrowok="t"/>
                <v:fill type="solid"/>
              </v:shape>
            </v:group>
            <v:group style="position:absolute;left:8105;top:1214;width:10;height:20" coordorigin="8105,1214" coordsize="10,20">
              <v:shape style="position:absolute;left:8105;top:1214;width:10;height:20" coordorigin="8105,1214" coordsize="10,20" path="m8105,1234l8115,1234,8115,1214,8105,1214,8105,1234xe" filled="true" fillcolor="#000000" stroked="false">
                <v:path arrowok="t"/>
                <v:fill type="solid"/>
              </v:shape>
            </v:group>
            <v:group style="position:absolute;left:8105;top:1234;width:10;height:20" coordorigin="8105,1234" coordsize="10,20">
              <v:shape style="position:absolute;left:8105;top:1234;width:10;height:20" coordorigin="8105,1234" coordsize="10,20" path="m8105,1253l8115,1253,8115,1234,8105,1234,8105,1253xe" filled="true" fillcolor="#000000" stroked="false">
                <v:path arrowok="t"/>
                <v:fill type="solid"/>
              </v:shape>
            </v:group>
            <v:group style="position:absolute;left:8105;top:1253;width:10;height:20" coordorigin="8105,1253" coordsize="10,20">
              <v:shape style="position:absolute;left:8105;top:1253;width:10;height:20" coordorigin="8105,1253" coordsize="10,20" path="m8105,1272l8115,1272,8115,1253,8105,1253,8105,1272xe" filled="true" fillcolor="#000000" stroked="false">
                <v:path arrowok="t"/>
                <v:fill type="solid"/>
              </v:shape>
            </v:group>
            <v:group style="position:absolute;left:8105;top:1272;width:10;height:20" coordorigin="8105,1272" coordsize="10,20">
              <v:shape style="position:absolute;left:8105;top:1272;width:10;height:20" coordorigin="8105,1272" coordsize="10,20" path="m8105,1291l8115,1291,8115,1272,8105,1272,8105,1291xe" filled="true" fillcolor="#000000" stroked="false">
                <v:path arrowok="t"/>
                <v:fill type="solid"/>
              </v:shape>
            </v:group>
            <v:group style="position:absolute;left:8105;top:1291;width:10;height:20" coordorigin="8105,1291" coordsize="10,20">
              <v:shape style="position:absolute;left:8105;top:1291;width:10;height:20" coordorigin="8105,1291" coordsize="10,20" path="m8105,1310l8115,1310,8115,1291,8105,1291,8105,1310xe" filled="true" fillcolor="#000000" stroked="false">
                <v:path arrowok="t"/>
                <v:fill type="solid"/>
              </v:shape>
            </v:group>
            <v:group style="position:absolute;left:8105;top:1310;width:10;height:20" coordorigin="8105,1310" coordsize="10,20">
              <v:shape style="position:absolute;left:8105;top:1310;width:10;height:20" coordorigin="8105,1310" coordsize="10,20" path="m8105,1330l8115,1330,8115,1310,8105,1310,8105,1330xe" filled="true" fillcolor="#000000" stroked="false">
                <v:path arrowok="t"/>
                <v:fill type="solid"/>
              </v:shape>
            </v:group>
            <v:group style="position:absolute;left:8105;top:1330;width:10;height:20" coordorigin="8105,1330" coordsize="10,20">
              <v:shape style="position:absolute;left:8105;top:1330;width:10;height:20" coordorigin="8105,1330" coordsize="10,20" path="m8105,1349l8115,1349,8115,1330,8105,1330,8105,1349xe" filled="true" fillcolor="#000000" stroked="false">
                <v:path arrowok="t"/>
                <v:fill type="solid"/>
              </v:shape>
            </v:group>
            <v:group style="position:absolute;left:8105;top:1349;width:10;height:20" coordorigin="8105,1349" coordsize="10,20">
              <v:shape style="position:absolute;left:8105;top:1349;width:10;height:20" coordorigin="8105,1349" coordsize="10,20" path="m8105,1368l8115,1368,8115,1349,8105,1349,8105,1368xe" filled="true" fillcolor="#000000" stroked="false">
                <v:path arrowok="t"/>
                <v:fill type="solid"/>
              </v:shape>
            </v:group>
            <v:group style="position:absolute;left:8105;top:1368;width:10;height:20" coordorigin="8105,1368" coordsize="10,20">
              <v:shape style="position:absolute;left:8105;top:1368;width:10;height:20" coordorigin="8105,1368" coordsize="10,20" path="m8105,1387l8115,1387,8115,1368,8105,1368,8105,1387xe" filled="true" fillcolor="#000000" stroked="false">
                <v:path arrowok="t"/>
                <v:fill type="solid"/>
              </v:shape>
            </v:group>
            <v:group style="position:absolute;left:8105;top:1387;width:10;height:20" coordorigin="8105,1387" coordsize="10,20">
              <v:shape style="position:absolute;left:8105;top:1387;width:10;height:20" coordorigin="8105,1387" coordsize="10,20" path="m8105,1406l8115,1406,8115,1387,8105,1387,8105,1406xe" filled="true" fillcolor="#000000" stroked="false">
                <v:path arrowok="t"/>
                <v:fill type="solid"/>
              </v:shape>
            </v:group>
            <v:group style="position:absolute;left:8105;top:1413;width:10;height:2" coordorigin="8105,1413" coordsize="10,2">
              <v:shape style="position:absolute;left:8105;top:1413;width:10;height:2" coordorigin="8105,1413" coordsize="10,0" path="m8105,1413l8115,1413e" filled="false" stroked="true" strokeweight=".660004pt" strokecolor="#000000">
                <v:path arrowok="t"/>
              </v:shape>
            </v:group>
            <v:group style="position:absolute;left:8105;top:1435;width:30;height:2" coordorigin="8105,1435" coordsize="30,2">
              <v:shape style="position:absolute;left:8105;top:1435;width:30;height:2" coordorigin="8105,1435" coordsize="30,0" path="m8105,1435l8135,1435e" filled="false" stroked="true" strokeweight="1.5pt" strokecolor="#000000">
                <v:path arrowok="t"/>
              </v:shape>
            </v:group>
            <v:group style="position:absolute;left:8135;top:1435;width:1750;height:2" coordorigin="8135,1435" coordsize="1750,2">
              <v:shape style="position:absolute;left:8135;top:1435;width:1750;height:2" coordorigin="8135,1435" coordsize="1750,0" path="m8135,1435l9885,1435e" filled="false" stroked="true" strokeweight="1.5pt" strokecolor="#000000">
                <v:path arrowok="t"/>
              </v:shape>
              <v:shape style="position:absolute;left:2786;top:15;width:3550;height:360" type="#_x0000_t202" filled="false" stroked="false">
                <v:textbox inset="0,0,0,0">
                  <w:txbxContent>
                    <w:p>
                      <w:pPr>
                        <w:spacing w:before="40"/>
                        <w:ind w:left="10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xbxContent>
                </v:textbox>
                <w10:wrap type="none"/>
              </v:shape>
              <v:shape style="position:absolute;left:4560;top:374;width:1776;height:1061" type="#_x0000_t202" filled="false" stroked="false">
                <v:textbox inset="0,0,0,0">
                  <w:txbxContent>
                    <w:p>
                      <w:pPr>
                        <w:spacing w:before="29"/>
                        <w:ind w:left="108"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154"/>
                        <w:ind w:left="108" w:right="0" w:firstLine="0"/>
                        <w:jc w:val="left"/>
                        <w:rPr>
                          <w:rFonts w:ascii="Times New Roman" w:hAnsi="Times New Roman" w:cs="Times New Roman" w:eastAsia="Times New Roman" w:hint="default"/>
                          <w:sz w:val="18"/>
                          <w:szCs w:val="18"/>
                        </w:rPr>
                      </w:pPr>
                      <w:r>
                        <w:rPr>
                          <w:rFonts w:ascii="Times New Roman"/>
                          <w:sz w:val="18"/>
                        </w:rPr>
                        <w:t>380,226.54</w:t>
                      </w:r>
                    </w:p>
                    <w:p>
                      <w:pPr>
                        <w:spacing w:before="143"/>
                        <w:ind w:left="108"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336;top:374;width:1774;height:1061" type="#_x0000_t202" filled="false" stroked="false">
                <v:textbox inset="0,0,0,0">
                  <w:txbxContent>
                    <w:p>
                      <w:pPr>
                        <w:spacing w:before="29"/>
                        <w:ind w:left="108"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line="350" w:lineRule="atLeast" w:before="11"/>
                        <w:ind w:left="108" w:right="853" w:firstLine="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326,098.38</w:t>
                      </w:r>
                    </w:p>
                  </w:txbxContent>
                </v:textbox>
                <w10:wrap type="none"/>
              </v:shape>
              <v:shape style="position:absolute;left:6444;top:111;width:12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shape style="position:absolute;left:137;top:285;width:1260;height:105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5"/>
                        <w:rPr>
                          <w:rFonts w:ascii="宋体" w:hAnsi="宋体" w:cs="宋体" w:eastAsia="宋体" w:hint="default"/>
                          <w:sz w:val="13"/>
                          <w:szCs w:val="13"/>
                        </w:rPr>
                      </w:pPr>
                    </w:p>
                    <w:p>
                      <w:pPr>
                        <w:spacing w:line="350" w:lineRule="atLeas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递延收益 其他非流动负债</w:t>
                      </w:r>
                    </w:p>
                  </w:txbxContent>
                </v:textbox>
                <w10:wrap type="none"/>
              </v:shape>
              <v:shape style="position:absolute;left:2894;top:460;width:811;height:88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line="350" w:lineRule="atLeast" w:before="11"/>
                        <w:ind w:left="0" w:right="0" w:firstLine="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380,226.54</w:t>
                      </w:r>
                    </w:p>
                  </w:txbxContent>
                </v:textbox>
                <w10:wrap type="none"/>
              </v:shape>
              <v:shape style="position:absolute;left:8218;top:460;width:811;height:88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调整后</w:t>
                      </w:r>
                    </w:p>
                    <w:p>
                      <w:pPr>
                        <w:spacing w:before="154"/>
                        <w:ind w:left="0" w:right="0" w:firstLine="0"/>
                        <w:jc w:val="left"/>
                        <w:rPr>
                          <w:rFonts w:ascii="Times New Roman" w:hAnsi="Times New Roman" w:cs="Times New Roman" w:eastAsia="Times New Roman" w:hint="default"/>
                          <w:sz w:val="18"/>
                          <w:szCs w:val="18"/>
                        </w:rPr>
                      </w:pPr>
                      <w:r>
                        <w:rPr>
                          <w:rFonts w:ascii="Times New Roman"/>
                          <w:sz w:val="18"/>
                        </w:rPr>
                        <w:t>326,098.38</w:t>
                      </w:r>
                    </w:p>
                    <w:p>
                      <w:pPr>
                        <w:spacing w:line="203" w:lineRule="exact" w:before="143"/>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28"/>
          <w:sz w:val="20"/>
          <w:szCs w:val="20"/>
        </w:rPr>
      </w:r>
    </w:p>
    <w:p>
      <w:pPr>
        <w:spacing w:line="240" w:lineRule="auto" w:before="0"/>
        <w:rPr>
          <w:rFonts w:ascii="宋体" w:hAnsi="宋体" w:cs="宋体" w:eastAsia="宋体" w:hint="default"/>
          <w:sz w:val="26"/>
          <w:szCs w:val="26"/>
        </w:rPr>
      </w:pPr>
    </w:p>
    <w:p>
      <w:pPr>
        <w:pStyle w:val="Heading4"/>
        <w:spacing w:line="386" w:lineRule="auto" w:before="35"/>
        <w:ind w:left="253" w:right="222" w:firstLine="420"/>
        <w:jc w:val="left"/>
      </w:pPr>
      <w:r>
        <w:rPr>
          <w:spacing w:val="-1"/>
        </w:rPr>
        <w:t>上述会计政策变更，仅对其他非流动负债和递延收益两个报表项目金额产生影响，对公司</w:t>
      </w:r>
      <w:r>
        <w:rPr>
          <w:rFonts w:ascii="Times New Roman" w:hAnsi="Times New Roman" w:cs="Times New Roman" w:eastAsia="Times New Roman" w:hint="default"/>
          <w:spacing w:val="-1"/>
        </w:rPr>
        <w:t>2013</w:t>
      </w:r>
      <w:r>
        <w:rPr>
          <w:spacing w:val="-1"/>
        </w:rPr>
        <w:t>年度总</w:t>
      </w:r>
      <w:r>
        <w:rPr/>
        <w:t> 资产、负债总额、净资产及净利润不产生任何影响。</w:t>
      </w:r>
    </w:p>
    <w:p>
      <w:pPr>
        <w:pStyle w:val="Heading4"/>
        <w:spacing w:line="408" w:lineRule="auto" w:before="65"/>
        <w:ind w:left="254" w:right="222" w:firstLine="420"/>
        <w:jc w:val="left"/>
      </w:pPr>
      <w:r>
        <w:rPr>
          <w:spacing w:val="-1"/>
        </w:rPr>
        <w:t>公司本次会计政策变更是根据财政部的相关规定而作出的变更，不存在损害公司和全体股东利益的情</w:t>
      </w:r>
      <w:r>
        <w:rPr/>
        <w:t> 形。</w:t>
      </w:r>
    </w:p>
    <w:p>
      <w:pPr>
        <w:spacing w:line="240" w:lineRule="auto" w:before="11"/>
        <w:rPr>
          <w:rFonts w:ascii="宋体" w:hAnsi="宋体" w:cs="宋体" w:eastAsia="宋体" w:hint="default"/>
          <w:sz w:val="18"/>
          <w:szCs w:val="18"/>
        </w:rPr>
      </w:pPr>
    </w:p>
    <w:p>
      <w:pPr>
        <w:pStyle w:val="Heading2"/>
        <w:spacing w:line="240" w:lineRule="auto"/>
        <w:ind w:left="254" w:right="222"/>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253" w:right="222"/>
        <w:jc w:val="left"/>
      </w:pPr>
      <w:r>
        <w:rPr/>
        <w:t>报告期内利润分配政策特别是现金分红政策的制定、执行或调整情况</w:t>
      </w:r>
    </w:p>
    <w:p>
      <w:pPr>
        <w:spacing w:line="240" w:lineRule="auto" w:before="12"/>
        <w:rPr>
          <w:rFonts w:ascii="宋体" w:hAnsi="宋体" w:cs="宋体" w:eastAsia="宋体" w:hint="default"/>
          <w:sz w:val="17"/>
          <w:szCs w:val="17"/>
        </w:rPr>
      </w:pPr>
    </w:p>
    <w:p>
      <w:pPr>
        <w:pStyle w:val="Heading4"/>
        <w:spacing w:line="240" w:lineRule="auto"/>
        <w:ind w:left="253" w:right="2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Heading4"/>
        <w:spacing w:line="240" w:lineRule="auto"/>
        <w:ind w:left="673" w:right="0"/>
        <w:jc w:val="left"/>
        <w:rPr>
          <w:rFonts w:ascii="Times New Roman" w:hAnsi="Times New Roman" w:cs="Times New Roman" w:eastAsia="Times New Roman" w:hint="default"/>
        </w:rPr>
      </w:pPr>
      <w:r>
        <w:rPr>
          <w:rFonts w:ascii="Times New Roman" w:hAnsi="Times New Roman" w:cs="Times New Roman" w:eastAsia="Times New Roman" w:hint="default"/>
        </w:rPr>
        <w:t>201</w:t>
      </w:r>
      <w:r>
        <w:rPr>
          <w:rFonts w:ascii="Times New Roman" w:hAnsi="Times New Roman" w:cs="Times New Roman" w:eastAsia="Times New Roman" w:hint="default"/>
          <w:spacing w:val="1"/>
        </w:rPr>
        <w:t>4</w:t>
      </w:r>
      <w:r>
        <w:rPr>
          <w:spacing w:val="-2"/>
        </w:rPr>
        <w:t>年</w:t>
      </w:r>
      <w:r>
        <w:rPr>
          <w:rFonts w:ascii="Times New Roman" w:hAnsi="Times New Roman" w:cs="Times New Roman" w:eastAsia="Times New Roman" w:hint="default"/>
        </w:rPr>
        <w:t>12</w:t>
      </w:r>
      <w:r>
        <w:rPr>
          <w:spacing w:val="-2"/>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t>日</w:t>
      </w:r>
      <w:r>
        <w:rPr>
          <w:spacing w:val="-101"/>
        </w:rPr>
        <w:t>，</w:t>
      </w:r>
      <w:r>
        <w:rPr/>
        <w:t>经第二届董事会第二十一次董事会决议通过批准</w:t>
      </w:r>
      <w:r>
        <w:rPr>
          <w:spacing w:val="-101"/>
        </w:rPr>
        <w:t>，</w:t>
      </w:r>
      <w:r>
        <w:rPr/>
        <w:t>根</w:t>
      </w:r>
      <w:r>
        <w:rPr>
          <w:spacing w:val="-101"/>
        </w:rPr>
        <w:t>据</w:t>
      </w:r>
      <w:r>
        <w:rPr/>
        <w:t>《上市公司股东大会规则</w:t>
      </w:r>
      <w:r>
        <w:rPr>
          <w:rFonts w:ascii="Times New Roman" w:hAnsi="Times New Roman" w:cs="Times New Roman" w:eastAsia="Times New Roman" w:hint="default"/>
        </w:rPr>
        <w:t>(2014</w:t>
      </w:r>
    </w:p>
    <w:p>
      <w:pPr>
        <w:pStyle w:val="Heading4"/>
        <w:spacing w:line="240" w:lineRule="auto" w:before="177"/>
        <w:ind w:left="253" w:right="0"/>
        <w:jc w:val="left"/>
      </w:pPr>
      <w:r>
        <w:rPr>
          <w:spacing w:val="-3"/>
        </w:rPr>
        <w:t>年修订</w:t>
      </w:r>
      <w:r>
        <w:rPr>
          <w:rFonts w:ascii="Times New Roman" w:hAnsi="Times New Roman" w:cs="Times New Roman" w:eastAsia="Times New Roman" w:hint="default"/>
          <w:spacing w:val="-3"/>
        </w:rPr>
        <w:t>)</w:t>
      </w:r>
      <w:r>
        <w:rPr>
          <w:spacing w:val="-3"/>
        </w:rPr>
        <w:t>》、《上市公司监管指引第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上市公司现金分红》等相关法律、法规、规范性文件的规定，</w:t>
      </w:r>
    </w:p>
    <w:p>
      <w:pPr>
        <w:spacing w:after="0" w:line="240" w:lineRule="auto"/>
        <w:jc w:val="left"/>
        <w:sectPr>
          <w:footerReference w:type="default" r:id="rId38"/>
          <w:pgSz w:w="11910" w:h="16840"/>
          <w:pgMar w:footer="979" w:header="877" w:top="1100" w:bottom="1160" w:left="880" w:right="900"/>
          <w:pgNumType w:start="43"/>
        </w:sectPr>
      </w:pPr>
    </w:p>
    <w:p>
      <w:pPr>
        <w:spacing w:line="240" w:lineRule="auto" w:before="8"/>
        <w:rPr>
          <w:rFonts w:ascii="宋体" w:hAnsi="宋体" w:cs="宋体" w:eastAsia="宋体" w:hint="default"/>
          <w:sz w:val="26"/>
          <w:szCs w:val="26"/>
        </w:rPr>
      </w:pPr>
    </w:p>
    <w:p>
      <w:pPr>
        <w:pStyle w:val="Heading4"/>
        <w:spacing w:line="386" w:lineRule="auto" w:before="35"/>
        <w:ind w:right="196"/>
        <w:jc w:val="left"/>
      </w:pPr>
      <w:r>
        <w:rPr>
          <w:spacing w:val="-1"/>
        </w:rPr>
        <w:t>公司结合自身情况，对《公司章程》中的相关条款进行修订；并提交</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日召开的</w:t>
      </w:r>
      <w:r>
        <w:rPr>
          <w:rFonts w:ascii="Times New Roman" w:hAnsi="Times New Roman" w:cs="Times New Roman" w:eastAsia="Times New Roman" w:hint="default"/>
          <w:spacing w:val="-1"/>
        </w:rPr>
        <w:t>2014</w:t>
      </w:r>
      <w:r>
        <w:rPr>
          <w:spacing w:val="-1"/>
        </w:rPr>
        <w:t>年第四次</w:t>
      </w:r>
      <w:r>
        <w:rPr>
          <w:spacing w:val="-79"/>
        </w:rPr>
        <w:t> </w:t>
      </w:r>
      <w:r>
        <w:rPr>
          <w:spacing w:val="-79"/>
        </w:rPr>
      </w:r>
      <w:r>
        <w:rPr/>
        <w:t>临时股东大会审议通过。修订后公司利润分配制度如下：</w:t>
      </w:r>
    </w:p>
    <w:p>
      <w:pPr>
        <w:pStyle w:val="Heading4"/>
        <w:spacing w:line="408" w:lineRule="auto" w:before="65"/>
        <w:ind w:left="574" w:right="196"/>
        <w:jc w:val="left"/>
      </w:pPr>
      <w:r>
        <w:rPr/>
        <w:t>《公司章程》第八章 第一百五十五条 </w:t>
      </w:r>
      <w:r>
        <w:rPr>
          <w:spacing w:val="-1"/>
        </w:rPr>
        <w:t>公司的利润分配政策应重视对投资者的合理投资回报，以可持续发展和维护股东权益为宗旨，应保持</w:t>
      </w:r>
    </w:p>
    <w:p>
      <w:pPr>
        <w:pStyle w:val="Heading4"/>
        <w:spacing w:line="408" w:lineRule="auto" w:before="46"/>
        <w:ind w:left="154" w:right="196"/>
        <w:jc w:val="left"/>
      </w:pPr>
      <w:r>
        <w:rPr>
          <w:spacing w:val="-1"/>
        </w:rPr>
        <w:t>连续性和稳定性，并符合法律、法规的相关规定。公司利润分配不得超过累计可供分配利润的范围，不得</w:t>
      </w:r>
      <w:r>
        <w:rPr>
          <w:spacing w:val="-86"/>
        </w:rPr>
        <w:t> </w:t>
      </w:r>
      <w:r>
        <w:rPr>
          <w:spacing w:val="-86"/>
        </w:rPr>
      </w:r>
      <w:r>
        <w:rPr/>
        <w:t>损害公司持续经营能力。</w:t>
      </w:r>
    </w:p>
    <w:p>
      <w:pPr>
        <w:pStyle w:val="Heading4"/>
        <w:spacing w:line="408" w:lineRule="auto" w:before="46"/>
        <w:ind w:left="574" w:right="97"/>
        <w:jc w:val="left"/>
      </w:pPr>
      <w:r>
        <w:rPr/>
        <w:t>利润分配的决策程序和机制 </w:t>
      </w:r>
      <w:r>
        <w:rPr>
          <w:spacing w:val="-3"/>
        </w:rPr>
        <w:t>公司的利润分配预案由公司董事会结合公司章程的规定、盈利情况、资金供给和需求情况提出、拟订，</w:t>
      </w:r>
    </w:p>
    <w:p>
      <w:pPr>
        <w:pStyle w:val="Heading4"/>
        <w:spacing w:line="408" w:lineRule="auto" w:before="46"/>
        <w:ind w:left="154" w:right="196"/>
        <w:jc w:val="left"/>
      </w:pPr>
      <w:r>
        <w:rPr>
          <w:spacing w:val="-1"/>
        </w:rPr>
        <w:t>经董事会审议通过后提交股东大会批准。独立董事应对利润分配预案发表明确的独立意见，并随董事会决</w:t>
      </w:r>
      <w:r>
        <w:rPr>
          <w:spacing w:val="-81"/>
        </w:rPr>
        <w:t> </w:t>
      </w:r>
      <w:r>
        <w:rPr>
          <w:spacing w:val="-81"/>
        </w:rPr>
      </w:r>
      <w:r>
        <w:rPr/>
        <w:t>议一并公开披露。</w:t>
      </w:r>
    </w:p>
    <w:p>
      <w:pPr>
        <w:pStyle w:val="Heading4"/>
        <w:spacing w:line="408" w:lineRule="auto" w:before="46"/>
        <w:ind w:left="154" w:right="211" w:firstLine="420"/>
        <w:jc w:val="both"/>
      </w:pPr>
      <w:r>
        <w:rPr>
          <w:spacing w:val="-1"/>
        </w:rPr>
        <w:t>董事会审议现金分红具体方案时，应当认真研究和论证公司现金分红的时机、条件和最低比例、调整</w:t>
      </w:r>
      <w:r>
        <w:rPr/>
        <w:t> 的条件及其决策程序要求等事宜，独立董事发表明确的独立意见。</w:t>
      </w:r>
    </w:p>
    <w:p>
      <w:pPr>
        <w:pStyle w:val="Heading4"/>
        <w:spacing w:line="408" w:lineRule="auto" w:before="46"/>
        <w:ind w:right="211" w:firstLine="420"/>
        <w:jc w:val="both"/>
      </w:pPr>
      <w:r>
        <w:rPr>
          <w:spacing w:val="-1"/>
        </w:rPr>
        <w:t>公司监事会应当对董事会和经营管理层执行利润分配、现金分红政策的情况以及决策程序进行有效监</w:t>
      </w:r>
      <w:r>
        <w:rPr/>
        <w:t> 督。</w:t>
      </w:r>
    </w:p>
    <w:p>
      <w:pPr>
        <w:pStyle w:val="Heading4"/>
        <w:spacing w:line="408" w:lineRule="auto" w:before="46"/>
        <w:ind w:left="154" w:right="190" w:firstLine="420"/>
        <w:jc w:val="both"/>
      </w:pPr>
      <w:r>
        <w:rPr/>
        <w:t>股东大会在对利润分配政策进行决策和论证过程中应当充分考虑独立董事和社会公众股股东的意见。 </w:t>
      </w:r>
      <w:r>
        <w:rPr>
          <w:spacing w:val="-1"/>
        </w:rPr>
        <w:t>股东大会应根据法律法规、公司章程的规定对董事会提出的利润分配方案进行审议表决。为切实保障社会</w:t>
      </w:r>
      <w:r>
        <w:rPr>
          <w:spacing w:val="-81"/>
        </w:rPr>
        <w:t> </w:t>
      </w:r>
      <w:r>
        <w:rPr>
          <w:spacing w:val="-81"/>
        </w:rPr>
      </w:r>
      <w:r>
        <w:rPr>
          <w:spacing w:val="-1"/>
        </w:rPr>
        <w:t>公众股股东参与股东大会的权利，董事会、独立董事和符合条件的股东可以公开征集其在股东大会上的投</w:t>
      </w:r>
      <w:r>
        <w:rPr>
          <w:spacing w:val="-81"/>
        </w:rPr>
        <w:t> </w:t>
      </w:r>
      <w:r>
        <w:rPr>
          <w:spacing w:val="-81"/>
        </w:rPr>
      </w:r>
      <w:r>
        <w:rPr>
          <w:spacing w:val="-1"/>
        </w:rPr>
        <w:t>票权，并应当通过多种渠道（包括但不限于电话、传真、邮箱、互动平台等）主动与股东特别是中小股东</w:t>
      </w:r>
      <w:r>
        <w:rPr>
          <w:spacing w:val="-83"/>
        </w:rPr>
        <w:t> </w:t>
      </w:r>
      <w:r>
        <w:rPr>
          <w:spacing w:val="-83"/>
        </w:rPr>
      </w:r>
      <w:r>
        <w:rPr>
          <w:spacing w:val="-1"/>
        </w:rPr>
        <w:t>进行沟通和交流，充分听取中小股东的意见和诉求，并及时答复中小股东关心的问题。分红预案应由出席</w:t>
      </w:r>
      <w:r>
        <w:rPr>
          <w:spacing w:val="-83"/>
        </w:rPr>
        <w:t> </w:t>
      </w:r>
      <w:r>
        <w:rPr>
          <w:spacing w:val="-83"/>
        </w:rPr>
      </w:r>
      <w:r>
        <w:rPr/>
        <w:t>股东大会的股东或股东代理人所持表决权的</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rFonts w:ascii="Times New Roman" w:hAnsi="Times New Roman" w:cs="Times New Roman" w:eastAsia="Times New Roman" w:hint="default"/>
        </w:rPr>
        <w:t>2</w:t>
      </w:r>
      <w:r>
        <w:rPr/>
        <w:t>以上通过。</w:t>
      </w:r>
    </w:p>
    <w:p>
      <w:pPr>
        <w:pStyle w:val="Heading4"/>
        <w:spacing w:line="408" w:lineRule="auto" w:before="14"/>
        <w:ind w:left="574" w:right="97"/>
        <w:jc w:val="left"/>
      </w:pPr>
      <w:r>
        <w:rPr/>
        <w:t>存在股东违规占用公司资金情况的，公司应当扣减该股东所分配的现金红利，以偿还其占用的资金。 利润分配的形式： </w:t>
      </w:r>
      <w:r>
        <w:rPr>
          <w:spacing w:val="-3"/>
        </w:rPr>
        <w:t>公司可以采取现金、股票或现金与股票相结合的方式分配利润，并优先采用现金分红的利润分配方式，</w:t>
      </w:r>
    </w:p>
    <w:p>
      <w:pPr>
        <w:pStyle w:val="Heading4"/>
        <w:spacing w:line="408" w:lineRule="auto" w:before="46"/>
        <w:ind w:left="154" w:right="196"/>
        <w:jc w:val="left"/>
      </w:pPr>
      <w:r>
        <w:rPr>
          <w:spacing w:val="-1"/>
        </w:rPr>
        <w:t>具备现金分红条件的，应当采用现金分红进行利润分配。公司可以采用股票股利方式进行利润分配，但应</w:t>
      </w:r>
      <w:r>
        <w:rPr>
          <w:spacing w:val="-83"/>
        </w:rPr>
        <w:t> </w:t>
      </w:r>
      <w:r>
        <w:rPr>
          <w:spacing w:val="-83"/>
        </w:rPr>
      </w:r>
      <w:r>
        <w:rPr/>
        <w:t>当具有公司成长性、每股净资产的摊薄等真实合理因素。</w:t>
      </w:r>
    </w:p>
    <w:p>
      <w:pPr>
        <w:pStyle w:val="Heading4"/>
        <w:spacing w:line="240" w:lineRule="auto" w:before="46"/>
        <w:ind w:left="574" w:right="196"/>
        <w:jc w:val="left"/>
      </w:pPr>
      <w:r>
        <w:rPr/>
        <w:t>必须现金分红的条件：</w:t>
      </w:r>
    </w:p>
    <w:p>
      <w:pPr>
        <w:spacing w:line="240" w:lineRule="auto" w:before="10"/>
        <w:rPr>
          <w:rFonts w:ascii="宋体" w:hAnsi="宋体" w:cs="宋体" w:eastAsia="宋体" w:hint="default"/>
          <w:sz w:val="14"/>
          <w:szCs w:val="14"/>
        </w:rPr>
      </w:pPr>
    </w:p>
    <w:p>
      <w:pPr>
        <w:pStyle w:val="Heading4"/>
        <w:spacing w:line="240" w:lineRule="auto"/>
        <w:ind w:left="574" w:right="196"/>
        <w:jc w:val="left"/>
      </w:pPr>
      <w:r>
        <w:rPr/>
        <w:t>（</w:t>
      </w:r>
      <w:r>
        <w:rPr>
          <w:rFonts w:ascii="Times New Roman" w:hAnsi="Times New Roman" w:cs="Times New Roman" w:eastAsia="Times New Roman" w:hint="default"/>
        </w:rPr>
        <w:t>1</w:t>
      </w:r>
      <w:r>
        <w:rPr/>
        <w:t>）公司该年度实现的可分配利润（即公司弥补亏损、提取公积金后所余的税后利润）为正值；</w:t>
      </w:r>
    </w:p>
    <w:p>
      <w:pPr>
        <w:pStyle w:val="Heading4"/>
        <w:spacing w:line="240" w:lineRule="auto" w:before="177"/>
        <w:ind w:left="574" w:right="196"/>
        <w:jc w:val="left"/>
      </w:pPr>
      <w:r>
        <w:rPr/>
        <w:t>（</w:t>
      </w:r>
      <w:r>
        <w:rPr>
          <w:rFonts w:ascii="Times New Roman" w:hAnsi="Times New Roman" w:cs="Times New Roman" w:eastAsia="Times New Roman" w:hint="default"/>
        </w:rPr>
        <w:t>2</w:t>
      </w:r>
      <w:r>
        <w:rPr/>
        <w:t>）审计机构对公司的该年度财务报告出具标准无保留意见的审计报告（中期分红除外）；</w:t>
      </w:r>
    </w:p>
    <w:p>
      <w:pPr>
        <w:pStyle w:val="Heading4"/>
        <w:spacing w:line="386" w:lineRule="auto" w:before="177"/>
        <w:ind w:left="154" w:right="221" w:firstLine="420"/>
        <w:jc w:val="both"/>
      </w:pPr>
      <w:r>
        <w:rPr/>
        <w:t>（</w:t>
      </w:r>
      <w:r>
        <w:rPr>
          <w:rFonts w:ascii="Times New Roman" w:hAnsi="Times New Roman" w:cs="Times New Roman" w:eastAsia="Times New Roman" w:hint="default"/>
        </w:rPr>
        <w:t>3</w:t>
      </w:r>
      <w:r>
        <w:rPr/>
        <w:t>）公司生产经营资金可满足正常生产经营资金需求（具体指公司最近一年经审计的经营活动产生 的现金流量净额与净利润之比不低于</w:t>
      </w:r>
      <w:r>
        <w:rPr>
          <w:rFonts w:ascii="Times New Roman" w:hAnsi="Times New Roman" w:cs="Times New Roman" w:eastAsia="Times New Roman" w:hint="default"/>
        </w:rPr>
        <w:t>30%</w:t>
      </w:r>
      <w:r>
        <w:rPr/>
        <w:t>）；</w:t>
      </w:r>
    </w:p>
    <w:p>
      <w:pPr>
        <w:spacing w:after="0" w:line="386" w:lineRule="auto"/>
        <w:jc w:val="both"/>
        <w:sectPr>
          <w:pgSz w:w="11910" w:h="16840"/>
          <w:pgMar w:header="877" w:footer="979" w:top="1100" w:bottom="1160" w:left="980" w:right="920"/>
        </w:sectPr>
      </w:pPr>
    </w:p>
    <w:p>
      <w:pPr>
        <w:spacing w:line="240" w:lineRule="auto" w:before="8"/>
        <w:rPr>
          <w:rFonts w:ascii="宋体" w:hAnsi="宋体" w:cs="宋体" w:eastAsia="宋体" w:hint="default"/>
          <w:sz w:val="26"/>
          <w:szCs w:val="26"/>
        </w:rPr>
      </w:pPr>
    </w:p>
    <w:p>
      <w:pPr>
        <w:pStyle w:val="Heading4"/>
        <w:spacing w:line="386" w:lineRule="auto" w:before="35"/>
        <w:ind w:left="573" w:right="218"/>
        <w:jc w:val="left"/>
      </w:pPr>
      <w:r>
        <w:rPr/>
        <w:t>（</w:t>
      </w:r>
      <w:r>
        <w:rPr>
          <w:rFonts w:ascii="Times New Roman" w:hAnsi="Times New Roman" w:cs="Times New Roman" w:eastAsia="Times New Roman" w:hint="default"/>
        </w:rPr>
        <w:t>4</w:t>
      </w:r>
      <w:r>
        <w:rPr/>
        <w:t>）公司未来十二个月内无重大投资计划或重大资金支出等事项发生（募集资金投资项目除外）。 重大投资计划或重大资金支出事项是指以下情形之一：</w:t>
      </w:r>
    </w:p>
    <w:p>
      <w:pPr>
        <w:pStyle w:val="Heading4"/>
        <w:spacing w:line="386" w:lineRule="auto" w:before="65"/>
        <w:ind w:right="161" w:firstLine="420"/>
        <w:jc w:val="both"/>
      </w:pPr>
      <w:r>
        <w:rPr/>
        <w:t>（</w:t>
      </w:r>
      <w:r>
        <w:rPr>
          <w:rFonts w:ascii="Times New Roman" w:hAnsi="Times New Roman" w:cs="Times New Roman" w:eastAsia="Times New Roman" w:hint="default"/>
        </w:rPr>
        <w:t>1</w:t>
      </w:r>
      <w:r>
        <w:rPr/>
        <w:t>）公司在未来十二个月内拟对外投资、收购资产或购买设备等交易涉及的资产总额（同时存在账 面值和评估值的，以较高者计）占公司最近一期经审计总资产</w:t>
      </w:r>
      <w:r>
        <w:rPr>
          <w:rFonts w:ascii="Times New Roman" w:hAnsi="Times New Roman" w:cs="Times New Roman" w:eastAsia="Times New Roman" w:hint="default"/>
        </w:rPr>
        <w:t>30%</w:t>
      </w:r>
      <w:r>
        <w:rPr/>
        <w:t>以上；</w:t>
      </w:r>
    </w:p>
    <w:p>
      <w:pPr>
        <w:pStyle w:val="Heading4"/>
        <w:spacing w:line="386" w:lineRule="auto" w:before="35"/>
        <w:ind w:right="161" w:firstLine="420"/>
        <w:jc w:val="both"/>
      </w:pPr>
      <w:r>
        <w:rPr/>
        <w:t>（</w:t>
      </w:r>
      <w:r>
        <w:rPr>
          <w:rFonts w:ascii="Times New Roman" w:hAnsi="Times New Roman" w:cs="Times New Roman" w:eastAsia="Times New Roman" w:hint="default"/>
        </w:rPr>
        <w:t>2</w:t>
      </w:r>
      <w:r>
        <w:rPr/>
        <w:t>）公司在未来十二个月内拟对外投资、收购资产或购买设备累计支出占公司最近一期经审计净资 产的</w:t>
      </w:r>
      <w:r>
        <w:rPr>
          <w:rFonts w:ascii="Times New Roman" w:hAnsi="Times New Roman" w:cs="Times New Roman" w:eastAsia="Times New Roman" w:hint="default"/>
        </w:rPr>
        <w:t>50%</w:t>
      </w:r>
      <w:r>
        <w:rPr/>
        <w:t>以上，或绝对金额超过</w:t>
      </w:r>
      <w:r>
        <w:rPr>
          <w:rFonts w:ascii="Times New Roman" w:hAnsi="Times New Roman" w:cs="Times New Roman" w:eastAsia="Times New Roman" w:hint="default"/>
        </w:rPr>
        <w:t>2,000</w:t>
      </w:r>
      <w:r>
        <w:rPr/>
        <w:t>万元。</w:t>
      </w:r>
    </w:p>
    <w:p>
      <w:pPr>
        <w:pStyle w:val="Heading4"/>
        <w:spacing w:line="408" w:lineRule="auto" w:before="35"/>
        <w:ind w:left="573" w:right="113"/>
        <w:jc w:val="left"/>
      </w:pPr>
      <w:r>
        <w:rPr/>
        <w:t>现金分红的比例及时间间隔 在保证公司正常经营和长远发展的前提下，公司原则上每年年度股东大会召开后进行一次现金分红，</w:t>
      </w:r>
    </w:p>
    <w:p>
      <w:pPr>
        <w:pStyle w:val="Heading4"/>
        <w:spacing w:line="400" w:lineRule="auto" w:before="46"/>
        <w:ind w:right="151"/>
        <w:jc w:val="both"/>
      </w:pPr>
      <w:r>
        <w:rPr>
          <w:spacing w:val="-1"/>
        </w:rPr>
        <w:t>公司董事会可以根据公司的盈利状况及资金需求状况提议公司进行中期现金分红。公司应保持利润分配政</w:t>
      </w:r>
      <w:r>
        <w:rPr>
          <w:spacing w:val="-81"/>
        </w:rPr>
        <w:t> </w:t>
      </w:r>
      <w:r>
        <w:rPr>
          <w:spacing w:val="-81"/>
        </w:rPr>
      </w:r>
      <w:r>
        <w:rPr>
          <w:spacing w:val="-1"/>
        </w:rPr>
        <w:t>策的连续性和稳定性，在满足必须现金分红条件时，每年以现金方式分配的利润应不低于当年实现的可分</w:t>
      </w:r>
      <w:r>
        <w:rPr>
          <w:spacing w:val="-81"/>
        </w:rPr>
        <w:t> </w:t>
      </w:r>
      <w:r>
        <w:rPr>
          <w:spacing w:val="-81"/>
        </w:rPr>
      </w:r>
      <w:r>
        <w:rPr/>
        <w:t>配利润的</w:t>
      </w:r>
      <w:r>
        <w:rPr>
          <w:rFonts w:ascii="Times New Roman" w:hAnsi="Times New Roman" w:cs="Times New Roman" w:eastAsia="Times New Roman" w:hint="default"/>
        </w:rPr>
        <w:t>10%</w:t>
      </w:r>
      <w:r>
        <w:rPr/>
        <w:t>，且任意三个连续会计年度内，公司以现金方式累计分配的利润不少于该三年实现的年均可</w:t>
      </w:r>
      <w:r>
        <w:rPr>
          <w:spacing w:val="-98"/>
        </w:rPr>
        <w:t> </w:t>
      </w:r>
      <w:r>
        <w:rPr>
          <w:spacing w:val="-98"/>
        </w:rPr>
      </w:r>
      <w:r>
        <w:rPr/>
        <w:t>分配利润的</w:t>
      </w:r>
      <w:r>
        <w:rPr>
          <w:rFonts w:ascii="Times New Roman" w:hAnsi="Times New Roman" w:cs="Times New Roman" w:eastAsia="Times New Roman" w:hint="default"/>
        </w:rPr>
        <w:t>30%</w:t>
      </w:r>
      <w:r>
        <w:rPr/>
        <w:t>。</w:t>
      </w:r>
    </w:p>
    <w:p>
      <w:pPr>
        <w:pStyle w:val="Heading4"/>
        <w:spacing w:line="408" w:lineRule="auto" w:before="21"/>
        <w:ind w:left="573" w:right="0"/>
        <w:jc w:val="left"/>
      </w:pPr>
      <w:r>
        <w:rPr/>
        <w:t>差异化的现金分红政策 </w:t>
      </w:r>
      <w:r>
        <w:rPr>
          <w:spacing w:val="-1"/>
        </w:rPr>
        <w:t>公司董事会应当综合考虑公司所处行业特点、发展阶段、自身经营模式、盈利水平以及是否有重大资</w:t>
      </w:r>
    </w:p>
    <w:p>
      <w:pPr>
        <w:pStyle w:val="Heading4"/>
        <w:spacing w:line="240" w:lineRule="auto" w:before="46"/>
        <w:ind w:right="0"/>
        <w:jc w:val="both"/>
      </w:pPr>
      <w:r>
        <w:rPr/>
        <w:t>金支出安排等因素，区分下列情形，提出差异化的现金分红政策：</w:t>
      </w:r>
    </w:p>
    <w:p>
      <w:pPr>
        <w:spacing w:line="240" w:lineRule="auto" w:before="10"/>
        <w:rPr>
          <w:rFonts w:ascii="宋体" w:hAnsi="宋体" w:cs="宋体" w:eastAsia="宋体" w:hint="default"/>
          <w:sz w:val="14"/>
          <w:szCs w:val="14"/>
        </w:rPr>
      </w:pPr>
    </w:p>
    <w:p>
      <w:pPr>
        <w:pStyle w:val="Heading4"/>
        <w:spacing w:line="386" w:lineRule="auto"/>
        <w:ind w:right="161" w:firstLine="420"/>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 中所占比例最低应达到</w:t>
      </w:r>
      <w:r>
        <w:rPr>
          <w:rFonts w:ascii="Times New Roman" w:hAnsi="Times New Roman" w:cs="Times New Roman" w:eastAsia="Times New Roman" w:hint="default"/>
        </w:rPr>
        <w:t>80%</w:t>
      </w:r>
      <w:r>
        <w:rPr/>
        <w:t>；</w:t>
      </w:r>
    </w:p>
    <w:p>
      <w:pPr>
        <w:pStyle w:val="Heading4"/>
        <w:spacing w:line="386" w:lineRule="auto" w:before="35"/>
        <w:ind w:right="161" w:firstLine="420"/>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 中所占比例最低应达到</w:t>
      </w:r>
      <w:r>
        <w:rPr>
          <w:rFonts w:ascii="Times New Roman" w:hAnsi="Times New Roman" w:cs="Times New Roman" w:eastAsia="Times New Roman" w:hint="default"/>
        </w:rPr>
        <w:t>40%</w:t>
      </w:r>
      <w:r>
        <w:rPr/>
        <w:t>；</w:t>
      </w:r>
    </w:p>
    <w:p>
      <w:pPr>
        <w:pStyle w:val="Heading4"/>
        <w:spacing w:line="386" w:lineRule="auto" w:before="35"/>
        <w:ind w:right="158" w:firstLine="420"/>
        <w:jc w:val="both"/>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 中所占比例最低应达到</w:t>
      </w:r>
      <w:r>
        <w:rPr>
          <w:rFonts w:ascii="Times New Roman" w:hAnsi="Times New Roman" w:cs="Times New Roman" w:eastAsia="Times New Roman" w:hint="default"/>
        </w:rPr>
        <w:t>20%</w:t>
      </w:r>
      <w:r>
        <w:rPr/>
        <w:t>。</w:t>
      </w:r>
    </w:p>
    <w:p>
      <w:pPr>
        <w:pStyle w:val="Heading4"/>
        <w:spacing w:line="408" w:lineRule="auto" w:before="35"/>
        <w:ind w:left="573" w:right="2423"/>
        <w:jc w:val="left"/>
      </w:pPr>
      <w:r>
        <w:rPr/>
        <w:t>公司发展阶段不易区分但有重大资金支出安排的，可以按照前项规定处理。 股票股利分配的条件</w:t>
      </w:r>
    </w:p>
    <w:p>
      <w:pPr>
        <w:pStyle w:val="Heading4"/>
        <w:spacing w:line="408" w:lineRule="auto" w:before="46"/>
        <w:ind w:right="130" w:firstLine="420"/>
        <w:jc w:val="both"/>
      </w:pPr>
      <w:r>
        <w:rPr/>
        <w:t>根据累计可供分配利润、公积金及现金流状况，在保证足额现金分红及公司股本规模合理的前提下， </w:t>
      </w:r>
      <w:r>
        <w:rPr>
          <w:spacing w:val="-1"/>
        </w:rPr>
        <w:t>公司可以采用发放股票股利方式进行利润分配，具体分配比例由公司董事会审议通过后，提交股东大会审</w:t>
      </w:r>
      <w:r>
        <w:rPr>
          <w:spacing w:val="-81"/>
        </w:rPr>
        <w:t> </w:t>
      </w:r>
      <w:r>
        <w:rPr>
          <w:spacing w:val="-81"/>
        </w:rPr>
      </w:r>
      <w:r>
        <w:rPr/>
        <w:t>议决定。</w:t>
      </w:r>
    </w:p>
    <w:p>
      <w:pPr>
        <w:pStyle w:val="Heading4"/>
        <w:spacing w:line="408" w:lineRule="auto" w:before="46"/>
        <w:ind w:left="573" w:right="0"/>
        <w:jc w:val="left"/>
      </w:pPr>
      <w:r>
        <w:rPr/>
        <w:t>利润分配的信息披露 </w:t>
      </w:r>
      <w:r>
        <w:rPr>
          <w:spacing w:val="-1"/>
        </w:rPr>
        <w:t>公司应严格按照有关规定在定期报告中详细披露利润分配方案和现金分红政策执行情况，说明是否符</w:t>
      </w:r>
    </w:p>
    <w:p>
      <w:pPr>
        <w:pStyle w:val="Heading4"/>
        <w:spacing w:line="408" w:lineRule="auto" w:before="46"/>
        <w:ind w:right="151"/>
        <w:jc w:val="both"/>
      </w:pPr>
      <w:r>
        <w:rPr>
          <w:spacing w:val="-1"/>
        </w:rPr>
        <w:t>合本章程的规定或者股东大会决议的要求，分红标准和比例是否明确和清晰，相关的决策程序和机制是否</w:t>
      </w:r>
      <w:r>
        <w:rPr>
          <w:spacing w:val="-81"/>
        </w:rPr>
        <w:t> </w:t>
      </w:r>
      <w:r>
        <w:rPr>
          <w:spacing w:val="-81"/>
        </w:rPr>
      </w:r>
      <w:r>
        <w:rPr>
          <w:spacing w:val="-1"/>
        </w:rPr>
        <w:t>完备，独立董事是否尽职履责并发挥了应有的作用，中小股东是否有充分表达意见和诉求的机会，中小股</w:t>
      </w:r>
    </w:p>
    <w:p>
      <w:pPr>
        <w:spacing w:after="0" w:line="408" w:lineRule="auto"/>
        <w:jc w:val="both"/>
        <w:sectPr>
          <w:footerReference w:type="default" r:id="rId45"/>
          <w:pgSz w:w="11910" w:h="16840"/>
          <w:pgMar w:footer="979" w:header="877" w:top="1100" w:bottom="1160" w:left="980" w:right="980"/>
          <w:pgNumType w:start="45"/>
        </w:sectPr>
      </w:pPr>
    </w:p>
    <w:p>
      <w:pPr>
        <w:spacing w:line="240" w:lineRule="auto" w:before="8"/>
        <w:rPr>
          <w:rFonts w:ascii="宋体" w:hAnsi="宋体" w:cs="宋体" w:eastAsia="宋体" w:hint="default"/>
          <w:sz w:val="26"/>
          <w:szCs w:val="26"/>
        </w:rPr>
      </w:pPr>
    </w:p>
    <w:p>
      <w:pPr>
        <w:pStyle w:val="Heading4"/>
        <w:spacing w:line="408" w:lineRule="auto" w:before="35"/>
        <w:ind w:right="0"/>
        <w:jc w:val="left"/>
      </w:pPr>
      <w:r>
        <w:rPr>
          <w:spacing w:val="-1"/>
        </w:rPr>
        <w:t>东的合法权益是否得到充分维护等。对现金分红政策进行调整或变更的，还要详细说明调整或变更的条件</w:t>
      </w:r>
      <w:r>
        <w:rPr>
          <w:spacing w:val="-81"/>
        </w:rPr>
        <w:t> </w:t>
      </w:r>
      <w:r>
        <w:rPr>
          <w:spacing w:val="-81"/>
        </w:rPr>
      </w:r>
      <w:r>
        <w:rPr/>
        <w:t>和程序是否合规和透明等。</w:t>
      </w:r>
    </w:p>
    <w:p>
      <w:pPr>
        <w:pStyle w:val="Heading4"/>
        <w:spacing w:line="408" w:lineRule="auto" w:before="46"/>
        <w:ind w:right="151" w:firstLine="420"/>
        <w:jc w:val="both"/>
      </w:pPr>
      <w:r>
        <w:rPr>
          <w:spacing w:val="-1"/>
        </w:rPr>
        <w:t>董事会未按照利润分配政策做出利润分配预案的或者满足分红条件而不进行分红的，应当在定期报告</w:t>
      </w:r>
      <w:r>
        <w:rPr/>
        <w:t> </w:t>
      </w:r>
      <w:r>
        <w:rPr>
          <w:spacing w:val="-1"/>
        </w:rPr>
        <w:t>中披露无法确定利润分配预案的原因、未现金分红的原因、未用于现金分红的资金留存公司的用途，公司</w:t>
      </w:r>
      <w:r>
        <w:rPr>
          <w:spacing w:val="-83"/>
        </w:rPr>
        <w:t> </w:t>
      </w:r>
      <w:r>
        <w:rPr>
          <w:spacing w:val="-83"/>
        </w:rPr>
      </w:r>
      <w:r>
        <w:rPr/>
        <w:t>监事会、独立董事应当对此发表独立意见。</w:t>
      </w:r>
    </w:p>
    <w:p>
      <w:pPr>
        <w:pStyle w:val="Heading4"/>
        <w:spacing w:line="408" w:lineRule="auto" w:before="46"/>
        <w:ind w:left="573" w:right="0"/>
        <w:jc w:val="left"/>
      </w:pPr>
      <w:r>
        <w:rPr/>
        <w:t>利润分配政策的调整 </w:t>
      </w:r>
      <w:r>
        <w:rPr>
          <w:spacing w:val="-1"/>
        </w:rPr>
        <w:t>公司因外部经营环境或自身经营状况发生重大变更确需调整利润分配政策的，应在提案中详细论证和</w:t>
      </w:r>
    </w:p>
    <w:p>
      <w:pPr>
        <w:pStyle w:val="Heading4"/>
        <w:spacing w:line="408" w:lineRule="auto" w:before="46"/>
        <w:ind w:right="0"/>
        <w:jc w:val="left"/>
      </w:pPr>
      <w:r>
        <w:rPr>
          <w:spacing w:val="-1"/>
        </w:rPr>
        <w:t>说明原因，经董事会、监事会审议通过后提交股东大会以特别决议通过，独立董事应当对该议案发表独立</w:t>
      </w:r>
      <w:r>
        <w:rPr>
          <w:spacing w:val="-83"/>
        </w:rPr>
        <w:t> </w:t>
      </w:r>
      <w:r>
        <w:rPr>
          <w:spacing w:val="-83"/>
        </w:rPr>
      </w:r>
      <w:r>
        <w:rPr/>
        <w:t>意见。调整后的利润分配政策不得违反中国证监会和证券交易所的有关规定。</w:t>
      </w:r>
    </w:p>
    <w:p>
      <w:pPr>
        <w:pStyle w:val="Heading4"/>
        <w:spacing w:line="408" w:lineRule="auto" w:before="46"/>
        <w:ind w:right="150" w:firstLine="420"/>
        <w:jc w:val="both"/>
      </w:pPr>
      <w:r>
        <w:rPr>
          <w:spacing w:val="-1"/>
        </w:rPr>
        <w:t>公司股东大会对利润分配政策调整议案进行审议前，应当通过多种渠道（包括但不限于设立专门的投</w:t>
      </w:r>
      <w:r>
        <w:rPr/>
        <w:t> </w:t>
      </w:r>
      <w:r>
        <w:rPr>
          <w:spacing w:val="-1"/>
        </w:rPr>
        <w:t>资者咨询电话，在公司网站开设投资者关系专栏，定期举行与公众投资者的见面活动等）主动与股东特别</w:t>
      </w:r>
      <w:r>
        <w:rPr>
          <w:spacing w:val="-83"/>
        </w:rPr>
        <w:t> </w:t>
      </w:r>
      <w:r>
        <w:rPr>
          <w:spacing w:val="-83"/>
        </w:rPr>
      </w:r>
      <w:r>
        <w:rPr>
          <w:spacing w:val="-1"/>
        </w:rPr>
        <w:t>是中小股东进行沟通和交流，充分听取中小股东的意见和诉求，并及时答复中小股东关心的问题。公司审</w:t>
      </w:r>
      <w:r>
        <w:rPr>
          <w:spacing w:val="-82"/>
        </w:rPr>
        <w:t> </w:t>
      </w:r>
      <w:r>
        <w:rPr>
          <w:spacing w:val="-82"/>
        </w:rPr>
      </w:r>
      <w:r>
        <w:rPr>
          <w:spacing w:val="-1"/>
        </w:rPr>
        <w:t>议调整利润分配政策的股东大会应向股东提供网络形式的投票平台；公司董事会、独立董事和符合一定条</w:t>
      </w:r>
      <w:r>
        <w:rPr>
          <w:spacing w:val="-81"/>
        </w:rPr>
        <w:t> </w:t>
      </w:r>
      <w:r>
        <w:rPr>
          <w:spacing w:val="-81"/>
        </w:rPr>
      </w:r>
      <w:r>
        <w:rPr/>
        <w:t>件的股东可以向公司股东征集其在股东大会上的投票权。</w:t>
      </w:r>
    </w:p>
    <w:p>
      <w:pPr>
        <w:pStyle w:val="Heading4"/>
        <w:spacing w:line="240" w:lineRule="auto" w:before="46"/>
        <w:ind w:left="573" w:right="0"/>
        <w:jc w:val="left"/>
      </w:pPr>
      <w:r>
        <w:rPr/>
        <w:t>公司外部经营环境或者自身经营状况的重大变更是指以下情形之一：</w:t>
      </w:r>
    </w:p>
    <w:p>
      <w:pPr>
        <w:spacing w:line="240" w:lineRule="auto" w:before="10"/>
        <w:rPr>
          <w:rFonts w:ascii="宋体" w:hAnsi="宋体" w:cs="宋体" w:eastAsia="宋体" w:hint="default"/>
          <w:sz w:val="14"/>
          <w:szCs w:val="14"/>
        </w:rPr>
      </w:pPr>
    </w:p>
    <w:p>
      <w:pPr>
        <w:pStyle w:val="Heading4"/>
        <w:spacing w:line="386" w:lineRule="auto"/>
        <w:ind w:right="161" w:firstLine="420"/>
        <w:jc w:val="both"/>
      </w:pPr>
      <w:r>
        <w:rPr/>
        <w:t>（</w:t>
      </w:r>
      <w:r>
        <w:rPr>
          <w:rFonts w:ascii="Times New Roman" w:hAnsi="Times New Roman" w:cs="Times New Roman" w:eastAsia="Times New Roman" w:hint="default"/>
        </w:rPr>
        <w:t>1</w:t>
      </w:r>
      <w:r>
        <w:rPr/>
        <w:t>）宏观经济环境、国家制定的法律法规及行业政策发生重大变化，对公司生产经营造成或即将造 成重大不利影响；</w:t>
      </w:r>
    </w:p>
    <w:p>
      <w:pPr>
        <w:pStyle w:val="Heading4"/>
        <w:spacing w:line="386" w:lineRule="auto" w:before="65"/>
        <w:ind w:right="161" w:firstLine="420"/>
        <w:jc w:val="both"/>
      </w:pPr>
      <w:r>
        <w:rPr/>
        <w:t>（</w:t>
      </w:r>
      <w:r>
        <w:rPr>
          <w:rFonts w:ascii="Times New Roman" w:hAnsi="Times New Roman" w:cs="Times New Roman" w:eastAsia="Times New Roman" w:hint="default"/>
        </w:rPr>
        <w:t>2</w:t>
      </w:r>
      <w:r>
        <w:rPr/>
        <w:t>）出现地震、台风、水灾、战争等不能预见、不能避免并不能克服的不可抗力因素，对公司生产 经营造成重大不利影响；</w:t>
      </w:r>
    </w:p>
    <w:p>
      <w:pPr>
        <w:pStyle w:val="Heading4"/>
        <w:spacing w:line="240" w:lineRule="auto" w:before="65"/>
        <w:ind w:left="574" w:right="0"/>
        <w:jc w:val="left"/>
      </w:pPr>
      <w:r>
        <w:rPr/>
        <w:t>（</w:t>
      </w:r>
      <w:r>
        <w:rPr>
          <w:rFonts w:ascii="Times New Roman" w:hAnsi="Times New Roman" w:cs="Times New Roman" w:eastAsia="Times New Roman" w:hint="default"/>
        </w:rPr>
        <w:t>3</w:t>
      </w:r>
      <w:r>
        <w:rPr/>
        <w:t>）公司经营活动产生的现金流量净额连续三年均低于当年实现的可供分配利润的</w:t>
      </w:r>
      <w:r>
        <w:rPr>
          <w:rFonts w:ascii="Times New Roman" w:hAnsi="Times New Roman" w:cs="Times New Roman" w:eastAsia="Times New Roman" w:hint="default"/>
        </w:rPr>
        <w:t>15%</w:t>
      </w:r>
      <w:r>
        <w:rPr/>
        <w:t>；</w:t>
      </w:r>
    </w:p>
    <w:p>
      <w:pPr>
        <w:pStyle w:val="Heading4"/>
        <w:spacing w:line="240" w:lineRule="auto" w:before="177"/>
        <w:ind w:left="573" w:right="0"/>
        <w:jc w:val="left"/>
      </w:pPr>
      <w:r>
        <w:rPr/>
        <w:t>（</w:t>
      </w:r>
      <w:r>
        <w:rPr>
          <w:rFonts w:ascii="Times New Roman" w:hAnsi="Times New Roman" w:cs="Times New Roman" w:eastAsia="Times New Roman" w:hint="default"/>
        </w:rPr>
        <w:t>4</w:t>
      </w:r>
      <w:r>
        <w:rPr/>
        <w:t>）公司日常经营的资产负债率达</w:t>
      </w:r>
      <w:r>
        <w:rPr>
          <w:rFonts w:ascii="Times New Roman" w:hAnsi="Times New Roman" w:cs="Times New Roman" w:eastAsia="Times New Roman" w:hint="default"/>
        </w:rPr>
        <w:t>50%</w:t>
      </w:r>
      <w:r>
        <w:rPr/>
        <w:t>以上</w:t>
      </w:r>
    </w:p>
    <w:p>
      <w:pPr>
        <w:pStyle w:val="Heading4"/>
        <w:spacing w:line="240" w:lineRule="auto" w:before="177"/>
        <w:ind w:left="573" w:right="0"/>
        <w:jc w:val="left"/>
      </w:pPr>
      <w:r>
        <w:rPr/>
        <w:t>（</w:t>
      </w:r>
      <w:r>
        <w:rPr>
          <w:rFonts w:ascii="Times New Roman" w:hAnsi="Times New Roman" w:cs="Times New Roman" w:eastAsia="Times New Roman" w:hint="default"/>
        </w:rPr>
        <w:t>5</w:t>
      </w:r>
      <w:r>
        <w:rPr/>
        <w:t>）中国证监会和证券交易所规定的其他事项。</w:t>
      </w:r>
    </w:p>
    <w:p>
      <w:pPr>
        <w:spacing w:line="240" w:lineRule="auto" w:before="9"/>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59"/>
        <w:gridCol w:w="4782"/>
      </w:tblGrid>
      <w:tr>
        <w:trPr>
          <w:trHeight w:val="397"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9"/>
        <w:rPr>
          <w:rFonts w:ascii="宋体" w:hAnsi="宋体" w:cs="宋体" w:eastAsia="宋体" w:hint="default"/>
          <w:sz w:val="26"/>
          <w:szCs w:val="26"/>
        </w:rPr>
      </w:pPr>
    </w:p>
    <w:p>
      <w:pPr>
        <w:pStyle w:val="Heading4"/>
        <w:spacing w:line="240" w:lineRule="auto" w:before="35"/>
        <w:ind w:right="0"/>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7"/>
          <w:szCs w:val="17"/>
        </w:rPr>
      </w:pPr>
    </w:p>
    <w:p>
      <w:pPr>
        <w:pStyle w:val="Heading4"/>
        <w:spacing w:line="432" w:lineRule="auto"/>
        <w:ind w:right="22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公司报告期利润分配预案及资本公积金转增股本预案符合公司章程等的相关规定。 本年度利润分配及资本公积金转增股本预案</w:t>
      </w:r>
    </w:p>
    <w:tbl>
      <w:tblPr>
        <w:tblW w:w="0" w:type="auto"/>
        <w:jc w:val="left"/>
        <w:tblInd w:w="162" w:type="dxa"/>
        <w:tblLayout w:type="fixed"/>
        <w:tblCellMar>
          <w:top w:w="0" w:type="dxa"/>
          <w:left w:w="0" w:type="dxa"/>
          <w:bottom w:w="0" w:type="dxa"/>
          <w:right w:w="0" w:type="dxa"/>
        </w:tblCellMar>
        <w:tblLook w:val="01E0"/>
      </w:tblPr>
      <w:tblGrid>
        <w:gridCol w:w="3692"/>
        <w:gridCol w:w="5849"/>
      </w:tblGrid>
      <w:tr>
        <w:trPr>
          <w:trHeight w:val="403"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126,000,000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80,369,915.83</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pStyle w:val="BodyText"/>
        <w:spacing w:line="240" w:lineRule="auto" w:before="52"/>
        <w:ind w:left="181" w:right="0"/>
        <w:jc w:val="left"/>
      </w:pPr>
      <w:r>
        <w:rPr/>
        <w:t>其他</w:t>
      </w:r>
    </w:p>
    <w:p>
      <w:pPr>
        <w:spacing w:line="240" w:lineRule="auto" w:before="10"/>
        <w:rPr>
          <w:rFonts w:ascii="宋体" w:hAnsi="宋体" w:cs="宋体" w:eastAsia="宋体" w:hint="default"/>
          <w:sz w:val="7"/>
          <w:szCs w:val="7"/>
        </w:rPr>
      </w:pPr>
    </w:p>
    <w:p>
      <w:pPr>
        <w:spacing w:line="418"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0.95pt;mso-position-horizontal-relative:char;mso-position-vertical-relative:line" coordorigin="0,0" coordsize="9579,419">
            <v:group style="position:absolute;left:19;top:14;width:2;height:392" coordorigin="19,14" coordsize="2,392">
              <v:shape style="position:absolute;left:19;top:14;width:2;height:392" coordorigin="19,14" coordsize="0,392" path="m19,14l19,405e" filled="false" stroked="true" strokeweight="1.38pt" strokecolor="#d2d2d2">
                <v:path arrowok="t"/>
              </v:shape>
            </v:group>
            <v:group style="position:absolute;left:9560;top:14;width:2;height:392" coordorigin="9560,14" coordsize="2,392">
              <v:shape style="position:absolute;left:9560;top:14;width:2;height:392" coordorigin="9560,14" coordsize="0,392" path="m9560,14l9560,405e" filled="false" stroked="true" strokeweight="1.38pt" strokecolor="#d2d2d2">
                <v:path arrowok="t"/>
              </v:shape>
            </v:group>
            <v:group style="position:absolute;left:32;top:14;width:9514;height:392" coordorigin="32,14" coordsize="9514,392">
              <v:shape style="position:absolute;left:32;top:14;width:9514;height:392" coordorigin="32,14" coordsize="9514,392" path="m32,405l9546,405,9546,14,32,14,32,405xe" filled="true" fillcolor="#d2d2d2" stroked="false">
                <v:path arrowok="t"/>
                <v:fill type="solid"/>
              </v:shape>
            </v:group>
            <v:group style="position:absolute;left:5;top:8;width:9569;height:2" coordorigin="5,8" coordsize="9569,2">
              <v:shape style="position:absolute;left:5;top:8;width:9569;height:2" coordorigin="5,8" coordsize="9569,0" path="m5,8l9574,8e" filled="false" stroked="true" strokeweight=".48pt" strokecolor="#000000">
                <v:path arrowok="t"/>
              </v:shape>
            </v:group>
            <v:group style="position:absolute;left:5;top:410;width:9569;height:2" coordorigin="5,410" coordsize="9569,2">
              <v:shape style="position:absolute;left:5;top:410;width:9569;height:2" coordorigin="5,410" coordsize="9569,0" path="m5,410l9574,410e" filled="false" stroked="true" strokeweight=".48pt" strokecolor="#000000">
                <v:path arrowok="t"/>
              </v:shape>
              <v:shape style="position:absolute;left:5;top:8;width:9569;height:402" type="#_x0000_t202" filled="false" stroked="false">
                <v:textbox inset="0,0,0,0">
                  <w:txbxContent>
                    <w:p>
                      <w:pPr>
                        <w:spacing w:before="56"/>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left="435" w:right="312"/>
        <w:jc w:val="center"/>
      </w:pPr>
      <w:r>
        <w:rPr/>
        <w:t>经会计师事务所审计，母公司 </w:t>
      </w:r>
      <w:r>
        <w:rPr>
          <w:rFonts w:ascii="Times New Roman" w:hAnsi="Times New Roman" w:cs="Times New Roman" w:eastAsia="Times New Roman" w:hint="default"/>
        </w:rPr>
        <w:t>2014 </w:t>
      </w:r>
      <w:r>
        <w:rPr/>
        <w:t>年度实现净利润 </w:t>
      </w:r>
      <w:r>
        <w:rPr>
          <w:rFonts w:ascii="Times New Roman" w:hAnsi="Times New Roman" w:cs="Times New Roman" w:eastAsia="Times New Roman" w:hint="default"/>
        </w:rPr>
        <w:t>11,531,169.41 </w:t>
      </w:r>
      <w:r>
        <w:rPr/>
        <w:t>元，提取 </w:t>
      </w:r>
      <w:r>
        <w:rPr>
          <w:rFonts w:ascii="Times New Roman" w:hAnsi="Times New Roman" w:cs="Times New Roman" w:eastAsia="Times New Roman" w:hint="default"/>
        </w:rPr>
        <w:t>10</w:t>
      </w:r>
      <w:r>
        <w:rPr/>
        <w:t>％的法定盈余公积 </w:t>
      </w:r>
      <w:r>
        <w:rPr>
          <w:rFonts w:ascii="Times New Roman" w:hAnsi="Times New Roman" w:cs="Times New Roman" w:eastAsia="Times New Roman" w:hint="default"/>
        </w:rPr>
        <w:t>1,153,116.94</w:t>
      </w:r>
      <w:r>
        <w:rPr>
          <w:rFonts w:ascii="Times New Roman" w:hAnsi="Times New Roman" w:cs="Times New Roman" w:eastAsia="Times New Roman" w:hint="default"/>
          <w:spacing w:val="23"/>
        </w:rPr>
        <w:t> </w:t>
      </w:r>
      <w:r>
        <w:rPr/>
        <w:t>元，</w:t>
      </w:r>
    </w:p>
    <w:p>
      <w:pPr>
        <w:pStyle w:val="BodyText"/>
        <w:tabs>
          <w:tab w:pos="2071" w:val="left" w:leader="none"/>
        </w:tabs>
        <w:spacing w:line="240" w:lineRule="auto" w:before="61"/>
        <w:ind w:left="181" w:right="0"/>
        <w:jc w:val="left"/>
      </w:pPr>
      <w:r>
        <w:rPr/>
        <w:t>加上年初未分配利润</w:t>
        <w:tab/>
      </w:r>
      <w:r>
        <w:rPr>
          <w:rFonts w:ascii="Times New Roman" w:hAnsi="Times New Roman" w:cs="Times New Roman" w:eastAsia="Times New Roman" w:hint="default"/>
        </w:rPr>
        <w:t>71,391,863.36  </w:t>
      </w:r>
      <w:r>
        <w:rPr>
          <w:spacing w:val="-4"/>
        </w:rPr>
        <w:t>元，减去</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年上半年分配上年度现金分红  </w:t>
      </w:r>
      <w:r>
        <w:rPr>
          <w:rFonts w:ascii="Times New Roman" w:hAnsi="Times New Roman" w:cs="Times New Roman" w:eastAsia="Times New Roman" w:hint="default"/>
        </w:rPr>
        <w:t>1,400,000.00  </w:t>
      </w:r>
      <w:r>
        <w:rPr>
          <w:spacing w:val="-5"/>
        </w:rPr>
        <w:t>元，截止</w:t>
      </w:r>
      <w:r>
        <w:rPr>
          <w:spacing w:val="-46"/>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 </w:t>
      </w:r>
      <w:r>
        <w:rPr/>
        <w:t>月</w:t>
      </w:r>
    </w:p>
    <w:p>
      <w:pPr>
        <w:pStyle w:val="BodyText"/>
        <w:tabs>
          <w:tab w:pos="4861" w:val="left" w:leader="none"/>
        </w:tabs>
        <w:spacing w:line="240" w:lineRule="auto" w:before="63"/>
        <w:ind w:left="181" w:right="0"/>
        <w:jc w:val="left"/>
      </w:pPr>
      <w:r>
        <w:rPr>
          <w:rFonts w:ascii="Times New Roman" w:hAnsi="Times New Roman" w:cs="Times New Roman" w:eastAsia="Times New Roman" w:hint="default"/>
        </w:rPr>
        <w:t>31 </w:t>
      </w:r>
      <w:r>
        <w:rPr/>
        <w:t>日，可供股东分配的利润为  </w:t>
      </w:r>
      <w:r>
        <w:rPr>
          <w:rFonts w:ascii="Times New Roman" w:hAnsi="Times New Roman" w:cs="Times New Roman" w:eastAsia="Times New Roman" w:hint="default"/>
        </w:rPr>
        <w:t>80,369,915.83</w:t>
      </w:r>
      <w:r>
        <w:rPr>
          <w:rFonts w:ascii="Times New Roman" w:hAnsi="Times New Roman" w:cs="Times New Roman" w:eastAsia="Times New Roman" w:hint="default"/>
          <w:spacing w:val="41"/>
        </w:rPr>
        <w:t> </w:t>
      </w:r>
      <w:r>
        <w:rPr/>
        <w:t>元。</w:t>
        <w:tab/>
        <w:t>根据《公司章程》的相关规定，特提出本年度权益分派预案。</w:t>
      </w:r>
    </w:p>
    <w:p>
      <w:pPr>
        <w:pStyle w:val="BodyText"/>
        <w:spacing w:line="240" w:lineRule="auto" w:before="63"/>
        <w:ind w:left="181" w:right="0"/>
        <w:jc w:val="left"/>
        <w:rPr>
          <w:rFonts w:ascii="Times New Roman" w:hAnsi="Times New Roman" w:cs="Times New Roman" w:eastAsia="Times New Roman" w:hint="default"/>
        </w:rPr>
      </w:pPr>
      <w:r>
        <w:rPr/>
        <w:t>以报告期末公司总股本 </w:t>
      </w:r>
      <w:r>
        <w:rPr>
          <w:rFonts w:ascii="Times New Roman" w:hAnsi="Times New Roman" w:cs="Times New Roman" w:eastAsia="Times New Roman" w:hint="default"/>
        </w:rPr>
        <w:t>126,</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万股为基数</w:t>
      </w:r>
      <w:r>
        <w:rPr>
          <w:spacing w:val="-24"/>
        </w:rPr>
        <w:t>，</w:t>
      </w:r>
      <w:r>
        <w:rPr/>
        <w:t>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spacing w:val="-24"/>
        </w:rPr>
        <w:t>元</w:t>
      </w:r>
      <w:r>
        <w:rPr/>
        <w:t>（含税</w:t>
      </w:r>
      <w:r>
        <w:rPr>
          <w:spacing w:val="-90"/>
        </w:rPr>
        <w:t>）</w:t>
      </w:r>
      <w:r>
        <w:rPr>
          <w:spacing w:val="-24"/>
        </w:rPr>
        <w:t>，</w:t>
      </w:r>
      <w:r>
        <w:rPr/>
        <w:t>共计派发现金人民币</w:t>
      </w:r>
      <w:r>
        <w:rPr>
          <w:spacing w:val="-46"/>
        </w:rPr>
        <w:t> </w:t>
      </w:r>
      <w:r>
        <w:rPr>
          <w:rFonts w:ascii="Times New Roman" w:hAnsi="Times New Roman" w:cs="Times New Roman" w:eastAsia="Times New Roman" w:hint="default"/>
        </w:rPr>
        <w:t>126.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4"/>
        <w:ind w:left="181" w:right="0"/>
        <w:jc w:val="left"/>
      </w:pPr>
      <w:r>
        <w:rPr/>
        <w:t>万元。本年度不转增，不送红股，剩余未分配利润结转以后年度进行分配。</w:t>
      </w:r>
    </w:p>
    <w:p>
      <w:pPr>
        <w:spacing w:line="240" w:lineRule="auto" w:before="1"/>
        <w:rPr>
          <w:rFonts w:ascii="宋体" w:hAnsi="宋体" w:cs="宋体" w:eastAsia="宋体" w:hint="default"/>
          <w:sz w:val="8"/>
          <w:szCs w:val="8"/>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93"/>
        <w:ind w:left="154" w:right="0"/>
        <w:jc w:val="left"/>
      </w:pPr>
      <w:r>
        <w:rPr/>
        <w:t>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6"/>
        <w:rPr>
          <w:rFonts w:ascii="宋体" w:hAnsi="宋体" w:cs="宋体" w:eastAsia="宋体" w:hint="default"/>
          <w:sz w:val="16"/>
          <w:szCs w:val="16"/>
        </w:rPr>
      </w:pPr>
    </w:p>
    <w:p>
      <w:pPr>
        <w:pStyle w:val="Heading4"/>
        <w:spacing w:line="386" w:lineRule="auto"/>
        <w:ind w:right="0" w:firstLine="42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2012</w:t>
      </w:r>
      <w:r>
        <w:rPr>
          <w:spacing w:val="-5"/>
        </w:rPr>
        <w:t>年三季度利润分配方案：</w:t>
      </w:r>
      <w:r>
        <w:rPr>
          <w:spacing w:val="-53"/>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12</w:t>
      </w:r>
      <w:r>
        <w:rPr>
          <w:spacing w:val="-3"/>
        </w:rPr>
        <w:t>日，经公司</w:t>
      </w:r>
      <w:r>
        <w:rPr>
          <w:rFonts w:ascii="Times New Roman" w:hAnsi="Times New Roman" w:cs="Times New Roman" w:eastAsia="Times New Roman" w:hint="default"/>
          <w:spacing w:val="-3"/>
        </w:rPr>
        <w:t>2012</w:t>
      </w:r>
      <w:r>
        <w:rPr>
          <w:spacing w:val="-3"/>
        </w:rPr>
        <w:t>年第二次临时股东大会批准通过了</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年三季度利润分配方案，以总股本</w:t>
      </w:r>
      <w:r>
        <w:rPr>
          <w:rFonts w:ascii="Times New Roman" w:hAnsi="Times New Roman" w:cs="Times New Roman" w:eastAsia="Times New Roman" w:hint="default"/>
        </w:rPr>
        <w:t>3500</w:t>
      </w:r>
      <w:r>
        <w:rPr/>
        <w:t>万股为基数，向全体股东以每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w:t>
      </w:r>
      <w:r>
        <w:rPr/>
        <w:t>元现金（含税）的 股利分红。公司于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日已完成上述利润分配。</w:t>
      </w:r>
    </w:p>
    <w:p>
      <w:pPr>
        <w:pStyle w:val="Heading4"/>
        <w:spacing w:line="386" w:lineRule="auto" w:before="35"/>
        <w:ind w:right="0" w:firstLine="420"/>
        <w:jc w:val="left"/>
      </w:pPr>
      <w:r>
        <w:rPr>
          <w:rFonts w:ascii="Times New Roman" w:hAnsi="Times New Roman" w:cs="Times New Roman" w:eastAsia="Times New Roman" w:hint="default"/>
        </w:rPr>
        <w:t>2012</w:t>
      </w:r>
      <w:r>
        <w:rPr/>
        <w:t>年年度利润分配方案：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日，经公司</w:t>
      </w:r>
      <w:r>
        <w:rPr>
          <w:rFonts w:ascii="Times New Roman" w:hAnsi="Times New Roman" w:cs="Times New Roman" w:eastAsia="Times New Roman" w:hint="default"/>
        </w:rPr>
        <w:t>2012</w:t>
      </w:r>
      <w:r>
        <w:rPr/>
        <w:t>年度股东大会批准通过了</w:t>
      </w:r>
      <w:r>
        <w:rPr>
          <w:rFonts w:ascii="Times New Roman" w:hAnsi="Times New Roman" w:cs="Times New Roman" w:eastAsia="Times New Roman" w:hint="default"/>
        </w:rPr>
        <w:t>2012</w:t>
      </w:r>
      <w:r>
        <w:rPr/>
        <w:t>年利润分配方 </w:t>
      </w:r>
      <w:r>
        <w:rPr>
          <w:spacing w:val="-1"/>
        </w:rPr>
        <w:t>案，公司以</w:t>
      </w:r>
      <w:r>
        <w:rPr>
          <w:rFonts w:ascii="Times New Roman" w:hAnsi="Times New Roman" w:cs="Times New Roman" w:eastAsia="Times New Roman" w:hint="default"/>
          <w:spacing w:val="-1"/>
        </w:rPr>
        <w:t>2012</w:t>
      </w:r>
      <w:r>
        <w:rPr>
          <w:spacing w:val="-1"/>
        </w:rPr>
        <w:t>年末总股本</w:t>
      </w:r>
      <w:r>
        <w:rPr>
          <w:rFonts w:ascii="Times New Roman" w:hAnsi="Times New Roman" w:cs="Times New Roman" w:eastAsia="Times New Roman" w:hint="default"/>
          <w:spacing w:val="-1"/>
        </w:rPr>
        <w:t>3500</w:t>
      </w:r>
      <w:r>
        <w:rPr>
          <w:spacing w:val="-1"/>
        </w:rPr>
        <w:t>万股为基数，以资本公积金向全体股东每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3500</w:t>
      </w:r>
      <w:r>
        <w:rPr>
          <w:spacing w:val="-1"/>
        </w:rPr>
        <w:t>万</w:t>
      </w:r>
      <w:r>
        <w:rPr>
          <w:spacing w:val="-80"/>
        </w:rPr>
        <w:t> </w:t>
      </w:r>
      <w:r>
        <w:rPr/>
        <w:t>股。公司于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日完成上述利润分配。</w:t>
      </w:r>
    </w:p>
    <w:p>
      <w:pPr>
        <w:pStyle w:val="Heading4"/>
        <w:spacing w:line="386" w:lineRule="auto" w:before="35"/>
        <w:ind w:right="150"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2013</w:t>
      </w:r>
      <w:r>
        <w:rPr>
          <w:spacing w:val="-1"/>
        </w:rPr>
        <w:t>年年度利润分配方案：公司于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日召开</w:t>
      </w:r>
      <w:r>
        <w:rPr>
          <w:rFonts w:ascii="Times New Roman" w:hAnsi="Times New Roman" w:cs="Times New Roman" w:eastAsia="Times New Roman" w:hint="default"/>
          <w:spacing w:val="-1"/>
        </w:rPr>
        <w:t>2013</w:t>
      </w:r>
      <w:r>
        <w:rPr>
          <w:spacing w:val="-1"/>
        </w:rPr>
        <w:t>年度股东大会审议通过了</w:t>
      </w:r>
      <w:r>
        <w:rPr>
          <w:rFonts w:ascii="Times New Roman" w:hAnsi="Times New Roman" w:cs="Times New Roman" w:eastAsia="Times New Roman" w:hint="default"/>
          <w:spacing w:val="-1"/>
        </w:rPr>
        <w:t>2013</w:t>
      </w:r>
      <w:r>
        <w:rPr>
          <w:spacing w:val="-1"/>
        </w:rPr>
        <w:t>年度利润</w:t>
      </w:r>
      <w:r>
        <w:rPr/>
        <w:t> </w:t>
      </w:r>
      <w:r>
        <w:rPr>
          <w:spacing w:val="-1"/>
        </w:rPr>
        <w:t>分配预案，以届时公司总股本</w:t>
      </w:r>
      <w:r>
        <w:rPr>
          <w:rFonts w:ascii="Times New Roman" w:hAnsi="Times New Roman" w:cs="Times New Roman" w:eastAsia="Times New Roman" w:hint="default"/>
          <w:spacing w:val="-1"/>
        </w:rPr>
        <w:t>70,000,000</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0.2</w:t>
      </w:r>
      <w:r>
        <w:rPr>
          <w:spacing w:val="-1"/>
        </w:rPr>
        <w:t>元人民币现金（含税）</w:t>
      </w:r>
      <w:r>
        <w:rPr>
          <w:rFonts w:ascii="Times New Roman" w:hAnsi="Times New Roman" w:cs="Times New Roman" w:eastAsia="Times New Roman" w:hint="default"/>
          <w:spacing w:val="-1"/>
        </w:rPr>
        <w:t>,</w:t>
      </w:r>
      <w:r>
        <w:rPr>
          <w:spacing w:val="-1"/>
        </w:rPr>
        <w:t>共计派</w:t>
      </w:r>
      <w:r>
        <w:rPr>
          <w:spacing w:val="-81"/>
        </w:rPr>
        <w:t> </w:t>
      </w:r>
      <w:r>
        <w:rPr>
          <w:spacing w:val="-81"/>
        </w:rPr>
      </w:r>
      <w:r>
        <w:rPr/>
        <w:t>送现金</w:t>
      </w:r>
      <w:r>
        <w:rPr>
          <w:rFonts w:ascii="Times New Roman" w:hAnsi="Times New Roman" w:cs="Times New Roman" w:eastAsia="Times New Roman" w:hint="default"/>
        </w:rPr>
        <w:t>1,400,000</w:t>
      </w:r>
      <w:r>
        <w:rPr/>
        <w:t>元。</w:t>
      </w:r>
    </w:p>
    <w:p>
      <w:pPr>
        <w:pStyle w:val="Heading4"/>
        <w:spacing w:line="386" w:lineRule="auto" w:before="36"/>
        <w:ind w:right="234"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年半年度利润分配方案：已获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日第三次临时股东大会审议通过，公司以公司总股 本</w:t>
      </w:r>
      <w:r>
        <w:rPr>
          <w:rFonts w:ascii="Times New Roman" w:hAnsi="Times New Roman" w:cs="Times New Roman" w:eastAsia="Times New Roman" w:hint="default"/>
        </w:rPr>
        <w:t>7000</w:t>
      </w:r>
      <w:r>
        <w:rPr/>
        <w:t>万股为基数，以资本公积金转增股本，向全体股东每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5600</w:t>
      </w:r>
      <w:r>
        <w:rPr/>
        <w:t>万股，转增后公 司总股本将增加至</w:t>
      </w:r>
      <w:r>
        <w:rPr>
          <w:rFonts w:ascii="Times New Roman" w:hAnsi="Times New Roman" w:cs="Times New Roman" w:eastAsia="Times New Roman" w:hint="default"/>
        </w:rPr>
        <w:t>12600</w:t>
      </w:r>
      <w:r>
        <w:rPr/>
        <w:t>万股。公司于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日已完成上述利润分配。</w:t>
      </w:r>
    </w:p>
    <w:p>
      <w:pPr>
        <w:spacing w:after="0" w:line="386" w:lineRule="auto"/>
        <w:jc w:val="both"/>
        <w:sectPr>
          <w:pgSz w:w="11910" w:h="16840"/>
          <w:pgMar w:header="877" w:footer="979" w:top="1100" w:bottom="1160" w:left="980" w:right="980"/>
        </w:sectPr>
      </w:pPr>
    </w:p>
    <w:p>
      <w:pPr>
        <w:spacing w:line="240" w:lineRule="auto" w:before="8"/>
        <w:rPr>
          <w:rFonts w:ascii="宋体" w:hAnsi="宋体" w:cs="宋体" w:eastAsia="宋体" w:hint="default"/>
          <w:sz w:val="26"/>
          <w:szCs w:val="26"/>
        </w:rPr>
      </w:pPr>
    </w:p>
    <w:p>
      <w:pPr>
        <w:pStyle w:val="Heading4"/>
        <w:spacing w:line="386" w:lineRule="auto" w:before="35"/>
        <w:ind w:right="230" w:firstLine="42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年年度利润分配预案：以报告期末公司总股本</w:t>
      </w:r>
      <w:r>
        <w:rPr>
          <w:spacing w:val="-5"/>
        </w:rPr>
        <w:t> </w:t>
      </w:r>
      <w:r>
        <w:rPr>
          <w:rFonts w:ascii="Times New Roman" w:hAnsi="Times New Roman" w:cs="Times New Roman" w:eastAsia="Times New Roman" w:hint="default"/>
        </w:rPr>
        <w:t>12,600</w:t>
      </w:r>
      <w:r>
        <w:rPr/>
        <w:t>万股为基数，向全体股东每</w:t>
      </w:r>
      <w:r>
        <w:rPr>
          <w:rFonts w:ascii="Times New Roman" w:hAnsi="Times New Roman" w:cs="Times New Roman" w:eastAsia="Times New Roman" w:hint="default"/>
        </w:rPr>
        <w:t>10</w:t>
      </w:r>
      <w:r>
        <w:rPr/>
        <w:t>股派发现 金红利</w:t>
      </w:r>
      <w:r>
        <w:rPr>
          <w:rFonts w:ascii="Times New Roman" w:hAnsi="Times New Roman" w:cs="Times New Roman" w:eastAsia="Times New Roman" w:hint="default"/>
        </w:rPr>
        <w:t>0.1</w:t>
      </w:r>
      <w:r>
        <w:rPr/>
        <w:t>元（含税），共计派发现金人民币</w:t>
      </w:r>
      <w:r>
        <w:rPr>
          <w:rFonts w:ascii="Times New Roman" w:hAnsi="Times New Roman" w:cs="Times New Roman" w:eastAsia="Times New Roman" w:hint="default"/>
        </w:rPr>
        <w:t>126</w:t>
      </w:r>
      <w:r>
        <w:rPr/>
        <w:t>万元。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pStyle w:val="Heading4"/>
        <w:spacing w:line="240" w:lineRule="auto"/>
        <w:ind w:left="154" w:right="196"/>
        <w:jc w:val="left"/>
      </w:pPr>
      <w:r>
        <w:rPr/>
        <w:t>公司近三年现金分红情况表</w:t>
      </w:r>
    </w:p>
    <w:p>
      <w:pPr>
        <w:spacing w:line="240" w:lineRule="auto" w:before="11"/>
        <w:rPr>
          <w:rFonts w:ascii="宋体" w:hAnsi="宋体" w:cs="宋体" w:eastAsia="宋体" w:hint="default"/>
          <w:sz w:val="13"/>
          <w:szCs w:val="13"/>
        </w:rPr>
      </w:pPr>
    </w:p>
    <w:p>
      <w:pPr>
        <w:pStyle w:val="BodyText"/>
        <w:spacing w:line="240" w:lineRule="auto"/>
        <w:ind w:left="0" w:right="210"/>
        <w:jc w:val="right"/>
      </w:pPr>
      <w:r>
        <w:rPr/>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378"/>
        <w:gridCol w:w="2393"/>
        <w:gridCol w:w="2392"/>
        <w:gridCol w:w="2378"/>
      </w:tblGrid>
      <w:tr>
        <w:trPr>
          <w:trHeight w:val="317" w:hRule="exact"/>
        </w:trPr>
        <w:tc>
          <w:tcPr>
            <w:tcW w:w="2378" w:type="dxa"/>
            <w:tcBorders>
              <w:top w:val="single" w:sz="4" w:space="0" w:color="000000"/>
              <w:left w:val="nil" w:sz="6" w:space="0" w:color="auto"/>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51"/>
              <w:ind w:left="110" w:right="100"/>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7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78" w:type="dxa"/>
            <w:vMerge/>
            <w:tcBorders>
              <w:left w:val="single" w:sz="4" w:space="0" w:color="000000"/>
              <w:right w:val="nil" w:sz="6" w:space="0" w:color="auto"/>
            </w:tcBorders>
            <w:shd w:val="clear" w:color="auto" w:fill="D2D2D2"/>
          </w:tcPr>
          <w:p>
            <w:pPr/>
          </w:p>
        </w:tc>
      </w:tr>
      <w:tr>
        <w:trPr>
          <w:trHeight w:val="317" w:hRule="exact"/>
        </w:trPr>
        <w:tc>
          <w:tcPr>
            <w:tcW w:w="2378" w:type="dxa"/>
            <w:tcBorders>
              <w:top w:val="nil" w:sz="6" w:space="0" w:color="auto"/>
              <w:left w:val="nil" w:sz="6" w:space="0" w:color="auto"/>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18.56%</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7,092,467.87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19.74%</w:t>
            </w:r>
          </w:p>
        </w:tc>
      </w:tr>
      <w:tr>
        <w:trPr>
          <w:trHeight w:val="402" w:hRule="exact"/>
        </w:trPr>
        <w:tc>
          <w:tcPr>
            <w:tcW w:w="23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12,771,984.94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27.40%</w:t>
            </w:r>
          </w:p>
        </w:tc>
      </w:tr>
    </w:tbl>
    <w:p>
      <w:pPr>
        <w:spacing w:line="240" w:lineRule="auto" w:before="3"/>
        <w:rPr>
          <w:rFonts w:ascii="宋体" w:hAnsi="宋体" w:cs="宋体" w:eastAsia="宋体" w:hint="default"/>
          <w:sz w:val="5"/>
          <w:szCs w:val="5"/>
        </w:rPr>
      </w:pPr>
    </w:p>
    <w:p>
      <w:pPr>
        <w:pStyle w:val="Heading4"/>
        <w:spacing w:line="240" w:lineRule="auto" w:before="35"/>
        <w:ind w:left="154" w:right="196"/>
        <w:jc w:val="left"/>
      </w:pPr>
      <w:r>
        <w:rPr/>
        <w:t>公司报告期内盈利且母公司未分配利润为正但未提出现金红利分配预案</w:t>
      </w:r>
    </w:p>
    <w:p>
      <w:pPr>
        <w:spacing w:line="240" w:lineRule="auto" w:before="12"/>
        <w:rPr>
          <w:rFonts w:ascii="宋体" w:hAnsi="宋体" w:cs="宋体" w:eastAsia="宋体" w:hint="default"/>
          <w:sz w:val="17"/>
          <w:szCs w:val="17"/>
        </w:rPr>
      </w:pPr>
    </w:p>
    <w:p>
      <w:pPr>
        <w:pStyle w:val="Heading4"/>
        <w:spacing w:line="240" w:lineRule="auto"/>
        <w:ind w:right="1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196"/>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Heading4"/>
        <w:spacing w:line="408" w:lineRule="auto"/>
        <w:ind w:left="574" w:right="196"/>
        <w:jc w:val="left"/>
      </w:pPr>
      <w:r>
        <w:rPr/>
        <w:t>（一）内幕信息知情人管理制度的制定 </w:t>
      </w:r>
      <w:r>
        <w:rPr>
          <w:spacing w:val="-1"/>
        </w:rPr>
        <w:t>为了规范公司的内幕信息管理，加强内幕信息保密工作，维护信息披露公开、公平原则，根据《公司</w:t>
      </w:r>
    </w:p>
    <w:p>
      <w:pPr>
        <w:pStyle w:val="Heading4"/>
        <w:spacing w:line="400" w:lineRule="auto" w:before="46"/>
        <w:ind w:right="213"/>
        <w:jc w:val="both"/>
      </w:pPr>
      <w:r>
        <w:rPr>
          <w:spacing w:val="-1"/>
        </w:rPr>
        <w:t>法》、《证券法》、《上市公司信息披露管理办法》、《深圳证券交易所创业板股票上市规则》等有关法</w:t>
      </w:r>
      <w:r>
        <w:rPr>
          <w:spacing w:val="-85"/>
        </w:rPr>
        <w:t> </w:t>
      </w:r>
      <w:r>
        <w:rPr>
          <w:spacing w:val="-85"/>
        </w:rPr>
      </w:r>
      <w:r>
        <w:rPr/>
        <w:t>律、法规、规范性文件及《公司章程》的有关规定，公司于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日第一届董事会第十二次会议审</w:t>
      </w:r>
      <w:r>
        <w:rPr>
          <w:spacing w:val="-30"/>
        </w:rPr>
        <w:t> </w:t>
      </w:r>
      <w:r>
        <w:rPr>
          <w:spacing w:val="-30"/>
        </w:rPr>
      </w:r>
      <w:r>
        <w:rPr>
          <w:spacing w:val="-1"/>
        </w:rPr>
        <w:t>议通过了《内幕信息知情人登记制度》，明确界定内幕信息和内幕信息知情人的范围，完善了内幕信息事</w:t>
      </w:r>
      <w:r>
        <w:rPr>
          <w:spacing w:val="-86"/>
        </w:rPr>
        <w:t> </w:t>
      </w:r>
      <w:r>
        <w:rPr>
          <w:spacing w:val="-86"/>
        </w:rPr>
      </w:r>
      <w:r>
        <w:rPr/>
        <w:t>项的研究、决策和审批程序，健全了内幕信息的保密措施等。</w:t>
      </w:r>
    </w:p>
    <w:p>
      <w:pPr>
        <w:pStyle w:val="Heading4"/>
        <w:spacing w:line="240" w:lineRule="auto" w:before="52"/>
        <w:ind w:left="573" w:right="196"/>
        <w:jc w:val="left"/>
      </w:pPr>
      <w:r>
        <w:rPr/>
        <w:t>（二）内幕信息知情人管理制度的执行情况</w:t>
      </w:r>
    </w:p>
    <w:p>
      <w:pPr>
        <w:spacing w:line="240" w:lineRule="auto" w:before="10"/>
        <w:rPr>
          <w:rFonts w:ascii="宋体" w:hAnsi="宋体" w:cs="宋体" w:eastAsia="宋体" w:hint="default"/>
          <w:sz w:val="14"/>
          <w:szCs w:val="14"/>
        </w:rPr>
      </w:pPr>
    </w:p>
    <w:p>
      <w:pPr>
        <w:pStyle w:val="Heading4"/>
        <w:spacing w:line="386" w:lineRule="auto"/>
        <w:ind w:left="574" w:right="196"/>
        <w:jc w:val="left"/>
      </w:pPr>
      <w:r>
        <w:rPr>
          <w:rFonts w:ascii="Times New Roman" w:hAnsi="Times New Roman" w:cs="Times New Roman" w:eastAsia="Times New Roman" w:hint="default"/>
        </w:rPr>
        <w:t>1</w:t>
      </w:r>
      <w:r>
        <w:rPr/>
        <w:t>、定期报告披露期间的信息保密工作 </w:t>
      </w:r>
      <w:r>
        <w:rPr>
          <w:spacing w:val="-1"/>
        </w:rPr>
        <w:t>报告期内，公司严格执行内幕信息保密制度，严格规范信息传递流程，在定期报告披露期间，对于未</w:t>
      </w:r>
    </w:p>
    <w:p>
      <w:pPr>
        <w:pStyle w:val="Heading4"/>
        <w:spacing w:line="408" w:lineRule="auto" w:before="65"/>
        <w:ind w:left="154" w:right="103"/>
        <w:jc w:val="left"/>
      </w:pPr>
      <w:r>
        <w:rPr>
          <w:spacing w:val="-3"/>
        </w:rPr>
        <w:t>公开信息，公司董秘办会严格控制知情人范围并组织相关内幕信息知情人填写《内幕信息知情人登记表》，</w:t>
      </w:r>
      <w:r>
        <w:rPr>
          <w:spacing w:val="-90"/>
        </w:rPr>
        <w:t> </w:t>
      </w:r>
      <w:r>
        <w:rPr>
          <w:spacing w:val="-90"/>
        </w:rPr>
      </w:r>
      <w:r>
        <w:rPr/>
        <w:t>真实、完整记录上述信息在公开前的内幕信息知情人名单、知悉内幕信息的时间。经公司董秘办核实无误</w:t>
      </w:r>
      <w:r>
        <w:rPr/>
        <w:t> 后，按照相关法律法规的规定在向深交所和证监局报送定期报告相关资料的同时报备内幕信息知情人登记 情况。</w:t>
      </w:r>
    </w:p>
    <w:p>
      <w:pPr>
        <w:pStyle w:val="Heading4"/>
        <w:spacing w:line="386" w:lineRule="auto" w:before="46"/>
        <w:ind w:left="574" w:right="196" w:firstLine="106"/>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在定期报告及重大事项披露期间，公司尽量避免接待投资者的调研，努力做好定期报告及重大事项披</w:t>
      </w:r>
    </w:p>
    <w:p>
      <w:pPr>
        <w:pStyle w:val="Heading4"/>
        <w:spacing w:line="240" w:lineRule="auto" w:before="65"/>
        <w:ind w:left="154" w:right="104"/>
        <w:jc w:val="left"/>
      </w:pPr>
      <w:r>
        <w:rPr/>
        <w:t>露期间的信息保密工作。在日常接待投资者调研时，公司董秘办负责履行相关的信息保密工作程序。在进</w:t>
      </w:r>
    </w:p>
    <w:p>
      <w:pPr>
        <w:spacing w:after="0" w:line="240" w:lineRule="auto"/>
        <w:jc w:val="left"/>
        <w:sectPr>
          <w:pgSz w:w="11910" w:h="16840"/>
          <w:pgMar w:header="877" w:footer="979" w:top="1100" w:bottom="1160" w:left="980" w:right="920"/>
        </w:sectPr>
      </w:pPr>
    </w:p>
    <w:p>
      <w:pPr>
        <w:spacing w:line="240" w:lineRule="auto" w:before="8"/>
        <w:rPr>
          <w:rFonts w:ascii="宋体" w:hAnsi="宋体" w:cs="宋体" w:eastAsia="宋体" w:hint="default"/>
          <w:sz w:val="26"/>
          <w:szCs w:val="26"/>
        </w:rPr>
      </w:pPr>
      <w:r>
        <w:rPr/>
        <w:pict>
          <v:shape style="position:absolute;margin-left:411.694pt;margin-top:523.179993pt;width:123.55pt;height:39pt;mso-position-horizontal-relative:page;mso-position-vertical-relative:page;z-index:-924136" type="#_x0000_t202" filled="false" stroked="false">
            <v:textbox inset="0,0,0,0">
              <w:txbxContent>
                <w:p>
                  <w:pPr>
                    <w:pStyle w:val="BodyText"/>
                    <w:spacing w:line="240" w:lineRule="auto" w:before="127"/>
                    <w:ind w:left="0" w:right="0"/>
                    <w:jc w:val="left"/>
                  </w:pPr>
                  <w:r>
                    <w:rPr/>
                    <w:t>诺安基金、</w:t>
                  </w:r>
                </w:p>
              </w:txbxContent>
            </v:textbox>
            <w10:wrap type="none"/>
          </v:shape>
        </w:pict>
      </w:r>
      <w:r>
        <w:rPr/>
        <w:pict>
          <v:group style="position:absolute;margin-left:453.899994pt;margin-top:523.179993pt;width:81.3pt;height:39pt;mso-position-horizontal-relative:page;mso-position-vertical-relative:page;z-index:-924088" coordorigin="9078,10464" coordsize="1626,780">
            <v:shape style="position:absolute;left:9078;top:10464;width:1626;height:780" coordorigin="9078,10464" coordsize="1626,780" path="m9078,11244l10704,11244,10704,10464,9078,10464,9078,11244xe" filled="true" fillcolor="#ffffff" stroked="false">
              <v:path arrowok="t"/>
              <v:fill type="solid"/>
            </v:shape>
            <w10:wrap type="none"/>
          </v:group>
        </w:pict>
      </w:r>
    </w:p>
    <w:p>
      <w:pPr>
        <w:pStyle w:val="Heading4"/>
        <w:spacing w:line="408" w:lineRule="auto" w:before="35"/>
        <w:ind w:right="153"/>
        <w:jc w:val="both"/>
      </w:pPr>
      <w:r>
        <w:rPr>
          <w:spacing w:val="-1"/>
        </w:rPr>
        <w:t>行调研前，先对调研人员的个人信息进行备案，同时要求签署投资者（机构）调研登记表，并承诺在对外</w:t>
      </w:r>
      <w:r>
        <w:rPr>
          <w:spacing w:val="-83"/>
        </w:rPr>
        <w:t> </w:t>
      </w:r>
      <w:r>
        <w:rPr>
          <w:spacing w:val="-83"/>
        </w:rPr>
      </w:r>
      <w:r>
        <w:rPr/>
        <w:t>出具报告前需经上市公司董秘办认可。</w:t>
      </w:r>
      <w:r>
        <w:rPr>
          <w:spacing w:val="68"/>
        </w:rPr>
        <w:t> </w:t>
      </w:r>
      <w:r>
        <w:rPr/>
        <w:t>在调研过程中，董秘办认真做好相关会议记录，并按照相关法律</w:t>
      </w:r>
      <w:r>
        <w:rPr>
          <w:spacing w:val="-98"/>
        </w:rPr>
        <w:t> </w:t>
      </w:r>
      <w:r>
        <w:rPr>
          <w:spacing w:val="-98"/>
        </w:rPr>
      </w:r>
      <w:r>
        <w:rPr/>
        <w:t>法规的规定向深交所报备。</w:t>
      </w:r>
    </w:p>
    <w:p>
      <w:pPr>
        <w:pStyle w:val="Heading4"/>
        <w:spacing w:line="386" w:lineRule="auto" w:before="46"/>
        <w:ind w:left="573" w:right="0"/>
        <w:jc w:val="left"/>
      </w:pPr>
      <w:r>
        <w:rPr>
          <w:rFonts w:ascii="Times New Roman" w:hAnsi="Times New Roman" w:cs="Times New Roman" w:eastAsia="Times New Roman" w:hint="default"/>
        </w:rPr>
        <w:t>3</w:t>
      </w:r>
      <w:r>
        <w:rPr/>
        <w:t>、其他重大事件的信息保密工作 </w:t>
      </w:r>
      <w:r>
        <w:rPr>
          <w:spacing w:val="-1"/>
        </w:rPr>
        <w:t>在其他重大事项（如对外投资等）未披露前，公司及相关信息披露义务人采取保密措施，签订相关保</w:t>
      </w:r>
    </w:p>
    <w:p>
      <w:pPr>
        <w:pStyle w:val="Heading4"/>
        <w:spacing w:line="240" w:lineRule="auto" w:before="65"/>
        <w:ind w:right="0"/>
        <w:jc w:val="both"/>
      </w:pPr>
      <w:r>
        <w:rPr/>
        <w:t>密协议，以保证信息处于可控范围。</w:t>
      </w:r>
    </w:p>
    <w:p>
      <w:pPr>
        <w:spacing w:line="240" w:lineRule="auto" w:before="10"/>
        <w:rPr>
          <w:rFonts w:ascii="宋体" w:hAnsi="宋体" w:cs="宋体" w:eastAsia="宋体" w:hint="default"/>
          <w:sz w:val="14"/>
          <w:szCs w:val="14"/>
        </w:rPr>
      </w:pPr>
    </w:p>
    <w:p>
      <w:pPr>
        <w:pStyle w:val="Heading4"/>
        <w:spacing w:line="408" w:lineRule="auto"/>
        <w:ind w:left="573" w:right="113"/>
        <w:jc w:val="left"/>
      </w:pPr>
      <w:r>
        <w:rPr/>
        <w:t>（三）报告期内自查内幕信息知情人涉嫌内幕交易以及监管部门的查处和整改情况 报告期内，公司董事、监事及高级管理人员和其他相关知情人严格遵守了内幕信息知情人登记制度，</w:t>
      </w:r>
    </w:p>
    <w:p>
      <w:pPr>
        <w:pStyle w:val="Heading4"/>
        <w:spacing w:line="408" w:lineRule="auto" w:before="46"/>
        <w:ind w:left="573" w:right="4103" w:hanging="420"/>
        <w:jc w:val="left"/>
      </w:pPr>
      <w:r>
        <w:rPr/>
        <w:t>未发现有内幕信息知情人利用内幕信息买卖公司股份的情况。 报告期内，公司未发生受到监管部门查处和整改的情形。</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both"/>
      </w:pPr>
      <w:r>
        <w:rPr/>
        <w:pict>
          <v:shape style="position:absolute;margin-left:447.763pt;margin-top:78.523682pt;width:87.45pt;height:39pt;mso-position-horizontal-relative:page;mso-position-vertical-relative:paragraph;z-index:-9241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w:t>
                  </w:r>
                </w:p>
              </w:txbxContent>
            </v:textbox>
            <w10:wrap type="none"/>
          </v:shape>
        </w:pict>
      </w:r>
      <w:r>
        <w:rPr/>
        <w:pict>
          <v:group style="position:absolute;margin-left:453.899994pt;margin-top:78.523682pt;width:81.3pt;height:56.6pt;mso-position-horizontal-relative:page;mso-position-vertical-relative:paragraph;z-index:-924112" coordorigin="9078,1570" coordsize="1626,1132">
            <v:group style="position:absolute;left:9078;top:1570;width:1626;height:780" coordorigin="9078,1570" coordsize="1626,780">
              <v:shape style="position:absolute;left:9078;top:1570;width:1626;height:780" coordorigin="9078,1570" coordsize="1626,780" path="m9078,2350l10704,2350,10704,1570,9078,1570,9078,2350xe" filled="true" fillcolor="#ffffff" stroked="false">
                <v:path arrowok="t"/>
                <v:fill type="solid"/>
              </v:shape>
            </v:group>
            <v:group style="position:absolute;left:9101;top:2350;width:1576;height:352" coordorigin="9101,2350" coordsize="1576,352">
              <v:shape style="position:absolute;left:9101;top:2350;width:1576;height:352" coordorigin="9101,2350" coordsize="1576,352" path="m9101,2702l10676,2702,10676,2350,9101,2350,9101,2702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494"/>
        <w:gridCol w:w="1200"/>
        <w:gridCol w:w="1134"/>
        <w:gridCol w:w="992"/>
        <w:gridCol w:w="3118"/>
        <w:gridCol w:w="1631"/>
      </w:tblGrid>
      <w:tr>
        <w:trPr>
          <w:trHeight w:val="713" w:hRule="exact"/>
        </w:trPr>
        <w:tc>
          <w:tcPr>
            <w:tcW w:w="14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接待对象类 型</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3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359" w:right="95" w:hanging="270"/>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402"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打印的发展</w:t>
            </w:r>
          </w:p>
        </w:tc>
      </w:tr>
      <w:tr>
        <w:trPr>
          <w:trHeight w:val="2586"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其他、机构</w:t>
            </w:r>
          </w:p>
        </w:tc>
        <w:tc>
          <w:tcPr>
            <w:tcW w:w="311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世纪经济报道</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79"/>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179"/>
                <w:sz w:val="18"/>
                <w:szCs w:val="18"/>
              </w:rPr>
              <w:t>、</w:t>
            </w:r>
            <w:r>
              <w:rPr>
                <w:rFonts w:ascii="宋体" w:hAnsi="宋体" w:cs="宋体" w:eastAsia="宋体" w:hint="default"/>
                <w:sz w:val="18"/>
                <w:szCs w:val="18"/>
              </w:rPr>
              <w:t>《京华时报》</w:t>
            </w:r>
          </w:p>
          <w:p>
            <w:pPr>
              <w:pStyle w:val="TableParagraph"/>
              <w:spacing w:line="319" w:lineRule="auto" w:before="76"/>
              <w:ind w:left="22" w:right="18"/>
              <w:jc w:val="left"/>
              <w:rPr>
                <w:rFonts w:ascii="宋体" w:hAnsi="宋体" w:cs="宋体" w:eastAsia="宋体" w:hint="default"/>
                <w:sz w:val="18"/>
                <w:szCs w:val="18"/>
              </w:rPr>
            </w:pPr>
            <w:r>
              <w:rPr>
                <w:rFonts w:ascii="宋体" w:hAnsi="宋体" w:cs="宋体" w:eastAsia="宋体" w:hint="default"/>
                <w:spacing w:val="-15"/>
                <w:sz w:val="18"/>
                <w:szCs w:val="18"/>
              </w:rPr>
              <w:t>《湖北电视台》、《湖北卫视》国金证券</w:t>
            </w:r>
            <w:r>
              <w:rPr>
                <w:rFonts w:ascii="宋体" w:hAnsi="宋体" w:cs="宋体" w:eastAsia="宋体" w:hint="default"/>
                <w:sz w:val="18"/>
                <w:szCs w:val="18"/>
              </w:rPr>
              <w:t> 中投资管、南方基金、景林资产、浙商 证券、华元恒道、国金研究所、平安证 券、广发资产、国信证券、国金资管、 </w:t>
            </w:r>
            <w:r>
              <w:rPr>
                <w:rFonts w:ascii="宋体" w:hAnsi="宋体" w:cs="宋体" w:eastAsia="宋体" w:hint="default"/>
                <w:spacing w:val="-4"/>
                <w:sz w:val="18"/>
                <w:szCs w:val="18"/>
              </w:rPr>
              <w:t>沃珑港投资、民生加银基金、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新华基金、海通证券</w:t>
            </w:r>
          </w:p>
        </w:tc>
        <w:tc>
          <w:tcPr>
            <w:tcW w:w="1631"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sz w:val="18"/>
                <w:szCs w:val="18"/>
              </w:rPr>
              <w:t>金运</w:t>
            </w:r>
            <w:r>
              <w:rPr>
                <w:rFonts w:ascii="Times New Roman" w:hAnsi="Times New Roman" w:cs="Times New Roman" w:eastAsia="Times New Roman" w:hint="default"/>
                <w:sz w:val="18"/>
                <w:szCs w:val="18"/>
              </w:rPr>
              <w:t>+ 3D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数字技术</w:t>
            </w:r>
          </w:p>
          <w:p>
            <w:pPr>
              <w:pStyle w:val="TableParagraph"/>
              <w:spacing w:line="319" w:lineRule="auto" w:before="61"/>
              <w:ind w:left="16" w:right="161"/>
              <w:jc w:val="left"/>
              <w:rPr>
                <w:rFonts w:ascii="宋体" w:hAnsi="宋体" w:cs="宋体" w:eastAsia="宋体" w:hint="default"/>
                <w:sz w:val="18"/>
                <w:szCs w:val="18"/>
              </w:rPr>
            </w:pPr>
            <w:r>
              <w:rPr>
                <w:rFonts w:ascii="宋体" w:hAnsi="宋体" w:cs="宋体" w:eastAsia="宋体" w:hint="default"/>
                <w:sz w:val="18"/>
                <w:szCs w:val="18"/>
              </w:rPr>
              <w:t>应用创新平台说明 会</w:t>
            </w:r>
          </w:p>
        </w:tc>
      </w:tr>
      <w:tr>
        <w:trPr>
          <w:trHeight w:val="714"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中投证券、招商证券、  上海证券报、</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公司的基本情况和 发展方向和模式</w:t>
            </w:r>
          </w:p>
        </w:tc>
      </w:tr>
      <w:tr>
        <w:trPr>
          <w:trHeight w:val="715"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本公司会议室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工银瑞信基金、光大证券、光大金控、 华夏基金</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公司的基本情况和 发展方向和模式</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12"/>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right="6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本年度公司无重大诉讼、仲裁事项。</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9"/>
          <w:szCs w:val="9"/>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992"/>
        <w:gridCol w:w="844"/>
        <w:gridCol w:w="959"/>
        <w:gridCol w:w="958"/>
        <w:gridCol w:w="958"/>
        <w:gridCol w:w="959"/>
        <w:gridCol w:w="958"/>
        <w:gridCol w:w="959"/>
      </w:tblGrid>
      <w:tr>
        <w:trPr>
          <w:trHeight w:val="713" w:hRule="exact"/>
        </w:trPr>
        <w:tc>
          <w:tcPr>
            <w:tcW w:w="113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96" w:right="111"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发生原因</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4"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4" w:right="23"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026"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201"/>
              <w:jc w:val="both"/>
              <w:rPr>
                <w:rFonts w:ascii="宋体" w:hAnsi="宋体" w:cs="宋体" w:eastAsia="宋体" w:hint="default"/>
                <w:sz w:val="18"/>
                <w:szCs w:val="18"/>
              </w:rPr>
            </w:pPr>
            <w:r>
              <w:rPr>
                <w:rFonts w:ascii="宋体" w:hAnsi="宋体" w:cs="宋体" w:eastAsia="宋体" w:hint="default"/>
                <w:sz w:val="18"/>
                <w:szCs w:val="18"/>
              </w:rPr>
              <w:t>武汉唯拓光 纤激光工程 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
              <w:jc w:val="center"/>
              <w:rPr>
                <w:rFonts w:ascii="宋体" w:hAnsi="宋体" w:cs="宋体" w:eastAsia="宋体" w:hint="default"/>
                <w:sz w:val="18"/>
                <w:szCs w:val="18"/>
              </w:rPr>
            </w:pPr>
            <w:r>
              <w:rPr>
                <w:rFonts w:ascii="宋体" w:hAnsi="宋体" w:cs="宋体" w:eastAsia="宋体" w:hint="default"/>
                <w:sz w:val="18"/>
                <w:szCs w:val="18"/>
              </w:rPr>
              <w:t>资金往来款</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723.85</w:t>
            </w: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2"/>
              <w:ind w:left="27" w:right="201"/>
              <w:jc w:val="both"/>
              <w:rPr>
                <w:rFonts w:ascii="宋体" w:hAnsi="宋体" w:cs="宋体" w:eastAsia="宋体" w:hint="default"/>
                <w:sz w:val="18"/>
                <w:szCs w:val="18"/>
              </w:rPr>
            </w:pPr>
            <w:r>
              <w:rPr>
                <w:rFonts w:ascii="宋体" w:hAnsi="宋体" w:cs="宋体" w:eastAsia="宋体" w:hint="default"/>
                <w:sz w:val="18"/>
                <w:szCs w:val="18"/>
              </w:rPr>
              <w:t>武汉斯利沃 激光器技术 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
              <w:jc w:val="center"/>
              <w:rPr>
                <w:rFonts w:ascii="宋体" w:hAnsi="宋体" w:cs="宋体" w:eastAsia="宋体" w:hint="default"/>
                <w:sz w:val="18"/>
                <w:szCs w:val="18"/>
              </w:rPr>
            </w:pPr>
            <w:r>
              <w:rPr>
                <w:rFonts w:ascii="宋体" w:hAnsi="宋体" w:cs="宋体" w:eastAsia="宋体" w:hint="default"/>
                <w:sz w:val="18"/>
                <w:szCs w:val="18"/>
              </w:rPr>
              <w:t>代付水电费</w:t>
            </w:r>
          </w:p>
        </w:tc>
        <w:tc>
          <w:tcPr>
            <w:tcW w:w="844"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201"/>
              <w:jc w:val="both"/>
              <w:rPr>
                <w:rFonts w:ascii="宋体" w:hAnsi="宋体" w:cs="宋体" w:eastAsia="宋体" w:hint="default"/>
                <w:sz w:val="18"/>
                <w:szCs w:val="18"/>
              </w:rPr>
            </w:pPr>
            <w:r>
              <w:rPr>
                <w:rFonts w:ascii="宋体" w:hAnsi="宋体" w:cs="宋体" w:eastAsia="宋体" w:hint="default"/>
                <w:sz w:val="18"/>
                <w:szCs w:val="18"/>
              </w:rPr>
              <w:t>辽宁金之运 激光工程技 术有限公司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5"/>
              <w:jc w:val="center"/>
              <w:rPr>
                <w:rFonts w:ascii="宋体" w:hAnsi="宋体" w:cs="宋体" w:eastAsia="宋体" w:hint="default"/>
                <w:sz w:val="18"/>
                <w:szCs w:val="18"/>
              </w:rPr>
            </w:pPr>
            <w:r>
              <w:rPr>
                <w:rFonts w:ascii="宋体" w:hAnsi="宋体" w:cs="宋体" w:eastAsia="宋体" w:hint="default"/>
                <w:sz w:val="18"/>
                <w:szCs w:val="18"/>
              </w:rPr>
              <w:t>资金往来款</w:t>
            </w:r>
          </w:p>
        </w:tc>
        <w:tc>
          <w:tcPr>
            <w:tcW w:w="844"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78" w:type="dxa"/>
            <w:gridSpan w:val="3"/>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740.05</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78" w:type="dxa"/>
            <w:gridSpan w:val="3"/>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期末合计值占期末净资产的比例</w:t>
            </w:r>
          </w:p>
        </w:tc>
        <w:tc>
          <w:tcPr>
            <w:tcW w:w="6594" w:type="dxa"/>
            <w:gridSpan w:val="7"/>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2.52%</w:t>
            </w:r>
          </w:p>
        </w:tc>
      </w:tr>
      <w:tr>
        <w:trPr>
          <w:trHeight w:val="4419" w:hRule="exact"/>
        </w:trPr>
        <w:tc>
          <w:tcPr>
            <w:tcW w:w="2978" w:type="dxa"/>
            <w:gridSpan w:val="3"/>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7" w:right="63"/>
              <w:jc w:val="both"/>
              <w:rPr>
                <w:rFonts w:ascii="宋体" w:hAnsi="宋体" w:cs="宋体" w:eastAsia="宋体" w:hint="default"/>
                <w:sz w:val="18"/>
                <w:szCs w:val="18"/>
              </w:rPr>
            </w:pPr>
            <w:r>
              <w:rPr>
                <w:rFonts w:ascii="宋体" w:hAnsi="宋体" w:cs="宋体" w:eastAsia="宋体" w:hint="default"/>
                <w:sz w:val="18"/>
                <w:szCs w:val="18"/>
              </w:rPr>
              <w:t>当期新增大股东及其附属企业非经营 性资金占用情况的原因、责任人追究 及董事会拟定采取措施的情况说明</w:t>
            </w:r>
          </w:p>
        </w:tc>
        <w:tc>
          <w:tcPr>
            <w:tcW w:w="6594" w:type="dxa"/>
            <w:gridSpan w:val="7"/>
            <w:tcBorders>
              <w:top w:val="single" w:sz="4" w:space="0" w:color="000000"/>
              <w:left w:val="single" w:sz="4" w:space="0" w:color="000000"/>
              <w:bottom w:val="single" w:sz="4" w:space="0" w:color="000000"/>
              <w:right w:val="nil" w:sz="6" w:space="0" w:color="auto"/>
            </w:tcBorders>
          </w:tcPr>
          <w:p>
            <w:pPr>
              <w:pStyle w:val="TableParagraph"/>
              <w:spacing w:line="304"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、根据中国证监会公告</w:t>
            </w:r>
            <w:r>
              <w:rPr>
                <w:rFonts w:ascii="Times New Roman" w:hAnsi="Times New Roman" w:cs="Times New Roman" w:eastAsia="Times New Roman" w:hint="default"/>
                <w:sz w:val="18"/>
                <w:szCs w:val="18"/>
              </w:rPr>
              <w:t>[2009]34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号《关于做好上市公司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年年度报告及相关工 </w:t>
            </w:r>
            <w:r>
              <w:rPr>
                <w:rFonts w:ascii="宋体" w:hAnsi="宋体" w:cs="宋体" w:eastAsia="宋体" w:hint="default"/>
                <w:spacing w:val="-1"/>
                <w:sz w:val="18"/>
                <w:szCs w:val="18"/>
              </w:rPr>
              <w:t>作的公告》第六条规定：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明确经营性资金往来的结算期限，禁止以经营性资金占用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掩盖非经营性资金占用的行为。</w:t>
            </w:r>
            <w:r>
              <w:rPr>
                <w:rFonts w:ascii="Times New Roman" w:hAnsi="Times New Roman" w:cs="Times New Roman" w:eastAsia="Times New Roman" w:hint="default"/>
                <w:sz w:val="18"/>
                <w:szCs w:val="18"/>
              </w:rPr>
              <w:t>”</w:t>
            </w:r>
            <w:r>
              <w:rPr>
                <w:rFonts w:ascii="宋体" w:hAnsi="宋体" w:cs="宋体" w:eastAsia="宋体" w:hint="default"/>
                <w:sz w:val="18"/>
                <w:szCs w:val="18"/>
              </w:rPr>
              <w:t>因此，</w:t>
            </w:r>
            <w:r>
              <w:rPr>
                <w:rFonts w:ascii="Times New Roman" w:hAnsi="Times New Roman" w:cs="Times New Roman" w:eastAsia="Times New Roman" w:hint="default"/>
                <w:sz w:val="18"/>
                <w:szCs w:val="18"/>
              </w:rPr>
              <w:t>“</w:t>
            </w:r>
            <w:r>
              <w:rPr>
                <w:rFonts w:ascii="宋体" w:hAnsi="宋体" w:cs="宋体" w:eastAsia="宋体" w:hint="default"/>
                <w:sz w:val="18"/>
                <w:szCs w:val="18"/>
              </w:rPr>
              <w:t>资金占用情况表</w:t>
            </w:r>
            <w:r>
              <w:rPr>
                <w:rFonts w:ascii="Times New Roman" w:hAnsi="Times New Roman" w:cs="Times New Roman" w:eastAsia="Times New Roman" w:hint="default"/>
                <w:sz w:val="18"/>
                <w:szCs w:val="18"/>
              </w:rPr>
              <w:t>”</w:t>
            </w:r>
            <w:r>
              <w:rPr>
                <w:rFonts w:ascii="宋体" w:hAnsi="宋体" w:cs="宋体" w:eastAsia="宋体" w:hint="default"/>
                <w:sz w:val="18"/>
                <w:szCs w:val="18"/>
              </w:rPr>
              <w:t>对非经营性资金占用和经 </w:t>
            </w:r>
            <w:r>
              <w:rPr>
                <w:rFonts w:ascii="宋体" w:hAnsi="宋体" w:cs="宋体" w:eastAsia="宋体" w:hint="default"/>
                <w:spacing w:val="-1"/>
                <w:sz w:val="18"/>
                <w:szCs w:val="18"/>
              </w:rPr>
              <w:t>营性资金占用均应列示，即应对全部资金占用进行列示并说明。</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、若经营性资金占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用显示不正常，如数额过大，占用时间过长或到期不还等，有可能改变了占用的性 </w:t>
            </w:r>
            <w:r>
              <w:rPr>
                <w:rFonts w:ascii="宋体" w:hAnsi="宋体" w:cs="宋体" w:eastAsia="宋体" w:hint="default"/>
                <w:spacing w:val="-1"/>
                <w:sz w:val="18"/>
                <w:szCs w:val="18"/>
              </w:rPr>
              <w:t>质或影响专项说明的意见类型。</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、根据规定：公司在报告期内发生或在报告期末存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在大股东及其附属企业非经营性占用资金情形的，应在年报全文</w:t>
            </w:r>
            <w:r>
              <w:rPr>
                <w:rFonts w:ascii="Times New Roman" w:hAnsi="Times New Roman" w:cs="Times New Roman" w:eastAsia="Times New Roman" w:hint="default"/>
                <w:sz w:val="18"/>
                <w:szCs w:val="18"/>
              </w:rPr>
              <w:t>“</w:t>
            </w:r>
            <w:r>
              <w:rPr>
                <w:rFonts w:ascii="宋体" w:hAnsi="宋体" w:cs="宋体" w:eastAsia="宋体" w:hint="default"/>
                <w:sz w:val="18"/>
                <w:szCs w:val="18"/>
              </w:rPr>
              <w:t>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中披露 非经营性资金占用的发生时间、占用金额、发生原因、清欠进展、责任人和董事会 </w:t>
            </w:r>
            <w:r>
              <w:rPr>
                <w:rFonts w:ascii="宋体" w:hAnsi="宋体" w:cs="宋体" w:eastAsia="宋体" w:hint="default"/>
                <w:spacing w:val="-4"/>
                <w:sz w:val="18"/>
                <w:szCs w:val="18"/>
              </w:rPr>
              <w:t>拟定的解决措施，并按附件五的格式在年报摘要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7.4.3“</w:t>
            </w:r>
            <w:r>
              <w:rPr>
                <w:rFonts w:ascii="宋体" w:hAnsi="宋体" w:cs="宋体" w:eastAsia="宋体" w:hint="default"/>
                <w:sz w:val="18"/>
                <w:szCs w:val="18"/>
              </w:rPr>
              <w:t>非经营性资金占用及清欠进展</w:t>
            </w:r>
            <w:r>
              <w:rPr>
                <w:rFonts w:ascii="宋体" w:hAnsi="宋体" w:cs="宋体" w:eastAsia="宋体" w:hint="default"/>
                <w:spacing w:val="-87"/>
                <w:sz w:val="18"/>
                <w:szCs w:val="18"/>
              </w:rPr>
              <w:t> </w:t>
            </w:r>
            <w:r>
              <w:rPr>
                <w:rFonts w:ascii="宋体" w:hAnsi="宋体" w:cs="宋体" w:eastAsia="宋体" w:hint="default"/>
                <w:sz w:val="18"/>
                <w:szCs w:val="18"/>
              </w:rPr>
              <w:t>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一节进行披露。而不要求注册会计师在本专项说明中说明。</w:t>
            </w:r>
            <w:r>
              <w:rPr>
                <w:rFonts w:ascii="Times New Roman" w:hAnsi="Times New Roman" w:cs="Times New Roman" w:eastAsia="Times New Roman" w:hint="default"/>
                <w:sz w:val="18"/>
                <w:szCs w:val="18"/>
              </w:rPr>
              <w:t>4</w:t>
            </w:r>
            <w:r>
              <w:rPr>
                <w:rFonts w:ascii="宋体" w:hAnsi="宋体" w:cs="宋体" w:eastAsia="宋体" w:hint="default"/>
                <w:sz w:val="18"/>
                <w:szCs w:val="18"/>
              </w:rPr>
              <w:t>、审计中针对预 计偿还方式，金额及时间，应注意获取相关的清偿计划、欠款单位对此的承诺等书 </w:t>
            </w:r>
            <w:r>
              <w:rPr>
                <w:rFonts w:ascii="宋体" w:hAnsi="宋体" w:cs="宋体" w:eastAsia="宋体" w:hint="default"/>
                <w:spacing w:val="-3"/>
                <w:sz w:val="18"/>
                <w:szCs w:val="18"/>
              </w:rPr>
              <w:t>面资料。</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按照证监会相关的补充规定，上市公司与属于上市公司合并报表范围内的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子公司之间的经营性资金往来，由于合并报表已对应抵销，不需在汇总表中反映； 对于上市公司与不列入合并报表的子公司之间的资金往来应在汇总表中反映。</w:t>
            </w:r>
            <w:r>
              <w:rPr>
                <w:rFonts w:ascii="Times New Roman" w:hAnsi="Times New Roman" w:cs="Times New Roman" w:eastAsia="Times New Roman" w:hint="default"/>
                <w:sz w:val="18"/>
                <w:szCs w:val="18"/>
              </w:rPr>
              <w:t>6.“</w:t>
            </w:r>
            <w:r>
              <w:rPr>
                <w:rFonts w:ascii="宋体" w:hAnsi="宋体" w:cs="宋体" w:eastAsia="宋体" w:hint="default"/>
                <w:sz w:val="18"/>
                <w:szCs w:val="18"/>
              </w:rPr>
              <w:t>上</w:t>
            </w:r>
          </w:p>
        </w:tc>
      </w:tr>
    </w:tbl>
    <w:p>
      <w:pPr>
        <w:spacing w:after="0" w:line="304"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58"/>
        <w:jc w:val="right"/>
      </w:pPr>
      <w:r>
        <w:rPr/>
        <w:pict>
          <v:shape style="position:absolute;margin-left:56.459999pt;margin-top:-32.208267pt;width:479.3pt;height:168.0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6594"/>
                  </w:tblGrid>
                  <w:tr>
                    <w:trPr>
                      <w:trHeight w:val="1923" w:hRule="exact"/>
                    </w:trPr>
                    <w:tc>
                      <w:tcPr>
                        <w:tcW w:w="2978" w:type="dxa"/>
                        <w:tcBorders>
                          <w:top w:val="single" w:sz="4" w:space="0" w:color="000000"/>
                          <w:left w:val="nil" w:sz="6" w:space="0" w:color="auto"/>
                          <w:bottom w:val="single" w:sz="4" w:space="0" w:color="000000"/>
                          <w:right w:val="single" w:sz="4" w:space="0" w:color="000000"/>
                        </w:tcBorders>
                        <w:shd w:val="clear" w:color="auto" w:fill="D2D2D2"/>
                      </w:tcPr>
                      <w:p>
                        <w:pPr/>
                      </w:p>
                    </w:tc>
                    <w:tc>
                      <w:tcPr>
                        <w:tcW w:w="6594"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市公司的子公司及其附属企业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占用上市公司资金情况，仅需要填列</w:t>
                        </w:r>
                        <w:r>
                          <w:rPr>
                            <w:rFonts w:ascii="Times New Roman" w:hAnsi="Times New Roman" w:cs="Times New Roman" w:eastAsia="Times New Roman" w:hint="default"/>
                            <w:sz w:val="18"/>
                            <w:szCs w:val="18"/>
                          </w:rPr>
                          <w:t>“</w:t>
                        </w:r>
                        <w:r>
                          <w:rPr>
                            <w:rFonts w:ascii="宋体" w:hAnsi="宋体" w:cs="宋体" w:eastAsia="宋体" w:hint="default"/>
                            <w:sz w:val="18"/>
                            <w:szCs w:val="18"/>
                          </w:rPr>
                          <w:t>非经营性占用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的情况。中小企业板信息披露业务备忘录第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上市公司的子公司及其附属 企业非经营性占用上市公司资金，通常属于母子公司间的资金往来或财务资助行为 与控股股东、实际控制人及其附属企业等关联方违规非经营性占用上市公司资金可 能存在本质差别，请在出具专项说明时予以关注。</w:t>
                        </w:r>
                        <w:r>
                          <w:rPr>
                            <w:rFonts w:ascii="Times New Roman" w:hAnsi="Times New Roman" w:cs="Times New Roman" w:eastAsia="Times New Roman" w:hint="default"/>
                            <w:sz w:val="18"/>
                            <w:szCs w:val="18"/>
                          </w:rPr>
                          <w:t>”7.</w:t>
                        </w:r>
                        <w:r>
                          <w:rPr>
                            <w:rFonts w:ascii="宋体" w:hAnsi="宋体" w:cs="宋体" w:eastAsia="宋体" w:hint="default"/>
                            <w:sz w:val="18"/>
                            <w:szCs w:val="18"/>
                          </w:rPr>
                          <w:t>资金占用性质只有两类，且经 营性占用和非经营性占用，不能有</w:t>
                        </w:r>
                        <w:r>
                          <w:rPr>
                            <w:rFonts w:ascii="Times New Roman" w:hAnsi="Times New Roman" w:cs="Times New Roman" w:eastAsia="Times New Roman" w:hint="default"/>
                            <w:sz w:val="18"/>
                            <w:szCs w:val="18"/>
                          </w:rPr>
                          <w:t>“</w:t>
                        </w:r>
                        <w:r>
                          <w:rPr>
                            <w:rFonts w:ascii="宋体" w:hAnsi="宋体" w:cs="宋体" w:eastAsia="宋体" w:hint="default"/>
                            <w:sz w:val="18"/>
                            <w:szCs w:val="18"/>
                          </w:rPr>
                          <w:t>其他占用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2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63"/>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 见的披露日期</w:t>
                        </w:r>
                      </w:p>
                    </w:tc>
                    <w:tc>
                      <w:tcPr>
                        <w:tcW w:w="6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63"/>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 见的披露索引</w:t>
                        </w:r>
                      </w:p>
                    </w:tc>
                    <w:tc>
                      <w:tcPr>
                        <w:tcW w:w="6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大华特字</w:t>
                        </w:r>
                        <w:r>
                          <w:rPr>
                            <w:rFonts w:ascii="Times New Roman" w:hAnsi="Times New Roman" w:cs="Times New Roman" w:eastAsia="Times New Roman" w:hint="default"/>
                            <w:sz w:val="18"/>
                            <w:szCs w:val="18"/>
                          </w:rPr>
                          <w:t>[2015] 002873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before="26"/>
        <w:ind w:left="154"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right="62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0" w:right="3099"/>
        <w:jc w:val="right"/>
      </w:pPr>
      <w:r>
        <w:rPr/>
        <w:pict>
          <v:shape style="position:absolute;margin-left:55.080002pt;margin-top:-55.508289pt;width:485.5pt;height:243.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1"/>
                    <w:gridCol w:w="628"/>
                    <w:gridCol w:w="540"/>
                    <w:gridCol w:w="871"/>
                    <w:gridCol w:w="2925"/>
                    <w:gridCol w:w="1112"/>
                    <w:gridCol w:w="74"/>
                    <w:gridCol w:w="1002"/>
                    <w:gridCol w:w="360"/>
                    <w:gridCol w:w="768"/>
                    <w:gridCol w:w="535"/>
                    <w:gridCol w:w="298"/>
                  </w:tblGrid>
                  <w:tr>
                    <w:trPr>
                      <w:trHeight w:val="2274" w:hRule="exact"/>
                    </w:trPr>
                    <w:tc>
                      <w:tcPr>
                        <w:tcW w:w="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0" w:right="105"/>
                          <w:jc w:val="both"/>
                          <w:rPr>
                            <w:rFonts w:ascii="宋体" w:hAnsi="宋体" w:cs="宋体" w:eastAsia="宋体" w:hint="default"/>
                            <w:sz w:val="18"/>
                            <w:szCs w:val="18"/>
                          </w:rPr>
                        </w:pPr>
                        <w:r>
                          <w:rPr>
                            <w:rFonts w:ascii="宋体" w:hAnsi="宋体" w:cs="宋体" w:eastAsia="宋体" w:hint="default"/>
                            <w:sz w:val="18"/>
                            <w:szCs w:val="18"/>
                          </w:rPr>
                          <w:t>交易 对方 或最 终控 制方</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8" w:right="37"/>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4" w:right="84"/>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84" w:right="84"/>
                          <w:jc w:val="left"/>
                          <w:rPr>
                            <w:rFonts w:ascii="宋体" w:hAnsi="宋体" w:cs="宋体" w:eastAsia="宋体" w:hint="default"/>
                            <w:sz w:val="18"/>
                            <w:szCs w:val="18"/>
                          </w:rPr>
                        </w:pPr>
                        <w:r>
                          <w:rPr>
                            <w:rFonts w:ascii="宋体" w:hAnsi="宋体" w:cs="宋体" w:eastAsia="宋体" w:hint="default"/>
                            <w:sz w:val="18"/>
                            <w:szCs w:val="18"/>
                          </w:rPr>
                          <w:t>（万 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对公司经营的影响（注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01" w:firstLine="78"/>
                          <w:jc w:val="left"/>
                          <w:rPr>
                            <w:rFonts w:ascii="Times New Roman" w:hAnsi="Times New Roman" w:cs="Times New Roman" w:eastAsia="Times New Roman" w:hint="default"/>
                            <w:sz w:val="18"/>
                            <w:szCs w:val="18"/>
                          </w:rPr>
                        </w:pPr>
                        <w:r>
                          <w:rPr>
                            <w:rFonts w:ascii="宋体" w:hAnsi="宋体" w:cs="宋体" w:eastAsia="宋体" w:hint="default"/>
                            <w:sz w:val="18"/>
                            <w:szCs w:val="18"/>
                          </w:rPr>
                          <w:t>对公司损益 </w:t>
                        </w:r>
                        <w:r>
                          <w:rPr>
                            <w:rFonts w:ascii="宋体" w:hAnsi="宋体" w:cs="宋体" w:eastAsia="宋体" w:hint="default"/>
                            <w:spacing w:val="-14"/>
                            <w:sz w:val="18"/>
                            <w:szCs w:val="18"/>
                          </w:rPr>
                          <w:t>的影响（注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74" w:type="dxa"/>
                        <w:tcBorders>
                          <w:top w:val="single" w:sz="4" w:space="0" w:color="000000"/>
                          <w:left w:val="single" w:sz="4" w:space="0" w:color="000000"/>
                          <w:bottom w:val="single" w:sz="4" w:space="0" w:color="000000"/>
                          <w:right w:val="nil" w:sz="6" w:space="0" w:color="auto"/>
                        </w:tcBorders>
                        <w:shd w:val="clear" w:color="auto" w:fill="D2D2D2"/>
                      </w:tcPr>
                      <w:p>
                        <w:pPr/>
                      </w:p>
                    </w:tc>
                    <w:tc>
                      <w:tcPr>
                        <w:tcW w:w="10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 w:right="82"/>
                          <w:jc w:val="center"/>
                          <w:rPr>
                            <w:rFonts w:ascii="宋体" w:hAnsi="宋体" w:cs="宋体" w:eastAsia="宋体" w:hint="default"/>
                            <w:sz w:val="18"/>
                            <w:szCs w:val="18"/>
                          </w:rPr>
                        </w:pPr>
                        <w:r>
                          <w:rPr>
                            <w:rFonts w:ascii="宋体" w:hAnsi="宋体" w:cs="宋体" w:eastAsia="宋体" w:hint="default"/>
                            <w:sz w:val="18"/>
                            <w:szCs w:val="18"/>
                          </w:rPr>
                          <w:t>该资产为上 市公司贡献 的净利润占 净利润总额 的比率</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3"/>
                            <w:sz w:val="18"/>
                            <w:szCs w:val="18"/>
                          </w:rPr>
                          <w:t>系（适用</w:t>
                        </w:r>
                        <w:r>
                          <w:rPr>
                            <w:rFonts w:ascii="宋体" w:hAnsi="宋体" w:cs="宋体" w:eastAsia="宋体" w:hint="default"/>
                            <w:sz w:val="18"/>
                            <w:szCs w:val="18"/>
                          </w:rPr>
                          <w:t> 关联交 易情形</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1" w:right="83"/>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40" w:lineRule="auto" w:before="19"/>
                          <w:ind w:left="81" w:right="0"/>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9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3" w:right="56"/>
                          <w:jc w:val="both"/>
                          <w:rPr>
                            <w:rFonts w:ascii="宋体" w:hAnsi="宋体" w:cs="宋体" w:eastAsia="宋体" w:hint="default"/>
                            <w:sz w:val="18"/>
                            <w:szCs w:val="18"/>
                          </w:rPr>
                        </w:pPr>
                        <w:r>
                          <w:rPr>
                            <w:rFonts w:ascii="宋体" w:hAnsi="宋体" w:cs="宋体" w:eastAsia="宋体" w:hint="default"/>
                            <w:sz w:val="18"/>
                            <w:szCs w:val="18"/>
                          </w:rPr>
                          <w:t>披 露 索 引</w:t>
                        </w:r>
                      </w:p>
                    </w:tc>
                  </w:tr>
                  <w:tr>
                    <w:trPr>
                      <w:trHeight w:val="2586" w:hRule="exact"/>
                    </w:trPr>
                    <w:tc>
                      <w:tcPr>
                        <w:tcW w:w="5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 w:right="6"/>
                          <w:jc w:val="left"/>
                          <w:rPr>
                            <w:rFonts w:ascii="宋体" w:hAnsi="宋体" w:cs="宋体" w:eastAsia="宋体" w:hint="default"/>
                            <w:sz w:val="18"/>
                            <w:szCs w:val="18"/>
                          </w:rPr>
                        </w:pPr>
                        <w:r>
                          <w:rPr>
                            <w:rFonts w:ascii="宋体" w:hAnsi="宋体" w:cs="宋体" w:eastAsia="宋体" w:hint="default"/>
                            <w:sz w:val="18"/>
                            <w:szCs w:val="18"/>
                          </w:rPr>
                          <w:t>杨博 </w:t>
                        </w:r>
                        <w:r>
                          <w:rPr>
                            <w:rFonts w:ascii="宋体" w:hAnsi="宋体" w:cs="宋体" w:eastAsia="宋体" w:hint="default"/>
                            <w:spacing w:val="-5"/>
                            <w:sz w:val="18"/>
                            <w:szCs w:val="18"/>
                          </w:rPr>
                          <w:t>智、王</w:t>
                        </w:r>
                        <w:r>
                          <w:rPr>
                            <w:rFonts w:ascii="宋体" w:hAnsi="宋体" w:cs="宋体" w:eastAsia="宋体" w:hint="default"/>
                            <w:sz w:val="18"/>
                            <w:szCs w:val="18"/>
                          </w:rPr>
                          <w:t> 志强、 杨林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53"/>
                          <w:jc w:val="left"/>
                          <w:rPr>
                            <w:rFonts w:ascii="宋体" w:hAnsi="宋体" w:cs="宋体" w:eastAsia="宋体" w:hint="default"/>
                            <w:sz w:val="18"/>
                            <w:szCs w:val="18"/>
                          </w:rPr>
                        </w:pPr>
                        <w:r>
                          <w:rPr>
                            <w:rFonts w:ascii="宋体" w:hAnsi="宋体" w:cs="宋体" w:eastAsia="宋体" w:hint="default"/>
                            <w:sz w:val="18"/>
                            <w:szCs w:val="18"/>
                          </w:rPr>
                          <w:t>武汉落 地创意 文化传 播有限 公司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权</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600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截至到报 告期末在 </w:t>
                        </w:r>
                        <w:r>
                          <w:rPr>
                            <w:rFonts w:ascii="宋体" w:hAnsi="宋体" w:cs="宋体" w:eastAsia="宋体" w:hint="default"/>
                            <w:spacing w:val="-18"/>
                            <w:sz w:val="18"/>
                            <w:szCs w:val="18"/>
                          </w:rPr>
                          <w:t>过户中，截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至到披露 日已全部 过户。</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公司将对落地创意增资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万元，增</w:t>
                        </w:r>
                        <w:r>
                          <w:rPr>
                            <w:rFonts w:ascii="宋体" w:hAnsi="宋体" w:cs="宋体" w:eastAsia="宋体" w:hint="default"/>
                            <w:sz w:val="18"/>
                            <w:szCs w:val="18"/>
                          </w:rPr>
                          <w:t> 资完成后持股</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。落地创意将成为</w:t>
                        </w:r>
                        <w:r>
                          <w:rPr>
                            <w:rFonts w:ascii="宋体" w:hAnsi="宋体" w:cs="宋体" w:eastAsia="宋体" w:hint="default"/>
                            <w:sz w:val="18"/>
                            <w:szCs w:val="18"/>
                          </w:rPr>
                          <w:t> 公司实施激光数字化技术应用创新 服务平台的重要载体，对公司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 </w:t>
                        </w:r>
                        <w:r>
                          <w:rPr>
                            <w:rFonts w:ascii="宋体" w:hAnsi="宋体" w:cs="宋体" w:eastAsia="宋体" w:hint="default"/>
                            <w:spacing w:val="-1"/>
                            <w:sz w:val="18"/>
                            <w:szCs w:val="18"/>
                          </w:rPr>
                          <w:t>印板块的业务作出重要的贡献。落地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创意是对公司现有业务的有益延伸 </w:t>
                        </w:r>
                        <w:r>
                          <w:rPr>
                            <w:rFonts w:ascii="宋体" w:hAnsi="宋体" w:cs="宋体" w:eastAsia="宋体" w:hint="default"/>
                            <w:spacing w:val="-1"/>
                            <w:sz w:val="18"/>
                            <w:szCs w:val="18"/>
                          </w:rPr>
                          <w:t>和补充，其团队的加入将有力地加强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公司团队力量。</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2"/>
                          <w:jc w:val="both"/>
                          <w:rPr>
                            <w:rFonts w:ascii="Times New Roman" w:hAnsi="Times New Roman" w:cs="Times New Roman" w:eastAsia="Times New Roman" w:hint="default"/>
                            <w:sz w:val="18"/>
                            <w:szCs w:val="18"/>
                          </w:rPr>
                        </w:pPr>
                        <w:r>
                          <w:rPr>
                            <w:rFonts w:ascii="宋体" w:hAnsi="宋体" w:cs="宋体" w:eastAsia="宋体" w:hint="default"/>
                            <w:sz w:val="18"/>
                            <w:szCs w:val="18"/>
                          </w:rPr>
                          <w:t>自购买日起 至报告期末 为上市公司 贡献的净利 润为</w:t>
                        </w:r>
                        <w:r>
                          <w:rPr>
                            <w:rFonts w:ascii="Times New Roman" w:hAnsi="Times New Roman" w:cs="Times New Roman" w:eastAsia="Times New Roman" w:hint="default"/>
                            <w:sz w:val="18"/>
                            <w:szCs w:val="18"/>
                          </w:rPr>
                          <w:t>-292.94</w:t>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10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-43.14%</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left="154" w:right="0"/>
        <w:jc w:val="left"/>
      </w:pPr>
      <w:r>
        <w:rPr/>
        <w:t>收购资产情况说明</w:t>
      </w:r>
    </w:p>
    <w:p>
      <w:pPr>
        <w:spacing w:line="240" w:lineRule="auto" w:before="11"/>
        <w:rPr>
          <w:rFonts w:ascii="宋体" w:hAnsi="宋体" w:cs="宋体" w:eastAsia="宋体" w:hint="default"/>
          <w:sz w:val="17"/>
          <w:szCs w:val="17"/>
        </w:rPr>
      </w:pPr>
    </w:p>
    <w:p>
      <w:pPr>
        <w:pStyle w:val="Heading4"/>
        <w:spacing w:line="386" w:lineRule="auto"/>
        <w:ind w:right="149" w:firstLine="48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日，本公司与杨博智、杨林、王志强签订《股权转让与增资协议书》</w:t>
      </w:r>
      <w:r>
        <w:rPr>
          <w:rFonts w:ascii="Times New Roman" w:hAnsi="Times New Roman" w:cs="Times New Roman" w:eastAsia="Times New Roman" w:hint="default"/>
          <w:spacing w:val="-1"/>
        </w:rPr>
        <w:t>,</w:t>
      </w:r>
      <w:r>
        <w:rPr>
          <w:spacing w:val="-1"/>
        </w:rPr>
        <w:t>其中：本公司</w:t>
      </w:r>
      <w:r>
        <w:rPr/>
        <w:t> </w:t>
      </w:r>
      <w:r>
        <w:rPr>
          <w:spacing w:val="-2"/>
        </w:rPr>
        <w:t>以货币</w:t>
      </w:r>
      <w:r>
        <w:rPr>
          <w:rFonts w:ascii="Times New Roman" w:hAnsi="Times New Roman" w:cs="Times New Roman" w:eastAsia="Times New Roman" w:hint="default"/>
          <w:spacing w:val="-2"/>
        </w:rPr>
        <w:t>900</w:t>
      </w:r>
      <w:r>
        <w:rPr>
          <w:spacing w:val="-2"/>
        </w:rPr>
        <w:t>万元增资武汉落地，取得武汉落地</w:t>
      </w:r>
      <w:r>
        <w:rPr>
          <w:rFonts w:ascii="Times New Roman" w:hAnsi="Times New Roman" w:cs="Times New Roman" w:eastAsia="Times New Roman" w:hint="default"/>
          <w:spacing w:val="-2"/>
        </w:rPr>
        <w:t>40%</w:t>
      </w:r>
      <w:r>
        <w:rPr>
          <w:spacing w:val="-2"/>
        </w:rPr>
        <w:t>的股权，并于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日支付了出资款；增资后，本</w:t>
      </w:r>
    </w:p>
    <w:p>
      <w:pPr>
        <w:spacing w:after="0" w:line="386" w:lineRule="auto"/>
        <w:jc w:val="left"/>
        <w:sectPr>
          <w:pgSz w:w="11910" w:h="16840"/>
          <w:pgMar w:header="877" w:footer="979" w:top="1100" w:bottom="1160" w:left="980" w:right="980"/>
        </w:sectPr>
      </w:pPr>
    </w:p>
    <w:p>
      <w:pPr>
        <w:spacing w:line="240" w:lineRule="auto" w:before="8"/>
        <w:rPr>
          <w:rFonts w:ascii="宋体" w:hAnsi="宋体" w:cs="宋体" w:eastAsia="宋体" w:hint="default"/>
          <w:sz w:val="26"/>
          <w:szCs w:val="26"/>
        </w:rPr>
      </w:pPr>
    </w:p>
    <w:p>
      <w:pPr>
        <w:pStyle w:val="Heading4"/>
        <w:spacing w:line="386" w:lineRule="auto" w:before="35"/>
        <w:ind w:left="633" w:right="94" w:hanging="480"/>
        <w:jc w:val="left"/>
      </w:pPr>
      <w:r>
        <w:rPr/>
        <w:t>公司持股</w:t>
      </w:r>
      <w:r>
        <w:rPr>
          <w:rFonts w:ascii="Times New Roman" w:hAnsi="Times New Roman" w:cs="Times New Roman" w:eastAsia="Times New Roman" w:hint="default"/>
        </w:rPr>
        <w:t>40%</w:t>
      </w:r>
      <w:r>
        <w:rPr/>
        <w:t>，杨博智、杨林、王志强三人持股</w:t>
      </w:r>
      <w:r>
        <w:rPr>
          <w:rFonts w:ascii="Times New Roman" w:hAnsi="Times New Roman" w:cs="Times New Roman" w:eastAsia="Times New Roman" w:hint="default"/>
        </w:rPr>
        <w:t>60%</w:t>
      </w:r>
      <w:r>
        <w:rPr/>
        <w:t>。 </w:t>
      </w:r>
      <w:r>
        <w:rPr>
          <w:spacing w:val="-3"/>
        </w:rPr>
        <w:t>同时根据协议，本公司以货币</w:t>
      </w:r>
      <w:r>
        <w:rPr>
          <w:rFonts w:ascii="Times New Roman" w:hAnsi="Times New Roman" w:cs="Times New Roman" w:eastAsia="Times New Roman" w:hint="default"/>
          <w:spacing w:val="-3"/>
        </w:rPr>
        <w:t>600</w:t>
      </w:r>
      <w:r>
        <w:rPr>
          <w:spacing w:val="-3"/>
        </w:rPr>
        <w:t>万元受让杨博智、杨林、王志强三人持有的武汉落地</w:t>
      </w:r>
      <w:r>
        <w:rPr>
          <w:rFonts w:ascii="Times New Roman" w:hAnsi="Times New Roman" w:cs="Times New Roman" w:eastAsia="Times New Roman" w:hint="default"/>
          <w:spacing w:val="-3"/>
        </w:rPr>
        <w:t>1/3</w:t>
      </w:r>
      <w:r>
        <w:rPr>
          <w:spacing w:val="-3"/>
        </w:rPr>
        <w:t>的股权（即：</w:t>
      </w:r>
    </w:p>
    <w:p>
      <w:pPr>
        <w:pStyle w:val="Heading4"/>
        <w:spacing w:line="386" w:lineRule="auto" w:before="35"/>
        <w:ind w:right="210"/>
        <w:jc w:val="both"/>
      </w:pPr>
      <w:r>
        <w:rPr>
          <w:spacing w:val="-1"/>
        </w:rPr>
        <w:t>杨博智、杨林、王志强三人持股</w:t>
      </w:r>
      <w:r>
        <w:rPr>
          <w:rFonts w:ascii="Times New Roman" w:hAnsi="Times New Roman" w:cs="Times New Roman" w:eastAsia="Times New Roman" w:hint="default"/>
          <w:spacing w:val="-1"/>
        </w:rPr>
        <w:t>60%</w:t>
      </w:r>
      <w:r>
        <w:rPr>
          <w:spacing w:val="-1"/>
        </w:rPr>
        <w:t>的</w:t>
      </w:r>
      <w:r>
        <w:rPr>
          <w:rFonts w:ascii="Times New Roman" w:hAnsi="Times New Roman" w:cs="Times New Roman" w:eastAsia="Times New Roman" w:hint="default"/>
          <w:spacing w:val="-1"/>
        </w:rPr>
        <w:t>1/3</w:t>
      </w:r>
      <w:r>
        <w:rPr>
          <w:spacing w:val="-1"/>
        </w:rPr>
        <w:t>，为武汉落地</w:t>
      </w:r>
      <w:r>
        <w:rPr>
          <w:rFonts w:ascii="Times New Roman" w:hAnsi="Times New Roman" w:cs="Times New Roman" w:eastAsia="Times New Roman" w:hint="default"/>
          <w:spacing w:val="-1"/>
        </w:rPr>
        <w:t>20%</w:t>
      </w:r>
      <w:r>
        <w:rPr>
          <w:spacing w:val="-1"/>
        </w:rPr>
        <w:t>的股权）。协议约定：本公司首期支付该三人</w:t>
      </w:r>
      <w:r>
        <w:rPr>
          <w:spacing w:val="-75"/>
        </w:rPr>
        <w:t> </w:t>
      </w:r>
      <w:r>
        <w:rPr>
          <w:spacing w:val="-75"/>
        </w:rPr>
      </w:r>
      <w:r>
        <w:rPr>
          <w:rFonts w:ascii="Times New Roman" w:hAnsi="Times New Roman" w:cs="Times New Roman" w:eastAsia="Times New Roman" w:hint="default"/>
          <w:spacing w:val="-1"/>
        </w:rPr>
        <w:t>400</w:t>
      </w:r>
      <w:r>
        <w:rPr>
          <w:spacing w:val="-1"/>
        </w:rPr>
        <w:t>万元，剩余</w:t>
      </w:r>
      <w:r>
        <w:rPr>
          <w:rFonts w:ascii="Times New Roman" w:hAnsi="Times New Roman" w:cs="Times New Roman" w:eastAsia="Times New Roman" w:hint="default"/>
          <w:spacing w:val="-1"/>
        </w:rPr>
        <w:t>200</w:t>
      </w:r>
      <w:r>
        <w:rPr>
          <w:spacing w:val="-1"/>
        </w:rPr>
        <w:t>万元于本协议签订并生效后的第二年的会计年度完成后的</w:t>
      </w:r>
      <w:r>
        <w:rPr>
          <w:rFonts w:ascii="Times New Roman" w:hAnsi="Times New Roman" w:cs="Times New Roman" w:eastAsia="Times New Roman" w:hint="default"/>
          <w:spacing w:val="-1"/>
        </w:rPr>
        <w:t>60</w:t>
      </w:r>
      <w:r>
        <w:rPr>
          <w:spacing w:val="-1"/>
        </w:rPr>
        <w:t>日内，根据本协议约定的武</w:t>
      </w:r>
      <w:r>
        <w:rPr>
          <w:spacing w:val="-82"/>
        </w:rPr>
        <w:t> </w:t>
      </w:r>
      <w:r>
        <w:rPr>
          <w:spacing w:val="-82"/>
        </w:rPr>
      </w:r>
      <w:r>
        <w:rPr/>
        <w:t>汉落地的业绩完成情况，按照确定的结算金额支付给杨博智、杨林、王志强三人。</w:t>
      </w:r>
    </w:p>
    <w:p>
      <w:pPr>
        <w:pStyle w:val="Heading4"/>
        <w:spacing w:line="240" w:lineRule="auto" w:before="65"/>
        <w:ind w:left="633" w:right="196"/>
        <w:jc w:val="left"/>
      </w:pPr>
      <w:r>
        <w:rPr/>
        <w:t>增资与受让股权后，本公司合计持有武汉落地</w:t>
      </w:r>
      <w:r>
        <w:rPr>
          <w:rFonts w:ascii="Times New Roman" w:hAnsi="Times New Roman" w:cs="Times New Roman" w:eastAsia="Times New Roman" w:hint="default"/>
        </w:rPr>
        <w:t>60%</w:t>
      </w:r>
      <w:r>
        <w:rPr/>
        <w:t>的股权。</w:t>
      </w:r>
    </w:p>
    <w:p>
      <w:pPr>
        <w:pStyle w:val="Heading4"/>
        <w:spacing w:line="240" w:lineRule="auto" w:before="177"/>
        <w:ind w:left="633" w:right="19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日，武汉落地完成工商变更手续，将其纳入合并范围。</w:t>
      </w:r>
    </w:p>
    <w:p>
      <w:pPr>
        <w:spacing w:line="240" w:lineRule="auto" w:before="8"/>
        <w:rPr>
          <w:rFonts w:ascii="宋体" w:hAnsi="宋体" w:cs="宋体" w:eastAsia="宋体" w:hint="default"/>
          <w:sz w:val="30"/>
          <w:szCs w:val="30"/>
        </w:rPr>
      </w:pPr>
    </w:p>
    <w:p>
      <w:pPr>
        <w:pStyle w:val="Heading3"/>
        <w:spacing w:line="240" w:lineRule="auto"/>
        <w:ind w:left="153" w:right="0"/>
        <w:jc w:val="both"/>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left="154" w:right="75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公司报告期未出售资产。</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Heading4"/>
        <w:spacing w:line="386" w:lineRule="auto"/>
        <w:ind w:right="211" w:firstLine="48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日，本公司与杨博智、杨林、王志强签订《股权转让与增资协议书》</w:t>
      </w:r>
      <w:r>
        <w:rPr>
          <w:rFonts w:ascii="Times New Roman" w:hAnsi="Times New Roman" w:cs="Times New Roman" w:eastAsia="Times New Roman" w:hint="default"/>
          <w:spacing w:val="-1"/>
        </w:rPr>
        <w:t>,</w:t>
      </w:r>
      <w:r>
        <w:rPr>
          <w:spacing w:val="-1"/>
        </w:rPr>
        <w:t>其中：本公司</w:t>
      </w:r>
      <w:r>
        <w:rPr/>
        <w:t> </w:t>
      </w:r>
      <w:r>
        <w:rPr>
          <w:spacing w:val="-2"/>
        </w:rPr>
        <w:t>以货币</w:t>
      </w:r>
      <w:r>
        <w:rPr>
          <w:rFonts w:ascii="Times New Roman" w:hAnsi="Times New Roman" w:cs="Times New Roman" w:eastAsia="Times New Roman" w:hint="default"/>
          <w:spacing w:val="-2"/>
        </w:rPr>
        <w:t>900</w:t>
      </w:r>
      <w:r>
        <w:rPr>
          <w:spacing w:val="-2"/>
        </w:rPr>
        <w:t>万元增资武汉落地，取得武汉落地</w:t>
      </w:r>
      <w:r>
        <w:rPr>
          <w:rFonts w:ascii="Times New Roman" w:hAnsi="Times New Roman" w:cs="Times New Roman" w:eastAsia="Times New Roman" w:hint="default"/>
          <w:spacing w:val="-2"/>
        </w:rPr>
        <w:t>40%</w:t>
      </w:r>
      <w:r>
        <w:rPr>
          <w:spacing w:val="-2"/>
        </w:rPr>
        <w:t>的股权，并于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日支付了出资款；增资后，本</w:t>
      </w:r>
      <w:r>
        <w:rPr>
          <w:spacing w:val="-98"/>
        </w:rPr>
        <w:t> </w:t>
      </w:r>
      <w:r>
        <w:rPr>
          <w:spacing w:val="-98"/>
        </w:rPr>
      </w:r>
      <w:r>
        <w:rPr/>
        <w:t>公司持股</w:t>
      </w:r>
      <w:r>
        <w:rPr>
          <w:rFonts w:ascii="Times New Roman" w:hAnsi="Times New Roman" w:cs="Times New Roman" w:eastAsia="Times New Roman" w:hint="default"/>
        </w:rPr>
        <w:t>40%</w:t>
      </w:r>
      <w:r>
        <w:rPr/>
        <w:t>，杨博智、杨林、王志强三人持股</w:t>
      </w:r>
      <w:r>
        <w:rPr>
          <w:rFonts w:ascii="Times New Roman" w:hAnsi="Times New Roman" w:cs="Times New Roman" w:eastAsia="Times New Roman" w:hint="default"/>
        </w:rPr>
        <w:t>60%</w:t>
      </w:r>
      <w:r>
        <w:rPr/>
        <w:t>。</w:t>
      </w:r>
    </w:p>
    <w:p>
      <w:pPr>
        <w:pStyle w:val="Heading4"/>
        <w:spacing w:line="386" w:lineRule="auto" w:before="35"/>
        <w:ind w:right="94" w:firstLine="480"/>
        <w:jc w:val="left"/>
      </w:pPr>
      <w:r>
        <w:rPr>
          <w:spacing w:val="-3"/>
        </w:rPr>
        <w:t>同时根据协议，本公司以货币</w:t>
      </w:r>
      <w:r>
        <w:rPr>
          <w:rFonts w:ascii="Times New Roman" w:hAnsi="Times New Roman" w:cs="Times New Roman" w:eastAsia="Times New Roman" w:hint="default"/>
          <w:spacing w:val="-3"/>
        </w:rPr>
        <w:t>600</w:t>
      </w:r>
      <w:r>
        <w:rPr>
          <w:spacing w:val="-3"/>
        </w:rPr>
        <w:t>万元受让杨博智、杨林、王志强三人持有的武汉落地</w:t>
      </w:r>
      <w:r>
        <w:rPr>
          <w:rFonts w:ascii="Times New Roman" w:hAnsi="Times New Roman" w:cs="Times New Roman" w:eastAsia="Times New Roman" w:hint="default"/>
          <w:spacing w:val="-3"/>
        </w:rPr>
        <w:t>1/3</w:t>
      </w:r>
      <w:r>
        <w:rPr>
          <w:spacing w:val="-3"/>
        </w:rPr>
        <w:t>的股权（即：</w:t>
      </w:r>
      <w:r>
        <w:rPr/>
        <w:t> 杨博智、杨林、王志强三人持股</w:t>
      </w:r>
      <w:r>
        <w:rPr>
          <w:rFonts w:ascii="Times New Roman" w:hAnsi="Times New Roman" w:cs="Times New Roman" w:eastAsia="Times New Roman" w:hint="default"/>
        </w:rPr>
        <w:t>60%</w:t>
      </w:r>
      <w:r>
        <w:rPr/>
        <w:t>的</w:t>
      </w:r>
      <w:r>
        <w:rPr>
          <w:rFonts w:ascii="Times New Roman" w:hAnsi="Times New Roman" w:cs="Times New Roman" w:eastAsia="Times New Roman" w:hint="default"/>
        </w:rPr>
        <w:t>1/3</w:t>
      </w:r>
      <w:r>
        <w:rPr/>
        <w:t>，为武汉落地</w:t>
      </w:r>
      <w:r>
        <w:rPr>
          <w:rFonts w:ascii="Times New Roman" w:hAnsi="Times New Roman" w:cs="Times New Roman" w:eastAsia="Times New Roman" w:hint="default"/>
        </w:rPr>
        <w:t>20%</w:t>
      </w:r>
      <w:r>
        <w:rPr/>
        <w:t>的股权）。协议约定：本公司首期支付该三人 </w:t>
      </w:r>
      <w:r>
        <w:rPr>
          <w:rFonts w:ascii="Times New Roman" w:hAnsi="Times New Roman" w:cs="Times New Roman" w:eastAsia="Times New Roman" w:hint="default"/>
        </w:rPr>
        <w:t>400</w:t>
      </w:r>
      <w:r>
        <w:rPr/>
        <w:t>万元，剩余</w:t>
      </w:r>
      <w:r>
        <w:rPr>
          <w:rFonts w:ascii="Times New Roman" w:hAnsi="Times New Roman" w:cs="Times New Roman" w:eastAsia="Times New Roman" w:hint="default"/>
        </w:rPr>
        <w:t>200</w:t>
      </w:r>
      <w:r>
        <w:rPr/>
        <w:t>万元于本协议签订并生效后的第二年的会计年度完成后的</w:t>
      </w:r>
      <w:r>
        <w:rPr>
          <w:rFonts w:ascii="Times New Roman" w:hAnsi="Times New Roman" w:cs="Times New Roman" w:eastAsia="Times New Roman" w:hint="default"/>
        </w:rPr>
        <w:t>60</w:t>
      </w:r>
      <w:r>
        <w:rPr/>
        <w:t>日内，根据本协议约定的武 汉落地的业绩完成情况，按照确定的结算金额支付给杨博智、杨林、王志强三人。</w:t>
      </w:r>
    </w:p>
    <w:p>
      <w:pPr>
        <w:pStyle w:val="Heading4"/>
        <w:spacing w:line="240" w:lineRule="auto" w:before="65"/>
        <w:ind w:left="633" w:right="196"/>
        <w:jc w:val="left"/>
      </w:pPr>
      <w:r>
        <w:rPr/>
        <w:t>增资与受让股权后，本公司合计持有武汉落地</w:t>
      </w:r>
      <w:r>
        <w:rPr>
          <w:rFonts w:ascii="Times New Roman" w:hAnsi="Times New Roman" w:cs="Times New Roman" w:eastAsia="Times New Roman" w:hint="default"/>
        </w:rPr>
        <w:t>60%</w:t>
      </w:r>
      <w:r>
        <w:rPr/>
        <w:t>的股权。</w:t>
      </w:r>
    </w:p>
    <w:p>
      <w:pPr>
        <w:pStyle w:val="Heading4"/>
        <w:spacing w:line="240" w:lineRule="auto" w:before="177"/>
        <w:ind w:left="633" w:right="19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日，武汉落地完成工商变更手续，将其纳入合并范围。</w:t>
      </w:r>
    </w:p>
    <w:p>
      <w:pPr>
        <w:pStyle w:val="Heading4"/>
        <w:spacing w:line="386" w:lineRule="auto" w:before="177"/>
        <w:ind w:right="212" w:firstLine="480"/>
        <w:jc w:val="both"/>
      </w:pPr>
      <w:r>
        <w:rPr>
          <w:rFonts w:ascii="Times New Roman" w:hAnsi="Times New Roman" w:cs="Times New Roman" w:eastAsia="Times New Roman" w:hint="default"/>
          <w:spacing w:val="-2"/>
        </w:rPr>
        <w:t>2</w:t>
      </w:r>
      <w:r>
        <w:rPr>
          <w:spacing w:val="-2"/>
        </w:rPr>
        <w:t>、武汉良拓系由本公司、朱佳和徐欢共同出资设立，注册资本为人民币</w:t>
      </w:r>
      <w:r>
        <w:rPr>
          <w:rFonts w:ascii="Times New Roman" w:hAnsi="Times New Roman" w:cs="Times New Roman" w:eastAsia="Times New Roman" w:hint="default"/>
          <w:spacing w:val="-2"/>
        </w:rPr>
        <w:t>100</w:t>
      </w:r>
      <w:r>
        <w:rPr>
          <w:spacing w:val="-2"/>
        </w:rPr>
        <w:t>万元。其中本公司以货币</w:t>
      </w:r>
      <w:r>
        <w:rPr/>
        <w:t> 认缴注册资本</w:t>
      </w:r>
      <w:r>
        <w:rPr>
          <w:rFonts w:ascii="Times New Roman" w:hAnsi="Times New Roman" w:cs="Times New Roman" w:eastAsia="Times New Roman" w:hint="default"/>
        </w:rPr>
        <w:t>60</w:t>
      </w:r>
      <w:r>
        <w:rPr/>
        <w:t>万元，占比</w:t>
      </w:r>
      <w:r>
        <w:rPr>
          <w:rFonts w:ascii="Times New Roman" w:hAnsi="Times New Roman" w:cs="Times New Roman" w:eastAsia="Times New Roman" w:hint="default"/>
        </w:rPr>
        <w:t>60%</w:t>
      </w:r>
      <w:r>
        <w:rPr/>
        <w:t>；朱佳以货币认缴注册资本</w:t>
      </w:r>
      <w:r>
        <w:rPr>
          <w:rFonts w:ascii="Times New Roman" w:hAnsi="Times New Roman" w:cs="Times New Roman" w:eastAsia="Times New Roman" w:hint="default"/>
        </w:rPr>
        <w:t>20</w:t>
      </w:r>
      <w:r>
        <w:rPr/>
        <w:t>万元，占比</w:t>
      </w:r>
      <w:r>
        <w:rPr>
          <w:rFonts w:ascii="Times New Roman" w:hAnsi="Times New Roman" w:cs="Times New Roman" w:eastAsia="Times New Roman" w:hint="default"/>
        </w:rPr>
        <w:t>20%</w:t>
      </w:r>
      <w:r>
        <w:rPr/>
        <w:t>；徐欢以货币认缴注册资本 </w:t>
      </w:r>
      <w:r>
        <w:rPr>
          <w:rFonts w:ascii="Times New Roman" w:hAnsi="Times New Roman" w:cs="Times New Roman" w:eastAsia="Times New Roman" w:hint="default"/>
        </w:rPr>
        <w:t>20</w:t>
      </w:r>
      <w:r>
        <w:rPr/>
        <w:t>万元，占比</w:t>
      </w:r>
      <w:r>
        <w:rPr>
          <w:rFonts w:ascii="Times New Roman" w:hAnsi="Times New Roman" w:cs="Times New Roman" w:eastAsia="Times New Roman" w:hint="default"/>
        </w:rPr>
        <w:t>20%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日止，武汉良拓实收资本</w:t>
      </w:r>
      <w:r>
        <w:rPr>
          <w:rFonts w:ascii="Times New Roman" w:hAnsi="Times New Roman" w:cs="Times New Roman" w:eastAsia="Times New Roman" w:hint="default"/>
        </w:rPr>
        <w:t>70</w:t>
      </w:r>
      <w:r>
        <w:rPr/>
        <w:t>万元，其中本公司以货币</w:t>
      </w:r>
      <w:r>
        <w:rPr>
          <w:rFonts w:ascii="Times New Roman" w:hAnsi="Times New Roman" w:cs="Times New Roman" w:eastAsia="Times New Roman" w:hint="default"/>
        </w:rPr>
        <w:t>60</w:t>
      </w:r>
      <w:r>
        <w:rPr/>
        <w:t>万元出资， 占比</w:t>
      </w:r>
      <w:r>
        <w:rPr>
          <w:rFonts w:ascii="Times New Roman" w:hAnsi="Times New Roman" w:cs="Times New Roman" w:eastAsia="Times New Roman" w:hint="default"/>
        </w:rPr>
        <w:t>85.7143%</w:t>
      </w:r>
      <w:r>
        <w:rPr/>
        <w:t>；朱佳以货币</w:t>
      </w:r>
      <w:r>
        <w:rPr>
          <w:rFonts w:ascii="Times New Roman" w:hAnsi="Times New Roman" w:cs="Times New Roman" w:eastAsia="Times New Roman" w:hint="default"/>
        </w:rPr>
        <w:t>10</w:t>
      </w:r>
      <w:r>
        <w:rPr/>
        <w:t>万元出资，占比</w:t>
      </w:r>
      <w:r>
        <w:rPr>
          <w:rFonts w:ascii="Times New Roman" w:hAnsi="Times New Roman" w:cs="Times New Roman" w:eastAsia="Times New Roman" w:hint="default"/>
        </w:rPr>
        <w:t>14.2857%</w:t>
      </w:r>
      <w:r>
        <w:rPr/>
        <w:t>。</w:t>
      </w:r>
    </w:p>
    <w:p>
      <w:pPr>
        <w:pStyle w:val="Heading4"/>
        <w:spacing w:line="386" w:lineRule="auto" w:before="36"/>
        <w:ind w:right="208" w:firstLine="480"/>
        <w:jc w:val="left"/>
      </w:pPr>
      <w:r>
        <w:rPr>
          <w:rFonts w:ascii="Times New Roman" w:hAnsi="Times New Roman" w:cs="Times New Roman" w:eastAsia="Times New Roman" w:hint="default"/>
        </w:rPr>
        <w:t>3</w:t>
      </w:r>
      <w:r>
        <w:rPr/>
        <w:t>、高投金运系由本公司、湖北省高新技术产业投资有限公司（以下简称</w:t>
      </w:r>
      <w:r>
        <w:rPr>
          <w:rFonts w:ascii="Times New Roman" w:hAnsi="Times New Roman" w:cs="Times New Roman" w:eastAsia="Times New Roman" w:hint="default"/>
        </w:rPr>
        <w:t>“</w:t>
      </w:r>
      <w:r>
        <w:rPr/>
        <w:t>湖北高新投</w:t>
      </w:r>
      <w:r>
        <w:rPr>
          <w:rFonts w:ascii="Times New Roman" w:hAnsi="Times New Roman" w:cs="Times New Roman" w:eastAsia="Times New Roman" w:hint="default"/>
        </w:rPr>
        <w:t>”</w:t>
      </w:r>
      <w:r>
        <w:rPr/>
        <w:t>）和专业管理 团队共同出资设立，注册资本为人民币</w:t>
      </w:r>
      <w:r>
        <w:rPr>
          <w:rFonts w:ascii="Times New Roman" w:hAnsi="Times New Roman" w:cs="Times New Roman" w:eastAsia="Times New Roman" w:hint="default"/>
        </w:rPr>
        <w:t>425</w:t>
      </w:r>
      <w:r>
        <w:rPr/>
        <w:t>万元。其中本公司以货币认缴注册资本</w:t>
      </w:r>
      <w:r>
        <w:rPr>
          <w:rFonts w:ascii="Times New Roman" w:hAnsi="Times New Roman" w:cs="Times New Roman" w:eastAsia="Times New Roman" w:hint="default"/>
        </w:rPr>
        <w:t>170</w:t>
      </w:r>
      <w:r>
        <w:rPr/>
        <w:t>万元，占比</w:t>
      </w:r>
      <w:r>
        <w:rPr>
          <w:rFonts w:ascii="Times New Roman" w:hAnsi="Times New Roman" w:cs="Times New Roman" w:eastAsia="Times New Roman" w:hint="default"/>
        </w:rPr>
        <w:t>40%</w:t>
      </w:r>
      <w:r>
        <w:rPr/>
        <w:t>；湖</w:t>
      </w:r>
    </w:p>
    <w:p>
      <w:pPr>
        <w:spacing w:after="0" w:line="386" w:lineRule="auto"/>
        <w:jc w:val="left"/>
        <w:sectPr>
          <w:pgSz w:w="11910" w:h="16840"/>
          <w:pgMar w:header="877" w:footer="979" w:top="1100" w:bottom="1160" w:left="980" w:right="920"/>
        </w:sectPr>
      </w:pPr>
    </w:p>
    <w:p>
      <w:pPr>
        <w:spacing w:line="240" w:lineRule="auto" w:before="8"/>
        <w:rPr>
          <w:rFonts w:ascii="宋体" w:hAnsi="宋体" w:cs="宋体" w:eastAsia="宋体" w:hint="default"/>
          <w:sz w:val="26"/>
          <w:szCs w:val="26"/>
        </w:rPr>
      </w:pPr>
    </w:p>
    <w:p>
      <w:pPr>
        <w:pStyle w:val="Heading4"/>
        <w:spacing w:line="386" w:lineRule="auto" w:before="35"/>
        <w:ind w:right="151"/>
        <w:jc w:val="left"/>
      </w:pPr>
      <w:r>
        <w:rPr/>
        <w:t>北高新投以货币认缴注册资本</w:t>
      </w:r>
      <w:r>
        <w:rPr>
          <w:rFonts w:ascii="Times New Roman" w:hAnsi="Times New Roman" w:cs="Times New Roman" w:eastAsia="Times New Roman" w:hint="default"/>
        </w:rPr>
        <w:t>127.5</w:t>
      </w:r>
      <w:r>
        <w:rPr/>
        <w:t>万元，占比</w:t>
      </w:r>
      <w:r>
        <w:rPr>
          <w:rFonts w:ascii="Times New Roman" w:hAnsi="Times New Roman" w:cs="Times New Roman" w:eastAsia="Times New Roman" w:hint="default"/>
        </w:rPr>
        <w:t>30%</w:t>
      </w:r>
      <w:r>
        <w:rPr/>
        <w:t>；专业管理团队以货币认缴注册资本</w:t>
      </w:r>
      <w:r>
        <w:rPr>
          <w:rFonts w:ascii="Times New Roman" w:hAnsi="Times New Roman" w:cs="Times New Roman" w:eastAsia="Times New Roman" w:hint="default"/>
        </w:rPr>
        <w:t>127.5</w:t>
      </w:r>
      <w:r>
        <w:rPr/>
        <w:t>万元，占比 </w:t>
      </w:r>
      <w:r>
        <w:rPr>
          <w:rFonts w:ascii="Times New Roman" w:hAnsi="Times New Roman" w:cs="Times New Roman" w:eastAsia="Times New Roman" w:hint="default"/>
        </w:rPr>
        <w:t>30%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日止，高投金运实收资本</w:t>
      </w:r>
      <w:r>
        <w:rPr>
          <w:rFonts w:ascii="Times New Roman" w:hAnsi="Times New Roman" w:cs="Times New Roman" w:eastAsia="Times New Roman" w:hint="default"/>
        </w:rPr>
        <w:t>212.5</w:t>
      </w:r>
      <w:r>
        <w:rPr/>
        <w:t>万元，其中本公司以货币</w:t>
      </w:r>
      <w:r>
        <w:rPr>
          <w:rFonts w:ascii="Times New Roman" w:hAnsi="Times New Roman" w:cs="Times New Roman" w:eastAsia="Times New Roman" w:hint="default"/>
        </w:rPr>
        <w:t>85</w:t>
      </w:r>
      <w:r>
        <w:rPr/>
        <w:t>万元出资，占比</w:t>
      </w:r>
      <w:r>
        <w:rPr>
          <w:rFonts w:ascii="Times New Roman" w:hAnsi="Times New Roman" w:cs="Times New Roman" w:eastAsia="Times New Roman" w:hint="default"/>
        </w:rPr>
        <w:t>40%</w:t>
      </w:r>
      <w:r>
        <w:rPr/>
        <w:t>； </w:t>
      </w:r>
      <w:r>
        <w:rPr>
          <w:spacing w:val="-1"/>
        </w:rPr>
        <w:t>湖北高新投以货币</w:t>
      </w:r>
      <w:r>
        <w:rPr>
          <w:rFonts w:ascii="Times New Roman" w:hAnsi="Times New Roman" w:cs="Times New Roman" w:eastAsia="Times New Roman" w:hint="default"/>
          <w:spacing w:val="-1"/>
        </w:rPr>
        <w:t>21.25</w:t>
      </w:r>
      <w:r>
        <w:rPr>
          <w:spacing w:val="-1"/>
        </w:rPr>
        <w:t>万元出资，占比</w:t>
      </w:r>
      <w:r>
        <w:rPr>
          <w:rFonts w:ascii="Times New Roman" w:hAnsi="Times New Roman" w:cs="Times New Roman" w:eastAsia="Times New Roman" w:hint="default"/>
          <w:spacing w:val="-1"/>
        </w:rPr>
        <w:t>10%</w:t>
      </w:r>
      <w:r>
        <w:rPr>
          <w:spacing w:val="-1"/>
        </w:rPr>
        <w:t>；专业管理团队佟德瑞和钱斌分别以货币</w:t>
      </w:r>
      <w:r>
        <w:rPr>
          <w:rFonts w:ascii="Times New Roman" w:hAnsi="Times New Roman" w:cs="Times New Roman" w:eastAsia="Times New Roman" w:hint="default"/>
          <w:spacing w:val="-1"/>
        </w:rPr>
        <w:t>63.75</w:t>
      </w:r>
      <w:r>
        <w:rPr>
          <w:spacing w:val="-1"/>
        </w:rPr>
        <w:t>万元和</w:t>
      </w:r>
      <w:r>
        <w:rPr>
          <w:rFonts w:ascii="Times New Roman" w:hAnsi="Times New Roman" w:cs="Times New Roman" w:eastAsia="Times New Roman" w:hint="default"/>
          <w:spacing w:val="-1"/>
        </w:rPr>
        <w:t>42.5</w:t>
      </w:r>
      <w:r>
        <w:rPr>
          <w:spacing w:val="-1"/>
        </w:rPr>
        <w:t>万元</w:t>
      </w:r>
      <w:r>
        <w:rPr>
          <w:spacing w:val="-94"/>
        </w:rPr>
        <w:t> </w:t>
      </w:r>
      <w:r>
        <w:rPr/>
        <w:t>出资，分别占比</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20%</w:t>
      </w:r>
      <w:r>
        <w:rPr/>
        <w:t>。</w:t>
      </w:r>
    </w:p>
    <w:p>
      <w:pPr>
        <w:pStyle w:val="Heading4"/>
        <w:spacing w:line="240" w:lineRule="auto" w:before="35"/>
        <w:ind w:left="0" w:right="172"/>
        <w:jc w:val="right"/>
        <w:rPr>
          <w:rFonts w:ascii="Times New Roman" w:hAnsi="Times New Roman" w:cs="Times New Roman" w:eastAsia="Times New Roman" w:hint="default"/>
        </w:rPr>
      </w:pPr>
      <w:r>
        <w:rPr>
          <w:rFonts w:ascii="Times New Roman" w:hAnsi="Times New Roman" w:cs="Times New Roman" w:eastAsia="Times New Roman" w:hint="default"/>
          <w:spacing w:val="-2"/>
        </w:rPr>
        <w:t>4</w:t>
      </w:r>
      <w:r>
        <w:rPr>
          <w:spacing w:val="-2"/>
        </w:rPr>
        <w:t>、高汇科技于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月在香港成立，系本公司的全资境外子公司，注册资本</w:t>
      </w:r>
      <w:r>
        <w:rPr>
          <w:rFonts w:ascii="Times New Roman" w:hAnsi="Times New Roman" w:cs="Times New Roman" w:eastAsia="Times New Roman" w:hint="default"/>
          <w:spacing w:val="-2"/>
        </w:rPr>
        <w:t>50</w:t>
      </w:r>
      <w:r>
        <w:rPr>
          <w:spacing w:val="-2"/>
        </w:rPr>
        <w:t>万元港币。截至</w:t>
      </w:r>
      <w:r>
        <w:rPr>
          <w:rFonts w:ascii="Times New Roman" w:hAnsi="Times New Roman" w:cs="Times New Roman" w:eastAsia="Times New Roman" w:hint="default"/>
          <w:spacing w:val="-2"/>
        </w:rPr>
        <w:t>2014</w:t>
      </w:r>
    </w:p>
    <w:p>
      <w:pPr>
        <w:pStyle w:val="Heading4"/>
        <w:spacing w:line="240" w:lineRule="auto" w:before="177"/>
        <w:ind w:right="151"/>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日止，本公司尚未实际出资。</w:t>
      </w:r>
    </w:p>
    <w:p>
      <w:pPr>
        <w:pStyle w:val="Heading4"/>
        <w:spacing w:line="386" w:lineRule="auto" w:before="177"/>
        <w:ind w:right="114" w:firstLine="480"/>
        <w:jc w:val="right"/>
      </w:pPr>
      <w:r>
        <w:rPr>
          <w:rFonts w:ascii="Times New Roman" w:hAnsi="Times New Roman" w:cs="Times New Roman" w:eastAsia="Times New Roman" w:hint="default"/>
          <w:spacing w:val="-2"/>
        </w:rPr>
        <w:t>5</w:t>
      </w:r>
      <w:r>
        <w:rPr>
          <w:spacing w:val="-2"/>
        </w:rPr>
        <w:t>、长沙落地系由武汉落地和何劲鹏共同出资设立，注册资本</w:t>
      </w:r>
      <w:r>
        <w:rPr>
          <w:rFonts w:ascii="Times New Roman" w:hAnsi="Times New Roman" w:cs="Times New Roman" w:eastAsia="Times New Roman" w:hint="default"/>
          <w:spacing w:val="-2"/>
        </w:rPr>
        <w:t>200</w:t>
      </w:r>
      <w:r>
        <w:rPr>
          <w:spacing w:val="-2"/>
        </w:rPr>
        <w:t>万元。其中武汉落地以货币认缴注册</w:t>
      </w:r>
      <w:r>
        <w:rPr/>
        <w:t> </w:t>
      </w:r>
      <w:r>
        <w:rPr>
          <w:spacing w:val="-2"/>
        </w:rPr>
        <w:t>资本</w:t>
      </w:r>
      <w:r>
        <w:rPr>
          <w:rFonts w:ascii="Times New Roman" w:hAnsi="Times New Roman" w:cs="Times New Roman" w:eastAsia="Times New Roman" w:hint="default"/>
          <w:spacing w:val="-2"/>
        </w:rPr>
        <w:t>120</w:t>
      </w:r>
      <w:r>
        <w:rPr>
          <w:spacing w:val="-2"/>
        </w:rPr>
        <w:t>万元，占比</w:t>
      </w:r>
      <w:r>
        <w:rPr>
          <w:rFonts w:ascii="Times New Roman" w:hAnsi="Times New Roman" w:cs="Times New Roman" w:eastAsia="Times New Roman" w:hint="default"/>
          <w:spacing w:val="-2"/>
        </w:rPr>
        <w:t>60%</w:t>
      </w:r>
      <w:r>
        <w:rPr>
          <w:spacing w:val="-2"/>
        </w:rPr>
        <w:t>；何劲鹏以货币认缴注册资本</w:t>
      </w:r>
      <w:r>
        <w:rPr>
          <w:rFonts w:ascii="Times New Roman" w:hAnsi="Times New Roman" w:cs="Times New Roman" w:eastAsia="Times New Roman" w:hint="default"/>
          <w:spacing w:val="-2"/>
        </w:rPr>
        <w:t>80</w:t>
      </w:r>
      <w:r>
        <w:rPr>
          <w:spacing w:val="-2"/>
        </w:rPr>
        <w:t>万元，占比</w:t>
      </w:r>
      <w:r>
        <w:rPr>
          <w:rFonts w:ascii="Times New Roman" w:hAnsi="Times New Roman" w:cs="Times New Roman" w:eastAsia="Times New Roman" w:hint="default"/>
          <w:spacing w:val="-2"/>
        </w:rPr>
        <w:t>40%</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日止，长沙落</w:t>
      </w:r>
      <w:r>
        <w:rPr/>
        <w:t> </w:t>
      </w:r>
      <w:r>
        <w:rPr>
          <w:spacing w:val="-1"/>
        </w:rPr>
        <w:t>地实收资本</w:t>
      </w:r>
      <w:r>
        <w:rPr>
          <w:rFonts w:ascii="Times New Roman" w:hAnsi="Times New Roman" w:cs="Times New Roman" w:eastAsia="Times New Roman" w:hint="default"/>
          <w:spacing w:val="-1"/>
        </w:rPr>
        <w:t>120</w:t>
      </w:r>
      <w:r>
        <w:rPr>
          <w:spacing w:val="-1"/>
        </w:rPr>
        <w:t>万元，其中武汉落地以货币</w:t>
      </w:r>
      <w:r>
        <w:rPr>
          <w:rFonts w:ascii="Times New Roman" w:hAnsi="Times New Roman" w:cs="Times New Roman" w:eastAsia="Times New Roman" w:hint="default"/>
          <w:spacing w:val="-1"/>
        </w:rPr>
        <w:t>72</w:t>
      </w:r>
      <w:r>
        <w:rPr>
          <w:spacing w:val="-1"/>
        </w:rPr>
        <w:t>万元出资，占比</w:t>
      </w:r>
      <w:r>
        <w:rPr>
          <w:rFonts w:ascii="Times New Roman" w:hAnsi="Times New Roman" w:cs="Times New Roman" w:eastAsia="Times New Roman" w:hint="default"/>
          <w:spacing w:val="-1"/>
        </w:rPr>
        <w:t>60%</w:t>
      </w:r>
      <w:r>
        <w:rPr>
          <w:spacing w:val="-1"/>
        </w:rPr>
        <w:t>，何劲鹏以货币</w:t>
      </w:r>
      <w:r>
        <w:rPr>
          <w:rFonts w:ascii="Times New Roman" w:hAnsi="Times New Roman" w:cs="Times New Roman" w:eastAsia="Times New Roman" w:hint="default"/>
          <w:spacing w:val="-1"/>
        </w:rPr>
        <w:t>48</w:t>
      </w:r>
      <w:r>
        <w:rPr>
          <w:spacing w:val="-1"/>
        </w:rPr>
        <w:t>万元出资，占比</w:t>
      </w:r>
      <w:r>
        <w:rPr>
          <w:rFonts w:ascii="Times New Roman" w:hAnsi="Times New Roman" w:cs="Times New Roman" w:eastAsia="Times New Roman" w:hint="default"/>
          <w:spacing w:val="-1"/>
        </w:rPr>
        <w:t>40%</w:t>
      </w:r>
      <w:r>
        <w:rPr>
          <w:spacing w:val="-1"/>
        </w:rPr>
        <w:t>。</w:t>
      </w:r>
      <w:r>
        <w:rPr>
          <w:spacing w:val="-78"/>
        </w:rPr>
        <w:t>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日，本公司之控股子公司鞍山万隆取得鞍山市工商行政管理局高新技术产业开发区分</w:t>
      </w:r>
    </w:p>
    <w:p>
      <w:pPr>
        <w:pStyle w:val="Heading4"/>
        <w:spacing w:line="240" w:lineRule="auto" w:before="35"/>
        <w:ind w:left="154" w:right="151"/>
        <w:jc w:val="left"/>
      </w:pPr>
      <w:r>
        <w:rPr/>
        <w:t>局《企业注销核准通知书》，自注销日起，鞍山万隆不再纳入合并范围。</w:t>
      </w:r>
    </w:p>
    <w:p>
      <w:pPr>
        <w:spacing w:line="240" w:lineRule="auto" w:before="10"/>
        <w:rPr>
          <w:rFonts w:ascii="宋体" w:hAnsi="宋体" w:cs="宋体" w:eastAsia="宋体" w:hint="default"/>
          <w:sz w:val="14"/>
          <w:szCs w:val="14"/>
        </w:rPr>
      </w:pPr>
    </w:p>
    <w:p>
      <w:pPr>
        <w:pStyle w:val="Heading4"/>
        <w:spacing w:line="386" w:lineRule="auto"/>
        <w:ind w:left="154" w:right="132" w:firstLine="42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日，本公司之全资子公司盛兴业取得武汉市工商行政管理局东湖新技术开发区分局， 自注销日起，盛兴业不再纳入合并范围。</w:t>
      </w:r>
    </w:p>
    <w:p>
      <w:pPr>
        <w:spacing w:line="240" w:lineRule="auto" w:before="0"/>
        <w:rPr>
          <w:rFonts w:ascii="宋体" w:hAnsi="宋体" w:cs="宋体" w:eastAsia="宋体" w:hint="default"/>
          <w:sz w:val="22"/>
          <w:szCs w:val="22"/>
        </w:rPr>
      </w:pPr>
    </w:p>
    <w:p>
      <w:pPr>
        <w:pStyle w:val="Heading3"/>
        <w:spacing w:line="259" w:lineRule="auto"/>
        <w:ind w:right="151"/>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38"/>
        <w:ind w:left="154" w:right="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left="154" w:right="151"/>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left="154" w:right="58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公司报告期无股权激励计划及其实施情况。</w:t>
      </w:r>
    </w:p>
    <w:p>
      <w:pPr>
        <w:spacing w:line="240" w:lineRule="auto" w:before="12"/>
        <w:rPr>
          <w:rFonts w:ascii="宋体" w:hAnsi="宋体" w:cs="宋体" w:eastAsia="宋体" w:hint="default"/>
          <w:sz w:val="17"/>
          <w:szCs w:val="17"/>
        </w:rPr>
      </w:pPr>
    </w:p>
    <w:p>
      <w:pPr>
        <w:pStyle w:val="Heading2"/>
        <w:spacing w:line="240" w:lineRule="auto"/>
        <w:ind w:left="154" w:right="151"/>
        <w:jc w:val="left"/>
        <w:rPr>
          <w:b w:val="0"/>
          <w:bCs w:val="0"/>
        </w:rPr>
      </w:pPr>
      <w:bookmarkStart w:name="六、重大关联交易" w:id="46"/>
      <w:bookmarkEnd w:id="46"/>
      <w:r>
        <w:rPr>
          <w:b w:val="0"/>
          <w:bCs w:val="0"/>
        </w:rPr>
      </w: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1"/>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left="154" w:right="53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公司报告期未发生与日常经营相关的关联交易。</w:t>
      </w:r>
    </w:p>
    <w:p>
      <w:pPr>
        <w:spacing w:line="240" w:lineRule="auto" w:before="8"/>
        <w:rPr>
          <w:rFonts w:ascii="宋体" w:hAnsi="宋体" w:cs="宋体" w:eastAsia="宋体" w:hint="default"/>
          <w:sz w:val="19"/>
          <w:szCs w:val="19"/>
        </w:rPr>
      </w:pPr>
    </w:p>
    <w:p>
      <w:pPr>
        <w:pStyle w:val="Heading3"/>
        <w:spacing w:line="240" w:lineRule="auto"/>
        <w:ind w:right="151"/>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30"/>
          <w:szCs w:val="30"/>
        </w:rPr>
      </w:pPr>
    </w:p>
    <w:p>
      <w:pPr>
        <w:pStyle w:val="Heading4"/>
        <w:spacing w:line="240" w:lineRule="auto"/>
        <w:ind w:left="154" w:right="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980" w:right="960"/>
        </w:sectPr>
      </w:pPr>
    </w:p>
    <w:p>
      <w:pPr>
        <w:spacing w:line="240" w:lineRule="auto" w:before="9"/>
        <w:rPr>
          <w:rFonts w:ascii="宋体" w:hAnsi="宋体" w:cs="宋体" w:eastAsia="宋体" w:hint="default"/>
          <w:sz w:val="26"/>
          <w:szCs w:val="26"/>
        </w:rPr>
      </w:pPr>
    </w:p>
    <w:p>
      <w:pPr>
        <w:pStyle w:val="Heading4"/>
        <w:spacing w:line="240" w:lineRule="auto" w:before="35"/>
        <w:ind w:right="0"/>
        <w:jc w:val="left"/>
      </w:pPr>
      <w:r>
        <w:rPr/>
        <w:t>公司报告期未发生资产收购、出售的关联交易。</w:t>
      </w:r>
    </w:p>
    <w:p>
      <w:pPr>
        <w:spacing w:line="240" w:lineRule="auto" w:before="0"/>
        <w:rPr>
          <w:rFonts w:ascii="宋体" w:hAnsi="宋体" w:cs="宋体" w:eastAsia="宋体" w:hint="default"/>
          <w:sz w:val="20"/>
          <w:szCs w:val="20"/>
        </w:rPr>
      </w:pPr>
    </w:p>
    <w:p>
      <w:pPr>
        <w:pStyle w:val="Heading3"/>
        <w:spacing w:line="240" w:lineRule="auto" w:before="152"/>
        <w:ind w:left="153"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10"/>
        <w:rPr>
          <w:rFonts w:ascii="宋体" w:hAnsi="宋体" w:cs="宋体" w:eastAsia="宋体" w:hint="default"/>
          <w:b/>
          <w:bCs/>
          <w:sz w:val="30"/>
          <w:szCs w:val="30"/>
        </w:rPr>
      </w:pPr>
    </w:p>
    <w:p>
      <w:pPr>
        <w:pStyle w:val="Heading4"/>
        <w:spacing w:line="420" w:lineRule="auto"/>
        <w:ind w:right="5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公司报告期未发生共同对外投资的重大关联交易。</w:t>
      </w:r>
    </w:p>
    <w:p>
      <w:pPr>
        <w:spacing w:line="240" w:lineRule="auto" w:before="9"/>
        <w:rPr>
          <w:rFonts w:ascii="宋体" w:hAnsi="宋体" w:cs="宋体" w:eastAsia="宋体" w:hint="default"/>
          <w:sz w:val="19"/>
          <w:szCs w:val="19"/>
        </w:rPr>
      </w:pPr>
    </w:p>
    <w:p>
      <w:pPr>
        <w:pStyle w:val="Heading3"/>
        <w:spacing w:line="240" w:lineRule="auto"/>
        <w:ind w:left="153" w:right="0"/>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right="62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公司报告期不存在关联债权债务往来。</w:t>
      </w:r>
    </w:p>
    <w:p>
      <w:pPr>
        <w:spacing w:line="240" w:lineRule="auto" w:before="8"/>
        <w:rPr>
          <w:rFonts w:ascii="宋体" w:hAnsi="宋体" w:cs="宋体" w:eastAsia="宋体" w:hint="default"/>
          <w:sz w:val="19"/>
          <w:szCs w:val="19"/>
        </w:rPr>
      </w:pPr>
    </w:p>
    <w:p>
      <w:pPr>
        <w:pStyle w:val="Heading3"/>
        <w:spacing w:line="240" w:lineRule="auto"/>
        <w:ind w:left="153"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right="66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公司报告期无其他重大关联交易。</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right="70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spacing w:line="240" w:lineRule="auto" w:before="8"/>
        <w:rPr>
          <w:rFonts w:ascii="宋体" w:hAnsi="宋体" w:cs="宋体" w:eastAsia="宋体" w:hint="default"/>
          <w:sz w:val="19"/>
          <w:szCs w:val="19"/>
        </w:rPr>
      </w:pPr>
    </w:p>
    <w:p>
      <w:pPr>
        <w:pStyle w:val="Heading3"/>
        <w:spacing w:line="240" w:lineRule="auto"/>
        <w:ind w:left="153"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right="70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spacing w:line="240" w:lineRule="auto" w:before="8"/>
        <w:rPr>
          <w:rFonts w:ascii="宋体" w:hAnsi="宋体" w:cs="宋体" w:eastAsia="宋体" w:hint="default"/>
          <w:sz w:val="19"/>
          <w:szCs w:val="19"/>
        </w:rPr>
      </w:pPr>
    </w:p>
    <w:p>
      <w:pPr>
        <w:pStyle w:val="Heading3"/>
        <w:spacing w:line="240" w:lineRule="auto"/>
        <w:ind w:left="153"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right="78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租赁情况说明</w:t>
      </w:r>
    </w:p>
    <w:p>
      <w:pPr>
        <w:pStyle w:val="Heading4"/>
        <w:spacing w:line="410" w:lineRule="auto" w:before="74"/>
        <w:ind w:right="0" w:firstLine="421"/>
        <w:jc w:val="left"/>
      </w:pPr>
      <w:r>
        <w:rPr>
          <w:spacing w:val="-1"/>
        </w:rPr>
        <w:t>报告期，公司将闲置的三楼和七楼对外出租，有利于提高资产的使用效益，出租收益用于抵补公司向</w:t>
      </w:r>
      <w:r>
        <w:rPr/>
        <w:t> 外单位承租厂房的支出。</w:t>
      </w:r>
    </w:p>
    <w:p>
      <w:pPr>
        <w:spacing w:after="0" w:line="410" w:lineRule="auto"/>
        <w:jc w:val="left"/>
        <w:sectPr>
          <w:footerReference w:type="default" r:id="rId46"/>
          <w:pgSz w:w="11910" w:h="16840"/>
          <w:pgMar w:footer="979" w:header="877" w:top="1100" w:bottom="1160" w:left="980" w:right="980"/>
          <w:pgNumType w:start="54"/>
        </w:sectPr>
      </w:pPr>
    </w:p>
    <w:p>
      <w:pPr>
        <w:spacing w:line="240" w:lineRule="auto" w:before="9"/>
        <w:rPr>
          <w:rFonts w:ascii="宋体" w:hAnsi="宋体" w:cs="宋体" w:eastAsia="宋体" w:hint="default"/>
          <w:sz w:val="26"/>
          <w:szCs w:val="26"/>
        </w:rPr>
      </w:pPr>
    </w:p>
    <w:p>
      <w:pPr>
        <w:pStyle w:val="Heading4"/>
        <w:spacing w:line="240" w:lineRule="auto" w:before="35"/>
        <w:ind w:right="0"/>
        <w:jc w:val="left"/>
      </w:pPr>
      <w:r>
        <w:rPr/>
        <w:t>为公司带来的损益达到公司报告期利润总额</w:t>
      </w:r>
      <w:r>
        <w:rPr>
          <w:spacing w:val="-52"/>
        </w:rPr>
        <w:t> </w:t>
      </w:r>
      <w:r>
        <w:rPr>
          <w:rFonts w:ascii="Times New Roman" w:hAnsi="Times New Roman" w:cs="Times New Roman" w:eastAsia="Times New Roman" w:hint="default"/>
        </w:rPr>
        <w:t>10%</w:t>
      </w:r>
      <w:r>
        <w:rPr/>
        <w:t>以上的项目</w:t>
      </w:r>
    </w:p>
    <w:p>
      <w:pPr>
        <w:pStyle w:val="Heading4"/>
        <w:spacing w:line="240" w:lineRule="auto" w:before="1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85"/>
        <w:gridCol w:w="734"/>
        <w:gridCol w:w="546"/>
        <w:gridCol w:w="1213"/>
        <w:gridCol w:w="804"/>
        <w:gridCol w:w="804"/>
        <w:gridCol w:w="818"/>
        <w:gridCol w:w="857"/>
        <w:gridCol w:w="2465"/>
        <w:gridCol w:w="546"/>
        <w:gridCol w:w="422"/>
      </w:tblGrid>
      <w:tr>
        <w:trPr>
          <w:trHeight w:val="1026" w:hRule="exact"/>
        </w:trPr>
        <w:tc>
          <w:tcPr>
            <w:tcW w:w="4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61" w:right="56"/>
              <w:jc w:val="both"/>
              <w:rPr>
                <w:rFonts w:ascii="宋体" w:hAnsi="宋体" w:cs="宋体" w:eastAsia="宋体" w:hint="default"/>
                <w:sz w:val="18"/>
                <w:szCs w:val="18"/>
              </w:rPr>
            </w:pPr>
            <w:r>
              <w:rPr>
                <w:rFonts w:ascii="宋体" w:hAnsi="宋体" w:cs="宋体" w:eastAsia="宋体" w:hint="default"/>
                <w:sz w:val="18"/>
                <w:szCs w:val="18"/>
              </w:rPr>
              <w:t>出租 方名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1" w:right="90" w:hanging="90"/>
              <w:jc w:val="left"/>
              <w:rPr>
                <w:rFonts w:ascii="宋体" w:hAnsi="宋体" w:cs="宋体" w:eastAsia="宋体" w:hint="default"/>
                <w:sz w:val="18"/>
                <w:szCs w:val="18"/>
              </w:rPr>
            </w:pPr>
            <w:r>
              <w:rPr>
                <w:rFonts w:ascii="宋体" w:hAnsi="宋体" w:cs="宋体" w:eastAsia="宋体" w:hint="default"/>
                <w:sz w:val="18"/>
                <w:szCs w:val="18"/>
              </w:rPr>
              <w:t>租赁方 名称</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租赁 资产 情况</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left"/>
              <w:rPr>
                <w:rFonts w:ascii="宋体" w:hAnsi="宋体" w:cs="宋体" w:eastAsia="宋体" w:hint="default"/>
                <w:sz w:val="18"/>
                <w:szCs w:val="18"/>
              </w:rPr>
            </w:pPr>
            <w:r>
              <w:rPr>
                <w:rFonts w:ascii="宋体" w:hAnsi="宋体" w:cs="宋体" w:eastAsia="宋体" w:hint="default"/>
                <w:sz w:val="18"/>
                <w:szCs w:val="18"/>
              </w:rPr>
              <w:t>租赁资产涉及 金额（万元）</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3" w:right="61"/>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6" w:right="0"/>
              <w:jc w:val="left"/>
              <w:rPr>
                <w:rFonts w:ascii="宋体" w:hAnsi="宋体" w:cs="宋体" w:eastAsia="宋体" w:hint="default"/>
                <w:sz w:val="18"/>
                <w:szCs w:val="18"/>
              </w:rPr>
            </w:pPr>
            <w:r>
              <w:rPr>
                <w:rFonts w:ascii="宋体" w:hAnsi="宋体" w:cs="宋体" w:eastAsia="宋体" w:hint="default"/>
                <w:sz w:val="18"/>
                <w:szCs w:val="18"/>
              </w:rPr>
              <w:t>租赁收益对公司影响</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8" w:right="85"/>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42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29"/>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026"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90"/>
              <w:jc w:val="left"/>
              <w:rPr>
                <w:rFonts w:ascii="宋体" w:hAnsi="宋体" w:cs="宋体" w:eastAsia="宋体" w:hint="default"/>
                <w:sz w:val="18"/>
                <w:szCs w:val="18"/>
              </w:rPr>
            </w:pPr>
            <w:r>
              <w:rPr>
                <w:rFonts w:ascii="宋体" w:hAnsi="宋体" w:cs="宋体" w:eastAsia="宋体" w:hint="default"/>
                <w:sz w:val="18"/>
                <w:szCs w:val="18"/>
              </w:rPr>
              <w:t>金运 激光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汉口里 控股有 限公司</w:t>
            </w:r>
          </w:p>
        </w:tc>
        <w:tc>
          <w:tcPr>
            <w:tcW w:w="54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2"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90"/>
              <w:jc w:val="left"/>
              <w:rPr>
                <w:rFonts w:ascii="宋体" w:hAnsi="宋体" w:cs="宋体" w:eastAsia="宋体" w:hint="default"/>
                <w:sz w:val="18"/>
                <w:szCs w:val="18"/>
              </w:rPr>
            </w:pPr>
            <w:r>
              <w:rPr>
                <w:rFonts w:ascii="宋体" w:hAnsi="宋体" w:cs="宋体" w:eastAsia="宋体" w:hint="default"/>
                <w:sz w:val="18"/>
                <w:szCs w:val="18"/>
              </w:rPr>
              <w:t>金运 激光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朱胜林</w:t>
            </w:r>
          </w:p>
        </w:tc>
        <w:tc>
          <w:tcPr>
            <w:tcW w:w="54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2"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90"/>
              <w:jc w:val="left"/>
              <w:rPr>
                <w:rFonts w:ascii="宋体" w:hAnsi="宋体" w:cs="宋体" w:eastAsia="宋体" w:hint="default"/>
                <w:sz w:val="18"/>
                <w:szCs w:val="18"/>
              </w:rPr>
            </w:pPr>
            <w:r>
              <w:rPr>
                <w:rFonts w:ascii="宋体" w:hAnsi="宋体" w:cs="宋体" w:eastAsia="宋体" w:hint="default"/>
                <w:sz w:val="18"/>
                <w:szCs w:val="18"/>
              </w:rPr>
              <w:t>金运 激光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闲置 房屋</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1,217.25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80.72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按经营租 赁收益方 法确认</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有利于提高资产的使用效益， 出租收益用于抵补公司向外单 位承租厂房的支出。</w:t>
            </w:r>
          </w:p>
        </w:tc>
        <w:tc>
          <w:tcPr>
            <w:tcW w:w="54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9"/>
          <w:szCs w:val="9"/>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631"/>
        <w:gridCol w:w="941"/>
        <w:gridCol w:w="959"/>
        <w:gridCol w:w="1223"/>
        <w:gridCol w:w="1195"/>
        <w:gridCol w:w="1110"/>
        <w:gridCol w:w="1029"/>
        <w:gridCol w:w="816"/>
        <w:gridCol w:w="654"/>
      </w:tblGrid>
      <w:tr>
        <w:trPr>
          <w:trHeight w:val="402" w:hRule="exact"/>
        </w:trPr>
        <w:tc>
          <w:tcPr>
            <w:tcW w:w="9558"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977"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6"/>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1"/>
              <w:ind w:left="105" w:right="10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5"/>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5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55" w:right="5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销售单位</w:t>
            </w:r>
          </w:p>
        </w:tc>
        <w:tc>
          <w:tcPr>
            <w:tcW w:w="941" w:type="dxa"/>
            <w:tcBorders>
              <w:top w:val="single" w:sz="4" w:space="0" w:color="000000"/>
              <w:left w:val="single" w:sz="4" w:space="0" w:color="000000"/>
              <w:bottom w:val="single" w:sz="4" w:space="0" w:color="000000"/>
              <w:right w:val="single" w:sz="5" w:space="0" w:color="000000"/>
            </w:tcBorders>
          </w:tcPr>
          <w:p>
            <w:pPr/>
          </w:p>
        </w:tc>
        <w:tc>
          <w:tcPr>
            <w:tcW w:w="95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210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销售单位</w:t>
            </w:r>
          </w:p>
        </w:tc>
        <w:tc>
          <w:tcPr>
            <w:tcW w:w="941" w:type="dxa"/>
            <w:tcBorders>
              <w:top w:val="single" w:sz="4" w:space="0" w:color="000000"/>
              <w:left w:val="single" w:sz="4" w:space="0" w:color="000000"/>
              <w:bottom w:val="single" w:sz="4" w:space="0" w:color="000000"/>
              <w:right w:val="single" w:sz="5" w:space="0" w:color="000000"/>
            </w:tcBorders>
          </w:tcPr>
          <w:p>
            <w:pPr/>
          </w:p>
        </w:tc>
        <w:tc>
          <w:tcPr>
            <w:tcW w:w="95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25.06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销售单位</w:t>
            </w:r>
          </w:p>
        </w:tc>
        <w:tc>
          <w:tcPr>
            <w:tcW w:w="941" w:type="dxa"/>
            <w:tcBorders>
              <w:top w:val="single" w:sz="4" w:space="0" w:color="000000"/>
              <w:left w:val="single" w:sz="4" w:space="0" w:color="000000"/>
              <w:bottom w:val="single" w:sz="4" w:space="0" w:color="000000"/>
              <w:right w:val="single" w:sz="5" w:space="0" w:color="000000"/>
            </w:tcBorders>
          </w:tcPr>
          <w:p>
            <w:pPr/>
          </w:p>
        </w:tc>
        <w:tc>
          <w:tcPr>
            <w:tcW w:w="95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58.1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72"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0" w:right="2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83.16</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98" w:type="dxa"/>
            <w:gridSpan w:val="3"/>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83.16</w:t>
            </w:r>
          </w:p>
        </w:tc>
      </w:tr>
      <w:tr>
        <w:trPr>
          <w:trHeight w:val="719" w:hRule="exact"/>
        </w:trPr>
        <w:tc>
          <w:tcPr>
            <w:tcW w:w="2572"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0" w:right="2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82"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2,700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98" w:type="dxa"/>
            <w:gridSpan w:val="3"/>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172.37</w:t>
            </w:r>
          </w:p>
        </w:tc>
      </w:tr>
      <w:tr>
        <w:trPr>
          <w:trHeight w:val="392" w:hRule="exact"/>
        </w:trPr>
        <w:tc>
          <w:tcPr>
            <w:tcW w:w="9558"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31" w:type="dxa"/>
            <w:vMerge w:val="restart"/>
            <w:tcBorders>
              <w:top w:val="single" w:sz="4" w:space="0" w:color="000000"/>
              <w:left w:val="nil" w:sz="6" w:space="0" w:color="auto"/>
              <w:right w:val="single" w:sz="4" w:space="0" w:color="000000"/>
            </w:tcBorders>
            <w:shd w:val="clear" w:color="auto" w:fill="D2D2D2"/>
          </w:tcPr>
          <w:p>
            <w:pPr/>
          </w:p>
        </w:tc>
        <w:tc>
          <w:tcPr>
            <w:tcW w:w="94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12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10" w:type="dxa"/>
            <w:vMerge w:val="restart"/>
            <w:tcBorders>
              <w:top w:val="single" w:sz="4" w:space="0" w:color="000000"/>
              <w:left w:val="single" w:sz="4" w:space="0" w:color="000000"/>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56"/>
              <w:ind w:left="55" w:right="5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56" w:hRule="exact"/>
        </w:trPr>
        <w:tc>
          <w:tcPr>
            <w:tcW w:w="1631" w:type="dxa"/>
            <w:vMerge/>
            <w:tcBorders>
              <w:left w:val="nil" w:sz="6" w:space="0" w:color="auto"/>
              <w:bottom w:val="nil" w:sz="6" w:space="0" w:color="auto"/>
              <w:right w:val="single" w:sz="4" w:space="0" w:color="000000"/>
            </w:tcBorders>
            <w:shd w:val="clear" w:color="auto" w:fill="D2D2D2"/>
          </w:tcPr>
          <w:p>
            <w:pPr/>
          </w:p>
        </w:tc>
        <w:tc>
          <w:tcPr>
            <w:tcW w:w="941" w:type="dxa"/>
            <w:vMerge/>
            <w:tcBorders>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12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vMerge/>
            <w:tcBorders>
              <w:left w:val="single" w:sz="4" w:space="0" w:color="000000"/>
              <w:bottom w:val="nil" w:sz="6" w:space="0" w:color="auto"/>
              <w:right w:val="single" w:sz="4" w:space="0" w:color="000000"/>
            </w:tcBorders>
            <w:shd w:val="clear" w:color="auto" w:fill="D2D2D2"/>
          </w:tcPr>
          <w:p>
            <w:pPr/>
          </w:p>
        </w:tc>
        <w:tc>
          <w:tcPr>
            <w:tcW w:w="1110"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54" w:type="dxa"/>
            <w:vMerge/>
            <w:tcBorders>
              <w:left w:val="single" w:sz="4" w:space="0" w:color="000000"/>
              <w:right w:val="nil" w:sz="6" w:space="0" w:color="auto"/>
            </w:tcBorders>
            <w:shd w:val="clear" w:color="auto" w:fill="D2D2D2"/>
          </w:tcPr>
          <w:p>
            <w:pPr/>
          </w:p>
        </w:tc>
      </w:tr>
      <w:tr>
        <w:trPr>
          <w:trHeight w:val="393" w:hRule="exact"/>
        </w:trPr>
        <w:tc>
          <w:tcPr>
            <w:tcW w:w="163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276"/>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vMerge/>
            <w:tcBorders>
              <w:left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3"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51"/>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8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6" w:type="dxa"/>
            <w:vMerge/>
            <w:tcBorders>
              <w:left w:val="single" w:sz="4" w:space="0" w:color="000000"/>
              <w:right w:val="single" w:sz="4" w:space="0" w:color="000000"/>
            </w:tcBorders>
            <w:shd w:val="clear" w:color="auto" w:fill="D2D2D2"/>
          </w:tcPr>
          <w:p>
            <w:pPr/>
          </w:p>
        </w:tc>
        <w:tc>
          <w:tcPr>
            <w:tcW w:w="654" w:type="dxa"/>
            <w:vMerge/>
            <w:tcBorders>
              <w:left w:val="single" w:sz="4" w:space="0" w:color="000000"/>
              <w:right w:val="nil" w:sz="6" w:space="0" w:color="auto"/>
            </w:tcBorders>
            <w:shd w:val="clear" w:color="auto" w:fill="D2D2D2"/>
          </w:tcPr>
          <w:p>
            <w:pPr/>
          </w:p>
        </w:tc>
      </w:tr>
      <w:tr>
        <w:trPr>
          <w:trHeight w:val="156" w:hRule="exact"/>
        </w:trPr>
        <w:tc>
          <w:tcPr>
            <w:tcW w:w="1631" w:type="dxa"/>
            <w:vMerge w:val="restart"/>
            <w:tcBorders>
              <w:top w:val="nil" w:sz="6" w:space="0" w:color="auto"/>
              <w:left w:val="nil" w:sz="6" w:space="0" w:color="auto"/>
              <w:right w:val="single" w:sz="4" w:space="0" w:color="000000"/>
            </w:tcBorders>
            <w:shd w:val="clear" w:color="auto" w:fill="D2D2D2"/>
          </w:tcPr>
          <w:p>
            <w:pPr/>
          </w:p>
        </w:tc>
        <w:tc>
          <w:tcPr>
            <w:tcW w:w="941" w:type="dxa"/>
            <w:vMerge/>
            <w:tcBorders>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1223"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10" w:type="dxa"/>
            <w:vMerge w:val="restart"/>
            <w:tcBorders>
              <w:top w:val="nil" w:sz="6" w:space="0" w:color="auto"/>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nil" w:sz="6" w:space="0" w:color="auto"/>
            </w:tcBorders>
            <w:shd w:val="clear" w:color="auto" w:fill="D2D2D2"/>
          </w:tcPr>
          <w:p>
            <w:pPr/>
          </w:p>
        </w:tc>
      </w:tr>
      <w:tr>
        <w:trPr>
          <w:trHeight w:val="166" w:hRule="exact"/>
        </w:trPr>
        <w:tc>
          <w:tcPr>
            <w:tcW w:w="1631" w:type="dxa"/>
            <w:vMerge/>
            <w:tcBorders>
              <w:left w:val="nil" w:sz="6" w:space="0" w:color="auto"/>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12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10" w:type="dxa"/>
            <w:vMerge/>
            <w:tcBorders>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58"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2555"/>
        <w:gridCol w:w="2204"/>
        <w:gridCol w:w="2283"/>
        <w:gridCol w:w="2503"/>
      </w:tblGrid>
      <w:tr>
        <w:trPr>
          <w:trHeight w:val="714" w:hRule="exact"/>
        </w:trPr>
        <w:tc>
          <w:tcPr>
            <w:tcW w:w="25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83.16</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83.16</w:t>
            </w:r>
          </w:p>
        </w:tc>
      </w:tr>
      <w:tr>
        <w:trPr>
          <w:trHeight w:val="714" w:hRule="exact"/>
        </w:trPr>
        <w:tc>
          <w:tcPr>
            <w:tcW w:w="25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20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172.37</w:t>
            </w:r>
          </w:p>
        </w:tc>
      </w:tr>
      <w:tr>
        <w:trPr>
          <w:trHeight w:val="407" w:hRule="exact"/>
        </w:trPr>
        <w:tc>
          <w:tcPr>
            <w:tcW w:w="4759"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785"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0.59%</w:t>
            </w:r>
          </w:p>
        </w:tc>
      </w:tr>
      <w:tr>
        <w:trPr>
          <w:trHeight w:val="397" w:hRule="exact"/>
        </w:trPr>
        <w:tc>
          <w:tcPr>
            <w:tcW w:w="9544"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5"/>
          <w:szCs w:val="5"/>
        </w:rPr>
      </w:pPr>
    </w:p>
    <w:p>
      <w:pPr>
        <w:pStyle w:val="Heading4"/>
        <w:spacing w:line="240" w:lineRule="auto" w:before="35"/>
        <w:ind w:left="154" w:right="0"/>
        <w:jc w:val="left"/>
      </w:pPr>
      <w:r>
        <w:rPr/>
        <w:t>采用复合方式担保的具体情况说明</w:t>
      </w:r>
    </w:p>
    <w:p>
      <w:pPr>
        <w:spacing w:line="240" w:lineRule="auto" w:before="0"/>
        <w:rPr>
          <w:rFonts w:ascii="宋体" w:hAnsi="宋体" w:cs="宋体" w:eastAsia="宋体" w:hint="default"/>
          <w:sz w:val="20"/>
          <w:szCs w:val="20"/>
        </w:rPr>
      </w:pPr>
    </w:p>
    <w:p>
      <w:pPr>
        <w:pStyle w:val="Heading3"/>
        <w:spacing w:line="240" w:lineRule="auto" w:before="153"/>
        <w:ind w:right="0"/>
        <w:jc w:val="left"/>
        <w:rPr>
          <w:b w:val="0"/>
          <w:bCs w:val="0"/>
        </w:rPr>
      </w:pPr>
      <w:bookmarkStart w:name="（1）违规对外担保情况" w:id="58"/>
      <w:bookmarkEnd w:id="58"/>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left="154" w:right="6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公司报告期无违规对外担保情况。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left="154" w:right="7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公司报告期不存在委托理财。</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left="154" w:right="6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公司报告期不存在衍生品投资。</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left="154" w:right="7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公司报告期不存在委托贷款。</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30"/>
          <w:szCs w:val="30"/>
        </w:rPr>
      </w:pPr>
    </w:p>
    <w:p>
      <w:pPr>
        <w:pStyle w:val="Heading4"/>
        <w:spacing w:line="420" w:lineRule="auto"/>
        <w:ind w:left="154"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公司报告期不存在其他重大合同。</w:t>
      </w:r>
    </w:p>
    <w:p>
      <w:pPr>
        <w:spacing w:after="0" w:line="420" w:lineRule="auto"/>
        <w:jc w:val="left"/>
        <w:sectPr>
          <w:pgSz w:w="11910" w:h="16840"/>
          <w:pgMar w:header="877" w:footer="979" w:top="1100" w:bottom="1160" w:left="980" w:right="980"/>
        </w:sectPr>
      </w:pPr>
    </w:p>
    <w:p>
      <w:pPr>
        <w:pStyle w:val="Heading2"/>
        <w:spacing w:line="240" w:lineRule="auto" w:before="30"/>
        <w:ind w:left="140" w:right="119"/>
        <w:jc w:val="left"/>
        <w:rPr>
          <w:b w:val="0"/>
          <w:bCs w:val="0"/>
        </w:rPr>
      </w:pPr>
      <w:r>
        <w:rPr/>
        <w:pict>
          <v:shape style="position:absolute;margin-left:576.559998pt;margin-top:462.899994pt;width:99.3pt;height:22.4pt;mso-position-horizontal-relative:page;mso-position-vertical-relative:page;z-index:-923992" type="#_x0000_t202" filled="false" stroked="false">
            <v:textbox inset="0,0,0,0">
              <w:txbxContent>
                <w:p>
                  <w:pPr>
                    <w:pStyle w:val="BodyText"/>
                    <w:spacing w:line="240" w:lineRule="auto" w:before="51"/>
                    <w:ind w:left="0" w:right="0"/>
                    <w:jc w:val="left"/>
                  </w:pPr>
                  <w:r>
                    <w:rPr/>
                    <w:t>承诺：</w:t>
                  </w:r>
                </w:p>
              </w:txbxContent>
            </v:textbox>
            <w10:wrap type="none"/>
          </v:shape>
        </w:pict>
      </w:r>
      <w:r>
        <w:rPr/>
        <w:pict>
          <v:group style="position:absolute;margin-left:70.5pt;margin-top:2.255627pt;width:701pt;height:.1pt;mso-position-horizontal-relative:page;mso-position-vertical-relative:paragraph;z-index:-92396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八、承诺事项履行情况" w:id="64"/>
      <w:bookmarkEnd w:id="64"/>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119"/>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1"/>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140" w:right="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696"/>
        <w:gridCol w:w="1287"/>
        <w:gridCol w:w="6602"/>
        <w:gridCol w:w="1511"/>
        <w:gridCol w:w="1010"/>
        <w:gridCol w:w="896"/>
      </w:tblGrid>
      <w:tr>
        <w:trPr>
          <w:trHeight w:val="402"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9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87" w:type="dxa"/>
            <w:tcBorders>
              <w:top w:val="single" w:sz="4" w:space="0" w:color="000000"/>
              <w:left w:val="single" w:sz="9" w:space="0" w:color="D2D2D2"/>
              <w:bottom w:val="single" w:sz="4" w:space="0" w:color="000000"/>
              <w:right w:val="single" w:sz="4" w:space="0" w:color="000000"/>
            </w:tcBorders>
          </w:tcPr>
          <w:p>
            <w:pPr/>
          </w:p>
        </w:tc>
        <w:tc>
          <w:tcPr>
            <w:tcW w:w="6602"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56"/>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287" w:type="dxa"/>
            <w:tcBorders>
              <w:top w:val="single" w:sz="4" w:space="0" w:color="000000"/>
              <w:left w:val="single" w:sz="9" w:space="0" w:color="D2D2D2"/>
              <w:bottom w:val="single" w:sz="4" w:space="0" w:color="000000"/>
              <w:right w:val="single" w:sz="4" w:space="0" w:color="000000"/>
            </w:tcBorders>
          </w:tcPr>
          <w:p>
            <w:pPr/>
          </w:p>
        </w:tc>
        <w:tc>
          <w:tcPr>
            <w:tcW w:w="6602"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7" w:type="dxa"/>
            <w:tcBorders>
              <w:top w:val="single" w:sz="4" w:space="0" w:color="000000"/>
              <w:left w:val="single" w:sz="9" w:space="0" w:color="D2D2D2"/>
              <w:bottom w:val="single" w:sz="4" w:space="0" w:color="000000"/>
              <w:right w:val="single" w:sz="4" w:space="0" w:color="000000"/>
            </w:tcBorders>
          </w:tcPr>
          <w:p>
            <w:pPr/>
          </w:p>
        </w:tc>
        <w:tc>
          <w:tcPr>
            <w:tcW w:w="6602"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nil" w:sz="6" w:space="0" w:color="auto"/>
            </w:tcBorders>
          </w:tcPr>
          <w:p>
            <w:pPr/>
          </w:p>
        </w:tc>
      </w:tr>
      <w:tr>
        <w:trPr>
          <w:trHeight w:val="2528" w:hRule="exact"/>
        </w:trPr>
        <w:tc>
          <w:tcPr>
            <w:tcW w:w="2696" w:type="dxa"/>
            <w:tcBorders>
              <w:top w:val="single" w:sz="4" w:space="0" w:color="000000"/>
              <w:left w:val="nil" w:sz="6" w:space="0" w:color="auto"/>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6602" w:type="dxa"/>
            <w:vMerge w:val="restart"/>
            <w:tcBorders>
              <w:top w:val="single" w:sz="4" w:space="0" w:color="000000"/>
              <w:left w:val="single" w:sz="4" w:space="0" w:color="000000"/>
              <w:right w:val="single" w:sz="4" w:space="0" w:color="000000"/>
            </w:tcBorders>
          </w:tcPr>
          <w:p>
            <w:pPr>
              <w:pStyle w:val="TableParagraph"/>
              <w:spacing w:line="314"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为避免在以后的经营中产生同业竞争，本公司控股股东及实际控制人梁伟向本公司 </w:t>
            </w:r>
            <w:r>
              <w:rPr>
                <w:rFonts w:ascii="宋体" w:hAnsi="宋体" w:cs="宋体" w:eastAsia="宋体" w:hint="default"/>
                <w:spacing w:val="-3"/>
                <w:sz w:val="18"/>
                <w:szCs w:val="18"/>
              </w:rPr>
              <w:t>出具了《避免同业竞争承诺函》，承诺：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、本人确认及保证目前不存在与金运激光</w:t>
            </w:r>
            <w:r>
              <w:rPr>
                <w:rFonts w:ascii="宋体" w:hAnsi="宋体" w:cs="宋体" w:eastAsia="宋体" w:hint="default"/>
                <w:spacing w:val="-69"/>
                <w:sz w:val="18"/>
                <w:szCs w:val="18"/>
              </w:rPr>
              <w:t> </w:t>
            </w:r>
            <w:r>
              <w:rPr>
                <w:rFonts w:ascii="宋体" w:hAnsi="宋体" w:cs="宋体" w:eastAsia="宋体" w:hint="default"/>
                <w:spacing w:val="-1"/>
                <w:sz w:val="18"/>
                <w:szCs w:val="18"/>
              </w:rPr>
              <w:t>直接或间接同业竞争的情况。</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、本人不直接或间接从事、发展或投资与金运激光经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营范围相同或相类似的业务或项目，也不为本人或代表任何第三方成立、发展、参 与、协助任何法人或其他经济组织与金运激光进行直接或间接的竞争，本人不在中 国境内及境外直接或间接研发、生产或销售金运激光已经研发、生产或销售的项目 或产品（包括但不限于已经投入科研经费研制或已经处于试生产阶段的项目或产 </w:t>
            </w:r>
            <w:r>
              <w:rPr>
                <w:rFonts w:ascii="宋体" w:hAnsi="宋体" w:cs="宋体" w:eastAsia="宋体" w:hint="default"/>
                <w:spacing w:val="-3"/>
                <w:sz w:val="18"/>
                <w:szCs w:val="18"/>
              </w:rPr>
              <w:t>品）。</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、本人承诺不利用本人对金运激光的了解及获取的信息从事、直接或间接参</w:t>
            </w:r>
            <w:r>
              <w:rPr>
                <w:rFonts w:ascii="宋体" w:hAnsi="宋体" w:cs="宋体" w:eastAsia="宋体" w:hint="default"/>
                <w:spacing w:val="-69"/>
                <w:sz w:val="18"/>
                <w:szCs w:val="18"/>
              </w:rPr>
              <w:t> </w:t>
            </w:r>
            <w:r>
              <w:rPr>
                <w:rFonts w:ascii="宋体" w:hAnsi="宋体" w:cs="宋体" w:eastAsia="宋体" w:hint="default"/>
                <w:sz w:val="18"/>
                <w:szCs w:val="18"/>
              </w:rPr>
              <w:t>与与金运激光相竞争的活动，并承诺不直接或间接进行或参与任何损害或可能损害 金运激光利益的其他竞争行为。该等竞争包括但不限于：直接或间接从金运激光招 聘专业技术人员、销售人员、高级管理人员；不正当地利用金运激光的无形资产； 在广告、宣传上贬损金运激光的产品形象与企业形象等。如出现因本人违反上述承 诺与保证而导致金运激光或其股东的权益受到损害的情况，本人将依法承担相应的 赔偿责任。</w:t>
            </w:r>
          </w:p>
        </w:tc>
        <w:tc>
          <w:tcPr>
            <w:tcW w:w="1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9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703" w:hRule="exact"/>
        </w:trPr>
        <w:tc>
          <w:tcPr>
            <w:tcW w:w="269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51"/>
              <w:ind w:left="13" w:right="156"/>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287" w:type="dxa"/>
            <w:vMerge/>
            <w:tcBorders>
              <w:left w:val="single" w:sz="9" w:space="0" w:color="D2D2D2"/>
              <w:right w:val="single" w:sz="4" w:space="0" w:color="000000"/>
            </w:tcBorders>
          </w:tcPr>
          <w:p>
            <w:pPr/>
          </w:p>
        </w:tc>
        <w:tc>
          <w:tcPr>
            <w:tcW w:w="6602" w:type="dxa"/>
            <w:vMerge/>
            <w:tcBorders>
              <w:left w:val="single" w:sz="4" w:space="0" w:color="000000"/>
              <w:right w:val="single" w:sz="4" w:space="0" w:color="000000"/>
            </w:tcBorders>
          </w:tcPr>
          <w:p>
            <w:pPr/>
          </w:p>
        </w:tc>
        <w:tc>
          <w:tcPr>
            <w:tcW w:w="15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896" w:type="dxa"/>
            <w:vMerge/>
            <w:tcBorders>
              <w:left w:val="single" w:sz="4" w:space="0" w:color="000000"/>
              <w:right w:val="nil" w:sz="6" w:space="0" w:color="auto"/>
            </w:tcBorders>
          </w:tcPr>
          <w:p>
            <w:pPr/>
          </w:p>
        </w:tc>
      </w:tr>
      <w:tr>
        <w:trPr>
          <w:trHeight w:val="1228" w:hRule="exact"/>
        </w:trPr>
        <w:tc>
          <w:tcPr>
            <w:tcW w:w="2696" w:type="dxa"/>
            <w:vMerge w:val="restart"/>
            <w:tcBorders>
              <w:top w:val="nil" w:sz="6" w:space="0" w:color="auto"/>
              <w:left w:val="nil" w:sz="6" w:space="0" w:color="auto"/>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6602" w:type="dxa"/>
            <w:vMerge/>
            <w:tcBorders>
              <w:left w:val="single" w:sz="4" w:space="0" w:color="000000"/>
              <w:bottom w:val="single" w:sz="4" w:space="0" w:color="000000"/>
              <w:right w:val="single" w:sz="4" w:space="0" w:color="000000"/>
            </w:tcBorders>
          </w:tcPr>
          <w:p>
            <w:pPr/>
          </w:p>
        </w:tc>
        <w:tc>
          <w:tcPr>
            <w:tcW w:w="15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nil" w:sz="6" w:space="0" w:color="auto"/>
            </w:tcBorders>
          </w:tcPr>
          <w:p>
            <w:pPr/>
          </w:p>
        </w:tc>
      </w:tr>
      <w:tr>
        <w:trPr>
          <w:trHeight w:val="1298" w:hRule="exact"/>
        </w:trPr>
        <w:tc>
          <w:tcPr>
            <w:tcW w:w="2696" w:type="dxa"/>
            <w:vMerge/>
            <w:tcBorders>
              <w:left w:val="nil" w:sz="6" w:space="0" w:color="auto"/>
              <w:bottom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本公司实际控制人及控股股东梁伟先生出具了《关于规范关联交易的承诺函》，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除非金运激光的经营发展所必须，本人及本人能够控制或影响的关联方（以下统称</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）不与金运激光进行任何关联交易，对于无法规避、确实需要的关联交易，本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人将严格遵守中国证监会和金运激光公司章程及其他关联交易管理制度的规定，按</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447"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75.1pt;height:22.4pt;mso-position-horizontal-relative:char;mso-position-vertical-relative:line" coordorigin="0,0" coordsize="1502,448">
                  <v:group style="position:absolute;left:0;top:0;width:1502;height:448" coordorigin="0,0" coordsize="1502,448">
                    <v:shape style="position:absolute;left:0;top:0;width:1502;height:448" coordorigin="0,0" coordsize="1502,448" path="m0,448l1501,448,1501,0,0,0,0,44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headerReference w:type="default" r:id="rId47"/>
          <w:footerReference w:type="default" r:id="rId48"/>
          <w:pgSz w:w="16840" w:h="11910" w:orient="landscape"/>
          <w:pgMar w:header="867" w:footer="979" w:top="1060" w:bottom="1160" w:left="1300" w:right="1300"/>
          <w:pgNumType w:start="57"/>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21"/>
        <w:gridCol w:w="1276"/>
        <w:gridCol w:w="6602"/>
        <w:gridCol w:w="1511"/>
        <w:gridCol w:w="1010"/>
        <w:gridCol w:w="899"/>
      </w:tblGrid>
      <w:tr>
        <w:trPr>
          <w:trHeight w:val="689" w:hRule="exact"/>
        </w:trPr>
        <w:tc>
          <w:tcPr>
            <w:tcW w:w="2721" w:type="dxa"/>
            <w:vMerge w:val="restart"/>
            <w:tcBorders>
              <w:top w:val="single" w:sz="15" w:space="0" w:color="000000"/>
              <w:left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660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照通常的商业准则确定交易价格及其他交易条件，并按照关联交易公允决策的程序 履行批准手续，以杜绝通过关联交易进行不正当的利益输送。</w:t>
            </w:r>
          </w:p>
        </w:tc>
        <w:tc>
          <w:tcPr>
            <w:tcW w:w="1511" w:type="dxa"/>
            <w:tcBorders>
              <w:top w:val="single" w:sz="15" w:space="0" w:color="000000"/>
              <w:left w:val="single" w:sz="4" w:space="0" w:color="000000"/>
              <w:bottom w:val="single" w:sz="4" w:space="0" w:color="000000"/>
              <w:right w:val="single" w:sz="4" w:space="0" w:color="000000"/>
            </w:tcBorders>
          </w:tcPr>
          <w:p>
            <w:pPr/>
          </w:p>
        </w:tc>
        <w:tc>
          <w:tcPr>
            <w:tcW w:w="1010" w:type="dxa"/>
            <w:tcBorders>
              <w:top w:val="single" w:sz="15" w:space="0" w:color="000000"/>
              <w:left w:val="single" w:sz="4" w:space="0" w:color="000000"/>
              <w:bottom w:val="single" w:sz="4" w:space="0" w:color="000000"/>
              <w:right w:val="single" w:sz="4" w:space="0" w:color="000000"/>
            </w:tcBorders>
          </w:tcPr>
          <w:p>
            <w:pPr/>
          </w:p>
        </w:tc>
        <w:tc>
          <w:tcPr>
            <w:tcW w:w="899" w:type="dxa"/>
            <w:tcBorders>
              <w:top w:val="single" w:sz="15" w:space="0" w:color="000000"/>
              <w:left w:val="single" w:sz="4" w:space="0" w:color="000000"/>
              <w:bottom w:val="single" w:sz="4" w:space="0" w:color="000000"/>
              <w:right w:val="nil" w:sz="6" w:space="0" w:color="auto"/>
            </w:tcBorders>
          </w:tcPr>
          <w:p>
            <w:pPr/>
          </w:p>
        </w:tc>
      </w:tr>
      <w:tr>
        <w:trPr>
          <w:trHeight w:val="1962" w:hRule="exact"/>
        </w:trPr>
        <w:tc>
          <w:tcPr>
            <w:tcW w:w="2721" w:type="dxa"/>
            <w:vMerge/>
            <w:tcBorders>
              <w:left w:val="nil" w:sz="6" w:space="0" w:color="auto"/>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李俊、王丹梅、 竺一鸣</w:t>
            </w:r>
          </w:p>
        </w:tc>
        <w:tc>
          <w:tcPr>
            <w:tcW w:w="6602" w:type="dxa"/>
            <w:tcBorders>
              <w:top w:val="single" w:sz="4" w:space="0" w:color="000000"/>
              <w:left w:val="single" w:sz="13" w:space="0" w:color="FFFFFF"/>
              <w:bottom w:val="single" w:sz="4" w:space="0" w:color="000000"/>
              <w:right w:val="single" w:sz="4" w:space="0" w:color="000000"/>
            </w:tcBorders>
          </w:tcPr>
          <w:p>
            <w:pPr>
              <w:pStyle w:val="TableParagraph"/>
              <w:spacing w:line="312" w:lineRule="auto" w:before="51"/>
              <w:ind w:left="11" w:right="-1"/>
              <w:jc w:val="left"/>
              <w:rPr>
                <w:rFonts w:ascii="宋体" w:hAnsi="宋体" w:cs="宋体" w:eastAsia="宋体" w:hint="default"/>
                <w:sz w:val="18"/>
                <w:szCs w:val="18"/>
              </w:rPr>
            </w:pPr>
            <w:r>
              <w:rPr>
                <w:rFonts w:ascii="宋体" w:hAnsi="宋体" w:cs="宋体" w:eastAsia="宋体" w:hint="default"/>
                <w:spacing w:val="-3"/>
                <w:sz w:val="18"/>
                <w:szCs w:val="18"/>
              </w:rPr>
              <w:t>本公司的董事、监事、高级管理人员出具了《关于规范关联交易的承诺函》，承诺：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除非金运激光的经营发展所必须，本人及本人能够控制或影响的关联方（以下统称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）不与金运激光进行任何关联交易，对于无法规避、确实需要的关联交易，本 人将严格遵守中国证监会和金运激光公司章程及其他关联交易管理制度的规定，按 照通常的商业准则确定交易价格及其他交易条件，并按照关联交易公允决策的程序 履行批准手续，以杜绝通过关联交易进行不正当的利益输送。</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8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274" w:hRule="exact"/>
        </w:trPr>
        <w:tc>
          <w:tcPr>
            <w:tcW w:w="27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年，公司可采取现金、股票或者现金与股票相结合的利润分配方式分 配股利。具备现金分红条件的，公司应优先采取现金分红的股利分配政策，每年以 现金方式分配的利润不少于当年实现的可分配利润的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，且公司未来三年以现金 方式累计分配的利润不少于未来三年实现的年均可分配利润的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。在有条件的情 况下，公司董事会可以根据资金状况，提议进行中期利润分配。如果公司净利润保 持持续稳定增长，在保证足额现金分红及公司股本规模合理的前提下，公司可以实 施股票股利分配，加大对投资者的回报力度。</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27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129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40" w:lineRule="auto" w:before="35"/>
        <w:ind w:left="160" w:right="338"/>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160" w:right="10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6840" w:h="11910" w:orient="landscape"/>
          <w:pgMar w:header="867" w:footer="979" w:top="1060" w:bottom="1160" w:left="1280" w:right="126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left"/>
      </w:pPr>
      <w:r>
        <w:rPr/>
        <w:t>现聘任的会计事务所</w:t>
      </w:r>
    </w:p>
    <w:p>
      <w:pPr>
        <w:spacing w:line="240" w:lineRule="auto" w:before="11"/>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徐德 、高德惠</w:t>
            </w:r>
          </w:p>
        </w:tc>
      </w:tr>
    </w:tbl>
    <w:p>
      <w:pPr>
        <w:spacing w:line="240" w:lineRule="auto" w:before="3"/>
        <w:rPr>
          <w:rFonts w:ascii="宋体" w:hAnsi="宋体" w:cs="宋体" w:eastAsia="宋体" w:hint="default"/>
          <w:sz w:val="5"/>
          <w:szCs w:val="5"/>
        </w:rPr>
      </w:pPr>
    </w:p>
    <w:p>
      <w:pPr>
        <w:pStyle w:val="Heading4"/>
        <w:spacing w:line="240" w:lineRule="auto" w:before="35"/>
        <w:ind w:left="154" w:right="0"/>
        <w:jc w:val="left"/>
      </w:pPr>
      <w:r>
        <w:rPr/>
        <w:t>是否改聘会计师事务所</w:t>
      </w:r>
    </w:p>
    <w:p>
      <w:pPr>
        <w:spacing w:line="240" w:lineRule="auto" w:before="10"/>
        <w:rPr>
          <w:rFonts w:ascii="宋体" w:hAnsi="宋体" w:cs="宋体" w:eastAsia="宋体" w:hint="default"/>
          <w:sz w:val="17"/>
          <w:szCs w:val="17"/>
        </w:rPr>
      </w:pPr>
    </w:p>
    <w:p>
      <w:pPr>
        <w:pStyle w:val="Heading4"/>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28"/>
          <w:szCs w:val="28"/>
        </w:rPr>
      </w:pPr>
    </w:p>
    <w:p>
      <w:pPr>
        <w:pStyle w:val="Heading2"/>
        <w:spacing w:line="240" w:lineRule="auto"/>
        <w:ind w:left="154" w:right="323"/>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right="36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上市公司及其子公司是否被列入环保部门公布的污染严重企业名单</w:t>
      </w:r>
    </w:p>
    <w:p>
      <w:pPr>
        <w:pStyle w:val="Heading4"/>
        <w:spacing w:line="420" w:lineRule="auto" w:before="75"/>
        <w:ind w:right="494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上市公司及其子公司是否存在其他重大社会安全问题</w:t>
      </w:r>
    </w:p>
    <w:p>
      <w:pPr>
        <w:pStyle w:val="Heading4"/>
        <w:spacing w:line="420" w:lineRule="auto" w:before="75"/>
        <w:ind w:right="746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报告期内是否被行政处罚</w:t>
      </w:r>
    </w:p>
    <w:p>
      <w:pPr>
        <w:pStyle w:val="Heading4"/>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right="36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公司股东及其一致行动人在报告期内未提出或实施股份增持计划。</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9"/>
          <w:szCs w:val="29"/>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headerReference w:type="default" r:id="rId49"/>
          <w:footerReference w:type="default" r:id="rId50"/>
          <w:pgSz w:w="11910" w:h="16840"/>
          <w:pgMar w:header="877" w:footer="979" w:top="1100" w:bottom="1160" w:left="980" w:right="980"/>
          <w:pgNumType w:start="59"/>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30"/>
          <w:szCs w:val="30"/>
        </w:rPr>
      </w:pPr>
    </w:p>
    <w:p>
      <w:pPr>
        <w:pStyle w:val="Heading4"/>
        <w:spacing w:line="420" w:lineRule="auto"/>
        <w:ind w:right="5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公司报告期不存在需要说明的其他重大事项。</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0"/>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6"/>
      <w:bookmarkEnd w:id="7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986"/>
        <w:gridCol w:w="878"/>
        <w:gridCol w:w="808"/>
        <w:gridCol w:w="809"/>
        <w:gridCol w:w="808"/>
        <w:gridCol w:w="866"/>
        <w:gridCol w:w="926"/>
        <w:gridCol w:w="866"/>
        <w:gridCol w:w="956"/>
        <w:gridCol w:w="764"/>
      </w:tblGrid>
      <w:tr>
        <w:trPr>
          <w:trHeight w:val="402" w:hRule="exact"/>
        </w:trPr>
        <w:tc>
          <w:tcPr>
            <w:tcW w:w="1986" w:type="dxa"/>
            <w:tcBorders>
              <w:top w:val="single" w:sz="4" w:space="0" w:color="000000"/>
              <w:left w:val="nil" w:sz="6" w:space="0" w:color="auto"/>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20"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86" w:type="dxa"/>
            <w:vMerge w:val="restart"/>
            <w:tcBorders>
              <w:top w:val="nil" w:sz="6" w:space="0" w:color="auto"/>
              <w:left w:val="nil" w:sz="6" w:space="0" w:color="auto"/>
              <w:right w:val="single" w:sz="4" w:space="0" w:color="000000"/>
            </w:tcBorders>
            <w:shd w:val="clear" w:color="auto" w:fill="D2D2D2"/>
          </w:tcPr>
          <w:p>
            <w:pPr/>
          </w:p>
        </w:tc>
        <w:tc>
          <w:tcPr>
            <w:tcW w:w="87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7" w:right="67"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1" w:hRule="exact"/>
        </w:trPr>
        <w:tc>
          <w:tcPr>
            <w:tcW w:w="1986" w:type="dxa"/>
            <w:vMerge/>
            <w:tcBorders>
              <w:left w:val="nil" w:sz="6" w:space="0" w:color="auto"/>
              <w:bottom w:val="nil" w:sz="6" w:space="0" w:color="auto"/>
              <w:right w:val="single" w:sz="4" w:space="0" w:color="000000"/>
            </w:tcBorders>
            <w:shd w:val="clear" w:color="auto" w:fill="D2D2D2"/>
          </w:tcPr>
          <w:p>
            <w:pP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66"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86" w:type="dxa"/>
            <w:vMerge w:val="restart"/>
            <w:tcBorders>
              <w:top w:val="nil" w:sz="6" w:space="0" w:color="auto"/>
              <w:left w:val="nil" w:sz="6" w:space="0" w:color="auto"/>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1986" w:type="dxa"/>
            <w:vMerge/>
            <w:tcBorders>
              <w:left w:val="nil" w:sz="6" w:space="0" w:color="auto"/>
              <w:bottom w:val="single" w:sz="4" w:space="0" w:color="000000"/>
              <w:right w:val="single" w:sz="4" w:space="0" w:color="000000"/>
            </w:tcBorders>
            <w:shd w:val="clear" w:color="auto" w:fill="D2D2D2"/>
          </w:tcPr>
          <w:p>
            <w:pPr/>
          </w:p>
        </w:tc>
        <w:tc>
          <w:tcPr>
            <w:tcW w:w="87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48,126,712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26,989,690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-14,389,600</w:t>
            </w:r>
            <w:r>
              <w:rPr>
                <w:rFonts w:ascii="Times New Roman"/>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60,726,802</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48.20%</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48,126,712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26,989,690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-14,389,600</w:t>
            </w:r>
            <w:r>
              <w:rPr>
                <w:rFonts w:ascii="Times New Roman"/>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60,726,802</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48.20%</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1,560,000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3,510,000</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45,526,712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65.04%</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25,429,690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-13,739,600</w:t>
            </w:r>
            <w:r>
              <w:rPr>
                <w:rFonts w:ascii="Times New Roman"/>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11,690,090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57,216,802</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45.41%</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21,873,288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29,010,310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14,389,600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43,399,910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65,273,198</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51.80%</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21,873,288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29,010,310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14,389,600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43,399,910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65,273,198</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51.80%</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56,000,000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126,000,000</w:t>
            </w:r>
          </w:p>
        </w:tc>
        <w:tc>
          <w:tcPr>
            <w:tcW w:w="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5"/>
          <w:szCs w:val="5"/>
        </w:rPr>
      </w:pPr>
    </w:p>
    <w:p>
      <w:pPr>
        <w:pStyle w:val="Heading4"/>
        <w:spacing w:line="240" w:lineRule="auto" w:before="35"/>
        <w:ind w:left="154" w:right="0"/>
        <w:jc w:val="left"/>
      </w:pPr>
      <w:r>
        <w:rPr/>
        <w:t>股份变动的原因</w:t>
      </w:r>
    </w:p>
    <w:p>
      <w:pPr>
        <w:spacing w:line="240" w:lineRule="auto" w:before="12"/>
        <w:rPr>
          <w:rFonts w:ascii="宋体" w:hAnsi="宋体" w:cs="宋体" w:eastAsia="宋体" w:hint="default"/>
          <w:sz w:val="17"/>
          <w:szCs w:val="17"/>
        </w:rPr>
      </w:pPr>
    </w:p>
    <w:p>
      <w:pPr>
        <w:pStyle w:val="Heading4"/>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16"/>
          <w:szCs w:val="16"/>
        </w:rPr>
      </w:pPr>
    </w:p>
    <w:p>
      <w:pPr>
        <w:pStyle w:val="Heading4"/>
        <w:spacing w:line="240" w:lineRule="auto"/>
        <w:ind w:left="574" w:right="0"/>
        <w:jc w:val="left"/>
      </w:pPr>
      <w:r>
        <w:rPr/>
        <w:t>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年半年度利润分配方案于</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日实施。公司以总股本</w:t>
      </w:r>
      <w:r>
        <w:rPr>
          <w:spacing w:val="-5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3"/>
        </w:rPr>
        <w:t> </w:t>
      </w:r>
      <w:r>
        <w:rPr/>
        <w:t>万股为基数，向全体</w:t>
      </w:r>
    </w:p>
    <w:p>
      <w:pPr>
        <w:pStyle w:val="Heading4"/>
        <w:spacing w:line="420" w:lineRule="auto" w:before="178"/>
        <w:ind w:right="2011"/>
        <w:jc w:val="left"/>
      </w:pPr>
      <w:r>
        <w:rPr/>
        <w:t>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股，共计转增</w:t>
      </w:r>
      <w:r>
        <w:rPr>
          <w:spacing w:val="-54"/>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
        </w:rPr>
        <w:t> </w:t>
      </w:r>
      <w:r>
        <w:rPr/>
        <w:t>万股，转增后公司总股本增加至</w:t>
      </w:r>
      <w:r>
        <w:rPr>
          <w:spacing w:val="-54"/>
        </w:rPr>
        <w:t> </w:t>
      </w:r>
      <w:r>
        <w:rPr>
          <w:rFonts w:ascii="Times New Roman" w:hAnsi="Times New Roman" w:cs="Times New Roman" w:eastAsia="Times New Roman" w:hint="default"/>
        </w:rPr>
        <w:t>12600 </w:t>
      </w:r>
      <w:r>
        <w:rPr/>
        <w:t>万股。 股份变动的批准情况</w:t>
      </w:r>
    </w:p>
    <w:p>
      <w:pPr>
        <w:pStyle w:val="Heading4"/>
        <w:spacing w:line="420" w:lineRule="auto" w:before="76"/>
        <w:ind w:right="78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股份变动的过户情况</w:t>
      </w:r>
    </w:p>
    <w:p>
      <w:pPr>
        <w:pStyle w:val="Heading4"/>
        <w:spacing w:line="420" w:lineRule="auto" w:before="75"/>
        <w:ind w:left="573" w:right="0"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1"/>
        </w:rPr>
        <w:t>股份变动对最近一年和最近一期基本每股收益和稀释每股收益、归属于公司普通股股东的每股净资产</w:t>
      </w:r>
    </w:p>
    <w:p>
      <w:pPr>
        <w:pStyle w:val="Heading4"/>
        <w:spacing w:line="240" w:lineRule="auto" w:before="37"/>
        <w:ind w:right="0"/>
        <w:jc w:val="left"/>
      </w:pPr>
      <w:r>
        <w:rPr/>
        <w:t>等财务指标的影响</w:t>
      </w:r>
    </w:p>
    <w:p>
      <w:pPr>
        <w:spacing w:line="240" w:lineRule="auto" w:before="10"/>
        <w:rPr>
          <w:rFonts w:ascii="宋体" w:hAnsi="宋体" w:cs="宋体" w:eastAsia="宋体" w:hint="default"/>
          <w:sz w:val="17"/>
          <w:szCs w:val="17"/>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16"/>
          <w:szCs w:val="16"/>
        </w:rPr>
      </w:pPr>
    </w:p>
    <w:p>
      <w:pPr>
        <w:pStyle w:val="Heading4"/>
        <w:spacing w:line="386" w:lineRule="auto"/>
        <w:ind w:left="154" w:right="138" w:firstLine="420"/>
        <w:jc w:val="left"/>
        <w:rPr>
          <w:rFonts w:ascii="Times New Roman" w:hAnsi="Times New Roman" w:cs="Times New Roman" w:eastAsia="Times New Roman" w:hint="default"/>
        </w:rPr>
      </w:pPr>
      <w:r>
        <w:rPr/>
        <w:t>股份总数增加对公司</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年基本每股收益和稀释每股收益有摊薄，具体详见本报告</w:t>
      </w:r>
      <w:r>
        <w:rPr>
          <w:rFonts w:ascii="Times New Roman" w:hAnsi="Times New Roman" w:cs="Times New Roman" w:eastAsia="Times New Roman" w:hint="default"/>
        </w:rPr>
        <w:t>“</w:t>
      </w:r>
      <w:r>
        <w:rPr/>
        <w:t>第三节、一、主 要会计数据和财务指标</w:t>
      </w:r>
      <w:r>
        <w:rPr>
          <w:rFonts w:ascii="Times New Roman" w:hAnsi="Times New Roman" w:cs="Times New Roman" w:eastAsia="Times New Roman" w:hint="default"/>
        </w:rPr>
        <w:t>”</w:t>
      </w:r>
    </w:p>
    <w:p>
      <w:pPr>
        <w:pStyle w:val="Heading4"/>
        <w:spacing w:line="240" w:lineRule="auto" w:before="76"/>
        <w:ind w:left="154" w:right="0"/>
        <w:jc w:val="left"/>
      </w:pPr>
      <w:r>
        <w:rPr/>
        <w:t>公司认为必要或证券监管机构要求披露的其他内容</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6"/>
          <w:szCs w:val="26"/>
        </w:rPr>
      </w:pPr>
    </w:p>
    <w:p>
      <w:pPr>
        <w:pStyle w:val="Heading4"/>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3"/>
        <w:spacing w:line="240" w:lineRule="auto"/>
        <w:ind w:left="153" w:right="0"/>
        <w:jc w:val="left"/>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9"/>
          <w:szCs w:val="9"/>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101"/>
        <w:gridCol w:w="1633"/>
      </w:tblGrid>
      <w:tr>
        <w:trPr>
          <w:trHeight w:val="714"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1,198,125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1,852,875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258,525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89,437</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农源钦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洪新元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易淑梅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38,398,400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38,398,400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13,439,440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51,837,840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许海童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4"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75"/>
              <w:jc w:val="left"/>
              <w:rPr>
                <w:rFonts w:ascii="宋体" w:hAnsi="宋体" w:cs="宋体" w:eastAsia="宋体" w:hint="default"/>
                <w:sz w:val="18"/>
                <w:szCs w:val="18"/>
              </w:rPr>
            </w:pPr>
            <w:r>
              <w:rPr>
                <w:rFonts w:ascii="宋体" w:hAnsi="宋体" w:cs="宋体" w:eastAsia="宋体" w:hint="default"/>
                <w:sz w:val="18"/>
                <w:szCs w:val="18"/>
              </w:rPr>
              <w:t>新余全盛通投资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3,510,000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48,342,150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43,403,838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15,784,652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60,726,802</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30"/>
          <w:szCs w:val="30"/>
        </w:rPr>
      </w:pPr>
    </w:p>
    <w:p>
      <w:pPr>
        <w:pStyle w:val="Heading3"/>
        <w:spacing w:line="240" w:lineRule="auto"/>
        <w:ind w:left="153" w:right="0"/>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8"/>
          <w:szCs w:val="28"/>
        </w:rPr>
      </w:pPr>
    </w:p>
    <w:p>
      <w:pPr>
        <w:pStyle w:val="Heading2"/>
        <w:spacing w:line="240" w:lineRule="auto"/>
        <w:ind w:right="0"/>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after="0" w:line="240" w:lineRule="auto"/>
        <w:jc w:val="right"/>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5" w:type="dxa"/>
        <w:tblLayout w:type="fixed"/>
        <w:tblCellMar>
          <w:top w:w="0" w:type="dxa"/>
          <w:left w:w="0" w:type="dxa"/>
          <w:bottom w:w="0" w:type="dxa"/>
          <w:right w:w="0" w:type="dxa"/>
        </w:tblCellMar>
        <w:tblLook w:val="01E0"/>
      </w:tblPr>
      <w:tblGrid>
        <w:gridCol w:w="1820"/>
        <w:gridCol w:w="796"/>
        <w:gridCol w:w="338"/>
        <w:gridCol w:w="888"/>
        <w:gridCol w:w="535"/>
        <w:gridCol w:w="599"/>
        <w:gridCol w:w="850"/>
        <w:gridCol w:w="1120"/>
        <w:gridCol w:w="1019"/>
        <w:gridCol w:w="91"/>
        <w:gridCol w:w="230"/>
        <w:gridCol w:w="526"/>
        <w:gridCol w:w="855"/>
      </w:tblGrid>
      <w:tr>
        <w:trPr>
          <w:trHeight w:val="407" w:hRule="exact"/>
        </w:trPr>
        <w:tc>
          <w:tcPr>
            <w:tcW w:w="2616"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61" w:type="dxa"/>
            <w:gridSpan w:val="3"/>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1"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2"/>
                <w:sz w:val="18"/>
              </w:rPr>
              <w:t>11,038</w:t>
            </w:r>
          </w:p>
        </w:tc>
      </w:tr>
      <w:tr>
        <w:trPr>
          <w:trHeight w:val="392" w:hRule="exact"/>
        </w:trPr>
        <w:tc>
          <w:tcPr>
            <w:tcW w:w="9667"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820" w:type="dxa"/>
            <w:vMerge w:val="restart"/>
            <w:tcBorders>
              <w:top w:val="single" w:sz="4" w:space="0" w:color="000000"/>
              <w:left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8"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3" w:right="3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02" w:type="dxa"/>
            <w:gridSpan w:val="4"/>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820" w:type="dxa"/>
            <w:vMerge/>
            <w:tcBorders>
              <w:left w:val="nil" w:sz="6" w:space="0" w:color="auto"/>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tcBorders>
              <w:left w:val="single" w:sz="4" w:space="0" w:color="000000"/>
              <w:right w:val="single" w:sz="4" w:space="0" w:color="000000"/>
            </w:tcBorders>
            <w:shd w:val="clear" w:color="auto" w:fill="D2D2D2"/>
          </w:tcPr>
          <w:p>
            <w:pPr/>
          </w:p>
        </w:tc>
        <w:tc>
          <w:tcPr>
            <w:tcW w:w="112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3" w:right="-4"/>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019" w:type="dxa"/>
            <w:vMerge/>
            <w:tcBorders>
              <w:left w:val="single" w:sz="4" w:space="0" w:color="000000"/>
              <w:right w:val="single" w:sz="4" w:space="0" w:color="000000"/>
            </w:tcBorders>
            <w:shd w:val="clear" w:color="auto" w:fill="D2D2D2"/>
          </w:tcPr>
          <w:p>
            <w:pPr/>
          </w:p>
        </w:tc>
        <w:tc>
          <w:tcPr>
            <w:tcW w:w="1702" w:type="dxa"/>
            <w:gridSpan w:val="4"/>
            <w:vMerge/>
            <w:tcBorders>
              <w:left w:val="single" w:sz="4" w:space="0" w:color="000000"/>
              <w:right w:val="nil" w:sz="6" w:space="0" w:color="auto"/>
            </w:tcBorders>
            <w:shd w:val="clear" w:color="auto" w:fill="D2D2D2"/>
          </w:tcPr>
          <w:p>
            <w:pPr/>
          </w:p>
        </w:tc>
      </w:tr>
      <w:tr>
        <w:trPr>
          <w:trHeight w:val="141" w:hRule="exact"/>
        </w:trPr>
        <w:tc>
          <w:tcPr>
            <w:tcW w:w="182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1702" w:type="dxa"/>
            <w:gridSpan w:val="4"/>
            <w:vMerge/>
            <w:tcBorders>
              <w:left w:val="single" w:sz="4" w:space="0" w:color="000000"/>
              <w:bottom w:val="single" w:sz="4" w:space="0" w:color="000000"/>
              <w:right w:val="nil" w:sz="6" w:space="0" w:color="auto"/>
            </w:tcBorders>
            <w:shd w:val="clear" w:color="auto" w:fill="D2D2D2"/>
          </w:tcPr>
          <w:p>
            <w:pPr/>
          </w:p>
        </w:tc>
      </w:tr>
      <w:tr>
        <w:trPr>
          <w:trHeight w:val="252" w:hRule="exact"/>
        </w:trPr>
        <w:tc>
          <w:tcPr>
            <w:tcW w:w="1820" w:type="dxa"/>
            <w:vMerge/>
            <w:tcBorders>
              <w:left w:val="nil" w:sz="6" w:space="0" w:color="auto"/>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5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07"/>
              <w:ind w:left="2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820" w:type="dxa"/>
            <w:vMerge w:val="restart"/>
            <w:tcBorders>
              <w:top w:val="nil" w:sz="6" w:space="0" w:color="auto"/>
              <w:left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47" w:type="dxa"/>
            <w:gridSpan w:val="3"/>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nil" w:sz="6" w:space="0" w:color="auto"/>
            </w:tcBorders>
            <w:shd w:val="clear" w:color="auto" w:fill="D2D2D2"/>
          </w:tcPr>
          <w:p>
            <w:pPr/>
          </w:p>
        </w:tc>
      </w:tr>
      <w:tr>
        <w:trPr>
          <w:trHeight w:val="161" w:hRule="exact"/>
        </w:trPr>
        <w:tc>
          <w:tcPr>
            <w:tcW w:w="1820" w:type="dxa"/>
            <w:vMerge/>
            <w:tcBorders>
              <w:left w:val="nil" w:sz="6" w:space="0" w:color="auto"/>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47" w:type="dxa"/>
            <w:gridSpan w:val="3"/>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69,117,120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51,837,840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17,279,280</w:t>
            </w:r>
          </w:p>
        </w:tc>
        <w:tc>
          <w:tcPr>
            <w:tcW w:w="847" w:type="dxa"/>
            <w:gridSpan w:val="3"/>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55" w:type="dxa"/>
            <w:tcBorders>
              <w:top w:val="single" w:sz="48" w:space="0" w:color="D2D2D2"/>
              <w:left w:val="single" w:sz="4" w:space="0" w:color="000000"/>
              <w:bottom w:val="single" w:sz="4" w:space="0" w:color="000000"/>
              <w:right w:val="nil" w:sz="6" w:space="0" w:color="auto"/>
            </w:tcBorders>
          </w:tcPr>
          <w:p>
            <w:pPr>
              <w:pStyle w:val="TableParagraph"/>
              <w:spacing w:line="240" w:lineRule="auto" w:before="35"/>
              <w:ind w:left="25" w:right="0"/>
              <w:jc w:val="left"/>
              <w:rPr>
                <w:rFonts w:ascii="Times New Roman" w:hAnsi="Times New Roman" w:cs="Times New Roman" w:eastAsia="Times New Roman" w:hint="default"/>
                <w:sz w:val="18"/>
                <w:szCs w:val="18"/>
              </w:rPr>
            </w:pPr>
            <w:r>
              <w:rPr>
                <w:rFonts w:ascii="Times New Roman"/>
                <w:sz w:val="18"/>
              </w:rPr>
              <w:t>26,880,000</w:t>
            </w:r>
          </w:p>
        </w:tc>
      </w:tr>
      <w:tr>
        <w:trPr>
          <w:trHeight w:val="714"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79"/>
              <w:jc w:val="left"/>
              <w:rPr>
                <w:rFonts w:ascii="宋体" w:hAnsi="宋体" w:cs="宋体" w:eastAsia="宋体" w:hint="default"/>
                <w:sz w:val="18"/>
                <w:szCs w:val="18"/>
              </w:rPr>
            </w:pPr>
            <w:r>
              <w:rPr>
                <w:rFonts w:ascii="宋体" w:hAnsi="宋体" w:cs="宋体" w:eastAsia="宋体" w:hint="default"/>
                <w:sz w:val="18"/>
                <w:szCs w:val="18"/>
              </w:rPr>
              <w:t>新余全盛通投资管理 有限公司</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4,680,000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3,510,000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1,170,000</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79"/>
              <w:jc w:val="left"/>
              <w:rPr>
                <w:rFonts w:ascii="宋体" w:hAnsi="宋体" w:cs="宋体" w:eastAsia="宋体" w:hint="default"/>
                <w:sz w:val="18"/>
                <w:szCs w:val="18"/>
              </w:rPr>
            </w:pPr>
            <w:r>
              <w:rPr>
                <w:rFonts w:ascii="宋体" w:hAnsi="宋体" w:cs="宋体" w:eastAsia="宋体" w:hint="default"/>
                <w:sz w:val="18"/>
                <w:szCs w:val="18"/>
              </w:rPr>
              <w:t>中国工商银行－诺安 股票证券投资基金</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3,421,665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3,421,665</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2,470,500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1,852,875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617,625</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179"/>
              <w:jc w:val="both"/>
              <w:rPr>
                <w:rFonts w:ascii="宋体" w:hAnsi="宋体" w:cs="宋体" w:eastAsia="宋体" w:hint="default"/>
                <w:sz w:val="18"/>
                <w:szCs w:val="18"/>
              </w:rPr>
            </w:pPr>
            <w:r>
              <w:rPr>
                <w:rFonts w:ascii="宋体" w:hAnsi="宋体" w:cs="宋体" w:eastAsia="宋体" w:hint="default"/>
                <w:sz w:val="18"/>
                <w:szCs w:val="18"/>
              </w:rPr>
              <w:t>招商银行股份有限公 司－诺安保本混合型 证券投资基金</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2,286,664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2,286,664</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易淑梅</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1,872,000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1,872,000</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1,800,000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洪新元</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1,770,000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1,770,000</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1,597,500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399,375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1,198,125</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许海童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1,080,000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720,000</w:t>
            </w:r>
          </w:p>
        </w:tc>
        <w:tc>
          <w:tcPr>
            <w:tcW w:w="847" w:type="dxa"/>
            <w:gridSpan w:val="3"/>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954" w:type="dxa"/>
            <w:gridSpan w:val="3"/>
            <w:tcBorders>
              <w:top w:val="single" w:sz="4" w:space="0" w:color="000000"/>
              <w:left w:val="nil" w:sz="6" w:space="0" w:color="auto"/>
              <w:bottom w:val="nil" w:sz="6" w:space="0" w:color="auto"/>
              <w:right w:val="single" w:sz="4" w:space="0" w:color="000000"/>
            </w:tcBorders>
            <w:shd w:val="clear" w:color="auto" w:fill="D2D2D2"/>
          </w:tcPr>
          <w:p>
            <w:pPr/>
          </w:p>
        </w:tc>
        <w:tc>
          <w:tcPr>
            <w:tcW w:w="6713" w:type="dxa"/>
            <w:gridSpan w:val="10"/>
            <w:vMerge w:val="restart"/>
            <w:tcBorders>
              <w:top w:val="single" w:sz="4" w:space="0" w:color="000000"/>
              <w:left w:val="single" w:sz="9" w:space="0" w:color="D2D2D2"/>
              <w:right w:val="nil" w:sz="6" w:space="0" w:color="auto"/>
            </w:tcBorders>
          </w:tcPr>
          <w:p>
            <w:pPr>
              <w:pStyle w:val="TableParagraph"/>
              <w:spacing w:line="319"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梁萍女士、新余全盛通法定代表人梁芳女士为公司实际控制人及控股股东梁伟先生的 姐姐，易淑梅女士为公司实际控制人及控股股东梁伟先生的母亲，除此之外，其他前 股东间不存在关联关系或属于《上市公司股东持股变动信息披露管理办法》规定的一 致行动人。</w:t>
            </w:r>
          </w:p>
        </w:tc>
      </w:tr>
      <w:tr>
        <w:trPr>
          <w:trHeight w:val="392" w:hRule="exact"/>
        </w:trPr>
        <w:tc>
          <w:tcPr>
            <w:tcW w:w="2954" w:type="dxa"/>
            <w:gridSpan w:val="3"/>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713" w:type="dxa"/>
            <w:gridSpan w:val="10"/>
            <w:vMerge/>
            <w:tcBorders>
              <w:left w:val="single" w:sz="9" w:space="0" w:color="D2D2D2"/>
              <w:right w:val="nil" w:sz="6" w:space="0" w:color="auto"/>
            </w:tcBorders>
          </w:tcPr>
          <w:p>
            <w:pPr/>
          </w:p>
        </w:tc>
      </w:tr>
      <w:tr>
        <w:trPr>
          <w:trHeight w:val="473" w:hRule="exact"/>
        </w:trPr>
        <w:tc>
          <w:tcPr>
            <w:tcW w:w="2954" w:type="dxa"/>
            <w:gridSpan w:val="3"/>
            <w:tcBorders>
              <w:top w:val="nil" w:sz="6" w:space="0" w:color="auto"/>
              <w:left w:val="nil" w:sz="6" w:space="0" w:color="auto"/>
              <w:bottom w:val="single" w:sz="4" w:space="0" w:color="000000"/>
              <w:right w:val="single" w:sz="4" w:space="0" w:color="000000"/>
            </w:tcBorders>
            <w:shd w:val="clear" w:color="auto" w:fill="D2D2D2"/>
          </w:tcPr>
          <w:p>
            <w:pPr/>
          </w:p>
        </w:tc>
        <w:tc>
          <w:tcPr>
            <w:tcW w:w="6713" w:type="dxa"/>
            <w:gridSpan w:val="10"/>
            <w:vMerge/>
            <w:tcBorders>
              <w:left w:val="single" w:sz="9" w:space="0" w:color="D2D2D2"/>
              <w:bottom w:val="single" w:sz="4" w:space="0" w:color="000000"/>
              <w:right w:val="nil" w:sz="6" w:space="0" w:color="auto"/>
            </w:tcBorders>
          </w:tcPr>
          <w:p>
            <w:pPr/>
          </w:p>
        </w:tc>
      </w:tr>
      <w:tr>
        <w:trPr>
          <w:trHeight w:val="402" w:hRule="exact"/>
        </w:trPr>
        <w:tc>
          <w:tcPr>
            <w:tcW w:w="9667"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954" w:type="dxa"/>
            <w:gridSpan w:val="3"/>
            <w:tcBorders>
              <w:top w:val="single" w:sz="4" w:space="0" w:color="000000"/>
              <w:left w:val="nil" w:sz="6" w:space="0" w:color="auto"/>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21" w:type="dxa"/>
            <w:gridSpan w:val="5"/>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954" w:type="dxa"/>
            <w:gridSpan w:val="3"/>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21" w:type="dxa"/>
            <w:gridSpan w:val="5"/>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954" w:type="dxa"/>
            <w:gridSpan w:val="3"/>
            <w:vMerge/>
            <w:tcBorders>
              <w:left w:val="nil" w:sz="6" w:space="0" w:color="auto"/>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1"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954" w:type="dxa"/>
            <w:gridSpan w:val="3"/>
            <w:tcBorders>
              <w:top w:val="nil" w:sz="6" w:space="0" w:color="auto"/>
              <w:left w:val="nil" w:sz="6" w:space="0" w:color="auto"/>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1" w:type="dxa"/>
            <w:gridSpan w:val="3"/>
            <w:vMerge/>
            <w:tcBorders>
              <w:left w:val="single" w:sz="4" w:space="0" w:color="000000"/>
              <w:bottom w:val="single" w:sz="4" w:space="0" w:color="000000"/>
              <w:right w:val="single" w:sz="4" w:space="0" w:color="000000"/>
            </w:tcBorders>
            <w:shd w:val="clear" w:color="auto" w:fill="D2D2D2"/>
          </w:tcPr>
          <w:p>
            <w:pPr/>
          </w:p>
        </w:tc>
        <w:tc>
          <w:tcPr>
            <w:tcW w:w="1381" w:type="dxa"/>
            <w:gridSpan w:val="2"/>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17,279,280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17,279,280</w:t>
            </w:r>
          </w:p>
        </w:tc>
      </w:tr>
      <w:tr>
        <w:trPr>
          <w:trHeight w:val="714"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53"/>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 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3,421,665</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1" w:right="0"/>
              <w:jc w:val="left"/>
              <w:rPr>
                <w:rFonts w:ascii="Times New Roman" w:hAnsi="Times New Roman" w:cs="Times New Roman" w:eastAsia="Times New Roman" w:hint="default"/>
                <w:sz w:val="18"/>
                <w:szCs w:val="18"/>
              </w:rPr>
            </w:pPr>
            <w:r>
              <w:rPr>
                <w:rFonts w:ascii="Times New Roman"/>
                <w:sz w:val="18"/>
              </w:rPr>
              <w:t>3,421,665</w:t>
            </w:r>
          </w:p>
        </w:tc>
      </w:tr>
      <w:tr>
        <w:trPr>
          <w:trHeight w:val="714"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53"/>
              <w:jc w:val="left"/>
              <w:rPr>
                <w:rFonts w:ascii="宋体" w:hAnsi="宋体" w:cs="宋体" w:eastAsia="宋体" w:hint="default"/>
                <w:sz w:val="18"/>
                <w:szCs w:val="18"/>
              </w:rPr>
            </w:pPr>
            <w:r>
              <w:rPr>
                <w:rFonts w:ascii="宋体" w:hAnsi="宋体" w:cs="宋体" w:eastAsia="宋体" w:hint="default"/>
                <w:sz w:val="18"/>
                <w:szCs w:val="18"/>
              </w:rPr>
              <w:t>招商银行股份有限公司－诺安保本混 合型证券投资基金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2,286,664</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1" w:right="0"/>
              <w:jc w:val="left"/>
              <w:rPr>
                <w:rFonts w:ascii="Times New Roman" w:hAnsi="Times New Roman" w:cs="Times New Roman" w:eastAsia="Times New Roman" w:hint="default"/>
                <w:sz w:val="18"/>
                <w:szCs w:val="18"/>
              </w:rPr>
            </w:pPr>
            <w:r>
              <w:rPr>
                <w:rFonts w:ascii="Times New Roman"/>
                <w:sz w:val="18"/>
              </w:rPr>
              <w:t>2,286,664</w:t>
            </w: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易淑梅</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1,872,000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1,872,000</w:t>
            </w: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1,800,000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洪新元</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1,770,000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1,770,000</w:t>
            </w: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1,170,000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1,170,000</w:t>
            </w: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1,020,000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1,020,000</w:t>
            </w:r>
          </w:p>
        </w:tc>
      </w:tr>
      <w:tr>
        <w:trPr>
          <w:trHeight w:val="402" w:hRule="exact"/>
        </w:trPr>
        <w:tc>
          <w:tcPr>
            <w:tcW w:w="2954"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盛云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783,000</w:t>
            </w:r>
          </w:p>
        </w:tc>
        <w:tc>
          <w:tcPr>
            <w:tcW w:w="1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1,020,000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BodyText"/>
        <w:spacing w:line="240" w:lineRule="auto" w:before="44"/>
        <w:ind w:left="0" w:right="103"/>
        <w:jc w:val="right"/>
      </w:pPr>
      <w:r>
        <w:rPr/>
        <w:pict>
          <v:shape style="position:absolute;margin-left:55.080002pt;margin-top:-103.468292pt;width:485.5pt;height:154.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8"/>
                    <w:gridCol w:w="3953"/>
                    <w:gridCol w:w="1379"/>
                    <w:gridCol w:w="1394"/>
                  </w:tblGrid>
                  <w:tr>
                    <w:trPr>
                      <w:trHeight w:val="402" w:hRule="exact"/>
                    </w:trPr>
                    <w:tc>
                      <w:tcPr>
                        <w:tcW w:w="2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田经华</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740,000</w:t>
                        </w:r>
                      </w:p>
                    </w:tc>
                  </w:tr>
                  <w:tr>
                    <w:trPr>
                      <w:trHeight w:val="1650" w:hRule="exact"/>
                    </w:trPr>
                    <w:tc>
                      <w:tcPr>
                        <w:tcW w:w="2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名无限售流通股股东之间，以及</w:t>
                        </w:r>
                      </w:p>
                      <w:p>
                        <w:pPr>
                          <w:pStyle w:val="TableParagraph"/>
                          <w:spacing w:line="302" w:lineRule="auto" w:before="63"/>
                          <w:ind w:left="27"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727" w:type="dxa"/>
                        <w:gridSpan w:val="3"/>
                        <w:tcBorders>
                          <w:top w:val="single" w:sz="4" w:space="0" w:color="000000"/>
                          <w:left w:val="single" w:sz="4" w:space="0" w:color="000000"/>
                          <w:bottom w:val="single" w:sz="4" w:space="0" w:color="000000"/>
                          <w:right w:val="nil" w:sz="6" w:space="0" w:color="auto"/>
                        </w:tcBorders>
                      </w:tcPr>
                      <w:p>
                        <w:pPr>
                          <w:pStyle w:val="TableParagraph"/>
                          <w:spacing w:line="30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名股东中梁萍女士、新余全盛通法定代表人梁芳女士为公司实际控制人及控股股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东梁伟先生的姐姐，易淑梅女士为公司实际控制人及控股股东梁伟先生的母亲，除此 之外，其他前股东间不存在关联关系或属于《上市公司股东持股变动信息披露管理办 法》规定的一致行动人；公司无法确定前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名无限售股东之间是否存在关联关系， 也无法确定是否属于一致行动人。</w:t>
                        </w:r>
                      </w:p>
                    </w:tc>
                  </w:tr>
                  <w:tr>
                    <w:trPr>
                      <w:trHeight w:val="1026" w:hRule="exact"/>
                    </w:trPr>
                    <w:tc>
                      <w:tcPr>
                        <w:tcW w:w="2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5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2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盛云通过安信证券股份有限公司客户信用交易担保证券账户持有公司股票</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783,000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实际合计持股有公司股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股。田经华通过中信建投证券股份有限公司客户信用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股，实际合计持股有公司股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spacing w:val="-2"/>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before="35"/>
        <w:ind w:left="154" w:right="5192"/>
        <w:jc w:val="left"/>
      </w:pPr>
      <w:r>
        <w:rPr/>
        <w:t>公司股东在报告期内是否进行约定购回交易</w:t>
      </w:r>
    </w:p>
    <w:p>
      <w:pPr>
        <w:spacing w:line="240" w:lineRule="auto" w:before="12"/>
        <w:rPr>
          <w:rFonts w:ascii="宋体" w:hAnsi="宋体" w:cs="宋体" w:eastAsia="宋体" w:hint="default"/>
          <w:sz w:val="17"/>
          <w:szCs w:val="17"/>
        </w:rPr>
      </w:pPr>
    </w:p>
    <w:p>
      <w:pPr>
        <w:pStyle w:val="Heading4"/>
        <w:spacing w:line="420" w:lineRule="auto"/>
        <w:ind w:left="154" w:right="58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公司股东在报告期内未进行约定购回交易。</w:t>
      </w:r>
    </w:p>
    <w:p>
      <w:pPr>
        <w:spacing w:line="240" w:lineRule="auto" w:before="9"/>
        <w:rPr>
          <w:rFonts w:ascii="宋体" w:hAnsi="宋体" w:cs="宋体" w:eastAsia="宋体" w:hint="default"/>
          <w:sz w:val="19"/>
          <w:szCs w:val="19"/>
        </w:rPr>
      </w:pPr>
    </w:p>
    <w:p>
      <w:pPr>
        <w:spacing w:line="571" w:lineRule="auto" w:before="0"/>
        <w:ind w:left="154" w:right="7810" w:firstLine="0"/>
        <w:jc w:val="left"/>
        <w:rPr>
          <w:rFonts w:ascii="宋体" w:hAnsi="宋体" w:cs="宋体" w:eastAsia="宋体" w:hint="default"/>
          <w:sz w:val="21"/>
          <w:szCs w:val="21"/>
        </w:rPr>
      </w:pPr>
      <w:r>
        <w:rPr/>
        <w:pict>
          <v:shape style="position:absolute;margin-left:56.459999pt;margin-top:56.783661pt;width:479.2pt;height:80.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武汉金运激光股份有限公司董事长、副总经理</w:t>
                        </w:r>
                      </w:p>
                    </w:tc>
                  </w:tr>
                  <w:tr>
                    <w:trPr>
                      <w:trHeight w:val="402" w:hRule="exact"/>
                    </w:trPr>
                    <w:tc>
                      <w:tcPr>
                        <w:tcW w:w="33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2、公司控股股东情况" w:id="84"/>
      <w:bookmarkEnd w:id="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4"/>
        <w:spacing w:line="240" w:lineRule="auto" w:before="35"/>
        <w:ind w:left="154" w:right="5192"/>
        <w:jc w:val="left"/>
      </w:pPr>
      <w:r>
        <w:rPr/>
        <w:t>控股股东报告期内变更</w:t>
      </w:r>
    </w:p>
    <w:p>
      <w:pPr>
        <w:spacing w:line="240" w:lineRule="auto" w:before="12"/>
        <w:rPr>
          <w:rFonts w:ascii="宋体" w:hAnsi="宋体" w:cs="宋体" w:eastAsia="宋体" w:hint="default"/>
          <w:sz w:val="17"/>
          <w:szCs w:val="17"/>
        </w:rPr>
      </w:pPr>
    </w:p>
    <w:p>
      <w:pPr>
        <w:pStyle w:val="Heading4"/>
        <w:spacing w:line="420" w:lineRule="auto"/>
        <w:ind w:left="154" w:right="66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公司报告期控股股东未发生变更。</w:t>
      </w:r>
    </w:p>
    <w:p>
      <w:pPr>
        <w:spacing w:line="240" w:lineRule="auto" w:before="8"/>
        <w:rPr>
          <w:rFonts w:ascii="宋体" w:hAnsi="宋体" w:cs="宋体" w:eastAsia="宋体" w:hint="default"/>
          <w:sz w:val="19"/>
          <w:szCs w:val="19"/>
        </w:rPr>
      </w:pPr>
    </w:p>
    <w:p>
      <w:pPr>
        <w:pStyle w:val="Heading3"/>
        <w:spacing w:line="571" w:lineRule="auto"/>
        <w:ind w:right="7599"/>
        <w:jc w:val="left"/>
        <w:rPr>
          <w:rFonts w:ascii="宋体" w:hAnsi="宋体" w:cs="宋体" w:eastAsia="宋体" w:hint="default"/>
          <w:b w:val="0"/>
          <w:bCs w:val="0"/>
        </w:rPr>
      </w:pPr>
      <w:r>
        <w:rPr/>
        <w:pict>
          <v:shape style="position:absolute;margin-left:56.459999pt;margin-top:56.813679pt;width:479.2pt;height:60.8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077"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武汉金运激光股份有限公司董事长、副总经理</w:t>
                        </w:r>
                      </w:p>
                    </w:tc>
                  </w:tr>
                </w:tbl>
                <w:p>
                  <w:pPr/>
                </w:p>
              </w:txbxContent>
            </v:textbox>
            <w10:wrap type="none"/>
          </v:shape>
        </w:pict>
      </w: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w w:val="99"/>
        </w:rPr>
        <w:t> </w:t>
      </w:r>
      <w:r>
        <w:rPr>
          <w:rFonts w:ascii="宋体" w:hAnsi="宋体" w:cs="宋体" w:eastAsia="宋体" w:hint="default"/>
          <w:b w:val="0"/>
          <w:bCs w:val="0"/>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4"/>
        <w:spacing w:line="240" w:lineRule="auto" w:before="35"/>
        <w:ind w:left="154" w:right="5192"/>
        <w:jc w:val="left"/>
      </w:pPr>
      <w:r>
        <w:rPr/>
        <w:t>实际控制人报告期内变更</w:t>
      </w:r>
    </w:p>
    <w:p>
      <w:pPr>
        <w:spacing w:line="240" w:lineRule="auto" w:before="11"/>
        <w:rPr>
          <w:rFonts w:ascii="宋体" w:hAnsi="宋体" w:cs="宋体" w:eastAsia="宋体" w:hint="default"/>
          <w:sz w:val="17"/>
          <w:szCs w:val="17"/>
        </w:rPr>
      </w:pPr>
    </w:p>
    <w:p>
      <w:pPr>
        <w:pStyle w:val="Heading4"/>
        <w:spacing w:line="432" w:lineRule="auto"/>
        <w:ind w:left="154" w:right="5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公司报告期实际控制人未发生变更。 公司与实际控制人之间的产权及控制关系的方框图</w:t>
      </w:r>
    </w:p>
    <w:p>
      <w:pPr>
        <w:spacing w:after="0" w:line="432"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3202" w:lineRule="exact"/>
        <w:ind w:left="1356"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4591439" cy="2033587"/>
            <wp:effectExtent l="0" t="0" r="0" b="0"/>
            <wp:docPr id="69" name="image27.jpeg" descr=""/>
            <wp:cNvGraphicFramePr>
              <a:graphicFrameLocks noChangeAspect="1"/>
            </wp:cNvGraphicFramePr>
            <a:graphic>
              <a:graphicData uri="http://schemas.openxmlformats.org/drawingml/2006/picture">
                <pic:pic>
                  <pic:nvPicPr>
                    <pic:cNvPr id="70" name="image27.jpeg"/>
                    <pic:cNvPicPr/>
                  </pic:nvPicPr>
                  <pic:blipFill>
                    <a:blip r:embed="rId51" cstate="print"/>
                    <a:stretch>
                      <a:fillRect/>
                    </a:stretch>
                  </pic:blipFill>
                  <pic:spPr>
                    <a:xfrm>
                      <a:off x="0" y="0"/>
                      <a:ext cx="4591439" cy="2033587"/>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6"/>
        <w:rPr>
          <w:rFonts w:ascii="宋体" w:hAnsi="宋体" w:cs="宋体" w:eastAsia="宋体" w:hint="default"/>
          <w:sz w:val="26"/>
          <w:szCs w:val="26"/>
        </w:rPr>
      </w:pPr>
    </w:p>
    <w:p>
      <w:pPr>
        <w:pStyle w:val="Heading4"/>
        <w:spacing w:line="240" w:lineRule="auto" w:before="35"/>
        <w:ind w:right="0"/>
        <w:jc w:val="left"/>
      </w:pPr>
      <w:r>
        <w:rPr/>
        <w:t>实际控制人通过信托或其他资产管理方式控制公司</w:t>
      </w:r>
    </w:p>
    <w:p>
      <w:pPr>
        <w:spacing w:line="240" w:lineRule="auto" w:before="10"/>
        <w:rPr>
          <w:rFonts w:ascii="宋体" w:hAnsi="宋体" w:cs="宋体" w:eastAsia="宋体" w:hint="default"/>
          <w:sz w:val="17"/>
          <w:szCs w:val="17"/>
        </w:rPr>
      </w:pPr>
    </w:p>
    <w:p>
      <w:pPr>
        <w:pStyle w:val="Heading4"/>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3"/>
        <w:spacing w:line="240" w:lineRule="auto"/>
        <w:ind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30"/>
          <w:szCs w:val="30"/>
        </w:rPr>
      </w:pPr>
    </w:p>
    <w:p>
      <w:pPr>
        <w:pStyle w:val="Heading4"/>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30"/>
          <w:szCs w:val="30"/>
        </w:rPr>
      </w:pPr>
    </w:p>
    <w:p>
      <w:pPr>
        <w:pStyle w:val="Heading3"/>
        <w:spacing w:line="240" w:lineRule="auto"/>
        <w:ind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914"/>
        <w:gridCol w:w="1914"/>
        <w:gridCol w:w="1914"/>
      </w:tblGrid>
      <w:tr>
        <w:trPr>
          <w:trHeight w:val="714" w:hRule="exact"/>
        </w:trPr>
        <w:tc>
          <w:tcPr>
            <w:tcW w:w="24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2"/>
              <w:jc w:val="left"/>
              <w:rPr>
                <w:rFonts w:ascii="宋体" w:hAnsi="宋体" w:cs="宋体" w:eastAsia="宋体" w:hint="default"/>
                <w:sz w:val="18"/>
                <w:szCs w:val="18"/>
              </w:rPr>
            </w:pPr>
            <w:r>
              <w:rPr>
                <w:rFonts w:ascii="宋体" w:hAnsi="宋体" w:cs="宋体" w:eastAsia="宋体" w:hint="default"/>
                <w:sz w:val="18"/>
                <w:szCs w:val="18"/>
              </w:rPr>
              <w:t>持有的限售条件 股份数量（股）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1,198,125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1,852,875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农源钦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51,837,840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许海童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64"/>
        <w:ind w:left="3778" w:right="119"/>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140" w:right="119"/>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40" w:right="119"/>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5"/>
        <w:jc w:val="right"/>
      </w:pPr>
      <w:r>
        <w:rPr/>
        <w:t>单位：股</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81"/>
        <w:gridCol w:w="993"/>
        <w:gridCol w:w="566"/>
        <w:gridCol w:w="709"/>
        <w:gridCol w:w="709"/>
        <w:gridCol w:w="991"/>
        <w:gridCol w:w="992"/>
        <w:gridCol w:w="709"/>
        <w:gridCol w:w="1136"/>
        <w:gridCol w:w="991"/>
        <w:gridCol w:w="992"/>
        <w:gridCol w:w="992"/>
        <w:gridCol w:w="1274"/>
        <w:gridCol w:w="2078"/>
      </w:tblGrid>
      <w:tr>
        <w:trPr>
          <w:trHeight w:val="1338"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1" w:right="38" w:hanging="180"/>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8"/>
              <w:jc w:val="both"/>
              <w:rPr>
                <w:rFonts w:ascii="宋体" w:hAnsi="宋体" w:cs="宋体" w:eastAsia="宋体" w:hint="default"/>
                <w:sz w:val="18"/>
                <w:szCs w:val="18"/>
              </w:rPr>
            </w:pPr>
            <w:r>
              <w:rPr>
                <w:rFonts w:ascii="宋体" w:hAnsi="宋体" w:cs="宋体" w:eastAsia="宋体" w:hint="default"/>
                <w:sz w:val="18"/>
                <w:szCs w:val="18"/>
              </w:rPr>
              <w:t>期初持有的 股权激励获 授予限制性 股票数量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 w:right="38"/>
              <w:jc w:val="center"/>
              <w:rPr>
                <w:rFonts w:ascii="宋体" w:hAnsi="宋体" w:cs="宋体" w:eastAsia="宋体" w:hint="default"/>
                <w:sz w:val="18"/>
                <w:szCs w:val="18"/>
              </w:rPr>
            </w:pPr>
            <w:r>
              <w:rPr>
                <w:rFonts w:ascii="宋体" w:hAnsi="宋体" w:cs="宋体" w:eastAsia="宋体" w:hint="default"/>
                <w:sz w:val="18"/>
                <w:szCs w:val="18"/>
              </w:rPr>
              <w:t>本期获授予 的股权激励 限制性股票 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本期被注销 的股权激励 限制性股票 数量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期末持有的股 权激励获授予 限制性股票数 量</w:t>
            </w:r>
          </w:p>
        </w:tc>
        <w:tc>
          <w:tcPr>
            <w:tcW w:w="20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增减变动原因</w:t>
            </w:r>
          </w:p>
        </w:tc>
      </w:tr>
      <w:tr>
        <w:trPr>
          <w:trHeight w:val="754"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239"/>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38,398,400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30,718,720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69,117,120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转增</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1,597,500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转增</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119,250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转增</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2,470,500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转增</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转增、减持</w:t>
            </w:r>
          </w:p>
        </w:tc>
      </w:tr>
      <w:tr>
        <w:trPr>
          <w:trHeight w:val="714"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130,900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63,875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258,525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转增、减持（于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日离职）</w:t>
            </w:r>
          </w:p>
        </w:tc>
      </w:tr>
    </w:tbl>
    <w:p>
      <w:pPr>
        <w:spacing w:after="0" w:line="240" w:lineRule="auto"/>
        <w:jc w:val="left"/>
        <w:rPr>
          <w:rFonts w:ascii="宋体" w:hAnsi="宋体" w:cs="宋体" w:eastAsia="宋体" w:hint="default"/>
          <w:sz w:val="18"/>
          <w:szCs w:val="18"/>
        </w:rPr>
        <w:sectPr>
          <w:headerReference w:type="default" r:id="rId52"/>
          <w:footerReference w:type="default" r:id="rId53"/>
          <w:pgSz w:w="16840" w:h="11910" w:orient="landscape"/>
          <w:pgMar w:header="867" w:footer="979" w:top="1060" w:bottom="1160" w:left="1300" w:right="1300"/>
          <w:pgNumType w:start="66"/>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81"/>
        <w:gridCol w:w="993"/>
        <w:gridCol w:w="566"/>
        <w:gridCol w:w="709"/>
        <w:gridCol w:w="709"/>
        <w:gridCol w:w="991"/>
        <w:gridCol w:w="992"/>
        <w:gridCol w:w="709"/>
        <w:gridCol w:w="1136"/>
        <w:gridCol w:w="991"/>
        <w:gridCol w:w="992"/>
        <w:gridCol w:w="992"/>
        <w:gridCol w:w="1274"/>
        <w:gridCol w:w="2078"/>
      </w:tblGrid>
      <w:tr>
        <w:trPr>
          <w:trHeight w:val="416" w:hRule="exact"/>
        </w:trPr>
        <w:tc>
          <w:tcPr>
            <w:tcW w:w="881"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吴光权</w:t>
            </w:r>
          </w:p>
        </w:tc>
        <w:tc>
          <w:tcPr>
            <w:tcW w:w="9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2078" w:type="dxa"/>
            <w:tcBorders>
              <w:top w:val="single" w:sz="15" w:space="0" w:color="000000"/>
              <w:left w:val="single" w:sz="4" w:space="0" w:color="000000"/>
              <w:bottom w:val="single" w:sz="4" w:space="0" w:color="000000"/>
              <w:right w:val="nil" w:sz="6" w:space="0" w:color="auto"/>
            </w:tcBorders>
          </w:tcPr>
          <w:p>
            <w:pPr/>
          </w:p>
        </w:tc>
      </w:tr>
      <w:tr>
        <w:trPr>
          <w:trHeight w:val="1026"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副总经理、 董秘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4"/>
              <w:jc w:val="righ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日担任</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公司副总经理、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日担任公司董秘</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7"/>
              <w:jc w:val="center"/>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日上任</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7"/>
              <w:jc w:val="center"/>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日上任</w:t>
            </w:r>
          </w:p>
        </w:tc>
      </w:tr>
      <w:tr>
        <w:trPr>
          <w:trHeight w:val="402"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41,316,150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32,950,620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163,875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1" w:right="0"/>
              <w:jc w:val="left"/>
              <w:rPr>
                <w:rFonts w:ascii="Times New Roman" w:hAnsi="Times New Roman" w:cs="Times New Roman" w:eastAsia="Times New Roman" w:hint="default"/>
                <w:sz w:val="18"/>
                <w:szCs w:val="18"/>
              </w:rPr>
            </w:pPr>
            <w:r>
              <w:rPr>
                <w:rFonts w:ascii="Times New Roman"/>
                <w:sz w:val="18"/>
              </w:rPr>
              <w:t>74,102,895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20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60" w:right="10128"/>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160" w:right="10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8"/>
          <w:szCs w:val="28"/>
        </w:rPr>
      </w:pPr>
    </w:p>
    <w:p>
      <w:pPr>
        <w:pStyle w:val="Heading2"/>
        <w:spacing w:line="240" w:lineRule="auto"/>
        <w:ind w:left="160" w:right="10128"/>
        <w:jc w:val="left"/>
        <w:rPr>
          <w:b w:val="0"/>
          <w:bCs w:val="0"/>
        </w:rPr>
      </w:pPr>
      <w:bookmarkStart w:name="二、任职情况" w:id="93"/>
      <w:bookmarkEnd w:id="93"/>
      <w:r>
        <w:rPr>
          <w:b w:val="0"/>
          <w:bCs w:val="0"/>
        </w:rPr>
      </w:r>
      <w:r>
        <w:rPr/>
        <w:t>二、任职情况</w:t>
      </w:r>
      <w:r>
        <w:rPr>
          <w:b w:val="0"/>
          <w:bCs w:val="0"/>
        </w:rPr>
      </w:r>
    </w:p>
    <w:p>
      <w:pPr>
        <w:spacing w:line="240" w:lineRule="auto" w:before="6"/>
        <w:rPr>
          <w:rFonts w:ascii="宋体" w:hAnsi="宋体" w:cs="宋体" w:eastAsia="宋体" w:hint="default"/>
          <w:b/>
          <w:bCs/>
          <w:sz w:val="30"/>
          <w:szCs w:val="30"/>
        </w:rPr>
      </w:pPr>
    </w:p>
    <w:p>
      <w:pPr>
        <w:pStyle w:val="Heading4"/>
        <w:spacing w:line="240" w:lineRule="auto"/>
        <w:ind w:left="580" w:right="338"/>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3"/>
        <w:spacing w:line="240" w:lineRule="auto" w:before="177"/>
        <w:ind w:left="582" w:right="10128"/>
        <w:jc w:val="left"/>
        <w:rPr>
          <w:b w:val="0"/>
          <w:bCs w:val="0"/>
        </w:rPr>
      </w:pPr>
      <w:r>
        <w:rPr>
          <w:rFonts w:ascii="Times New Roman" w:hAnsi="Times New Roman" w:cs="Times New Roman" w:eastAsia="Times New Roman" w:hint="default"/>
        </w:rPr>
        <w:t>1</w:t>
      </w:r>
      <w:r>
        <w:rPr/>
        <w:t>、董事会成员</w:t>
      </w:r>
      <w:r>
        <w:rPr>
          <w:b w:val="0"/>
          <w:bCs w:val="0"/>
        </w:rPr>
      </w:r>
    </w:p>
    <w:p>
      <w:pPr>
        <w:pStyle w:val="Heading4"/>
        <w:spacing w:line="386" w:lineRule="auto" w:before="177"/>
        <w:ind w:left="159" w:right="338" w:firstLine="420"/>
        <w:jc w:val="left"/>
      </w:pPr>
      <w:r>
        <w:rPr/>
        <w:t>梁伟先生：中国国籍，无永久境外居留权，</w:t>
      </w:r>
      <w:r>
        <w:rPr>
          <w:rFonts w:ascii="Times New Roman" w:hAnsi="Times New Roman" w:cs="Times New Roman" w:eastAsia="Times New Roman" w:hint="default"/>
        </w:rPr>
        <w:t>1967 </w:t>
      </w:r>
      <w:r>
        <w:rPr/>
        <w:t>年出生，大学学历，</w:t>
      </w:r>
      <w:r>
        <w:rPr>
          <w:rFonts w:ascii="Times New Roman" w:hAnsi="Times New Roman" w:cs="Times New Roman" w:eastAsia="Times New Roman" w:hint="default"/>
        </w:rPr>
        <w:t>2006 </w:t>
      </w:r>
      <w:r>
        <w:rPr/>
        <w:t>年获得</w:t>
      </w:r>
      <w:r>
        <w:rPr>
          <w:rFonts w:ascii="Times New Roman" w:hAnsi="Times New Roman" w:cs="Times New Roman" w:eastAsia="Times New Roman" w:hint="default"/>
        </w:rPr>
        <w:t>“</w:t>
      </w:r>
      <w:r>
        <w:rPr/>
        <w:t>全国优秀民营科技企业家奉献奖</w:t>
      </w:r>
      <w:r>
        <w:rPr>
          <w:rFonts w:ascii="Times New Roman" w:hAnsi="Times New Roman" w:cs="Times New Roman" w:eastAsia="Times New Roman" w:hint="default"/>
        </w:rPr>
        <w:t>”</w:t>
      </w:r>
      <w:r>
        <w:rPr/>
        <w:t>荣誉称号。</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年开始涉足激 光行业，</w:t>
      </w:r>
      <w:r>
        <w:rPr>
          <w:rFonts w:ascii="Times New Roman" w:hAnsi="Times New Roman" w:cs="Times New Roman" w:eastAsia="Times New Roman" w:hint="default"/>
        </w:rPr>
        <w:t>2000 </w:t>
      </w:r>
      <w:r>
        <w:rPr/>
        <w:t>年至</w:t>
      </w:r>
      <w:r>
        <w:rPr>
          <w:spacing w:val="-53"/>
        </w:rPr>
        <w:t> </w:t>
      </w:r>
      <w:r>
        <w:rPr>
          <w:rFonts w:ascii="Times New Roman" w:hAnsi="Times New Roman" w:cs="Times New Roman" w:eastAsia="Times New Roman" w:hint="default"/>
        </w:rPr>
        <w:t>2005 </w:t>
      </w:r>
      <w:r>
        <w:rPr/>
        <w:t>年期间先后创立武汉金运机电设备制造有限公司及武汉金运光电产业有限公司并任总经理。现任公司董事长、总经理职务。</w:t>
      </w:r>
    </w:p>
    <w:p>
      <w:pPr>
        <w:pStyle w:val="Heading4"/>
        <w:spacing w:line="386" w:lineRule="auto" w:before="36"/>
        <w:ind w:left="160" w:right="263" w:firstLine="420"/>
        <w:jc w:val="left"/>
      </w:pPr>
      <w:r>
        <w:rPr/>
        <w:t>梁芳女士：中国国籍，无永久境外居留权，</w:t>
      </w:r>
      <w:r>
        <w:rPr>
          <w:rFonts w:ascii="Times New Roman" w:hAnsi="Times New Roman" w:cs="Times New Roman" w:eastAsia="Times New Roman" w:hint="default"/>
        </w:rPr>
        <w:t>1962</w:t>
      </w:r>
      <w:r>
        <w:rPr>
          <w:rFonts w:ascii="Times New Roman" w:hAnsi="Times New Roman" w:cs="Times New Roman" w:eastAsia="Times New Roman" w:hint="default"/>
          <w:spacing w:val="-1"/>
        </w:rPr>
        <w:t> </w:t>
      </w:r>
      <w:r>
        <w:rPr/>
        <w:t>年出生，大学学历。</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年期间任职于武汉金运机电设备制造有限公司及武汉金运光电 产业有限公司，</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年曾在本公司任职；</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月起任新余全盛通投资管理有限公司执行董事、总经理职务。现任公司董事。</w:t>
      </w:r>
    </w:p>
    <w:p>
      <w:pPr>
        <w:pStyle w:val="Heading4"/>
        <w:spacing w:line="386" w:lineRule="auto" w:before="35"/>
        <w:ind w:left="159" w:right="264" w:firstLine="420"/>
        <w:jc w:val="left"/>
      </w:pPr>
      <w:r>
        <w:rPr/>
        <w:t>李俊先生：中国国籍，无永久境外居留权，</w:t>
      </w:r>
      <w:r>
        <w:rPr>
          <w:rFonts w:ascii="Times New Roman" w:hAnsi="Times New Roman" w:cs="Times New Roman" w:eastAsia="Times New Roman" w:hint="default"/>
        </w:rPr>
        <w:t>1957</w:t>
      </w:r>
      <w:r>
        <w:rPr>
          <w:rFonts w:ascii="Times New Roman" w:hAnsi="Times New Roman" w:cs="Times New Roman" w:eastAsia="Times New Roman" w:hint="default"/>
          <w:spacing w:val="-1"/>
        </w:rPr>
        <w:t> </w:t>
      </w:r>
      <w:r>
        <w:rPr/>
        <w:t>年出生，大学学历。</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年期间先后任职于武汉金运机电设备制造有限公司及武汉金运 光电产业有限公司，</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年以来任本公司国内销售总监职务。现任公司董事、副总经理。</w:t>
      </w:r>
    </w:p>
    <w:p>
      <w:pPr>
        <w:pStyle w:val="Heading4"/>
        <w:spacing w:line="240" w:lineRule="auto" w:before="35"/>
        <w:ind w:left="579" w:right="0"/>
        <w:jc w:val="left"/>
      </w:pPr>
      <w:r>
        <w:rPr>
          <w:spacing w:val="-4"/>
        </w:rPr>
        <w:t>施先旺先生：中国国籍，无永久境外居留权，</w:t>
      </w:r>
      <w:r>
        <w:rPr>
          <w:rFonts w:ascii="Times New Roman" w:hAnsi="Times New Roman" w:cs="Times New Roman" w:eastAsia="Times New Roman" w:hint="default"/>
          <w:spacing w:val="-4"/>
        </w:rPr>
        <w:t>1968</w:t>
      </w:r>
      <w:r>
        <w:rPr>
          <w:rFonts w:ascii="Times New Roman" w:hAnsi="Times New Roman" w:cs="Times New Roman" w:eastAsia="Times New Roman" w:hint="default"/>
          <w:spacing w:val="22"/>
        </w:rPr>
        <w:t> </w:t>
      </w:r>
      <w:r>
        <w:rPr>
          <w:spacing w:val="-2"/>
        </w:rPr>
        <w:t>年出生，管理学博士。曾任湖北潜江供销职工中专学校教师，现任中南财经政法大学会计学教授、</w:t>
      </w:r>
    </w:p>
    <w:p>
      <w:pPr>
        <w:pStyle w:val="Heading4"/>
        <w:spacing w:line="240" w:lineRule="auto" w:before="177"/>
        <w:ind w:left="159" w:right="338"/>
        <w:jc w:val="left"/>
      </w:pPr>
      <w:r>
        <w:rPr/>
        <w:t>博导，兼任湖北省国家税务局和湖北省地方税务局，主要培训专家之一。</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日任公司独立董事</w:t>
      </w:r>
    </w:p>
    <w:p>
      <w:pPr>
        <w:spacing w:after="0" w:line="240" w:lineRule="auto"/>
        <w:jc w:val="left"/>
        <w:sectPr>
          <w:pgSz w:w="16840" w:h="11910" w:orient="landscape"/>
          <w:pgMar w:header="867" w:footer="979" w:top="1060" w:bottom="1160" w:left="1280" w:right="126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386" w:lineRule="auto" w:before="72"/>
        <w:ind w:left="139" w:right="119" w:firstLine="420"/>
        <w:jc w:val="left"/>
      </w:pPr>
      <w:r>
        <w:rPr/>
        <w:t>李秉成先生：中国国籍，无永久境外居留权，</w:t>
      </w:r>
      <w:r>
        <w:rPr>
          <w:rFonts w:ascii="Times New Roman" w:hAnsi="Times New Roman" w:cs="Times New Roman" w:eastAsia="Times New Roman" w:hint="default"/>
        </w:rPr>
        <w:t>1964</w:t>
      </w:r>
      <w:r>
        <w:rPr>
          <w:rFonts w:ascii="Times New Roman" w:hAnsi="Times New Roman" w:cs="Times New Roman" w:eastAsia="Times New Roman" w:hint="default"/>
          <w:spacing w:val="-18"/>
        </w:rPr>
        <w:t> </w:t>
      </w:r>
      <w:r>
        <w:rPr/>
        <w:t>年出生，管理学博士后、注册会计师。曾任第一治金建设公司机械动力公司助理工程师、武汉科 </w:t>
      </w:r>
      <w:r>
        <w:rPr>
          <w:spacing w:val="-4"/>
        </w:rPr>
        <w:t>技大学管理学教师、现任中南财经政法大学会计学教授、博导。有限公司独立董事（</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5"/>
        </w:rPr>
        <w:t> </w:t>
      </w:r>
      <w:r>
        <w:rPr>
          <w:spacing w:val="-7"/>
        </w:rPr>
        <w:t>年至今）、武汉理工光科股份有限公司独立董事（</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6"/>
        </w:rPr>
        <w:t> </w:t>
      </w:r>
      <w:r>
        <w:rPr>
          <w:spacing w:val="-22"/>
        </w:rPr>
        <w:t>年至今）、</w:t>
      </w:r>
      <w:r>
        <w:rPr>
          <w:spacing w:val="-103"/>
        </w:rPr>
        <w:t> </w:t>
      </w:r>
      <w:r>
        <w:rPr>
          <w:spacing w:val="-103"/>
        </w:rPr>
      </w:r>
      <w:r>
        <w:rPr/>
        <w:t>湖北绿色家园精细化工股份有限公司独立董事（</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22"/>
        </w:rPr>
        <w:t>年至今）。</w:t>
      </w:r>
      <w:r>
        <w:rPr>
          <w:spacing w:val="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1"/>
        </w:rPr>
        <w:t> </w:t>
      </w:r>
      <w:r>
        <w:rPr>
          <w:spacing w:val="-1"/>
        </w:rPr>
        <w:t>日任公司独立董事</w:t>
      </w:r>
    </w:p>
    <w:p>
      <w:pPr>
        <w:pStyle w:val="Heading4"/>
        <w:spacing w:line="386" w:lineRule="auto" w:before="35"/>
        <w:ind w:left="139" w:right="224" w:firstLine="420"/>
        <w:jc w:val="left"/>
      </w:pPr>
      <w:r>
        <w:rPr>
          <w:spacing w:val="-2"/>
        </w:rPr>
        <w:t>龚正刚先生：公司独立董事，中国国籍，无永久境外居留权，</w:t>
      </w:r>
      <w:r>
        <w:rPr>
          <w:rFonts w:ascii="Times New Roman" w:hAnsi="Times New Roman" w:cs="Times New Roman" w:eastAsia="Times New Roman" w:hint="default"/>
          <w:spacing w:val="-2"/>
        </w:rPr>
        <w:t>1974</w:t>
      </w:r>
      <w:r>
        <w:rPr>
          <w:rFonts w:ascii="Times New Roman" w:hAnsi="Times New Roman" w:cs="Times New Roman" w:eastAsia="Times New Roman" w:hint="default"/>
        </w:rPr>
        <w:t> </w:t>
      </w:r>
      <w:r>
        <w:rPr>
          <w:spacing w:val="-2"/>
        </w:rPr>
        <w:t>年出生，硕士，中国注册会计师，高级会计师。</w:t>
      </w:r>
      <w:r>
        <w:rPr>
          <w:rFonts w:ascii="Times New Roman" w:hAnsi="Times New Roman" w:cs="Times New Roman" w:eastAsia="Times New Roman" w:hint="default"/>
          <w:spacing w:val="-2"/>
        </w:rPr>
        <w:t>2004</w:t>
      </w:r>
      <w:r>
        <w:rPr>
          <w:rFonts w:ascii="Times New Roman" w:hAnsi="Times New Roman" w:cs="Times New Roman" w:eastAsia="Times New Roman" w:hint="default"/>
          <w:spacing w:val="14"/>
        </w:rPr>
        <w:t> </w:t>
      </w:r>
      <w:r>
        <w:rPr>
          <w:spacing w:val="-1"/>
        </w:rPr>
        <w:t>年至今，先后在武汉钢铁股</w:t>
      </w:r>
      <w:r>
        <w:rPr/>
        <w:t> 份有限公司任财务经理、营销公司财务总监。</w:t>
      </w:r>
      <w:r>
        <w:rPr>
          <w:spacing w:val="-2"/>
        </w:rPr>
        <w:t> </w:t>
      </w:r>
      <w:r>
        <w:rPr/>
        <w:t>因在公司担任独立董事已连续</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年，根据相关规定，将不再继续担任。</w:t>
      </w:r>
    </w:p>
    <w:p>
      <w:pPr>
        <w:pStyle w:val="Heading4"/>
        <w:spacing w:line="386" w:lineRule="auto" w:before="35"/>
        <w:ind w:left="139" w:right="227" w:firstLine="420"/>
        <w:jc w:val="left"/>
      </w:pPr>
      <w:r>
        <w:rPr>
          <w:spacing w:val="-1"/>
        </w:rPr>
        <w:t>张慧德女士：公司独立董事，中国国籍，无永久境外居留权，</w:t>
      </w:r>
      <w:r>
        <w:rPr>
          <w:rFonts w:ascii="Times New Roman" w:hAnsi="Times New Roman" w:cs="Times New Roman" w:eastAsia="Times New Roman" w:hint="default"/>
          <w:spacing w:val="-1"/>
        </w:rPr>
        <w:t>1964</w:t>
      </w:r>
      <w:r>
        <w:rPr>
          <w:rFonts w:ascii="Times New Roman" w:hAnsi="Times New Roman" w:cs="Times New Roman" w:eastAsia="Times New Roman" w:hint="default"/>
          <w:spacing w:val="5"/>
        </w:rPr>
        <w:t> </w:t>
      </w:r>
      <w:r>
        <w:rPr>
          <w:spacing w:val="-1"/>
        </w:rPr>
        <w:t>年出生，硕士，中国注册会计师。中南财经政法大学会计学副教授，中国会计学</w:t>
      </w:r>
      <w:r>
        <w:rPr/>
        <w:t> 会会员，湖北省财政厅会计电算化委员会委员、中初级会计电算化培训教师。因在公司担任独立董事已连续</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年，根据相关规定，将不再继续担任。</w:t>
      </w:r>
    </w:p>
    <w:p>
      <w:pPr>
        <w:pStyle w:val="Heading3"/>
        <w:spacing w:line="240" w:lineRule="auto" w:before="35"/>
        <w:ind w:left="562" w:right="119"/>
        <w:jc w:val="left"/>
        <w:rPr>
          <w:b w:val="0"/>
          <w:bCs w:val="0"/>
        </w:rPr>
      </w:pPr>
      <w:r>
        <w:rPr>
          <w:rFonts w:ascii="Times New Roman" w:hAnsi="Times New Roman" w:cs="Times New Roman" w:eastAsia="Times New Roman" w:hint="default"/>
        </w:rPr>
        <w:t>2</w:t>
      </w:r>
      <w:r>
        <w:rPr/>
        <w:t>、监事会成员</w:t>
      </w:r>
      <w:r>
        <w:rPr>
          <w:b w:val="0"/>
          <w:bCs w:val="0"/>
        </w:rPr>
      </w:r>
    </w:p>
    <w:p>
      <w:pPr>
        <w:pStyle w:val="Heading4"/>
        <w:spacing w:line="240" w:lineRule="auto" w:before="177"/>
        <w:ind w:left="559" w:right="119"/>
        <w:jc w:val="left"/>
        <w:rPr>
          <w:rFonts w:ascii="Times New Roman" w:hAnsi="Times New Roman" w:cs="Times New Roman" w:eastAsia="Times New Roman" w:hint="default"/>
        </w:rPr>
      </w:pPr>
      <w:r>
        <w:rPr/>
        <w:t>李爱静女士：中国国籍，无永久境外居留权，</w:t>
      </w:r>
      <w:r>
        <w:rPr>
          <w:rFonts w:ascii="Times New Roman" w:hAnsi="Times New Roman" w:cs="Times New Roman" w:eastAsia="Times New Roman" w:hint="default"/>
        </w:rPr>
        <w:t>1985</w:t>
      </w:r>
      <w:r>
        <w:rPr>
          <w:rFonts w:ascii="Times New Roman" w:hAnsi="Times New Roman" w:cs="Times New Roman" w:eastAsia="Times New Roman" w:hint="default"/>
          <w:spacing w:val="-1"/>
        </w:rPr>
        <w:t> </w:t>
      </w:r>
      <w:r>
        <w:rPr/>
        <w:t>年出生，大学学历。</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月曾任武汉大西洋广告有限公司；</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03</w:t>
      </w:r>
    </w:p>
    <w:p>
      <w:pPr>
        <w:pStyle w:val="Heading4"/>
        <w:spacing w:line="386" w:lineRule="auto" w:before="177"/>
        <w:ind w:left="559" w:right="223" w:hanging="420"/>
        <w:jc w:val="left"/>
      </w:pPr>
      <w:r>
        <w:rPr/>
        <w:t>月</w:t>
      </w:r>
      <w:r>
        <w:rPr>
          <w:rFonts w:ascii="Times New Roman" w:hAnsi="Times New Roman" w:cs="Times New Roman" w:eastAsia="Times New Roman" w:hint="default"/>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月曾任武汉市承志汽车销售有限公司。</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年至今在武汉市金运激光股份有限公司任资讯管理专员。 竺一鸣女士：中国国籍，无永久境外居留权，</w:t>
      </w:r>
      <w:r>
        <w:rPr>
          <w:rFonts w:ascii="Times New Roman" w:hAnsi="Times New Roman" w:cs="Times New Roman" w:eastAsia="Times New Roman" w:hint="default"/>
        </w:rPr>
        <w:t>1950 </w:t>
      </w:r>
      <w:r>
        <w:rPr/>
        <w:t>年出生，大学学历。</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年至今任本公司职员； </w:t>
      </w:r>
      <w:r>
        <w:rPr>
          <w:spacing w:val="-3"/>
        </w:rPr>
        <w:t>张涛先生：职工监事，中国国籍，无永久境外居留权，</w:t>
      </w:r>
      <w:r>
        <w:rPr>
          <w:rFonts w:ascii="Times New Roman" w:hAnsi="Times New Roman" w:cs="Times New Roman" w:eastAsia="Times New Roman" w:hint="default"/>
          <w:spacing w:val="-3"/>
        </w:rPr>
        <w:t>1980</w:t>
      </w:r>
      <w:r>
        <w:rPr>
          <w:rFonts w:ascii="Times New Roman" w:hAnsi="Times New Roman" w:cs="Times New Roman" w:eastAsia="Times New Roman" w:hint="default"/>
          <w:spacing w:val="-6"/>
        </w:rPr>
        <w:t> </w:t>
      </w:r>
      <w:r>
        <w:rPr/>
        <w:t>年出生，大学学历。曾任职于武汉贝斯特通信集团有限公司市场管理处，</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月至</w:t>
      </w:r>
    </w:p>
    <w:p>
      <w:pPr>
        <w:pStyle w:val="Heading4"/>
        <w:spacing w:line="240" w:lineRule="auto" w:before="35"/>
        <w:ind w:left="139" w:right="119"/>
        <w:jc w:val="left"/>
      </w:pPr>
      <w:r>
        <w:rPr/>
        <w:t>今任本公司品牌推广部经理。</w:t>
      </w:r>
    </w:p>
    <w:p>
      <w:pPr>
        <w:spacing w:line="240" w:lineRule="auto" w:before="10"/>
        <w:rPr>
          <w:rFonts w:ascii="宋体" w:hAnsi="宋体" w:cs="宋体" w:eastAsia="宋体" w:hint="default"/>
          <w:sz w:val="14"/>
          <w:szCs w:val="14"/>
        </w:rPr>
      </w:pPr>
    </w:p>
    <w:p>
      <w:pPr>
        <w:pStyle w:val="Heading4"/>
        <w:spacing w:line="386" w:lineRule="auto"/>
        <w:ind w:left="559" w:right="8433" w:firstLine="2"/>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spacing w:val="1"/>
          <w:w w:val="99"/>
        </w:rPr>
        <w:t> </w:t>
      </w:r>
      <w:r>
        <w:rPr/>
        <w:t>梁伟先生：公司总经理，详见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 李俊先生：公司副总经理，详见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w:t>
      </w:r>
    </w:p>
    <w:p>
      <w:pPr>
        <w:pStyle w:val="Heading4"/>
        <w:spacing w:line="386" w:lineRule="auto" w:before="35"/>
        <w:ind w:left="139" w:right="222" w:firstLine="420"/>
        <w:jc w:val="left"/>
      </w:pPr>
      <w:r>
        <w:rPr/>
        <w:t>王丹梅女士：公司副总经理，中国国籍，无永久境外居留权，</w:t>
      </w:r>
      <w:r>
        <w:rPr>
          <w:rFonts w:ascii="Times New Roman" w:hAnsi="Times New Roman" w:cs="Times New Roman" w:eastAsia="Times New Roman" w:hint="default"/>
        </w:rPr>
        <w:t>1971 </w:t>
      </w:r>
      <w:r>
        <w:rPr/>
        <w:t>年出生，大学学历。</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年至</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年期间任职于武汉金运机电设备制造有限公 司及武汉金运光电产业有限公司，</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年至今任本公司国外销售总监。</w:t>
      </w:r>
    </w:p>
    <w:p>
      <w:pPr>
        <w:pStyle w:val="Heading4"/>
        <w:spacing w:line="386" w:lineRule="auto" w:before="35"/>
        <w:ind w:left="139" w:right="227" w:firstLine="420"/>
        <w:jc w:val="left"/>
      </w:pPr>
      <w:r>
        <w:rPr>
          <w:spacing w:val="-1"/>
        </w:rPr>
        <w:t>吴光权先生：公司财务总监，中国国籍，无永久境外居留权，</w:t>
      </w:r>
      <w:r>
        <w:rPr>
          <w:rFonts w:ascii="Times New Roman" w:hAnsi="Times New Roman" w:cs="Times New Roman" w:eastAsia="Times New Roman" w:hint="default"/>
          <w:spacing w:val="-1"/>
        </w:rPr>
        <w:t>1978</w:t>
      </w:r>
      <w:r>
        <w:rPr>
          <w:rFonts w:ascii="Times New Roman" w:hAnsi="Times New Roman" w:cs="Times New Roman" w:eastAsia="Times New Roman" w:hint="default"/>
          <w:spacing w:val="5"/>
        </w:rPr>
        <w:t> </w:t>
      </w:r>
      <w:r>
        <w:rPr>
          <w:spacing w:val="-1"/>
        </w:rPr>
        <w:t>年出生，大学学历，中国注册会计师，中国税务咨询师。曾在武汉人福医药集团</w:t>
      </w:r>
      <w:r>
        <w:rPr/>
        <w:t> 股份公司、天津倚天会计师事务所湖北分所等单位任职。</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月至今任公司财务总监。</w:t>
      </w:r>
    </w:p>
    <w:p>
      <w:pPr>
        <w:spacing w:after="0" w:line="386" w:lineRule="auto"/>
        <w:jc w:val="left"/>
        <w:sectPr>
          <w:pgSz w:w="16840" w:h="11910" w:orient="landscape"/>
          <w:pgMar w:header="867" w:footer="979" w:top="1060" w:bottom="1160" w:left="1300" w:right="1300"/>
        </w:sectPr>
      </w:pPr>
    </w:p>
    <w:p>
      <w:pPr>
        <w:pStyle w:val="Heading4"/>
        <w:spacing w:line="386" w:lineRule="auto" w:before="130"/>
        <w:ind w:left="140" w:right="233" w:firstLine="420"/>
        <w:jc w:val="both"/>
      </w:pPr>
      <w:r>
        <w:rPr>
          <w:spacing w:val="-3"/>
        </w:rPr>
        <w:t>李丹女士：公司副总经理，中国国籍，经济师，无永久境外居留权，</w:t>
      </w:r>
      <w:r>
        <w:rPr>
          <w:rFonts w:ascii="Times New Roman" w:hAnsi="Times New Roman" w:cs="Times New Roman" w:eastAsia="Times New Roman" w:hint="default"/>
          <w:spacing w:val="-3"/>
        </w:rPr>
        <w:t>1975 </w:t>
      </w:r>
      <w:r>
        <w:rPr>
          <w:spacing w:val="-3"/>
        </w:rPr>
        <w:t>年出生，</w:t>
      </w:r>
      <w:r>
        <w:rPr>
          <w:rFonts w:ascii="Times New Roman" w:hAnsi="Times New Roman" w:cs="Times New Roman" w:eastAsia="Times New Roman" w:hint="default"/>
          <w:spacing w:val="-3"/>
        </w:rPr>
        <w:t>1997 </w:t>
      </w:r>
      <w:r>
        <w:rPr/>
        <w:t>年毕业于武汉大学国际金融专业，</w:t>
      </w:r>
      <w:r>
        <w:rPr>
          <w:rFonts w:ascii="Times New Roman" w:hAnsi="Times New Roman" w:cs="Times New Roman" w:eastAsia="Times New Roman" w:hint="default"/>
        </w:rPr>
        <w:t>2006</w:t>
      </w:r>
      <w:r>
        <w:rPr>
          <w:rFonts w:ascii="Times New Roman" w:hAnsi="Times New Roman" w:cs="Times New Roman" w:eastAsia="Times New Roman" w:hint="default"/>
          <w:spacing w:val="29"/>
        </w:rPr>
        <w:t> </w:t>
      </w:r>
      <w:r>
        <w:rPr/>
        <w:t>年毕业于华中科技 </w:t>
      </w:r>
      <w:r>
        <w:rPr>
          <w:spacing w:val="-3"/>
        </w:rPr>
        <w:t>大学西方经济学专业，获经济学硕士学位。</w:t>
      </w:r>
      <w:r>
        <w:rPr>
          <w:rFonts w:ascii="Times New Roman" w:hAnsi="Times New Roman" w:cs="Times New Roman" w:eastAsia="Times New Roman" w:hint="default"/>
          <w:spacing w:val="-3"/>
        </w:rPr>
        <w:t>1999 </w:t>
      </w:r>
      <w:r>
        <w:rPr/>
        <w:t>年至 </w:t>
      </w:r>
      <w:r>
        <w:rPr>
          <w:rFonts w:ascii="Times New Roman" w:hAnsi="Times New Roman" w:cs="Times New Roman" w:eastAsia="Times New Roman" w:hint="default"/>
        </w:rPr>
        <w:t>2005 </w:t>
      </w:r>
      <w:r>
        <w:rPr/>
        <w:t>年曾任武汉三镇实业控股股份有限公司监事、证券事务代表；</w:t>
      </w:r>
      <w:r>
        <w:rPr>
          <w:rFonts w:ascii="Times New Roman" w:hAnsi="Times New Roman" w:cs="Times New Roman" w:eastAsia="Times New Roman" w:hint="default"/>
        </w:rPr>
        <w:t>2005 </w:t>
      </w:r>
      <w:r>
        <w:rPr/>
        <w:t>年至 </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年曾任武汉三 镇实业控股股份有限公司董事会秘书、团委书记；湖北华昌达智能装备股份有限公司副总、董秘。</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月任公司副总经理、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月至今任董 事会秘书。</w:t>
      </w:r>
    </w:p>
    <w:p>
      <w:pPr>
        <w:pStyle w:val="Heading4"/>
        <w:spacing w:line="386" w:lineRule="auto" w:before="65"/>
        <w:ind w:left="139" w:right="233" w:firstLine="420"/>
        <w:jc w:val="both"/>
      </w:pPr>
      <w:r>
        <w:rPr/>
        <w:t>艾骏先生：公司董事会秘书，中国国籍，无永久境外居留权，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26"/>
        </w:rPr>
        <w:t> </w:t>
      </w:r>
      <w:r>
        <w:rPr/>
        <w:t>年出生，硕士。曾任职于武汉东湖创新科技投资公司。</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w:t>
      </w:r>
      <w:r>
        <w:rPr>
          <w:spacing w:val="-79"/>
        </w:rPr>
        <w:t>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月任职于本公司 投融资部经理，现任董事会秘书；</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月起兼任盛兴业软件总经理。于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月离职，辞去公司董事会秘书职务。</w:t>
      </w:r>
    </w:p>
    <w:p>
      <w:pPr>
        <w:pStyle w:val="Heading4"/>
        <w:spacing w:line="240" w:lineRule="auto" w:before="35"/>
        <w:ind w:left="139" w:right="119"/>
        <w:jc w:val="left"/>
      </w:pPr>
      <w:r>
        <w:rPr/>
        <w:t>在股东单位任职情况</w:t>
      </w:r>
    </w:p>
    <w:p>
      <w:pPr>
        <w:spacing w:line="240" w:lineRule="auto" w:before="10"/>
        <w:rPr>
          <w:rFonts w:ascii="宋体" w:hAnsi="宋体" w:cs="宋体" w:eastAsia="宋体" w:hint="default"/>
          <w:sz w:val="14"/>
          <w:szCs w:val="14"/>
        </w:rPr>
      </w:pPr>
    </w:p>
    <w:p>
      <w:pPr>
        <w:pStyle w:val="Heading4"/>
        <w:spacing w:line="386" w:lineRule="auto"/>
        <w:ind w:left="140" w:right="121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在其他单位任职情况</w:t>
      </w:r>
    </w:p>
    <w:p>
      <w:pPr>
        <w:pStyle w:val="Heading4"/>
        <w:spacing w:line="240" w:lineRule="auto" w:before="65"/>
        <w:ind w:left="140" w:right="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60"/>
        <w:gridCol w:w="4672"/>
        <w:gridCol w:w="1557"/>
        <w:gridCol w:w="1752"/>
        <w:gridCol w:w="1939"/>
        <w:gridCol w:w="2336"/>
      </w:tblGrid>
      <w:tr>
        <w:trPr>
          <w:trHeight w:val="714" w:hRule="exact"/>
        </w:trPr>
        <w:tc>
          <w:tcPr>
            <w:tcW w:w="17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3" w:right="52"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23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1071" w:right="87" w:hanging="991"/>
              <w:jc w:val="left"/>
              <w:rPr>
                <w:rFonts w:ascii="宋体" w:hAnsi="宋体" w:cs="宋体" w:eastAsia="宋体" w:hint="default"/>
                <w:sz w:val="18"/>
                <w:szCs w:val="18"/>
              </w:rPr>
            </w:pPr>
            <w:r>
              <w:rPr>
                <w:rFonts w:ascii="宋体" w:hAnsi="宋体" w:cs="宋体" w:eastAsia="宋体" w:hint="default"/>
                <w:sz w:val="18"/>
                <w:szCs w:val="18"/>
              </w:rPr>
              <w:t>在其他单位是否领取报酬津 贴</w:t>
            </w:r>
          </w:p>
        </w:tc>
      </w:tr>
      <w:tr>
        <w:trPr>
          <w:trHeight w:val="402"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4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4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026" w:hRule="exact"/>
        </w:trPr>
        <w:tc>
          <w:tcPr>
            <w:tcW w:w="42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公司董事、监事的津贴由薪酬与考核委员会提出，经董事会、监事 会批准后，提交股东大会审议通过后实施；高级管理人员的绩效考 核方案由董事会批准后实施。</w:t>
            </w:r>
          </w:p>
        </w:tc>
      </w:tr>
      <w:tr>
        <w:trPr>
          <w:trHeight w:val="1026" w:hRule="exact"/>
        </w:trPr>
        <w:tc>
          <w:tcPr>
            <w:tcW w:w="42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公司薪酬与考核委员会依据公司每年度财务指标和经营目标的完成 情况以及公司董事、监事、高级管理人员的履职情况，对董事、监 事、高级管理人员公司薪酬与考核委员人员的薪酬进行了考核。</w:t>
            </w:r>
          </w:p>
        </w:tc>
      </w:tr>
      <w:tr>
        <w:trPr>
          <w:trHeight w:val="402" w:hRule="exact"/>
        </w:trPr>
        <w:tc>
          <w:tcPr>
            <w:tcW w:w="42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报告期内，公司已向董事、监事和高级管理人员支付全部薪酬</w:t>
            </w:r>
          </w:p>
        </w:tc>
      </w:tr>
    </w:tbl>
    <w:p>
      <w:pPr>
        <w:pStyle w:val="Heading4"/>
        <w:spacing w:line="240" w:lineRule="auto" w:before="63"/>
        <w:ind w:left="154" w:right="0"/>
        <w:jc w:val="left"/>
      </w:pPr>
      <w:r>
        <w:rPr/>
        <w:t>公司报告期内董事、监事和高级管理人员报酬情况</w:t>
      </w:r>
    </w:p>
    <w:p>
      <w:pPr>
        <w:spacing w:line="240" w:lineRule="auto" w:before="6"/>
        <w:rPr>
          <w:rFonts w:ascii="宋体" w:hAnsi="宋体" w:cs="宋体" w:eastAsia="宋体" w:hint="default"/>
          <w:sz w:val="10"/>
          <w:szCs w:val="10"/>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232" w:right="55"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17.57</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15.48</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竺一鸣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8.14</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吴光权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12.81</w:t>
            </w:r>
          </w:p>
        </w:tc>
      </w:tr>
      <w:tr>
        <w:trPr>
          <w:trHeight w:val="402" w:hRule="exact"/>
        </w:trPr>
        <w:tc>
          <w:tcPr>
            <w:tcW w:w="11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131.49</w:t>
            </w:r>
          </w:p>
        </w:tc>
      </w:tr>
    </w:tbl>
    <w:p>
      <w:pPr>
        <w:pStyle w:val="Heading4"/>
        <w:spacing w:line="240" w:lineRule="auto" w:before="63"/>
        <w:ind w:left="154" w:right="0"/>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115"/>
        <w:gridCol w:w="2460"/>
        <w:gridCol w:w="1788"/>
        <w:gridCol w:w="2882"/>
        <w:gridCol w:w="1450"/>
      </w:tblGrid>
      <w:tr>
        <w:trPr>
          <w:trHeight w:val="401" w:hRule="exact"/>
        </w:trPr>
        <w:tc>
          <w:tcPr>
            <w:tcW w:w="11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145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伍涛</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艾骏</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headerReference w:type="default" r:id="rId54"/>
          <w:footerReference w:type="default" r:id="rId55"/>
          <w:pgSz w:w="11910" w:h="16840"/>
          <w:pgMar w:header="877" w:footer="979" w:top="1100" w:bottom="1160" w:left="980" w:right="980"/>
          <w:pgNumType w:start="70"/>
        </w:sectPr>
      </w:pPr>
    </w:p>
    <w:p>
      <w:pPr>
        <w:spacing w:line="240" w:lineRule="auto" w:before="6"/>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1130"/>
        <w:gridCol w:w="2460"/>
        <w:gridCol w:w="1788"/>
        <w:gridCol w:w="2882"/>
        <w:gridCol w:w="1450"/>
      </w:tblGrid>
      <w:tr>
        <w:trPr>
          <w:trHeight w:val="402"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龚正刚</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张慧德</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30"/>
          <w:szCs w:val="30"/>
        </w:rPr>
      </w:pPr>
    </w:p>
    <w:p>
      <w:pPr>
        <w:pStyle w:val="Heading4"/>
        <w:spacing w:line="398" w:lineRule="auto"/>
        <w:ind w:right="151" w:firstLine="420"/>
        <w:jc w:val="both"/>
      </w:pPr>
      <w:r>
        <w:rPr/>
        <w:t>报告期内原核心技术人员伍涛先生离职。根据公司招股说明书的相关说明伍涛先生为公司</w:t>
      </w:r>
      <w:r>
        <w:rPr>
          <w:spacing w:val="-74"/>
        </w:rPr>
        <w:t> </w:t>
      </w:r>
      <w:r>
        <w:rPr>
          <w:rFonts w:ascii="Times New Roman" w:hAnsi="Times New Roman" w:cs="Times New Roman" w:eastAsia="Times New Roman" w:hint="default"/>
        </w:rPr>
        <w:t>IPO</w:t>
      </w:r>
      <w:r>
        <w:rPr>
          <w:rFonts w:ascii="Times New Roman" w:hAnsi="Times New Roman" w:cs="Times New Roman" w:eastAsia="Times New Roman" w:hint="default"/>
          <w:spacing w:val="-23"/>
        </w:rPr>
        <w:t> </w:t>
      </w:r>
      <w:r>
        <w:rPr/>
        <w:t>前其他 </w:t>
      </w:r>
      <w:r>
        <w:rPr>
          <w:spacing w:val="-1"/>
        </w:rPr>
        <w:t>核心技术人员，曾经在公司早期的激光设备研发中发挥过重要作用。伍涛先生的离任不会对公司的生产经</w:t>
      </w:r>
      <w:r>
        <w:rPr>
          <w:spacing w:val="-81"/>
        </w:rPr>
        <w:t> </w:t>
      </w:r>
      <w:r>
        <w:rPr>
          <w:spacing w:val="-81"/>
        </w:rPr>
      </w:r>
      <w:r>
        <w:rPr/>
        <w:t>营造成重大影响。</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公司员工情况" w:id="97"/>
      <w:bookmarkEnd w:id="97"/>
      <w:r>
        <w:rPr>
          <w:b w:val="0"/>
          <w:bCs w:val="0"/>
        </w:rPr>
      </w:r>
      <w:r>
        <w:rPr/>
        <w:t>六、公司员工情况</w:t>
      </w:r>
      <w:r>
        <w:rPr>
          <w:b w:val="0"/>
          <w:bCs w:val="0"/>
        </w:rPr>
      </w:r>
    </w:p>
    <w:p>
      <w:pPr>
        <w:spacing w:line="240" w:lineRule="auto" w:before="6"/>
        <w:rPr>
          <w:rFonts w:ascii="宋体" w:hAnsi="宋体" w:cs="宋体" w:eastAsia="宋体" w:hint="default"/>
          <w:b/>
          <w:bCs/>
          <w:sz w:val="30"/>
          <w:szCs w:val="30"/>
        </w:rPr>
      </w:pPr>
    </w:p>
    <w:p>
      <w:pPr>
        <w:pStyle w:val="Heading4"/>
        <w:spacing w:line="386" w:lineRule="auto"/>
        <w:ind w:right="235" w:firstLine="420"/>
        <w:jc w:val="both"/>
      </w:pPr>
      <w:r>
        <w:rPr/>
        <w:t>截至</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日，公司在职员工总数为</w:t>
      </w:r>
      <w:r>
        <w:rPr>
          <w:spacing w:val="-53"/>
        </w:rPr>
        <w:t> </w:t>
      </w:r>
      <w:r>
        <w:rPr>
          <w:rFonts w:ascii="Times New Roman" w:hAnsi="Times New Roman" w:cs="Times New Roman" w:eastAsia="Times New Roman" w:hint="default"/>
        </w:rPr>
        <w:t>460</w:t>
      </w:r>
      <w:r>
        <w:rPr>
          <w:rFonts w:ascii="Times New Roman" w:hAnsi="Times New Roman" w:cs="Times New Roman" w:eastAsia="Times New Roman" w:hint="default"/>
          <w:spacing w:val="-1"/>
        </w:rPr>
        <w:t> </w:t>
      </w:r>
      <w:r>
        <w:rPr/>
        <w:t>人，没有需要承担费用的离退休职工。在职员工 专业构成、教育程度如下表所示：</w:t>
      </w:r>
    </w:p>
    <w:tbl>
      <w:tblPr>
        <w:tblW w:w="0" w:type="auto"/>
        <w:jc w:val="left"/>
        <w:tblInd w:w="149" w:type="dxa"/>
        <w:tblLayout w:type="fixed"/>
        <w:tblCellMar>
          <w:top w:w="0" w:type="dxa"/>
          <w:left w:w="0" w:type="dxa"/>
          <w:bottom w:w="0" w:type="dxa"/>
          <w:right w:w="0" w:type="dxa"/>
        </w:tblCellMar>
        <w:tblLook w:val="01E0"/>
      </w:tblPr>
      <w:tblGrid>
        <w:gridCol w:w="1930"/>
        <w:gridCol w:w="2787"/>
        <w:gridCol w:w="1894"/>
        <w:gridCol w:w="2966"/>
      </w:tblGrid>
      <w:tr>
        <w:trPr>
          <w:trHeight w:val="342" w:hRule="exact"/>
        </w:trPr>
        <w:tc>
          <w:tcPr>
            <w:tcW w:w="1930" w:type="dxa"/>
            <w:vMerge w:val="restart"/>
            <w:tcBorders>
              <w:top w:val="single" w:sz="4" w:space="0" w:color="000000"/>
              <w:left w:val="nil" w:sz="6" w:space="0" w:color="auto"/>
              <w:right w:val="single" w:sz="4" w:space="0" w:color="000000"/>
            </w:tcBorders>
            <w:shd w:val="clear" w:color="auto" w:fill="DFDFDF"/>
          </w:tcPr>
          <w:p>
            <w:pPr>
              <w:pStyle w:val="TableParagraph"/>
              <w:spacing w:line="240" w:lineRule="auto" w:before="21"/>
              <w:ind w:left="604"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员工人数</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行政管理</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8.70%</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财务审计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3.04%</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营销和技术服务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171</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37.17%</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6.96%</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生产及其他</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203</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44.13%</w:t>
            </w:r>
          </w:p>
        </w:tc>
      </w:tr>
      <w:tr>
        <w:trPr>
          <w:trHeight w:val="342" w:hRule="exact"/>
        </w:trPr>
        <w:tc>
          <w:tcPr>
            <w:tcW w:w="1930" w:type="dxa"/>
            <w:vMerge/>
            <w:tcBorders>
              <w:left w:val="nil" w:sz="6" w:space="0" w:color="auto"/>
              <w:bottom w:val="single" w:sz="4" w:space="0" w:color="000000"/>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460</w:t>
            </w:r>
          </w:p>
        </w:tc>
        <w:tc>
          <w:tcPr>
            <w:tcW w:w="2966" w:type="dxa"/>
            <w:tcBorders>
              <w:top w:val="single" w:sz="4" w:space="0" w:color="000000"/>
              <w:left w:val="single" w:sz="4" w:space="0" w:color="000000"/>
              <w:bottom w:val="single" w:sz="4" w:space="0" w:color="000000"/>
              <w:right w:val="nil" w:sz="6" w:space="0" w:color="auto"/>
            </w:tcBorders>
          </w:tcPr>
          <w:p>
            <w:pPr/>
          </w:p>
        </w:tc>
      </w:tr>
      <w:tr>
        <w:trPr>
          <w:trHeight w:val="342" w:hRule="exact"/>
        </w:trPr>
        <w:tc>
          <w:tcPr>
            <w:tcW w:w="1930" w:type="dxa"/>
            <w:vMerge w:val="restart"/>
            <w:tcBorders>
              <w:top w:val="single" w:sz="4" w:space="0" w:color="000000"/>
              <w:left w:val="nil" w:sz="6" w:space="0" w:color="auto"/>
              <w:right w:val="single" w:sz="4" w:space="0" w:color="000000"/>
            </w:tcBorders>
            <w:shd w:val="clear" w:color="auto" w:fill="DFDFDF"/>
          </w:tcPr>
          <w:p>
            <w:pPr>
              <w:pStyle w:val="TableParagraph"/>
              <w:spacing w:line="240" w:lineRule="auto" w:before="21"/>
              <w:ind w:left="604" w:right="0"/>
              <w:jc w:val="left"/>
              <w:rPr>
                <w:rFonts w:ascii="宋体" w:hAnsi="宋体" w:cs="宋体" w:eastAsia="宋体" w:hint="default"/>
                <w:sz w:val="18"/>
                <w:szCs w:val="18"/>
              </w:rPr>
            </w:pPr>
            <w:r>
              <w:rPr>
                <w:rFonts w:ascii="宋体" w:hAnsi="宋体" w:cs="宋体" w:eastAsia="宋体" w:hint="default"/>
                <w:sz w:val="18"/>
                <w:szCs w:val="18"/>
              </w:rPr>
              <w:t>教育程度</w:t>
            </w: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1.30%</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121</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26.30%</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184</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40.00%</w:t>
            </w:r>
          </w:p>
        </w:tc>
      </w:tr>
      <w:tr>
        <w:trPr>
          <w:trHeight w:val="342" w:hRule="exact"/>
        </w:trPr>
        <w:tc>
          <w:tcPr>
            <w:tcW w:w="1930" w:type="dxa"/>
            <w:vMerge/>
            <w:tcBorders>
              <w:left w:val="nil" w:sz="6" w:space="0" w:color="auto"/>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149</w:t>
            </w:r>
          </w:p>
        </w:tc>
        <w:tc>
          <w:tcPr>
            <w:tcW w:w="2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32.39%</w:t>
            </w:r>
          </w:p>
        </w:tc>
      </w:tr>
      <w:tr>
        <w:trPr>
          <w:trHeight w:val="343" w:hRule="exact"/>
        </w:trPr>
        <w:tc>
          <w:tcPr>
            <w:tcW w:w="1930" w:type="dxa"/>
            <w:vMerge/>
            <w:tcBorders>
              <w:left w:val="nil" w:sz="6" w:space="0" w:color="auto"/>
              <w:bottom w:val="single" w:sz="4" w:space="0" w:color="000000"/>
              <w:right w:val="single" w:sz="4" w:space="0" w:color="000000"/>
            </w:tcBorders>
            <w:shd w:val="clear" w:color="auto" w:fill="DFDFDF"/>
          </w:tcPr>
          <w:p>
            <w:pPr/>
          </w:p>
        </w:tc>
        <w:tc>
          <w:tcPr>
            <w:tcW w:w="278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460</w:t>
            </w:r>
          </w:p>
        </w:tc>
        <w:tc>
          <w:tcPr>
            <w:tcW w:w="296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591" w:right="3649"/>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96"/>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513" w:right="0"/>
        <w:jc w:val="left"/>
      </w:pPr>
      <w:r>
        <w:rPr/>
        <w:t>公司严格按</w:t>
      </w:r>
      <w:r>
        <w:rPr>
          <w:spacing w:val="-44"/>
        </w:rPr>
        <w:t>照</w:t>
      </w:r>
      <w:r>
        <w:rPr/>
        <w:t>《公司法</w:t>
      </w:r>
      <w:r>
        <w:rPr>
          <w:spacing w:val="1"/>
        </w:rPr>
        <w:t> </w:t>
      </w:r>
      <w:r>
        <w:rPr>
          <w:spacing w:val="-106"/>
        </w:rPr>
        <w:t>》</w:t>
      </w:r>
      <w:r>
        <w:rPr>
          <w:spacing w:val="-148"/>
        </w:rPr>
        <w:t>、</w:t>
      </w:r>
      <w:r>
        <w:rPr/>
        <w:t>《证券法</w:t>
      </w:r>
      <w:r>
        <w:rPr>
          <w:spacing w:val="-105"/>
        </w:rPr>
        <w:t>》</w:t>
      </w:r>
      <w:r>
        <w:rPr>
          <w:spacing w:val="-149"/>
        </w:rPr>
        <w:t>、</w:t>
      </w:r>
      <w:r>
        <w:rPr/>
        <w:t>《上市公司治理准则</w:t>
      </w:r>
      <w:r>
        <w:rPr>
          <w:spacing w:val="-105"/>
        </w:rPr>
        <w:t>》</w:t>
      </w:r>
      <w:r>
        <w:rPr>
          <w:spacing w:val="-148"/>
        </w:rPr>
        <w:t>、</w:t>
      </w:r>
      <w:r>
        <w:rPr/>
        <w:t>《</w:t>
      </w:r>
      <w:r>
        <w:rPr>
          <w:spacing w:val="-2"/>
        </w:rPr>
        <w:t>深</w:t>
      </w:r>
      <w:r>
        <w:rPr/>
        <w:t>圳证</w:t>
      </w:r>
      <w:r>
        <w:rPr>
          <w:spacing w:val="1"/>
        </w:rPr>
        <w:t> </w:t>
      </w:r>
      <w:r>
        <w:rPr/>
        <w:t>券交</w:t>
      </w:r>
      <w:r>
        <w:rPr>
          <w:spacing w:val="-2"/>
        </w:rPr>
        <w:t>易</w:t>
      </w:r>
      <w:r>
        <w:rPr/>
        <w:t>所创业板股票上市规则</w:t>
      </w:r>
      <w:r>
        <w:rPr>
          <w:spacing w:val="-105"/>
        </w:rPr>
        <w:t>》</w:t>
      </w:r>
      <w:r>
        <w:rPr/>
        <w:t>、</w:t>
      </w:r>
    </w:p>
    <w:p>
      <w:pPr>
        <w:spacing w:line="240" w:lineRule="auto" w:before="10"/>
        <w:rPr>
          <w:rFonts w:ascii="宋体" w:hAnsi="宋体" w:cs="宋体" w:eastAsia="宋体" w:hint="default"/>
          <w:sz w:val="14"/>
          <w:szCs w:val="14"/>
        </w:rPr>
      </w:pPr>
    </w:p>
    <w:p>
      <w:pPr>
        <w:pStyle w:val="Heading4"/>
        <w:spacing w:line="408" w:lineRule="auto"/>
        <w:ind w:right="199"/>
        <w:jc w:val="left"/>
      </w:pPr>
      <w:r>
        <w:rPr/>
        <w:t>《 深圳证券交易所创业板上市公司规范运作指引》等法</w:t>
      </w:r>
      <w:r>
        <w:rPr>
          <w:spacing w:val="-26"/>
        </w:rPr>
        <w:t> </w:t>
      </w:r>
      <w:r>
        <w:rPr/>
        <w:t>律、法规和中国证监会有关法律法规的要求，不</w:t>
      </w:r>
      <w:r>
        <w:rPr/>
        <w:t> 断完善公司治理结构，建立健全公司内部控制度，促进公司规范运作，提高公司治理水平。</w:t>
      </w:r>
    </w:p>
    <w:p>
      <w:pPr>
        <w:pStyle w:val="Heading4"/>
        <w:spacing w:line="400" w:lineRule="auto" w:before="46"/>
        <w:ind w:right="210" w:firstLine="360"/>
        <w:jc w:val="both"/>
      </w:pPr>
      <w:r>
        <w:rPr>
          <w:rFonts w:ascii="Times New Roman" w:hAnsi="Times New Roman" w:cs="Times New Roman" w:eastAsia="Times New Roman" w:hint="default"/>
          <w:spacing w:val="-7"/>
        </w:rPr>
        <w:t>1</w:t>
      </w:r>
      <w:r>
        <w:rPr>
          <w:spacing w:val="-7"/>
        </w:rPr>
        <w:t>、关于股东与股东大会：报告期内公司严格按照《公司章程》、《上市公司股东大会规则》和《公司股</w:t>
      </w:r>
      <w:r>
        <w:rPr/>
        <w:t> </w:t>
      </w:r>
      <w:r>
        <w:rPr>
          <w:spacing w:val="-1"/>
        </w:rPr>
        <w:t>东大会议事规则》等规定要求，召集、召开股东大会，确保股东合法行使权益，平等对待所有股东，为股</w:t>
      </w:r>
      <w:r>
        <w:rPr>
          <w:spacing w:val="-83"/>
        </w:rPr>
        <w:t> </w:t>
      </w:r>
      <w:r>
        <w:rPr>
          <w:spacing w:val="-83"/>
        </w:rPr>
      </w:r>
      <w:r>
        <w:rPr>
          <w:spacing w:val="-1"/>
        </w:rPr>
        <w:t>东参加股东大会提供便利，使其充分行使股东的权利。同时，公司聘请专业的律师见证股东大会，确保会</w:t>
      </w:r>
      <w:r>
        <w:rPr>
          <w:spacing w:val="-86"/>
        </w:rPr>
        <w:t> </w:t>
      </w:r>
      <w:r>
        <w:rPr>
          <w:spacing w:val="-86"/>
        </w:rPr>
      </w:r>
      <w:r>
        <w:rPr/>
        <w:t>议召集召开及表决程序符合相关法律法规的规定。维护股东合法权益。</w:t>
      </w:r>
    </w:p>
    <w:p>
      <w:pPr>
        <w:pStyle w:val="Heading4"/>
        <w:spacing w:line="403" w:lineRule="auto" w:before="52"/>
        <w:ind w:right="190" w:firstLine="360"/>
        <w:jc w:val="both"/>
      </w:pPr>
      <w:r>
        <w:rPr>
          <w:rFonts w:ascii="Times New Roman" w:hAnsi="Times New Roman" w:cs="Times New Roman" w:eastAsia="Times New Roman" w:hint="default"/>
          <w:spacing w:val="-7"/>
        </w:rPr>
        <w:t>2</w:t>
      </w:r>
      <w:r>
        <w:rPr>
          <w:spacing w:val="-7"/>
        </w:rPr>
        <w:t>、关于董事与董事会：公司控股股东、实际控制人梁伟严格按照《上市公司治理准则》、《深圳证券交</w:t>
      </w:r>
      <w:r>
        <w:rPr/>
        <w:t> </w:t>
      </w:r>
      <w:r>
        <w:rPr>
          <w:spacing w:val="-9"/>
        </w:rPr>
        <w:t>易所创业板股票上市规则》、《深圳证券交易所创业板上市公司规范运作指引》、《公司章程》等有关规定，</w:t>
      </w:r>
      <w:r>
        <w:rPr>
          <w:spacing w:val="-97"/>
        </w:rPr>
        <w:t> </w:t>
      </w:r>
      <w:r>
        <w:rPr>
          <w:spacing w:val="-97"/>
        </w:rPr>
      </w:r>
      <w:r>
        <w:rPr/>
        <w:t>公 司控股股东严格规范自身行为，依法行使其权</w:t>
      </w:r>
      <w:r>
        <w:rPr>
          <w:spacing w:val="-22"/>
        </w:rPr>
        <w:t> </w:t>
      </w:r>
      <w:r>
        <w:rPr/>
        <w:t>利并承担相应义务，不存在超越股东大会直接或间接干</w:t>
      </w:r>
      <w:r>
        <w:rPr/>
        <w:t> </w:t>
      </w:r>
      <w:r>
        <w:rPr>
          <w:spacing w:val="-1"/>
        </w:rPr>
        <w:t>预本公司的决策和经营活动。在人员、资产、财务、机构、业务上独立，亦无为控股股东占用资金以及公</w:t>
      </w:r>
      <w:r>
        <w:rPr>
          <w:spacing w:val="-82"/>
        </w:rPr>
        <w:t> </w:t>
      </w:r>
      <w:r>
        <w:rPr>
          <w:spacing w:val="-82"/>
        </w:rPr>
      </w:r>
      <w:r>
        <w:rPr/>
        <w:t>司为控股股东提供担保的情形。</w:t>
      </w:r>
    </w:p>
    <w:p>
      <w:pPr>
        <w:pStyle w:val="Heading4"/>
        <w:spacing w:line="400" w:lineRule="auto" w:before="50"/>
        <w:ind w:right="104" w:firstLine="360"/>
        <w:jc w:val="left"/>
      </w:pPr>
      <w:r>
        <w:rPr>
          <w:rFonts w:ascii="Times New Roman" w:hAnsi="Times New Roman" w:cs="Times New Roman" w:eastAsia="Times New Roman" w:hint="default"/>
          <w:spacing w:val="-5"/>
        </w:rPr>
        <w:t>3</w:t>
      </w:r>
      <w:r>
        <w:rPr>
          <w:spacing w:val="-5"/>
        </w:rPr>
        <w:t>、关于监事和监事会：公司严格按照《公司法》、《公司章程》等有关规定选举监事，推举职工监事，</w:t>
      </w:r>
      <w:r>
        <w:rPr/>
        <w:t> </w:t>
      </w:r>
      <w:r>
        <w:rPr>
          <w:spacing w:val="-6"/>
        </w:rPr>
        <w:t>监事会的人数及结构符合法律法规和公司《章程》的要求。监事会严格按照《公司章程》、《监事会议事规</w:t>
      </w:r>
      <w:r>
        <w:rPr>
          <w:spacing w:val="-59"/>
        </w:rPr>
        <w:t> </w:t>
      </w:r>
      <w:r>
        <w:rPr>
          <w:spacing w:val="-59"/>
        </w:rPr>
      </w:r>
      <w:r>
        <w:rPr/>
        <w:t>则》认真履行自己的职责，除审议日常事项外，对公司的关联交易、财务状况以及董事、高级管</w:t>
      </w:r>
      <w:r>
        <w:rPr>
          <w:spacing w:val="1"/>
        </w:rPr>
        <w:t> </w:t>
      </w:r>
      <w:r>
        <w:rPr/>
        <w:t>理人员</w:t>
      </w:r>
      <w:r>
        <w:rPr/>
        <w:t> 履行职责等方面发挥了良好的监督职能，切实维护公司及股东的合法权益。</w:t>
      </w:r>
    </w:p>
    <w:p>
      <w:pPr>
        <w:pStyle w:val="Heading4"/>
        <w:spacing w:line="403" w:lineRule="auto" w:before="52"/>
        <w:ind w:right="104" w:firstLine="360"/>
        <w:jc w:val="left"/>
      </w:pPr>
      <w:r>
        <w:rPr>
          <w:rFonts w:ascii="Times New Roman" w:hAnsi="Times New Roman" w:cs="Times New Roman" w:eastAsia="Times New Roman" w:hint="default"/>
          <w:spacing w:val="-7"/>
        </w:rPr>
        <w:t>4</w:t>
      </w:r>
      <w:r>
        <w:rPr>
          <w:spacing w:val="-7"/>
        </w:rPr>
        <w:t>、关于公司与控股股东：公司控股股东、实际控制人梁伟严格按照《上市公司治理准则》、《深圳证券</w:t>
      </w:r>
      <w:r>
        <w:rPr/>
        <w:t> </w:t>
      </w:r>
      <w:r>
        <w:rPr>
          <w:spacing w:val="-12"/>
        </w:rPr>
        <w:t>交易所创业板股票上市规则》、《深圳证券交易所创业板上市公司规范运作指引》、《公司章程》等有关规定，</w:t>
      </w:r>
      <w:r>
        <w:rPr>
          <w:spacing w:val="-66"/>
        </w:rPr>
        <w:t> </w:t>
      </w:r>
      <w:r>
        <w:rPr>
          <w:spacing w:val="-66"/>
        </w:rPr>
      </w:r>
      <w:r>
        <w:rPr/>
        <w:t>公 司控股股东严格规范自身行为，依法行使其权</w:t>
      </w:r>
      <w:r>
        <w:rPr>
          <w:spacing w:val="-16"/>
        </w:rPr>
        <w:t> </w:t>
      </w:r>
      <w:r>
        <w:rPr/>
        <w:t>利并承担相应义务，不存在超越股东大会直接或间接干</w:t>
      </w:r>
      <w:r>
        <w:rPr/>
        <w:t> 预本公司的决策和经营活动。在人员、资产、财务、机构、业务上独立，亦无为控股股东占用资金以及公 司为控股股东提供担保的情形。</w:t>
      </w:r>
    </w:p>
    <w:p>
      <w:pPr>
        <w:pStyle w:val="Heading4"/>
        <w:spacing w:line="386" w:lineRule="auto" w:before="50"/>
        <w:ind w:right="196" w:firstLine="360"/>
        <w:jc w:val="left"/>
      </w:pPr>
      <w:r>
        <w:rPr>
          <w:rFonts w:ascii="Times New Roman" w:hAnsi="Times New Roman" w:cs="Times New Roman" w:eastAsia="Times New Roman" w:hint="default"/>
          <w:spacing w:val="-2"/>
        </w:rPr>
        <w:t>5</w:t>
      </w:r>
      <w:r>
        <w:rPr>
          <w:spacing w:val="-2"/>
        </w:rPr>
        <w:t>、关于绩效评价与激励约束机制：公司正持续完善高级管理人员绩效评价与激励约束机制。高级管理</w:t>
      </w:r>
      <w:r>
        <w:rPr/>
        <w:t> 人员的聘任能够做到公开、透明，符合法律、法规的规定。</w:t>
      </w:r>
    </w:p>
    <w:p>
      <w:pPr>
        <w:pStyle w:val="Heading4"/>
        <w:spacing w:line="386" w:lineRule="auto" w:before="65"/>
        <w:ind w:right="194" w:firstLine="360"/>
        <w:jc w:val="left"/>
      </w:pPr>
      <w:r>
        <w:rPr>
          <w:rFonts w:ascii="Times New Roman" w:hAnsi="Times New Roman" w:cs="Times New Roman" w:eastAsia="Times New Roman" w:hint="default"/>
        </w:rPr>
        <w:t>6</w:t>
      </w:r>
      <w:r>
        <w:rPr/>
        <w:t>、关于利益相关者：公司充分尊重和维护相 关利益者的合法权益，积极与相关利益者合作，加强</w:t>
      </w:r>
      <w:r>
        <w:rPr>
          <w:spacing w:val="-66"/>
        </w:rPr>
        <w:t> </w:t>
      </w:r>
      <w:r>
        <w:rPr/>
        <w:t>与</w:t>
      </w:r>
      <w:r>
        <w:rPr/>
        <w:t> 各方的沟通和交流，实现股东、员工、社会等各方利益的协调平衡，共同推动公司持续、健康的发展。</w:t>
      </w:r>
    </w:p>
    <w:p>
      <w:pPr>
        <w:spacing w:after="0" w:line="386" w:lineRule="auto"/>
        <w:jc w:val="left"/>
        <w:sectPr>
          <w:pgSz w:w="11910" w:h="16840"/>
          <w:pgMar w:header="877" w:footer="979" w:top="1100" w:bottom="1160" w:left="980" w:right="920"/>
        </w:sectPr>
      </w:pPr>
    </w:p>
    <w:p>
      <w:pPr>
        <w:spacing w:line="240" w:lineRule="auto" w:before="8"/>
        <w:rPr>
          <w:rFonts w:ascii="宋体" w:hAnsi="宋体" w:cs="宋体" w:eastAsia="宋体" w:hint="default"/>
          <w:sz w:val="26"/>
          <w:szCs w:val="26"/>
        </w:rPr>
      </w:pPr>
    </w:p>
    <w:p>
      <w:pPr>
        <w:pStyle w:val="Heading4"/>
        <w:spacing w:line="405" w:lineRule="auto" w:before="35"/>
        <w:ind w:right="103" w:firstLine="360"/>
        <w:jc w:val="left"/>
      </w:pPr>
      <w:r>
        <w:rPr>
          <w:rFonts w:ascii="Times New Roman" w:hAnsi="Times New Roman" w:cs="Times New Roman" w:eastAsia="Times New Roman" w:hint="default"/>
          <w:spacing w:val="-2"/>
        </w:rPr>
        <w:t>7</w:t>
      </w:r>
      <w:r>
        <w:rPr>
          <w:spacing w:val="-2"/>
        </w:rPr>
        <w:t>、关于信息披露与透明度：公司严格按照有关法律</w:t>
      </w:r>
      <w:r>
        <w:rPr/>
        <w:t> </w:t>
      </w:r>
      <w:r>
        <w:rPr>
          <w:spacing w:val="-13"/>
        </w:rPr>
        <w:t>法规以及《信息披露事务管理制度》、《投资</w:t>
      </w:r>
      <w:r>
        <w:rPr>
          <w:spacing w:val="17"/>
        </w:rPr>
        <w:t> </w:t>
      </w:r>
      <w:r>
        <w:rPr/>
        <w:t>者关</w:t>
      </w:r>
      <w:r>
        <w:rPr/>
        <w:t> 系管理制度》等的要求，真实、准确、及时 、公平、完整地披露有关信息；并指定公司董</w:t>
      </w:r>
      <w:r>
        <w:rPr>
          <w:spacing w:val="-17"/>
        </w:rPr>
        <w:t> </w:t>
      </w:r>
      <w:r>
        <w:rPr/>
        <w:t>事会秘书为信</w:t>
      </w:r>
      <w:r>
        <w:rPr/>
        <w:t> 息披露负责人，协调公司与投资 者之间的关系，接待股东来访，回答投资者咨询</w:t>
      </w:r>
      <w:r>
        <w:rPr>
          <w:spacing w:val="-17"/>
        </w:rPr>
        <w:t> </w:t>
      </w:r>
      <w:r>
        <w:rPr/>
        <w:t>，向投资者提供公司已</w:t>
      </w:r>
      <w:r>
        <w:rPr/>
        <w:t> </w:t>
      </w:r>
      <w:r>
        <w:rPr>
          <w:spacing w:val="-14"/>
        </w:rPr>
        <w:t>披露的资料；并指定《中国证券报》、《证券时报》、《上海证券报》、《证券日报》为信息披露报纸，巨潮资</w:t>
      </w:r>
      <w:r>
        <w:rPr>
          <w:spacing w:val="-77"/>
        </w:rPr>
        <w:t> </w:t>
      </w:r>
      <w:r>
        <w:rPr>
          <w:spacing w:val="-77"/>
        </w:rPr>
      </w:r>
      <w:r>
        <w:rPr>
          <w:spacing w:val="-4"/>
        </w:rPr>
        <w:t>讯网（</w:t>
      </w:r>
      <w:hyperlink r:id="rId12">
        <w:r>
          <w:rPr>
            <w:rFonts w:ascii="Times New Roman" w:hAnsi="Times New Roman" w:cs="Times New Roman" w:eastAsia="Times New Roman" w:hint="default"/>
            <w:spacing w:val="-4"/>
          </w:rPr>
          <w:t>http://www.cninfo.com.cn</w:t>
        </w:r>
      </w:hyperlink>
      <w:r>
        <w:rPr>
          <w:spacing w:val="-4"/>
        </w:rPr>
        <w:t>）为信息披露的指定网站，确保公司所有股</w:t>
      </w:r>
      <w:r>
        <w:rPr>
          <w:spacing w:val="38"/>
        </w:rPr>
        <w:t> </w:t>
      </w:r>
      <w:r>
        <w:rPr/>
        <w:t>东能够以平等的机会获得信息。</w:t>
      </w:r>
      <w:r>
        <w:rPr>
          <w:spacing w:val="-100"/>
        </w:rPr>
        <w:t> </w:t>
      </w:r>
      <w:r>
        <w:rPr>
          <w:spacing w:val="-100"/>
        </w:rPr>
      </w:r>
      <w:r>
        <w:rPr/>
        <w:t>公司治理与《公司法》和中国证监会相关规定的要求是否存在差异</w:t>
      </w:r>
    </w:p>
    <w:p>
      <w:pPr>
        <w:pStyle w:val="Heading4"/>
        <w:spacing w:line="240" w:lineRule="auto" w:before="89"/>
        <w:ind w:right="1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8"/>
          <w:szCs w:val="28"/>
        </w:rPr>
      </w:pPr>
    </w:p>
    <w:p>
      <w:pPr>
        <w:pStyle w:val="Heading2"/>
        <w:spacing w:line="240" w:lineRule="auto"/>
        <w:ind w:left="154" w:right="196"/>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96"/>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1100" w:right="114"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196"/>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1100" w:right="114"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96"/>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2232"/>
        <w:gridCol w:w="2392"/>
        <w:gridCol w:w="2392"/>
      </w:tblGrid>
      <w:tr>
        <w:trPr>
          <w:trHeight w:val="714" w:hRule="exact"/>
        </w:trPr>
        <w:tc>
          <w:tcPr>
            <w:tcW w:w="25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5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1100" w:right="114"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2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2567"/>
        <w:gridCol w:w="2232"/>
        <w:gridCol w:w="2392"/>
        <w:gridCol w:w="2392"/>
      </w:tblGrid>
      <w:tr>
        <w:trPr>
          <w:trHeight w:val="402"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7"/>
        <w:rPr>
          <w:rFonts w:ascii="宋体" w:hAnsi="宋体" w:cs="宋体" w:eastAsia="宋体" w:hint="default"/>
          <w:b/>
          <w:bCs/>
          <w:sz w:val="30"/>
          <w:szCs w:val="30"/>
        </w:rPr>
      </w:pPr>
    </w:p>
    <w:p>
      <w:pPr>
        <w:pStyle w:val="Heading4"/>
        <w:spacing w:line="386" w:lineRule="auto"/>
        <w:ind w:right="230"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日召开的第一届董事会第十二次会议审议通过了《年报信息披露重大差错责任追究制 度》，制度内容详见公司于</w:t>
      </w:r>
      <w:r>
        <w:rPr>
          <w:rFonts w:ascii="Times New Roman" w:hAnsi="Times New Roman" w:cs="Times New Roman" w:eastAsia="Times New Roman" w:hint="default"/>
        </w:rPr>
        <w:t>2011</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日刊登于巨潮资讯网的（</w:t>
      </w:r>
      <w:hyperlink r:id="rId12">
        <w:r>
          <w:rPr>
            <w:rFonts w:ascii="Times New Roman" w:hAnsi="Times New Roman" w:cs="Times New Roman" w:eastAsia="Times New Roman" w:hint="default"/>
          </w:rPr>
          <w:t>http://www.cninfo.com.cn</w:t>
        </w:r>
      </w:hyperlink>
      <w:r>
        <w:rPr/>
        <w:t>）公告。公司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月</w:t>
      </w:r>
      <w:r>
        <w:rPr>
          <w:rFonts w:ascii="Times New Roman" w:hAnsi="Times New Roman" w:cs="Times New Roman" w:eastAsia="Times New Roman" w:hint="default"/>
        </w:rPr>
        <w:t>23</w:t>
      </w:r>
      <w:r>
        <w:rPr/>
        <w:t>日召开的第二届董事会第十五次会议审议通过了《关于会计差错更正的议案》对公司</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-2012</w:t>
      </w:r>
      <w:r>
        <w:rPr/>
        <w:t>年会计差错予以更正，《关于会计差错更正的公告》详见巨潮资讯网。</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五、监事会工作情况" w:id="106"/>
      <w:bookmarkEnd w:id="106"/>
      <w:r>
        <w:rPr>
          <w:b w:val="0"/>
          <w:bCs w:val="0"/>
        </w:rPr>
      </w:r>
      <w:r>
        <w:rPr/>
        <w:t>五、监事会工作情况</w:t>
      </w:r>
      <w:r>
        <w:rPr>
          <w:b w:val="0"/>
          <w:bCs w:val="0"/>
        </w:rPr>
      </w:r>
    </w:p>
    <w:p>
      <w:pPr>
        <w:spacing w:line="240" w:lineRule="auto" w:before="6"/>
        <w:rPr>
          <w:rFonts w:ascii="宋体" w:hAnsi="宋体" w:cs="宋体" w:eastAsia="宋体" w:hint="default"/>
          <w:b/>
          <w:bCs/>
          <w:sz w:val="30"/>
          <w:szCs w:val="30"/>
        </w:rPr>
      </w:pPr>
    </w:p>
    <w:p>
      <w:pPr>
        <w:pStyle w:val="Heading4"/>
        <w:spacing w:line="240" w:lineRule="auto"/>
        <w:ind w:right="0"/>
        <w:jc w:val="left"/>
      </w:pPr>
      <w:r>
        <w:rPr/>
        <w:t>监事会在报告期内的监督活动是否发现公司存在风险</w:t>
      </w:r>
    </w:p>
    <w:p>
      <w:pPr>
        <w:spacing w:line="240" w:lineRule="auto" w:before="10"/>
        <w:rPr>
          <w:rFonts w:ascii="宋体" w:hAnsi="宋体" w:cs="宋体" w:eastAsia="宋体" w:hint="default"/>
          <w:sz w:val="14"/>
          <w:szCs w:val="14"/>
        </w:rPr>
      </w:pPr>
    </w:p>
    <w:p>
      <w:pPr>
        <w:pStyle w:val="Heading4"/>
        <w:spacing w:line="386" w:lineRule="auto"/>
        <w:ind w:left="154" w:right="57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spacing w:after="0" w:line="386"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751" w:right="3789"/>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5192"/>
        <w:jc w:val="left"/>
        <w:rPr>
          <w:b w:val="0"/>
          <w:bCs w:val="0"/>
        </w:rPr>
      </w:pPr>
      <w:bookmarkStart w:name="一、审计报告" w:id="109"/>
      <w:bookmarkEnd w:id="109"/>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004616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徐德、高德惠</w:t>
            </w:r>
          </w:p>
        </w:tc>
      </w:tr>
    </w:tbl>
    <w:p>
      <w:pPr>
        <w:pStyle w:val="BodyText"/>
        <w:spacing w:line="240" w:lineRule="auto" w:before="51"/>
        <w:ind w:left="3751" w:right="3787"/>
        <w:jc w:val="center"/>
      </w:pPr>
      <w:r>
        <w:rPr/>
        <w:t>审计报告正文</w:t>
      </w:r>
    </w:p>
    <w:p>
      <w:pPr>
        <w:pStyle w:val="Heading5"/>
        <w:spacing w:line="240" w:lineRule="auto" w:before="116"/>
        <w:ind w:right="5192"/>
        <w:jc w:val="left"/>
        <w:rPr>
          <w:b w:val="0"/>
          <w:bCs w:val="0"/>
        </w:rPr>
      </w:pPr>
      <w:r>
        <w:rPr/>
        <w:t>武汉金运激光股份有限公司全体股东：</w:t>
      </w:r>
      <w:r>
        <w:rPr>
          <w:b w:val="0"/>
          <w:bCs w:val="0"/>
        </w:rPr>
      </w:r>
    </w:p>
    <w:p>
      <w:pPr>
        <w:pStyle w:val="BodyText"/>
        <w:spacing w:line="300" w:lineRule="auto" w:before="76"/>
        <w:ind w:left="153" w:right="93" w:firstLine="360"/>
        <w:jc w:val="left"/>
      </w:pPr>
      <w:r>
        <w:rPr/>
        <w:t>我们审计了后附的武汉金运激光股份有限公司</w:t>
      </w:r>
      <w:r>
        <w:rPr>
          <w:rFonts w:ascii="Times New Roman" w:hAnsi="Times New Roman" w:cs="Times New Roman" w:eastAsia="Times New Roman" w:hint="default"/>
        </w:rPr>
        <w:t>(</w:t>
      </w:r>
      <w:r>
        <w:rPr/>
        <w:t>以下简称金运激光</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负债表，</w:t>
      </w:r>
      <w:r>
        <w:rPr>
          <w:rFonts w:ascii="Times New Roman" w:hAnsi="Times New Roman" w:cs="Times New Roman" w:eastAsia="Times New Roman" w:hint="default"/>
        </w:rPr>
        <w:t>2014</w:t>
      </w:r>
      <w:r>
        <w:rPr/>
        <w:t>年度的合并及母公司利润表、合并及母公司现金流量表、合并及母公司股东权益变动表，以及财务报表附注。</w:t>
      </w:r>
    </w:p>
    <w:p>
      <w:pPr>
        <w:spacing w:line="316" w:lineRule="auto" w:before="13"/>
        <w:ind w:left="513" w:right="183" w:hanging="6"/>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编制和公允列报财务报表是金运激光管理层的责任，这种责任包括：（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w:t>
      </w:r>
    </w:p>
    <w:p>
      <w:pPr>
        <w:pStyle w:val="BodyText"/>
        <w:spacing w:line="309" w:lineRule="auto"/>
        <w:ind w:left="507" w:right="93" w:hanging="354"/>
        <w:jc w:val="left"/>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24"/>
        <w:ind w:left="153" w:right="93"/>
        <w:jc w:val="left"/>
      </w:pP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6" w:lineRule="auto" w:before="19"/>
        <w:ind w:left="153"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16" w:lineRule="auto" w:before="19"/>
        <w:ind w:left="508" w:right="3152" w:firstLine="6"/>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left="153" w:right="93" w:firstLine="360"/>
        <w:jc w:val="left"/>
      </w:pPr>
      <w:r>
        <w:rPr>
          <w:spacing w:val="-2"/>
        </w:rPr>
        <w:t>我们认为，金运激光的财务报表在所有重大方面按照企业会计准则的规定编制，公允反映了金运激光</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4"/>
        <w:rPr>
          <w:rFonts w:ascii="宋体" w:hAnsi="宋体" w:cs="宋体" w:eastAsia="宋体" w:hint="default"/>
          <w:sz w:val="20"/>
          <w:szCs w:val="20"/>
        </w:rPr>
      </w:pPr>
    </w:p>
    <w:p>
      <w:pPr>
        <w:pStyle w:val="Heading2"/>
        <w:spacing w:line="240" w:lineRule="auto"/>
        <w:ind w:right="5192"/>
        <w:jc w:val="left"/>
        <w:rPr>
          <w:b w:val="0"/>
          <w:bCs w:val="0"/>
        </w:rPr>
      </w:pPr>
      <w:bookmarkStart w:name="二、财务报表" w:id="110"/>
      <w:bookmarkEnd w:id="11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519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5192"/>
        <w:jc w:val="left"/>
        <w:rPr>
          <w:b w:val="0"/>
          <w:bCs w:val="0"/>
        </w:rPr>
      </w:pPr>
      <w:bookmarkStart w:name="1、合并资产负债表" w:id="111"/>
      <w:bookmarkEnd w:id="11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40"/>
        </w:sectPr>
      </w:pPr>
    </w:p>
    <w:p>
      <w:pPr>
        <w:pStyle w:val="BodyText"/>
        <w:spacing w:line="240" w:lineRule="auto" w:before="44"/>
        <w:ind w:left="153" w:right="-19"/>
        <w:jc w:val="left"/>
      </w:pPr>
      <w:r>
        <w:rPr/>
        <w:t>编制单位：武汉金运激光股份有限公司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40"/>
          <w:cols w:num="3" w:equalWidth="0">
            <w:col w:w="3215" w:space="863"/>
            <w:col w:w="1639" w:space="3203"/>
            <w:col w:w="107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77,216,045.00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108,523,688.51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2,034,200.00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39,065,113.07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26,762,277.19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5,194,214.52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10,931,888.51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4,882,850.96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5,160,722.32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120,400,401.65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125,821,168.86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45,993,552.46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25,917,718.55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294,786,377.66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303,407,463.94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2,977,310.20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95,124,769.45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82,446,109.77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6,684,316.20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2,529,195.98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10,341,740.17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5,356,732.22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5,834,760.95</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3,764,086.21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3,454,154.60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2,241,737.77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426,459.75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127,068,720.95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106,212,652.32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421,855,098.61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409,620,116.26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6,116,931.15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1,907,271.00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28,443,610.29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23,757,259.19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14,120,206.74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20,578,170.84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8,234,373.70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8,233,510.58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529,374.48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1,654,812.99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2,723,832.14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598,029.24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60,493,328.50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57,054,053.84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58,616,595.19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58,579,431.73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271,970.22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326,098.38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58,888,565.41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58,905,530.11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119,381,893.91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115,959,583.95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82,817,482.47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139,042,478.76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9,474,435.10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8,321,318.16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74,995,894.59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70,759,240.24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293,287,812.16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288,123,037.16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9,185,392.54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5,537,495.15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302,473,204.70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293,660,532.31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421,855,098.61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409,620,116.26</w:t>
            </w:r>
          </w:p>
        </w:tc>
      </w:tr>
    </w:tbl>
    <w:p>
      <w:pPr>
        <w:spacing w:line="240" w:lineRule="auto" w:before="3"/>
        <w:rPr>
          <w:rFonts w:ascii="Times New Roman" w:hAnsi="Times New Roman" w:cs="Times New Roman" w:eastAsia="Times New Roman" w:hint="default"/>
          <w:sz w:val="23"/>
          <w:szCs w:val="23"/>
        </w:rPr>
      </w:pPr>
    </w:p>
    <w:p>
      <w:pPr>
        <w:pStyle w:val="BodyText"/>
        <w:tabs>
          <w:tab w:pos="3484" w:val="left" w:leader="none"/>
          <w:tab w:pos="7715" w:val="left" w:leader="none"/>
        </w:tabs>
        <w:spacing w:line="240" w:lineRule="auto" w:before="44"/>
        <w:ind w:right="0"/>
        <w:jc w:val="left"/>
      </w:pPr>
      <w:r>
        <w:rPr/>
        <w:t>法定代表人：梁伟</w:t>
        <w:tab/>
        <w:t>主管会计工作负责人：吴光权</w:t>
        <w:tab/>
        <w:t>会计机构负责人：曾亚珍</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2、母公司资产负债表" w:id="112"/>
      <w:bookmarkEnd w:id="11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66,081,098.86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88,784,554.57</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1,234,200.00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39,812,070.83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27,694,671.17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4,059,189.09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8,850,758.35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10,668,959.70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9,640,216.07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96,611,516.99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115,432,800.24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44,540,190.69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24,912,732.08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263,007,226.16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275,515,732.48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41,423,037.20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87,007,784.85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80,830,052.45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6,320,788.36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2,503,895.98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8,099,130.15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4,585,494.98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1,797,918.92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2,903,766.64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566,079.01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363,555.74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145,314,738.49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130,186,765.79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408,321,964.65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405,702,498.27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6,116,931.15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1,907,271.00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19,011,956.83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22,331,929.70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12,024,560.02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19,511,770.84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6,729,273.00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7,631,632.54</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132,629.72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1,622,836.87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6,206,218.83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4,710,866.93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50,546,569.55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58,041,307.88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58,616,595.19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58,579,431.73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271,970.22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326,098.38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58,888,565.41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58,905,530.11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109,435,134.96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116,946,837.99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83,042,478.76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139,042,478.76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9,474,435.10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8,321,318.16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80,369,915.83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71,391,863.36</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298,886,829.69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288,755,660.28</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408,321,964.65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405,702,498.27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13"/>
      <w:bookmarkEnd w:id="11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057"/>
        <w:gridCol w:w="3222"/>
        <w:gridCol w:w="3263"/>
      </w:tblGrid>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192,535,822.50</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158,418,192.10</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192,535,822.50</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158,418,192.10</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192,631,848.68</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153,334,025.59</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120,544,369.92</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91,838,229.34</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1,336,891.99</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1,198,256.50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12.240005pt;margin-top:380.599976pt;width:157.7pt;height:19.650pt;mso-position-horizontal-relative:page;mso-position-vertical-relative:page;z-index:-923824" coordorigin="4245,7612" coordsize="3154,393">
            <v:shape style="position:absolute;left:4245;top:7612;width:3154;height:393" coordorigin="4245,7612" coordsize="3154,393" path="m4245,8004l7399,8004,7399,7612,4245,7612,4245,800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2"/>
        <w:gridCol w:w="1150"/>
        <w:gridCol w:w="2060"/>
        <w:gridCol w:w="3276"/>
      </w:tblGrid>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38,252,684.36</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32,830,922.35</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25,957,450.64</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21,740,885.66</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4,410,912.70</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4,364,821.90</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2,129,539.07</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1,360,909.84</w:t>
            </w: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1,495,844.57</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1,126,996.85</w:t>
            </w: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2"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1,399,818.39</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6,211,163.36</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4,529,240.96</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2,938,256.57</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87,246.75</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651,468.46</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81,780.79</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330,617.86</w:t>
            </w:r>
          </w:p>
        </w:tc>
      </w:tr>
      <w:tr>
        <w:trPr>
          <w:trHeight w:val="402" w:hRule="exact"/>
        </w:trPr>
        <w:tc>
          <w:tcPr>
            <w:tcW w:w="3082"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5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7" w:right="0"/>
              <w:jc w:val="left"/>
              <w:rPr>
                <w:rFonts w:ascii="Times New Roman" w:hAnsi="Times New Roman" w:cs="Times New Roman" w:eastAsia="Times New Roman" w:hint="default"/>
                <w:sz w:val="18"/>
                <w:szCs w:val="18"/>
              </w:rPr>
            </w:pPr>
            <w:r>
              <w:rPr>
                <w:rFonts w:ascii="Times New Roman"/>
                <w:sz w:val="18"/>
              </w:rPr>
              <w:t>5,841,812.60</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8,497,951.47</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93,279.09</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1,764,470.43</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5,748,533.51</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6,733,481.04</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7,092,467.87</w:t>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-1,041,237.78</w:t>
            </w:r>
          </w:p>
        </w:tc>
        <w:tc>
          <w:tcPr>
            <w:tcW w:w="3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-358,986.83</w:t>
            </w:r>
            <w:r>
              <w:rPr>
                <w:rFonts w:ascii="Times New Roman"/>
                <w:sz w:val="18"/>
              </w:rPr>
            </w: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27"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27"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3057"/>
        <w:gridCol w:w="3222"/>
        <w:gridCol w:w="3263"/>
      </w:tblGrid>
      <w:tr>
        <w:trPr>
          <w:trHeight w:val="36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5,748,533.51</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6,733,481.04</w:t>
            </w:r>
          </w:p>
        </w:tc>
      </w:tr>
      <w:tr>
        <w:trPr>
          <w:trHeight w:val="714"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6,789,771.29</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7,092,467.87</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-1,041,237.78</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-358,986.83</w:t>
            </w:r>
            <w:r>
              <w:rPr>
                <w:rFonts w:ascii="Times New Roman"/>
                <w:sz w:val="18"/>
              </w:rPr>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3"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0.0856</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0.1013</w:t>
            </w:r>
          </w:p>
        </w:tc>
      </w:tr>
      <w:tr>
        <w:trPr>
          <w:trHeight w:val="402" w:hRule="exact"/>
        </w:trPr>
        <w:tc>
          <w:tcPr>
            <w:tcW w:w="3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0.0856</w:t>
            </w:r>
          </w:p>
        </w:tc>
        <w:tc>
          <w:tcPr>
            <w:tcW w:w="3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0.1013</w:t>
            </w:r>
          </w:p>
        </w:tc>
      </w:tr>
    </w:tbl>
    <w:p>
      <w:pPr>
        <w:pStyle w:val="BodyText"/>
        <w:tabs>
          <w:tab w:pos="3484" w:val="left" w:leader="none"/>
          <w:tab w:pos="7715" w:val="left" w:leader="none"/>
        </w:tabs>
        <w:spacing w:line="624" w:lineRule="auto" w:before="51"/>
        <w:ind w:left="153" w:right="249"/>
        <w:jc w:val="left"/>
      </w:pPr>
      <w:r>
        <w:rPr/>
        <w:t>本期发生同一控制下企业合并的，被合并方在合并前实现的净利润为：元，上期被合并方实现的净利润为：元。 法定代表人：梁伟</w:t>
        <w:tab/>
        <w:t>主管会计工作负责人：吴光权</w:t>
        <w:tab/>
        <w:t>会计机构负责人：曾亚珍</w:t>
      </w:r>
    </w:p>
    <w:p>
      <w:pPr>
        <w:pStyle w:val="Heading3"/>
        <w:spacing w:line="240" w:lineRule="auto" w:before="63"/>
        <w:ind w:left="153" w:right="0"/>
        <w:jc w:val="left"/>
        <w:rPr>
          <w:b w:val="0"/>
          <w:bCs w:val="0"/>
        </w:rPr>
      </w:pPr>
      <w:bookmarkStart w:name="4、母公司利润表" w:id="114"/>
      <w:bookmarkEnd w:id="11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166,328,360.11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157,045,746.42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107,363,887.27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93,606,721.93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1,228,884.31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1,170,674.19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29,890,769.40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31,550,730.13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14,929,388.00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16,729,558.60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4,493,488.89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4,564,181.61</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1,786,450.14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1,343,125.42</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2,044,380.25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16,126,996.85</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8,679,872.35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24,207,751.39</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4,438,074.16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2,301,210.33</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320,921.70</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75.08</w:t>
            </w: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13,117,946.51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26,188,040.02</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1,586,777.10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1,536,101.45</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11,531,169.41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24,651,938.57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9" w:lineRule="auto" w:before="51"/>
              <w:ind w:left="13"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11,531,169.41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24,651,938.57</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15"/>
      <w:bookmarkEnd w:id="11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5" w:type="dxa"/>
        <w:tblLayout w:type="fixed"/>
        <w:tblCellMar>
          <w:top w:w="0" w:type="dxa"/>
          <w:left w:w="0" w:type="dxa"/>
          <w:bottom w:w="0" w:type="dxa"/>
          <w:right w:w="0" w:type="dxa"/>
        </w:tblCellMar>
        <w:tblLook w:val="01E0"/>
      </w:tblPr>
      <w:tblGrid>
        <w:gridCol w:w="2981"/>
        <w:gridCol w:w="3356"/>
        <w:gridCol w:w="3331"/>
      </w:tblGrid>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3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38"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192,662,786.85</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166,349,779.22</w:t>
            </w: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3,055,179.53</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2,859,310.79</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9,741,396.44</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6,541,205.31</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205,459,362.82</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175,750,295.32</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111,715,290.31</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123,838,522.00</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43,791,993.17</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30,621,864.71</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6,938,409.02</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4,093,515.33</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31,551,620.41</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30,403,461.33</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193,997,312.91</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188,957,363.37</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11,462,049.91</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-13,207,068.05</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176,907,121.65</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167,000,000.00</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1,422,082.29</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735,210.55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5" w:type="dxa"/>
        <w:tblLayout w:type="fixed"/>
        <w:tblCellMar>
          <w:top w:w="0" w:type="dxa"/>
          <w:left w:w="0" w:type="dxa"/>
          <w:bottom w:w="0" w:type="dxa"/>
          <w:right w:w="0" w:type="dxa"/>
        </w:tblCellMar>
        <w:tblLook w:val="01E0"/>
      </w:tblPr>
      <w:tblGrid>
        <w:gridCol w:w="2981"/>
        <w:gridCol w:w="3356"/>
        <w:gridCol w:w="3331"/>
      </w:tblGrid>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230,458.78</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19,402.00</w:t>
            </w: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5,259,032.63</w:t>
            </w: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183,818,695.35</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167,754,612.55</w:t>
            </w: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23,945,927.23</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12,653,310.71</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198,315,335.35</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201,000,000.00</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154,561.37</w:t>
            </w: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222,415,823.95</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213,653,310.71</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-38,597,128.60</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-45,898,698.16</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2,855,000.00</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2,855,000.00</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590,085.67</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4,942,625.01</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53,445,085.67</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7,612,625.01</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5,307,777.78</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5,587,167.76</w:t>
            </w: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56" w:type="dxa"/>
            <w:tcBorders>
              <w:top w:val="single" w:sz="4" w:space="0" w:color="000000"/>
              <w:left w:val="single" w:sz="13" w:space="0" w:color="D2D2D2"/>
              <w:bottom w:val="single" w:sz="4" w:space="0" w:color="000000"/>
              <w:right w:val="single" w:sz="4" w:space="0" w:color="000000"/>
            </w:tcBorders>
          </w:tcPr>
          <w:p>
            <w:pPr/>
          </w:p>
        </w:tc>
        <w:tc>
          <w:tcPr>
            <w:tcW w:w="333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2,003,400.00</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3,413,023.34</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57,311,177.78</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9,000,191.10</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-3,866,092.11</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-1,387,566.09</w:t>
            </w:r>
          </w:p>
        </w:tc>
      </w:tr>
      <w:tr>
        <w:trPr>
          <w:trHeight w:val="714"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-13,561.42</w:t>
            </w:r>
            <w:r>
              <w:rPr>
                <w:rFonts w:ascii="Times New Roman"/>
                <w:sz w:val="18"/>
              </w:rPr>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-606,394.86</w:t>
            </w:r>
            <w:r>
              <w:rPr>
                <w:rFonts w:ascii="Times New Roman"/>
                <w:sz w:val="18"/>
              </w:rPr>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-31,014,732.22</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-61,099,727.16</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105,160,665.17</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166,260,392.33</w:t>
            </w:r>
          </w:p>
        </w:tc>
      </w:tr>
      <w:tr>
        <w:trPr>
          <w:trHeight w:val="402" w:hRule="exact"/>
        </w:trPr>
        <w:tc>
          <w:tcPr>
            <w:tcW w:w="2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74,145,932.95</w:t>
            </w:r>
          </w:p>
        </w:tc>
        <w:tc>
          <w:tcPr>
            <w:tcW w:w="3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105,160,665.17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53" w:right="0"/>
        <w:jc w:val="left"/>
        <w:rPr>
          <w:b w:val="0"/>
          <w:bCs w:val="0"/>
        </w:rPr>
      </w:pPr>
      <w:bookmarkStart w:name="6、母公司现金流量表" w:id="116"/>
      <w:bookmarkEnd w:id="11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403"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158,251,088.52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164,099,619.19</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3,055,179.53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2,726,490.28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11,770,777.90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8,008,279.00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173,077,045.95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174,834,388.47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91,383,433.75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136,887,308.04</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31,721,579.02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27,168,709.98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6,352,812.74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3,780,703.78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20,454,685.70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24,924,858.22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149,912,511.21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192,761,580.02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23,164,534.74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-17,927,191.55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176,907,121.65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167,000,000.00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1,422,082.29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15,735,210.55</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2,402.00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1,551,265.49</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179,880,469.43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182,737,612.55</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14,955,559.71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10,453,270.63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198,315,335.35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201,000,000.00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22,930,000.00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529,200.00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219,250,095.06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234,383,270.63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-39,369,625.63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-51,645,658.08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590,085.67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4,942,625.01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50,590,085.67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4,942,625.01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5,307,777.78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5,587,167.76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1,474,200.00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3,413,023.34</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56,781,977.78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9,000,191.10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-6,191,892.11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-4,057,566.09</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-13,561.42</w:t>
            </w:r>
            <w:r>
              <w:rPr>
                <w:rFonts w:ascii="Times New Roman"/>
                <w:sz w:val="18"/>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-606,394.86</w:t>
            </w:r>
            <w:r>
              <w:rPr>
                <w:rFonts w:ascii="Times New Roman"/>
                <w:sz w:val="18"/>
              </w:rPr>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-22,410,544.42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-74,236,810.58</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85,421,531.23</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159,658,341.81</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63,010,986.81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85,421,531.23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19"/>
        <w:jc w:val="left"/>
        <w:rPr>
          <w:b w:val="0"/>
          <w:bCs w:val="0"/>
        </w:rPr>
      </w:pPr>
      <w:bookmarkStart w:name="7、合并所有者权益变动表" w:id="117"/>
      <w:bookmarkEnd w:id="11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119"/>
        <w:jc w:val="left"/>
      </w:pPr>
      <w:r>
        <w:rPr/>
        <w:t>本期金额</w:t>
      </w:r>
    </w:p>
    <w:p>
      <w:pPr>
        <w:pStyle w:val="BodyText"/>
        <w:spacing w:line="240" w:lineRule="auto" w:before="116"/>
        <w:ind w:left="0" w:right="235"/>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53"/>
        <w:gridCol w:w="1192"/>
        <w:gridCol w:w="649"/>
        <w:gridCol w:w="650"/>
        <w:gridCol w:w="653"/>
        <w:gridCol w:w="1181"/>
        <w:gridCol w:w="848"/>
        <w:gridCol w:w="847"/>
        <w:gridCol w:w="847"/>
        <w:gridCol w:w="1001"/>
        <w:gridCol w:w="847"/>
        <w:gridCol w:w="1091"/>
        <w:gridCol w:w="1061"/>
        <w:gridCol w:w="1167"/>
      </w:tblGrid>
      <w:tr>
        <w:trPr>
          <w:trHeight w:val="402" w:hRule="exact"/>
        </w:trPr>
        <w:tc>
          <w:tcPr>
            <w:tcW w:w="1953" w:type="dxa"/>
            <w:vMerge w:val="restart"/>
            <w:tcBorders>
              <w:top w:val="single" w:sz="4" w:space="0" w:color="000000"/>
              <w:left w:val="nil" w:sz="6" w:space="0" w:color="auto"/>
              <w:right w:val="single" w:sz="4" w:space="0" w:color="000000"/>
            </w:tcBorders>
            <w:shd w:val="clear" w:color="auto" w:fill="D2D2D2"/>
          </w:tcPr>
          <w:p>
            <w:pPr/>
          </w:p>
        </w:tc>
        <w:tc>
          <w:tcPr>
            <w:tcW w:w="12034" w:type="dxa"/>
            <w:gridSpan w:val="1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53" w:type="dxa"/>
            <w:vMerge/>
            <w:tcBorders>
              <w:left w:val="nil" w:sz="6" w:space="0" w:color="auto"/>
              <w:bottom w:val="nil" w:sz="6" w:space="0" w:color="auto"/>
              <w:right w:val="single" w:sz="4" w:space="0" w:color="000000"/>
            </w:tcBorders>
            <w:shd w:val="clear" w:color="auto" w:fill="D2D2D2"/>
          </w:tcPr>
          <w:p>
            <w:pPr/>
          </w:p>
        </w:tc>
        <w:tc>
          <w:tcPr>
            <w:tcW w:w="9806"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73" w:hRule="exact"/>
        </w:trPr>
        <w:tc>
          <w:tcPr>
            <w:tcW w:w="195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06" w:type="dxa"/>
            <w:gridSpan w:val="11"/>
            <w:vMerge/>
            <w:tcBorders>
              <w:left w:val="single" w:sz="4" w:space="0" w:color="000000"/>
              <w:bottom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35" w:right="7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67" w:type="dxa"/>
            <w:vMerge w:val="restart"/>
            <w:tcBorders>
              <w:top w:val="nil" w:sz="6" w:space="0" w:color="auto"/>
              <w:left w:val="single" w:sz="4" w:space="0" w:color="000000"/>
              <w:right w:val="nil" w:sz="6" w:space="0" w:color="auto"/>
            </w:tcBorders>
            <w:shd w:val="clear" w:color="auto" w:fill="D2D2D2"/>
          </w:tcPr>
          <w:p>
            <w:pPr>
              <w:pStyle w:val="TableParagraph"/>
              <w:spacing w:line="316" w:lineRule="auto" w:before="73"/>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1" w:hRule="exact"/>
        </w:trPr>
        <w:tc>
          <w:tcPr>
            <w:tcW w:w="1953" w:type="dxa"/>
            <w:vMerge/>
            <w:tcBorders>
              <w:left w:val="nil" w:sz="6" w:space="0" w:color="auto"/>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27" w:right="58"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7"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7"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92" w:hRule="exact"/>
        </w:trPr>
        <w:tc>
          <w:tcPr>
            <w:tcW w:w="1953" w:type="dxa"/>
            <w:vMerge w:val="restart"/>
            <w:tcBorders>
              <w:top w:val="nil" w:sz="6" w:space="0" w:color="auto"/>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5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8" w:type="dxa"/>
            <w:vMerge/>
            <w:tcBorders>
              <w:left w:val="single" w:sz="4" w:space="0" w:color="000000"/>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8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7"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78" w:hRule="exact"/>
        </w:trPr>
        <w:tc>
          <w:tcPr>
            <w:tcW w:w="1953" w:type="dxa"/>
            <w:vMerge/>
            <w:tcBorders>
              <w:left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847"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4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nil" w:sz="6" w:space="0" w:color="auto"/>
            </w:tcBorders>
            <w:shd w:val="clear" w:color="auto" w:fill="D2D2D2"/>
          </w:tcPr>
          <w:p>
            <w:pPr/>
          </w:p>
        </w:tc>
      </w:tr>
      <w:tr>
        <w:trPr>
          <w:trHeight w:val="212" w:hRule="exact"/>
        </w:trPr>
        <w:tc>
          <w:tcPr>
            <w:tcW w:w="1953" w:type="dxa"/>
            <w:vMerge/>
            <w:tcBorders>
              <w:left w:val="nil" w:sz="6" w:space="0" w:color="auto"/>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848" w:type="dxa"/>
            <w:tcBorders>
              <w:top w:val="single" w:sz="22" w:space="0" w:color="D2D2D2"/>
              <w:left w:val="single" w:sz="4" w:space="0" w:color="000000"/>
              <w:bottom w:val="single" w:sz="4" w:space="0" w:color="000000"/>
              <w:right w:val="single" w:sz="4" w:space="0" w:color="000000"/>
            </w:tcBorders>
          </w:tcPr>
          <w:p>
            <w:pPr/>
          </w:p>
        </w:tc>
        <w:tc>
          <w:tcPr>
            <w:tcW w:w="847" w:type="dxa"/>
            <w:tcBorders>
              <w:top w:val="single" w:sz="22" w:space="0" w:color="D2D2D2"/>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8,321,318.16</w:t>
            </w:r>
          </w:p>
        </w:tc>
        <w:tc>
          <w:tcPr>
            <w:tcW w:w="847" w:type="dxa"/>
            <w:tcBorders>
              <w:top w:val="single" w:sz="22"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70,759,240.24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5,537,495.15</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293,660,532.31</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3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3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18"/>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8,321,318.16</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70,759,240.24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5,537,495.15</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293,660,532.31</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-56,224,996.29</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1,153,116.94</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4,236,654.35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3,647,897.39</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8,812,672.39</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6,789,771.29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-1,041,237.78</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5,748,533.51</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9"/>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-224,996.29</w:t>
            </w:r>
            <w:r>
              <w:rPr>
                <w:rFonts w:ascii="Times New Roman"/>
                <w:sz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4,689,135.17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4,464,138.88</w:t>
            </w:r>
          </w:p>
        </w:tc>
      </w:tr>
      <w:tr>
        <w:trPr>
          <w:trHeight w:val="402"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4,689,135.17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4,689,135.17</w:t>
            </w: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56"/>
          <w:footerReference w:type="default" r:id="rId57"/>
          <w:pgSz w:w="16840" w:h="11910" w:orient="landscape"/>
          <w:pgMar w:header="867" w:footer="979" w:top="1060" w:bottom="1160" w:left="1300" w:right="1300"/>
          <w:pgNumType w:start="89"/>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78"/>
        <w:gridCol w:w="1181"/>
        <w:gridCol w:w="649"/>
        <w:gridCol w:w="650"/>
        <w:gridCol w:w="653"/>
        <w:gridCol w:w="1181"/>
        <w:gridCol w:w="848"/>
        <w:gridCol w:w="847"/>
        <w:gridCol w:w="847"/>
        <w:gridCol w:w="1001"/>
        <w:gridCol w:w="847"/>
        <w:gridCol w:w="1091"/>
        <w:gridCol w:w="1061"/>
        <w:gridCol w:w="1183"/>
      </w:tblGrid>
      <w:tr>
        <w:trPr>
          <w:trHeight w:val="416" w:hRule="exact"/>
        </w:trPr>
        <w:tc>
          <w:tcPr>
            <w:tcW w:w="1978"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49"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-224,996.29</w:t>
            </w:r>
            <w:r>
              <w:rPr>
                <w:rFonts w:ascii="Times New Roman"/>
                <w:sz w:val="18"/>
              </w:rPr>
            </w:r>
          </w:p>
        </w:tc>
        <w:tc>
          <w:tcPr>
            <w:tcW w:w="848"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-224,996.29</w:t>
            </w:r>
            <w:r>
              <w:rPr>
                <w:rFonts w:ascii="Times New Roman"/>
                <w:sz w:val="18"/>
              </w:rPr>
            </w: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1,153,116.94</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-2,553,116.94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1,153,116.94</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-1,153,116.94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-1,400,000.00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82,817,482.47</w:t>
            </w:r>
          </w:p>
        </w:tc>
        <w:tc>
          <w:tcPr>
            <w:tcW w:w="84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9,474,435.10</w:t>
            </w:r>
          </w:p>
        </w:tc>
        <w:tc>
          <w:tcPr>
            <w:tcW w:w="84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74,995,894.59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9,185,392.54</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302,473,204.70</w:t>
            </w:r>
          </w:p>
        </w:tc>
      </w:tr>
    </w:tbl>
    <w:p>
      <w:pPr>
        <w:pStyle w:val="BodyText"/>
        <w:spacing w:line="240" w:lineRule="auto" w:before="51"/>
        <w:ind w:left="160" w:right="10128"/>
        <w:jc w:val="left"/>
      </w:pPr>
      <w:r>
        <w:rPr/>
        <w:t>上期金额</w:t>
      </w:r>
    </w:p>
    <w:p>
      <w:pPr>
        <w:pStyle w:val="BodyText"/>
        <w:spacing w:line="240" w:lineRule="auto" w:before="117"/>
        <w:ind w:left="0" w:right="275"/>
        <w:jc w:val="right"/>
      </w:pPr>
      <w:r>
        <w:rPr/>
        <w:t>单位：元</w:t>
      </w:r>
    </w:p>
    <w:p>
      <w:pPr>
        <w:spacing w:line="240" w:lineRule="auto" w:before="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997"/>
        <w:gridCol w:w="9836"/>
        <w:gridCol w:w="1001"/>
        <w:gridCol w:w="1181"/>
      </w:tblGrid>
      <w:tr>
        <w:trPr>
          <w:trHeight w:val="401" w:hRule="exact"/>
        </w:trPr>
        <w:tc>
          <w:tcPr>
            <w:tcW w:w="1997"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18"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997" w:type="dxa"/>
            <w:vMerge/>
            <w:tcBorders>
              <w:left w:val="nil" w:sz="6" w:space="0" w:color="auto"/>
              <w:bottom w:val="single" w:sz="4" w:space="0" w:color="000000"/>
              <w:right w:val="single" w:sz="4" w:space="0" w:color="000000"/>
            </w:tcBorders>
            <w:shd w:val="clear" w:color="auto" w:fill="D2D2D2"/>
          </w:tcPr>
          <w:p>
            <w:pPr/>
          </w:p>
        </w:tc>
        <w:tc>
          <w:tcPr>
            <w:tcW w:w="9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5" w:right="0"/>
              <w:jc w:val="left"/>
              <w:rPr>
                <w:rFonts w:ascii="宋体" w:hAnsi="宋体" w:cs="宋体" w:eastAsia="宋体" w:hint="default"/>
                <w:sz w:val="18"/>
                <w:szCs w:val="18"/>
              </w:rPr>
            </w:pPr>
            <w:r>
              <w:rPr>
                <w:rFonts w:ascii="宋体" w:hAnsi="宋体" w:cs="宋体" w:eastAsia="宋体" w:hint="default"/>
                <w:sz w:val="18"/>
                <w:szCs w:val="18"/>
              </w:rPr>
              <w:t>少数股东权</w:t>
            </w:r>
          </w:p>
        </w:tc>
        <w:tc>
          <w:tcPr>
            <w:tcW w:w="118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1"/>
              <w:ind w:left="45" w:right="0"/>
              <w:jc w:val="left"/>
              <w:rPr>
                <w:rFonts w:ascii="宋体" w:hAnsi="宋体" w:cs="宋体" w:eastAsia="宋体" w:hint="default"/>
                <w:sz w:val="18"/>
                <w:szCs w:val="18"/>
              </w:rPr>
            </w:pPr>
            <w:r>
              <w:rPr>
                <w:rFonts w:ascii="宋体" w:hAnsi="宋体" w:cs="宋体" w:eastAsia="宋体" w:hint="default"/>
                <w:sz w:val="18"/>
                <w:szCs w:val="18"/>
              </w:rPr>
              <w:t>所有者权益合</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280" w:right="1260"/>
        </w:sectPr>
      </w:pPr>
    </w:p>
    <w:p>
      <w:pPr>
        <w:spacing w:line="240" w:lineRule="auto" w:before="9"/>
        <w:rPr>
          <w:rFonts w:ascii="Times New Roman" w:hAnsi="Times New Roman" w:cs="Times New Roman" w:eastAsia="Times New Roman" w:hint="default"/>
          <w:sz w:val="5"/>
          <w:szCs w:val="5"/>
        </w:rPr>
      </w:pPr>
      <w:r>
        <w:rPr/>
        <w:pict>
          <v:group style="position:absolute;margin-left:70.139999pt;margin-top:55.260006pt;width:701.7pt;height:1.95pt;mso-position-horizontal-relative:page;mso-position-vertical-relative:page;z-index:-923776" coordorigin="1403,1105" coordsize="14034,39">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12;top:1139;width:1993;height:2" coordorigin="1412,1139" coordsize="1993,2">
              <v:shape style="position:absolute;left:1412;top:1139;width:1993;height:2" coordorigin="1412,1139" coordsize="1993,0" path="m1412,1139l3405,1139e" filled="false" stroked="true" strokeweight=".48pt" strokecolor="#000000">
                <v:path arrowok="t"/>
              </v:shape>
            </v:group>
            <w10:wrap type="none"/>
          </v:group>
        </w:pict>
      </w:r>
    </w:p>
    <w:tbl>
      <w:tblPr>
        <w:tblW w:w="0" w:type="auto"/>
        <w:jc w:val="left"/>
        <w:tblInd w:w="121" w:type="dxa"/>
        <w:tblLayout w:type="fixed"/>
        <w:tblCellMar>
          <w:top w:w="0" w:type="dxa"/>
          <w:left w:w="0" w:type="dxa"/>
          <w:bottom w:w="0" w:type="dxa"/>
          <w:right w:w="0" w:type="dxa"/>
        </w:tblCellMar>
        <w:tblLook w:val="01E0"/>
      </w:tblPr>
      <w:tblGrid>
        <w:gridCol w:w="1972"/>
        <w:gridCol w:w="1102"/>
        <w:gridCol w:w="668"/>
        <w:gridCol w:w="667"/>
        <w:gridCol w:w="672"/>
        <w:gridCol w:w="1181"/>
        <w:gridCol w:w="866"/>
        <w:gridCol w:w="866"/>
        <w:gridCol w:w="866"/>
        <w:gridCol w:w="1001"/>
        <w:gridCol w:w="866"/>
        <w:gridCol w:w="1091"/>
        <w:gridCol w:w="1001"/>
        <w:gridCol w:w="1181"/>
      </w:tblGrid>
      <w:tr>
        <w:trPr>
          <w:trHeight w:val="206" w:hRule="exact"/>
        </w:trPr>
        <w:tc>
          <w:tcPr>
            <w:tcW w:w="1972" w:type="dxa"/>
            <w:vMerge w:val="restart"/>
            <w:tcBorders>
              <w:top w:val="nil" w:sz="6" w:space="0" w:color="auto"/>
              <w:left w:val="nil" w:sz="6" w:space="0" w:color="auto"/>
              <w:right w:val="single" w:sz="4" w:space="0" w:color="000000"/>
            </w:tcBorders>
            <w:shd w:val="clear" w:color="auto" w:fill="D2D2D2"/>
          </w:tcPr>
          <w:p>
            <w:pPr/>
          </w:p>
        </w:tc>
        <w:tc>
          <w:tcPr>
            <w:tcW w:w="1102" w:type="dxa"/>
            <w:tcBorders>
              <w:top w:val="nil" w:sz="6" w:space="0" w:color="auto"/>
              <w:left w:val="single" w:sz="4" w:space="0" w:color="000000"/>
              <w:bottom w:val="nil" w:sz="6" w:space="0" w:color="auto"/>
              <w:right w:val="single" w:sz="4" w:space="0" w:color="000000"/>
            </w:tcBorders>
            <w:shd w:val="clear" w:color="auto" w:fill="D2D2D2"/>
          </w:tcPr>
          <w:p>
            <w:pPr/>
          </w:p>
        </w:tc>
        <w:tc>
          <w:tcPr>
            <w:tcW w:w="200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5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866" w:type="dxa"/>
            <w:tcBorders>
              <w:top w:val="nil" w:sz="6" w:space="0" w:color="auto"/>
              <w:left w:val="single" w:sz="4" w:space="0" w:color="000000"/>
              <w:bottom w:val="nil" w:sz="6" w:space="0" w:color="auto"/>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48" w:right="6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47" w:right="6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vMerge w:val="restart"/>
            <w:tcBorders>
              <w:top w:val="single" w:sz="4" w:space="0" w:color="000000"/>
              <w:left w:val="single" w:sz="9" w:space="0" w:color="D2D2D2"/>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益</w:t>
            </w:r>
          </w:p>
        </w:tc>
        <w:tc>
          <w:tcPr>
            <w:tcW w:w="1181" w:type="dxa"/>
            <w:vMerge w:val="restart"/>
            <w:tcBorders>
              <w:top w:val="single" w:sz="4" w:space="0" w:color="000000"/>
              <w:left w:val="single" w:sz="4" w:space="0" w:color="000000"/>
              <w:right w:val="nil" w:sz="6" w:space="0" w:color="auto"/>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1" w:hRule="exact"/>
        </w:trPr>
        <w:tc>
          <w:tcPr>
            <w:tcW w:w="1972" w:type="dxa"/>
            <w:vMerge/>
            <w:tcBorders>
              <w:left w:val="nil" w:sz="6" w:space="0" w:color="auto"/>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0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0"/>
                <w:sz w:val="18"/>
                <w:szCs w:val="18"/>
              </w:rPr>
              <w:t>：</w:t>
            </w:r>
            <w:r>
              <w:rPr>
                <w:rFonts w:ascii="宋体" w:hAnsi="宋体" w:cs="宋体" w:eastAsia="宋体" w:hint="default"/>
                <w:sz w:val="18"/>
                <w:szCs w:val="18"/>
              </w:rPr>
              <w:t>库存股</w:t>
            </w:r>
          </w:p>
        </w:tc>
        <w:tc>
          <w:tcPr>
            <w:tcW w:w="866"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6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vMerge/>
            <w:tcBorders>
              <w:left w:val="single" w:sz="9" w:space="0" w:color="D2D2D2"/>
              <w:right w:val="single" w:sz="4" w:space="0" w:color="000000"/>
            </w:tcBorders>
          </w:tcPr>
          <w:p>
            <w:pPr/>
          </w:p>
        </w:tc>
        <w:tc>
          <w:tcPr>
            <w:tcW w:w="1181" w:type="dxa"/>
            <w:vMerge/>
            <w:tcBorders>
              <w:left w:val="single" w:sz="4" w:space="0" w:color="000000"/>
              <w:right w:val="nil" w:sz="6" w:space="0" w:color="auto"/>
            </w:tcBorders>
          </w:tcPr>
          <w:p>
            <w:pPr/>
          </w:p>
        </w:tc>
      </w:tr>
      <w:tr>
        <w:trPr>
          <w:trHeight w:val="201" w:hRule="exact"/>
        </w:trPr>
        <w:tc>
          <w:tcPr>
            <w:tcW w:w="1972" w:type="dxa"/>
            <w:vMerge/>
            <w:tcBorders>
              <w:left w:val="nil" w:sz="6" w:space="0" w:color="auto"/>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9" w:space="0" w:color="D2D2D2"/>
              <w:right w:val="single" w:sz="4" w:space="0" w:color="000000"/>
            </w:tcBorders>
          </w:tcPr>
          <w:p>
            <w:pPr/>
          </w:p>
        </w:tc>
        <w:tc>
          <w:tcPr>
            <w:tcW w:w="1181" w:type="dxa"/>
            <w:vMerge/>
            <w:tcBorders>
              <w:left w:val="single" w:sz="4" w:space="0" w:color="000000"/>
              <w:right w:val="nil" w:sz="6" w:space="0" w:color="auto"/>
            </w:tcBorders>
          </w:tcPr>
          <w:p>
            <w:pPr/>
          </w:p>
        </w:tc>
      </w:tr>
      <w:tr>
        <w:trPr>
          <w:trHeight w:val="206" w:hRule="exact"/>
        </w:trPr>
        <w:tc>
          <w:tcPr>
            <w:tcW w:w="1972" w:type="dxa"/>
            <w:vMerge/>
            <w:tcBorders>
              <w:left w:val="nil" w:sz="6" w:space="0" w:color="auto"/>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vMerge/>
            <w:tcBorders>
              <w:left w:val="single" w:sz="9" w:space="0" w:color="D2D2D2"/>
              <w:bottom w:val="single" w:sz="4" w:space="0" w:color="000000"/>
              <w:right w:val="single" w:sz="4" w:space="0" w:color="000000"/>
            </w:tcBorders>
          </w:tcPr>
          <w:p>
            <w:pPr/>
          </w:p>
        </w:tc>
        <w:tc>
          <w:tcPr>
            <w:tcW w:w="1181" w:type="dxa"/>
            <w:vMerge/>
            <w:tcBorders>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174,042,478.76</w:t>
            </w: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18" w:space="0" w:color="D2D2D2"/>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5,856,124.30</w:t>
            </w:r>
          </w:p>
        </w:tc>
        <w:tc>
          <w:tcPr>
            <w:tcW w:w="866" w:type="dxa"/>
            <w:tcBorders>
              <w:top w:val="single" w:sz="18"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66,131,966.23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3,226,481.98</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284,257,051.27</w:t>
            </w: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37"/>
              <w:jc w:val="center"/>
              <w:rPr>
                <w:rFonts w:ascii="宋体" w:hAnsi="宋体" w:cs="宋体" w:eastAsia="宋体" w:hint="default"/>
                <w:sz w:val="18"/>
                <w:szCs w:val="18"/>
              </w:rPr>
            </w:pP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174,042,478.76</w:t>
            </w: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5,856,124.30</w:t>
            </w: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66,131,966.23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3,226,481.98</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284,257,051.27</w:t>
            </w:r>
          </w:p>
        </w:tc>
      </w:tr>
      <w:tr>
        <w:trPr>
          <w:trHeight w:val="714"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2,465,193.86</w:t>
            </w: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4,627,274.01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2,311,013.17</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9,403,481.04</w:t>
            </w: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7,092,467.87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-358,986.83</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6,733,481.04</w:t>
            </w:r>
          </w:p>
        </w:tc>
      </w:tr>
      <w:tr>
        <w:trPr>
          <w:trHeight w:val="714"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2"/>
              <w:jc w:val="left"/>
              <w:rPr>
                <w:rFonts w:ascii="宋体" w:hAnsi="宋体" w:cs="宋体" w:eastAsia="宋体" w:hint="default"/>
                <w:sz w:val="18"/>
                <w:szCs w:val="18"/>
              </w:rPr>
            </w:pPr>
            <w:r>
              <w:rPr>
                <w:rFonts w:ascii="宋体" w:hAnsi="宋体" w:cs="宋体" w:eastAsia="宋体" w:hint="default"/>
                <w:spacing w:val="-4"/>
                <w:sz w:val="18"/>
                <w:szCs w:val="18"/>
              </w:rPr>
              <w:t>（二）所有者投入和减少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2,670,000.00</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2,670,000.00</w:t>
            </w:r>
          </w:p>
        </w:tc>
        <w:tc>
          <w:tcPr>
            <w:tcW w:w="1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714"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2,465,193.86</w:t>
            </w: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-2,465,193.86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2,465,193.86</w:t>
            </w: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-2,465,193.86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02" w:type="dxa"/>
            <w:tcBorders>
              <w:top w:val="single" w:sz="4" w:space="0" w:color="000000"/>
              <w:left w:val="single" w:sz="13" w:space="0" w:color="D2D2D2"/>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97"/>
        <w:gridCol w:w="1091"/>
        <w:gridCol w:w="668"/>
        <w:gridCol w:w="667"/>
        <w:gridCol w:w="672"/>
        <w:gridCol w:w="1181"/>
        <w:gridCol w:w="866"/>
        <w:gridCol w:w="866"/>
        <w:gridCol w:w="866"/>
        <w:gridCol w:w="1001"/>
        <w:gridCol w:w="866"/>
        <w:gridCol w:w="1091"/>
        <w:gridCol w:w="1001"/>
        <w:gridCol w:w="1183"/>
      </w:tblGrid>
      <w:tr>
        <w:trPr>
          <w:trHeight w:val="416" w:hRule="exact"/>
        </w:trPr>
        <w:tc>
          <w:tcPr>
            <w:tcW w:w="1997"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15" w:space="0" w:color="000000"/>
              <w:left w:val="single" w:sz="4" w:space="0" w:color="000000"/>
              <w:bottom w:val="single" w:sz="4" w:space="0" w:color="000000"/>
              <w:right w:val="single" w:sz="4" w:space="0" w:color="000000"/>
            </w:tcBorders>
          </w:tcPr>
          <w:p>
            <w:pPr/>
          </w:p>
        </w:tc>
        <w:tc>
          <w:tcPr>
            <w:tcW w:w="668" w:type="dxa"/>
            <w:tcBorders>
              <w:top w:val="single" w:sz="15" w:space="0" w:color="000000"/>
              <w:left w:val="single" w:sz="4" w:space="0" w:color="000000"/>
              <w:bottom w:val="single" w:sz="4" w:space="0" w:color="000000"/>
              <w:right w:val="single" w:sz="4" w:space="0" w:color="000000"/>
            </w:tcBorders>
          </w:tcPr>
          <w:p>
            <w:pPr/>
          </w:p>
        </w:tc>
        <w:tc>
          <w:tcPr>
            <w:tcW w:w="667" w:type="dxa"/>
            <w:tcBorders>
              <w:top w:val="single" w:sz="15" w:space="0" w:color="000000"/>
              <w:left w:val="single" w:sz="4" w:space="0" w:color="000000"/>
              <w:bottom w:val="single" w:sz="4" w:space="0" w:color="000000"/>
              <w:right w:val="single" w:sz="4" w:space="0" w:color="000000"/>
            </w:tcBorders>
          </w:tcPr>
          <w:p>
            <w:pPr/>
          </w:p>
        </w:tc>
        <w:tc>
          <w:tcPr>
            <w:tcW w:w="67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714"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4"/>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．资本公积转增资本（或</w:t>
            </w:r>
            <w:r>
              <w:rPr>
                <w:rFonts w:ascii="宋体" w:hAnsi="宋体" w:cs="宋体" w:eastAsia="宋体" w:hint="default"/>
                <w:sz w:val="18"/>
                <w:szCs w:val="18"/>
              </w:rPr>
              <w:t> 股本）</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．盈余公积转增资本（或</w:t>
            </w:r>
            <w:r>
              <w:rPr>
                <w:rFonts w:ascii="宋体" w:hAnsi="宋体" w:cs="宋体" w:eastAsia="宋体" w:hint="default"/>
                <w:sz w:val="18"/>
                <w:szCs w:val="18"/>
              </w:rPr>
              <w:t> 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70,000,000.00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8,321,318.16</w:t>
            </w: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70,759,240.24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5,537,495.15</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293,660,532.31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60" w:right="10128"/>
        <w:jc w:val="left"/>
        <w:rPr>
          <w:b w:val="0"/>
          <w:bCs w:val="0"/>
        </w:rPr>
      </w:pPr>
      <w:bookmarkStart w:name="8、母公司所有者权益变动表" w:id="118"/>
      <w:bookmarkEnd w:id="11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60" w:right="10128"/>
        <w:jc w:val="left"/>
      </w:pPr>
      <w:r>
        <w:rPr/>
        <w:t>本期金额</w:t>
      </w:r>
    </w:p>
    <w:p>
      <w:pPr>
        <w:pStyle w:val="BodyText"/>
        <w:spacing w:line="240" w:lineRule="auto" w:before="117"/>
        <w:ind w:left="0" w:right="275"/>
        <w:jc w:val="right"/>
      </w:pPr>
      <w:r>
        <w:rPr/>
        <w:t>单位：元</w:t>
      </w:r>
    </w:p>
    <w:p>
      <w:pPr>
        <w:spacing w:line="240" w:lineRule="auto" w:before="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045"/>
        <w:gridCol w:w="1193"/>
        <w:gridCol w:w="932"/>
        <w:gridCol w:w="932"/>
        <w:gridCol w:w="935"/>
        <w:gridCol w:w="1181"/>
        <w:gridCol w:w="1129"/>
        <w:gridCol w:w="1127"/>
        <w:gridCol w:w="1128"/>
        <w:gridCol w:w="1127"/>
        <w:gridCol w:w="1091"/>
        <w:gridCol w:w="1167"/>
      </w:tblGrid>
      <w:tr>
        <w:trPr>
          <w:trHeight w:val="397" w:hRule="exact"/>
        </w:trPr>
        <w:tc>
          <w:tcPr>
            <w:tcW w:w="2045" w:type="dxa"/>
            <w:tcBorders>
              <w:top w:val="single" w:sz="4" w:space="0" w:color="000000"/>
              <w:left w:val="nil" w:sz="6" w:space="0" w:color="auto"/>
              <w:bottom w:val="nil" w:sz="6" w:space="0" w:color="auto"/>
              <w:right w:val="single" w:sz="4" w:space="0" w:color="000000"/>
            </w:tcBorders>
            <w:shd w:val="clear" w:color="auto" w:fill="D2D2D2"/>
          </w:tcPr>
          <w:p>
            <w:pPr/>
          </w:p>
        </w:tc>
        <w:tc>
          <w:tcPr>
            <w:tcW w:w="11943"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4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68"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1"/>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45"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00"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7"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202" w:hRule="exact"/>
        </w:trPr>
        <w:tc>
          <w:tcPr>
            <w:tcW w:w="2045"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29"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5" w:hRule="exact"/>
        </w:trPr>
        <w:tc>
          <w:tcPr>
            <w:tcW w:w="2045"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70,000,000.00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139,042,478.76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22" w:space="0" w:color="D2D2D2"/>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8,321,318.16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71,391,863.36</w:t>
            </w:r>
          </w:p>
        </w:tc>
        <w:tc>
          <w:tcPr>
            <w:tcW w:w="1167"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69"/>
              <w:ind w:left="23" w:right="0"/>
              <w:jc w:val="left"/>
              <w:rPr>
                <w:rFonts w:ascii="Times New Roman" w:hAnsi="Times New Roman" w:cs="Times New Roman" w:eastAsia="Times New Roman" w:hint="default"/>
                <w:sz w:val="18"/>
                <w:szCs w:val="18"/>
              </w:rPr>
            </w:pPr>
            <w:r>
              <w:rPr>
                <w:rFonts w:ascii="Times New Roman"/>
                <w:sz w:val="18"/>
              </w:rPr>
              <w:t>288,755,660.28</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2"/>
        <w:gridCol w:w="935"/>
        <w:gridCol w:w="1181"/>
        <w:gridCol w:w="1129"/>
        <w:gridCol w:w="1127"/>
        <w:gridCol w:w="1128"/>
        <w:gridCol w:w="1127"/>
        <w:gridCol w:w="1091"/>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8,321,318.16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71,391,863.36</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288,755,660.28</w:t>
            </w: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8,978,052.47</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10,131,169.41</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11,531,169.41</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11,531,169.41</w:t>
            </w: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-2,553,116.94</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-1,153,116.94</w:t>
            </w: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2"/>
        <w:gridCol w:w="935"/>
        <w:gridCol w:w="1181"/>
        <w:gridCol w:w="1129"/>
        <w:gridCol w:w="1127"/>
        <w:gridCol w:w="1128"/>
        <w:gridCol w:w="1127"/>
        <w:gridCol w:w="1091"/>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83,042,478.76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9,474,435.10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80,369,915.83</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298,886,829.69</w:t>
            </w:r>
          </w:p>
        </w:tc>
      </w:tr>
    </w:tbl>
    <w:p>
      <w:pPr>
        <w:pStyle w:val="BodyText"/>
        <w:spacing w:line="240" w:lineRule="auto" w:before="51"/>
        <w:ind w:left="160" w:right="10128"/>
        <w:jc w:val="left"/>
      </w:pPr>
      <w:r>
        <w:rPr/>
        <w:t>上期金额</w:t>
      </w:r>
    </w:p>
    <w:p>
      <w:pPr>
        <w:pStyle w:val="BodyText"/>
        <w:spacing w:line="240" w:lineRule="auto" w:before="117"/>
        <w:ind w:left="0" w:right="275"/>
        <w:jc w:val="right"/>
      </w:pPr>
      <w:r>
        <w:rPr/>
        <w:t>单位：元</w:t>
      </w:r>
    </w:p>
    <w:p>
      <w:pPr>
        <w:spacing w:line="240" w:lineRule="auto" w:before="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2057"/>
        <w:gridCol w:w="1103"/>
        <w:gridCol w:w="944"/>
        <w:gridCol w:w="943"/>
        <w:gridCol w:w="947"/>
        <w:gridCol w:w="1181"/>
        <w:gridCol w:w="1140"/>
        <w:gridCol w:w="1136"/>
        <w:gridCol w:w="1140"/>
        <w:gridCol w:w="1138"/>
        <w:gridCol w:w="1091"/>
        <w:gridCol w:w="1167"/>
      </w:tblGrid>
      <w:tr>
        <w:trPr>
          <w:trHeight w:val="397" w:hRule="exact"/>
        </w:trPr>
        <w:tc>
          <w:tcPr>
            <w:tcW w:w="2057" w:type="dxa"/>
            <w:tcBorders>
              <w:top w:val="single" w:sz="4" w:space="0" w:color="000000"/>
              <w:left w:val="nil" w:sz="6" w:space="0" w:color="auto"/>
              <w:bottom w:val="nil" w:sz="6" w:space="0" w:color="auto"/>
              <w:right w:val="single" w:sz="4" w:space="0" w:color="000000"/>
            </w:tcBorders>
            <w:shd w:val="clear" w:color="auto" w:fill="D2D2D2"/>
          </w:tcPr>
          <w:p>
            <w:pPr/>
          </w:p>
        </w:tc>
        <w:tc>
          <w:tcPr>
            <w:tcW w:w="11931"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205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8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2"/>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3" w:hRule="exact"/>
        </w:trPr>
        <w:tc>
          <w:tcPr>
            <w:tcW w:w="2057" w:type="dxa"/>
            <w:vMerge/>
            <w:tcBorders>
              <w:left w:val="nil" w:sz="6" w:space="0" w:color="auto"/>
              <w:bottom w:val="nil" w:sz="6" w:space="0" w:color="auto"/>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34"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199" w:hRule="exact"/>
        </w:trPr>
        <w:tc>
          <w:tcPr>
            <w:tcW w:w="2057" w:type="dxa"/>
            <w:vMerge w:val="restart"/>
            <w:tcBorders>
              <w:top w:val="nil" w:sz="6" w:space="0" w:color="auto"/>
              <w:left w:val="nil" w:sz="6" w:space="0" w:color="auto"/>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40"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40" w:type="dxa"/>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5" w:hRule="exact"/>
        </w:trPr>
        <w:tc>
          <w:tcPr>
            <w:tcW w:w="2057" w:type="dxa"/>
            <w:vMerge/>
            <w:tcBorders>
              <w:left w:val="nil" w:sz="6" w:space="0" w:color="auto"/>
              <w:bottom w:val="single" w:sz="4" w:space="0" w:color="000000"/>
              <w:right w:val="single" w:sz="4" w:space="0" w:color="000000"/>
            </w:tcBorders>
            <w:shd w:val="clear" w:color="auto" w:fill="D2D2D2"/>
          </w:tcPr>
          <w:p>
            <w:pPr/>
          </w:p>
        </w:tc>
        <w:tc>
          <w:tcPr>
            <w:tcW w:w="1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single" w:sz="4" w:space="0" w:color="000000"/>
              <w:right w:val="single" w:sz="4" w:space="0" w:color="000000"/>
            </w:tcBorders>
            <w:shd w:val="clear" w:color="auto" w:fill="D2D2D2"/>
          </w:tcPr>
          <w:p>
            <w:pPr/>
          </w:p>
        </w:tc>
        <w:tc>
          <w:tcPr>
            <w:tcW w:w="94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174,042,478.76</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5,856,124.30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49,205,118.65</w:t>
            </w:r>
          </w:p>
        </w:tc>
        <w:tc>
          <w:tcPr>
            <w:tcW w:w="1167"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70"/>
              <w:ind w:right="11"/>
              <w:jc w:val="right"/>
              <w:rPr>
                <w:rFonts w:ascii="Times New Roman" w:hAnsi="Times New Roman" w:cs="Times New Roman" w:eastAsia="Times New Roman" w:hint="default"/>
                <w:sz w:val="18"/>
                <w:szCs w:val="18"/>
              </w:rPr>
            </w:pPr>
            <w:r>
              <w:rPr>
                <w:rFonts w:ascii="Times New Roman"/>
                <w:spacing w:val="-1"/>
                <w:sz w:val="18"/>
              </w:rPr>
              <w:t>264,103,721.71</w:t>
            </w: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22"/>
              <w:jc w:val="center"/>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174,042,478.76</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5,856,124.30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49,205,118.65</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264,103,721.71</w:t>
            </w:r>
          </w:p>
        </w:tc>
      </w:tr>
      <w:tr>
        <w:trPr>
          <w:trHeight w:val="714"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0"/>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-35,000,000.00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2,465,193.86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22,186,744.71</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24,651,938.57</w:t>
            </w: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24,651,938.57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24,651,938.57</w:t>
            </w:r>
          </w:p>
        </w:tc>
      </w:tr>
      <w:tr>
        <w:trPr>
          <w:trHeight w:val="714"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5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05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82"/>
        <w:gridCol w:w="1091"/>
        <w:gridCol w:w="944"/>
        <w:gridCol w:w="943"/>
        <w:gridCol w:w="947"/>
        <w:gridCol w:w="1181"/>
        <w:gridCol w:w="1140"/>
        <w:gridCol w:w="1136"/>
        <w:gridCol w:w="1140"/>
        <w:gridCol w:w="1138"/>
        <w:gridCol w:w="1091"/>
        <w:gridCol w:w="1183"/>
      </w:tblGrid>
      <w:tr>
        <w:trPr>
          <w:trHeight w:val="729" w:hRule="exact"/>
        </w:trPr>
        <w:tc>
          <w:tcPr>
            <w:tcW w:w="2082"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091" w:type="dxa"/>
            <w:tcBorders>
              <w:top w:val="single" w:sz="15" w:space="0" w:color="000000"/>
              <w:left w:val="single" w:sz="4" w:space="0" w:color="000000"/>
              <w:bottom w:val="single" w:sz="4" w:space="0" w:color="000000"/>
              <w:right w:val="single" w:sz="4" w:space="0" w:color="000000"/>
            </w:tcBorders>
          </w:tcPr>
          <w:p>
            <w:pPr/>
          </w:p>
        </w:tc>
        <w:tc>
          <w:tcPr>
            <w:tcW w:w="944" w:type="dxa"/>
            <w:tcBorders>
              <w:top w:val="single" w:sz="15" w:space="0" w:color="000000"/>
              <w:left w:val="single" w:sz="4" w:space="0" w:color="000000"/>
              <w:bottom w:val="single" w:sz="4" w:space="0" w:color="000000"/>
              <w:right w:val="single" w:sz="4" w:space="0" w:color="000000"/>
            </w:tcBorders>
          </w:tcPr>
          <w:p>
            <w:pPr/>
          </w:p>
        </w:tc>
        <w:tc>
          <w:tcPr>
            <w:tcW w:w="943" w:type="dxa"/>
            <w:tcBorders>
              <w:top w:val="single" w:sz="15" w:space="0" w:color="000000"/>
              <w:left w:val="single" w:sz="4" w:space="0" w:color="000000"/>
              <w:bottom w:val="single" w:sz="4" w:space="0" w:color="000000"/>
              <w:right w:val="single" w:sz="4" w:space="0" w:color="000000"/>
            </w:tcBorders>
          </w:tcPr>
          <w:p>
            <w:pPr/>
          </w:p>
        </w:tc>
        <w:tc>
          <w:tcPr>
            <w:tcW w:w="94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40"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c>
          <w:tcPr>
            <w:tcW w:w="1140"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2,465,193.86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-2,465,193.86</w:t>
            </w: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2,465,193.86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-2,465,193.83</w:t>
            </w: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69"/>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-35,000,000.00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-35,000,000.00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70,000,000.00</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139,042,478.76</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8,321,318.16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71,391,863.36</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288,755,660.28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280" w:right="126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5192"/>
        <w:jc w:val="left"/>
        <w:rPr>
          <w:b w:val="0"/>
          <w:bCs w:val="0"/>
        </w:rPr>
      </w:pPr>
      <w:bookmarkStart w:name="三、公司基本情况" w:id="119"/>
      <w:bookmarkEnd w:id="11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91" w:firstLine="420"/>
        <w:jc w:val="both"/>
      </w:pPr>
      <w:r>
        <w:rPr>
          <w:spacing w:val="-1"/>
        </w:rPr>
        <w:t>武汉金运激光股份有限公司（以下简称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）成立于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日，前身为武汉金运激光设备制造有限</w:t>
      </w:r>
      <w:r>
        <w:rPr/>
        <w:t> 公司（简称</w:t>
      </w:r>
      <w:r>
        <w:rPr>
          <w:rFonts w:ascii="Times New Roman" w:hAnsi="Times New Roman" w:cs="Times New Roman" w:eastAsia="Times New Roman" w:hint="default"/>
        </w:rPr>
        <w:t>“</w:t>
      </w:r>
      <w:r>
        <w:rPr/>
        <w:t>金运有限</w:t>
      </w:r>
      <w:r>
        <w:rPr>
          <w:rFonts w:ascii="Times New Roman" w:hAnsi="Times New Roman" w:cs="Times New Roman" w:eastAsia="Times New Roman" w:hint="default"/>
        </w:rPr>
        <w:t>”</w:t>
      </w:r>
      <w:r>
        <w:rPr/>
        <w:t>），经武汉市工商行政管理局核准，领取注册号为</w:t>
      </w:r>
      <w:r>
        <w:rPr>
          <w:rFonts w:ascii="Times New Roman" w:hAnsi="Times New Roman" w:cs="Times New Roman" w:eastAsia="Times New Roman" w:hint="default"/>
        </w:rPr>
        <w:t>4201002134916</w:t>
      </w:r>
      <w:r>
        <w:rPr/>
        <w:t>企业法人营业执照，注册资本为人 民币</w:t>
      </w:r>
      <w:r>
        <w:rPr>
          <w:rFonts w:ascii="Times New Roman" w:hAnsi="Times New Roman" w:cs="Times New Roman" w:eastAsia="Times New Roman" w:hint="default"/>
        </w:rPr>
        <w:t>100</w:t>
      </w:r>
      <w:r>
        <w:rPr/>
        <w:t>万元，法定代表人：梁伟。</w:t>
      </w:r>
    </w:p>
    <w:p>
      <w:pPr>
        <w:pStyle w:val="BodyText"/>
        <w:spacing w:line="300" w:lineRule="auto" w:before="13"/>
        <w:ind w:right="190" w:firstLine="420"/>
        <w:jc w:val="both"/>
      </w:pP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6</w:t>
      </w:r>
      <w:r>
        <w:rPr>
          <w:spacing w:val="-4"/>
        </w:rPr>
        <w:t>日，金运有限召开股东会，同意整体变更设立为股份有限公司。根据发起人协议及公司章程，整体变更为</w:t>
      </w:r>
      <w:r>
        <w:rPr>
          <w:rFonts w:ascii="Times New Roman" w:hAnsi="Times New Roman" w:cs="Times New Roman" w:eastAsia="Times New Roman" w:hint="default"/>
          <w:spacing w:val="-4"/>
        </w:rPr>
        <w:t>“</w:t>
      </w:r>
      <w:r>
        <w:rPr>
          <w:spacing w:val="-4"/>
        </w:rPr>
        <w:t>武</w:t>
      </w:r>
      <w:r>
        <w:rPr/>
        <w:t> 汉金运激光股份有限公司</w:t>
      </w:r>
      <w:r>
        <w:rPr>
          <w:rFonts w:ascii="Times New Roman" w:hAnsi="Times New Roman" w:cs="Times New Roman" w:eastAsia="Times New Roman" w:hint="default"/>
        </w:rPr>
        <w:t>”</w:t>
      </w:r>
      <w:r>
        <w:rPr/>
        <w:t>。本公司以金运有限截止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日经审计后的净资产</w:t>
      </w:r>
      <w:r>
        <w:rPr>
          <w:rFonts w:ascii="Times New Roman" w:hAnsi="Times New Roman" w:cs="Times New Roman" w:eastAsia="Times New Roman" w:hint="default"/>
        </w:rPr>
        <w:t>32,004,728.66</w:t>
      </w:r>
      <w:r>
        <w:rPr>
          <w:rFonts w:ascii="Times New Roman" w:hAnsi="Times New Roman" w:cs="Times New Roman" w:eastAsia="Times New Roman" w:hint="default"/>
          <w:spacing w:val="17"/>
        </w:rPr>
        <w:t> </w:t>
      </w:r>
      <w:r>
        <w:rPr/>
        <w:t>元为基础，折合股份公 司股本</w:t>
      </w:r>
      <w:r>
        <w:rPr>
          <w:rFonts w:ascii="Times New Roman" w:hAnsi="Times New Roman" w:cs="Times New Roman" w:eastAsia="Times New Roman" w:hint="default"/>
        </w:rPr>
        <w:t>2,600</w:t>
      </w:r>
      <w:r>
        <w:rPr>
          <w:rFonts w:ascii="Times New Roman" w:hAnsi="Times New Roman" w:cs="Times New Roman" w:eastAsia="Times New Roman" w:hint="default"/>
          <w:spacing w:val="43"/>
        </w:rPr>
        <w:t> </w:t>
      </w:r>
      <w:r>
        <w:rPr/>
        <w:t>万股，每股面值</w:t>
      </w:r>
      <w:r>
        <w:rPr>
          <w:rFonts w:ascii="Times New Roman" w:hAnsi="Times New Roman" w:cs="Times New Roman" w:eastAsia="Times New Roman" w:hint="default"/>
        </w:rPr>
        <w:t>1</w:t>
      </w:r>
      <w:r>
        <w:rPr/>
        <w:t>元，变更前后各股东出资比例不变。</w:t>
      </w:r>
    </w:p>
    <w:p>
      <w:pPr>
        <w:pStyle w:val="BodyText"/>
        <w:spacing w:line="300" w:lineRule="auto" w:before="13"/>
        <w:ind w:left="153" w:right="191" w:firstLine="420"/>
        <w:jc w:val="both"/>
      </w:pPr>
      <w:r>
        <w:rPr/>
        <w:t>本公司于</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日完成工商变更登记手续，新的营业执照注册号为</w:t>
      </w:r>
      <w:r>
        <w:rPr>
          <w:rFonts w:ascii="Times New Roman" w:hAnsi="Times New Roman" w:cs="Times New Roman" w:eastAsia="Times New Roman" w:hint="default"/>
        </w:rPr>
        <w:t>420100000084853</w:t>
      </w:r>
      <w:r>
        <w:rPr/>
        <w:t>，注册资本为人民币</w:t>
      </w:r>
      <w:r>
        <w:rPr>
          <w:rFonts w:ascii="Times New Roman" w:hAnsi="Times New Roman" w:cs="Times New Roman" w:eastAsia="Times New Roman" w:hint="default"/>
        </w:rPr>
        <w:t>2,600 </w:t>
      </w:r>
      <w:r>
        <w:rPr/>
        <w:t>万元。</w:t>
      </w:r>
    </w:p>
    <w:p>
      <w:pPr>
        <w:pStyle w:val="BodyText"/>
        <w:spacing w:line="300" w:lineRule="auto" w:before="31"/>
        <w:ind w:left="153" w:right="189"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月，经中国证券监督管理委员会证监许可</w:t>
      </w:r>
      <w:r>
        <w:rPr>
          <w:rFonts w:ascii="Times New Roman" w:hAnsi="Times New Roman" w:cs="Times New Roman" w:eastAsia="Times New Roman" w:hint="default"/>
          <w:spacing w:val="-2"/>
        </w:rPr>
        <w:t>[2011]656</w:t>
      </w:r>
      <w:r>
        <w:rPr>
          <w:spacing w:val="-2"/>
        </w:rPr>
        <w:t>号文《关于核准武汉金运激光股份有限公司首次公开发行股</w:t>
      </w:r>
      <w:r>
        <w:rPr/>
        <w:t> </w:t>
      </w:r>
      <w:r>
        <w:rPr>
          <w:spacing w:val="-1"/>
        </w:rPr>
        <w:t>票并在创业板上市的批复》的核准，本公司向社会公开发行人民币普通股（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900</w:t>
      </w:r>
      <w:r>
        <w:rPr>
          <w:spacing w:val="-1"/>
        </w:rPr>
        <w:t>万股，并于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日在深圳证券</w:t>
      </w:r>
      <w:r>
        <w:rPr>
          <w:spacing w:val="-62"/>
        </w:rPr>
        <w:t> </w:t>
      </w:r>
      <w:r>
        <w:rPr/>
        <w:t>交易所挂牌交易。发行后注册资本变更为人民币</w:t>
      </w:r>
      <w:r>
        <w:rPr>
          <w:rFonts w:ascii="Times New Roman" w:hAnsi="Times New Roman" w:cs="Times New Roman" w:eastAsia="Times New Roman" w:hint="default"/>
        </w:rPr>
        <w:t>3,500</w:t>
      </w:r>
      <w:r>
        <w:rPr/>
        <w:t>万元。</w:t>
      </w:r>
    </w:p>
    <w:p>
      <w:pPr>
        <w:pStyle w:val="BodyText"/>
        <w:spacing w:line="300" w:lineRule="auto" w:before="13"/>
        <w:ind w:left="153" w:right="102"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月，经本公司召开的</w:t>
      </w:r>
      <w:r>
        <w:rPr>
          <w:rFonts w:ascii="Times New Roman" w:hAnsi="Times New Roman" w:cs="Times New Roman" w:eastAsia="Times New Roman" w:hint="default"/>
          <w:spacing w:val="-1"/>
        </w:rPr>
        <w:t>2012</w:t>
      </w:r>
      <w:r>
        <w:rPr>
          <w:spacing w:val="-1"/>
        </w:rPr>
        <w:t>年年度股东大会决议，以</w:t>
      </w:r>
      <w:r>
        <w:rPr>
          <w:rFonts w:ascii="Times New Roman" w:hAnsi="Times New Roman" w:cs="Times New Roman" w:eastAsia="Times New Roman" w:hint="default"/>
          <w:spacing w:val="-1"/>
        </w:rPr>
        <w:t>2012</w:t>
      </w:r>
      <w:r>
        <w:rPr>
          <w:spacing w:val="-1"/>
        </w:rPr>
        <w:t>年末总股本</w:t>
      </w:r>
      <w:r>
        <w:rPr>
          <w:rFonts w:ascii="Times New Roman" w:hAnsi="Times New Roman" w:cs="Times New Roman" w:eastAsia="Times New Roman" w:hint="default"/>
          <w:spacing w:val="-1"/>
        </w:rPr>
        <w:t>3,500</w:t>
      </w:r>
      <w:r>
        <w:rPr>
          <w:spacing w:val="-1"/>
        </w:rPr>
        <w:t>万股为基数，以资本公积金转增股本，</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股，转增后注册资本变更为人民币</w:t>
      </w:r>
      <w:r>
        <w:rPr>
          <w:rFonts w:ascii="Times New Roman" w:hAnsi="Times New Roman" w:cs="Times New Roman" w:eastAsia="Times New Roman" w:hint="default"/>
        </w:rPr>
        <w:t>7,000</w:t>
      </w:r>
      <w:r>
        <w:rPr/>
        <w:t>万元，并于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日完成工商变更登记手续。</w:t>
      </w:r>
    </w:p>
    <w:p>
      <w:pPr>
        <w:pStyle w:val="BodyText"/>
        <w:spacing w:line="300" w:lineRule="auto" w:before="13"/>
        <w:ind w:left="153" w:right="275"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月，经本公司召开的</w:t>
      </w:r>
      <w:r>
        <w:rPr>
          <w:rFonts w:ascii="Times New Roman" w:hAnsi="Times New Roman" w:cs="Times New Roman" w:eastAsia="Times New Roman" w:hint="default"/>
        </w:rPr>
        <w:t>2014</w:t>
      </w:r>
      <w:r>
        <w:rPr/>
        <w:t>年第三次临时股东大会，以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7,000</w:t>
      </w:r>
      <w:r>
        <w:rPr/>
        <w:t>万股为基数，以资本公积金转增股 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股，转增后注册资本变更为人民币</w:t>
      </w:r>
      <w:r>
        <w:rPr>
          <w:rFonts w:ascii="Times New Roman" w:hAnsi="Times New Roman" w:cs="Times New Roman" w:eastAsia="Times New Roman" w:hint="default"/>
        </w:rPr>
        <w:t>12,600</w:t>
      </w:r>
      <w:r>
        <w:rPr/>
        <w:t>万股，并于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日完成工商变更登记手续。</w:t>
      </w:r>
    </w:p>
    <w:p>
      <w:pPr>
        <w:pStyle w:val="BodyText"/>
        <w:spacing w:line="316" w:lineRule="auto" w:before="13"/>
        <w:ind w:left="153" w:right="193" w:firstLine="420"/>
        <w:jc w:val="both"/>
      </w:pPr>
      <w:r>
        <w:rPr/>
        <w:t>许可经营项目：光机电系列激光设备、激光器的研制、生产、销售及技术服务；数控系统及软件的开发、销售及技术 </w:t>
      </w:r>
      <w:r>
        <w:rPr>
          <w:spacing w:val="-2"/>
        </w:rPr>
        <w:t>服务；电源系统的开发；数控设备、电源设备的销售及技术服务；货物进出口、技术进出口、代理进出口业务（不含国家禁</w:t>
      </w:r>
      <w:r>
        <w:rPr>
          <w:spacing w:val="-72"/>
        </w:rPr>
        <w:t> </w:t>
      </w:r>
      <w:r>
        <w:rPr>
          <w:spacing w:val="-72"/>
        </w:rPr>
      </w:r>
      <w:r>
        <w:rPr/>
        <w:t>止或限制进出口的货物或技术）；国家有专项规定的项目经审批后方可经营。</w:t>
      </w:r>
    </w:p>
    <w:p>
      <w:pPr>
        <w:pStyle w:val="BodyText"/>
        <w:spacing w:line="300" w:lineRule="auto" w:before="19"/>
        <w:ind w:left="153" w:right="229" w:firstLine="420"/>
        <w:jc w:val="both"/>
      </w:pPr>
      <w:r>
        <w:rPr/>
        <w:t>本公司属计算机、通信和其他电子设备制造业行业，主要产品为</w:t>
      </w:r>
      <w:r>
        <w:rPr>
          <w:rFonts w:ascii="Times New Roman" w:hAnsi="Times New Roman" w:cs="Times New Roman" w:eastAsia="Times New Roman" w:hint="default"/>
        </w:rPr>
        <w:t>X-Y</w:t>
      </w:r>
      <w:r>
        <w:rPr/>
        <w:t>轴系列、振镜系列及雕花系列、裁床系列、</w:t>
      </w:r>
      <w:r>
        <w:rPr>
          <w:rFonts w:ascii="Times New Roman" w:hAnsi="Times New Roman" w:cs="Times New Roman" w:eastAsia="Times New Roman" w:hint="default"/>
        </w:rPr>
        <w:t>3D</w:t>
      </w:r>
      <w:r>
        <w:rPr/>
        <w:t>打 印、金属激光产品系列及其他激光设备。</w:t>
      </w:r>
    </w:p>
    <w:p>
      <w:pPr>
        <w:spacing w:line="240" w:lineRule="auto" w:before="4"/>
        <w:rPr>
          <w:rFonts w:ascii="宋体" w:hAnsi="宋体" w:cs="宋体" w:eastAsia="宋体" w:hint="default"/>
          <w:sz w:val="26"/>
          <w:szCs w:val="26"/>
        </w:rPr>
      </w:pPr>
    </w:p>
    <w:p>
      <w:pPr>
        <w:pStyle w:val="BodyText"/>
        <w:spacing w:line="240" w:lineRule="auto"/>
        <w:ind w:left="573" w:right="5192"/>
        <w:jc w:val="left"/>
      </w:pPr>
      <w:r>
        <w:rPr/>
        <w:t>本期纳入合并财务报表范围的主体如下：</w:t>
      </w:r>
    </w:p>
    <w:p>
      <w:pPr>
        <w:spacing w:line="240" w:lineRule="auto" w:before="0"/>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4702"/>
        <w:gridCol w:w="1418"/>
        <w:gridCol w:w="992"/>
        <w:gridCol w:w="1470"/>
        <w:gridCol w:w="1091"/>
      </w:tblGrid>
      <w:tr>
        <w:trPr>
          <w:trHeight w:val="654"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武汉唯拓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05"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武汉盛兴业软件有限公司（以下简称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盛兴业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05" w:right="0"/>
              <w:jc w:val="left"/>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1"/>
              <w:ind w:left="24" w:right="89"/>
              <w:jc w:val="left"/>
              <w:rPr>
                <w:rFonts w:ascii="宋体" w:hAnsi="宋体" w:cs="宋体" w:eastAsia="宋体" w:hint="default"/>
                <w:sz w:val="18"/>
                <w:szCs w:val="18"/>
              </w:rPr>
            </w:pPr>
            <w:r>
              <w:rPr>
                <w:rFonts w:ascii="宋体" w:hAnsi="宋体" w:cs="宋体" w:eastAsia="宋体" w:hint="default"/>
                <w:sz w:val="18"/>
                <w:szCs w:val="18"/>
              </w:rPr>
              <w:t>鞍山金运万隆激光工程有限公司鞍山万隆（以下简称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鞍山</w:t>
            </w:r>
            <w:r>
              <w:rPr>
                <w:rFonts w:ascii="宋体" w:hAnsi="宋体" w:cs="宋体" w:eastAsia="宋体" w:hint="default"/>
                <w:spacing w:val="1"/>
                <w:sz w:val="18"/>
                <w:szCs w:val="18"/>
              </w:rPr>
              <w:t> </w:t>
            </w:r>
            <w:r>
              <w:rPr>
                <w:rFonts w:ascii="宋体" w:hAnsi="宋体" w:cs="宋体" w:eastAsia="宋体" w:hint="default"/>
                <w:sz w:val="18"/>
                <w:szCs w:val="18"/>
              </w:rPr>
              <w:t>万隆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诸暨金运激光绣花设备有限公司（以下简称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诸暨金运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90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扬州环宇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武汉赛凡精密科技有限公司（以下简称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武汉赛凡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90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东莞市金运汇研激光科技有限公司（以下简称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东莞金运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辽宁金之运激光工程技术有限公</w:t>
            </w:r>
            <w:r>
              <w:rPr>
                <w:rFonts w:ascii="宋体" w:hAnsi="宋体" w:cs="宋体" w:eastAsia="宋体" w:hint="default"/>
                <w:spacing w:val="-82"/>
                <w:sz w:val="18"/>
                <w:szCs w:val="18"/>
              </w:rPr>
              <w:t>司</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辽宁金之</w:t>
            </w:r>
            <w:r>
              <w:rPr>
                <w:rFonts w:ascii="宋体" w:hAnsi="宋体" w:cs="宋体" w:eastAsia="宋体" w:hint="default"/>
                <w:spacing w:val="1"/>
                <w:sz w:val="18"/>
                <w:szCs w:val="18"/>
              </w:rPr>
              <w:t>运</w:t>
            </w:r>
            <w:r>
              <w:rPr>
                <w:rFonts w:ascii="Times New Roman" w:hAnsi="Times New Roman" w:cs="Times New Roman" w:eastAsia="Times New Roman" w:hint="default"/>
                <w:w w:val="100"/>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25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武汉斯利沃激光器技术有限公司（以下简称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武汉斯利沃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上海金萃激光技术有限公司（（以下简称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上海金萃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05" w:right="0"/>
              <w:jc w:val="lef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武汉落地创意文化传播有限公司（以下简称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武汉落地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60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长沙落地创意文化传播有限公司（以下简称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长沙落地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60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武汉良拓工业设备有限公司（以下简称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武汉良拓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60</w:t>
            </w:r>
          </w:p>
        </w:tc>
      </w:tr>
      <w:tr>
        <w:trPr>
          <w:trHeight w:val="654"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1"/>
              <w:ind w:left="24" w:right="89"/>
              <w:jc w:val="left"/>
              <w:rPr>
                <w:rFonts w:ascii="宋体" w:hAnsi="宋体" w:cs="宋体" w:eastAsia="宋体" w:hint="default"/>
                <w:sz w:val="18"/>
                <w:szCs w:val="18"/>
              </w:rPr>
            </w:pPr>
            <w:r>
              <w:rPr>
                <w:rFonts w:ascii="宋体" w:hAnsi="宋体" w:cs="宋体" w:eastAsia="宋体" w:hint="default"/>
                <w:sz w:val="18"/>
                <w:szCs w:val="18"/>
              </w:rPr>
              <w:t>湖北高投金运激光产业投资管理有限公司（以下简称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高投</w:t>
            </w:r>
            <w:r>
              <w:rPr>
                <w:rFonts w:ascii="宋体" w:hAnsi="宋体" w:cs="宋体" w:eastAsia="宋体" w:hint="default"/>
                <w:spacing w:val="1"/>
                <w:sz w:val="18"/>
                <w:szCs w:val="18"/>
              </w:rPr>
              <w:t> </w:t>
            </w:r>
            <w:r>
              <w:rPr>
                <w:rFonts w:ascii="宋体" w:hAnsi="宋体" w:cs="宋体" w:eastAsia="宋体" w:hint="default"/>
                <w:sz w:val="18"/>
                <w:szCs w:val="18"/>
              </w:rPr>
              <w:t>金运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参股子公司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40</w:t>
            </w:r>
          </w:p>
        </w:tc>
      </w:tr>
      <w:tr>
        <w:trPr>
          <w:trHeight w:val="342" w:hRule="exact"/>
        </w:trPr>
        <w:tc>
          <w:tcPr>
            <w:tcW w:w="4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高汇科技（香港）有限公司（以下简称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高汇科技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05"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headerReference w:type="default" r:id="rId58"/>
          <w:footerReference w:type="default" r:id="rId59"/>
          <w:pgSz w:w="11910" w:h="16840"/>
          <w:pgMar w:header="877" w:footer="979" w:top="1100" w:bottom="1160" w:left="980" w:right="940"/>
          <w:pgNumType w:start="96"/>
        </w:sectPr>
      </w:pPr>
    </w:p>
    <w:p>
      <w:pPr>
        <w:spacing w:line="240" w:lineRule="auto" w:before="12"/>
        <w:rPr>
          <w:rFonts w:ascii="宋体" w:hAnsi="宋体" w:cs="宋体" w:eastAsia="宋体" w:hint="default"/>
          <w:sz w:val="21"/>
          <w:szCs w:val="21"/>
        </w:rPr>
      </w:pPr>
    </w:p>
    <w:p>
      <w:pPr>
        <w:pStyle w:val="BodyText"/>
        <w:spacing w:line="300" w:lineRule="auto" w:before="44"/>
        <w:ind w:left="153" w:right="273" w:firstLine="420"/>
        <w:jc w:val="left"/>
      </w:pPr>
      <w:r>
        <w:rPr/>
        <w:t>子公司的持股比例不同于表决权比例的原因、以及持有半数或以下表决权但仍控制被投资单位的依据说明详见</w:t>
      </w:r>
      <w:r>
        <w:rPr>
          <w:rFonts w:ascii="Times New Roman" w:hAnsi="Times New Roman" w:cs="Times New Roman" w:eastAsia="Times New Roman" w:hint="default"/>
        </w:rPr>
        <w:t>“</w:t>
      </w:r>
      <w:r>
        <w:rPr/>
        <w:t>附注 八、在其他主体中的权益（一）在子公司中权益</w:t>
      </w:r>
      <w:r>
        <w:rPr>
          <w:rFonts w:ascii="Times New Roman" w:hAnsi="Times New Roman" w:cs="Times New Roman" w:eastAsia="Times New Roman" w:hint="default"/>
        </w:rPr>
        <w:t>”</w:t>
      </w:r>
      <w:r>
        <w:rPr/>
        <w:t>。</w:t>
      </w:r>
    </w:p>
    <w:p>
      <w:pPr>
        <w:pStyle w:val="BodyText"/>
        <w:spacing w:line="240" w:lineRule="auto" w:before="133"/>
        <w:ind w:left="633" w:right="0"/>
        <w:jc w:val="left"/>
      </w:pPr>
      <w:r>
        <w:rPr/>
        <w:t>合并范围变更主体的具体信息详见</w:t>
      </w:r>
      <w:r>
        <w:rPr>
          <w:rFonts w:ascii="Times New Roman" w:hAnsi="Times New Roman" w:cs="Times New Roman" w:eastAsia="Times New Roman" w:hint="default"/>
        </w:rPr>
        <w:t>“</w:t>
      </w:r>
      <w:r>
        <w:rPr/>
        <w:t>附注七、合并范围的变更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20"/>
      <w:bookmarkEnd w:id="12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21"/>
      <w:bookmarkEnd w:id="12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420"/>
        <w:jc w:val="both"/>
      </w:pPr>
      <w:r>
        <w:rPr/>
        <w:t>本公司以持续经营为基础，根据实际发生的交易和事项，按照财政部颁布的《企业会计准则</w:t>
      </w:r>
      <w:r>
        <w:rPr>
          <w:rFonts w:ascii="Times New Roman" w:hAnsi="Times New Roman" w:cs="Times New Roman" w:eastAsia="Times New Roman" w:hint="default"/>
        </w:rPr>
        <w:t>——</w:t>
      </w:r>
      <w:r>
        <w:rPr/>
        <w:t>基本准则》和具体企 业会计准则、企业会计准则应用指南、企业会计准则解释及其他相关规定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业进行确认和计量，在 此基础上，结合中国证券监督管理委员会《公开发行证券的公司信息披露编报规则第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 </w:t>
      </w:r>
      <w:r>
        <w:rPr/>
        <w:t>年修订</w:t>
      </w:r>
      <w:r>
        <w:rPr>
          <w:rFonts w:ascii="Times New Roman" w:hAnsi="Times New Roman" w:cs="Times New Roman" w:eastAsia="Times New Roman" w:hint="default"/>
        </w:rPr>
        <w:t>)</w:t>
      </w:r>
      <w:r>
        <w:rPr/>
        <w:t>的规定，编制财务报表。</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持续经营" w:id="122"/>
      <w:bookmarkEnd w:id="12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3" w:right="0"/>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73" w:right="138" w:hanging="420"/>
        <w:jc w:val="left"/>
      </w:pPr>
      <w:r>
        <w:rPr/>
        <w:t>具体会计政策和会计估计提示： </w:t>
      </w:r>
      <w:r>
        <w:rPr>
          <w:spacing w:val="-1"/>
        </w:rPr>
        <w:t>公司以持续经营为基础，根据实际发生的交易和事项，按照财政部于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日颁布的《企业会计准则</w:t>
      </w:r>
      <w:r>
        <w:rPr>
          <w:rFonts w:ascii="Times New Roman" w:hAnsi="Times New Roman" w:cs="Times New Roman" w:eastAsia="Times New Roman" w:hint="default"/>
          <w:spacing w:val="-1"/>
        </w:rPr>
        <w:t>——</w:t>
      </w:r>
      <w:r>
        <w:rPr>
          <w:spacing w:val="-1"/>
        </w:rPr>
        <w:t>基本准</w:t>
      </w:r>
    </w:p>
    <w:p>
      <w:pPr>
        <w:pStyle w:val="BodyText"/>
        <w:spacing w:line="214" w:lineRule="exact"/>
        <w:ind w:left="153" w:right="0"/>
        <w:jc w:val="left"/>
      </w:pPr>
      <w:r>
        <w:rPr/>
        <w:t>则》和</w:t>
      </w:r>
      <w:r>
        <w:rPr>
          <w:rFonts w:ascii="Times New Roman" w:hAnsi="Times New Roman" w:cs="Times New Roman" w:eastAsia="Times New Roman" w:hint="default"/>
        </w:rPr>
        <w:t>38</w:t>
      </w:r>
      <w:r>
        <w:rPr/>
        <w:t>项具体会计准则、其后颁布的企业会计准则应用指南、企业会计准则解释及其他相关规定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w:t>
      </w:r>
    </w:p>
    <w:p>
      <w:pPr>
        <w:pStyle w:val="BodyText"/>
        <w:spacing w:line="300" w:lineRule="auto" w:before="63"/>
        <w:ind w:right="152"/>
        <w:jc w:val="left"/>
      </w:pPr>
      <w:r>
        <w:rPr/>
        <w:t>则</w:t>
      </w:r>
      <w:r>
        <w:rPr>
          <w:rFonts w:ascii="Times New Roman" w:hAnsi="Times New Roman" w:cs="Times New Roman" w:eastAsia="Times New Roman" w:hint="default"/>
        </w:rPr>
        <w:t>”)</w:t>
      </w:r>
      <w:r>
        <w:rPr/>
        <w:t>、中国证券监督管理委员会《公开发行证券的公司信息披露编报规则第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进 行确认和计量，在此基础上编制财务报表。</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遵循企业会计准则的声明" w:id="124"/>
      <w:bookmarkEnd w:id="12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7" w:firstLine="405"/>
        <w:jc w:val="left"/>
      </w:pPr>
      <w:r>
        <w:rPr/>
        <w:t>公司所编制的财务报表符合企业会计准则的要求，真实、完整地反映了报告期公司的财务状况、经营成果、现金流量 等有关信息。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25"/>
      <w:bookmarkEnd w:id="12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26"/>
      <w:bookmarkEnd w:id="12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记账本位币" w:id="127"/>
      <w:bookmarkEnd w:id="12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rPr>
          <w:sz w:val="21"/>
          <w:szCs w:val="21"/>
        </w:rPr>
      </w:pPr>
      <w:r>
        <w:rPr/>
        <w:t>采用人民币为记账本位币</w:t>
      </w:r>
      <w:r>
        <w:rPr>
          <w:sz w:val="21"/>
          <w:szCs w:val="21"/>
        </w:rPr>
        <w:t>。</w:t>
      </w:r>
    </w:p>
    <w:p>
      <w:pPr>
        <w:spacing w:after="0" w:line="240" w:lineRule="auto"/>
        <w:jc w:val="left"/>
        <w:rPr>
          <w:sz w:val="21"/>
          <w:szCs w:val="21"/>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93"/>
        <w:jc w:val="left"/>
        <w:rPr>
          <w:b w:val="0"/>
          <w:bCs w:val="0"/>
        </w:rPr>
      </w:pPr>
      <w:bookmarkStart w:name="同一控制下和非同一控制下企业合并的会计处理方法" w:id="128"/>
      <w:bookmarkEnd w:id="128"/>
      <w:r>
        <w:rPr>
          <w:b w:val="0"/>
          <w:bCs w:val="0"/>
        </w:rPr>
      </w:r>
      <w:r>
        <w:rPr>
          <w:rFonts w:ascii="Times New Roman" w:hAnsi="Times New Roman" w:cs="Times New Roman" w:eastAsia="Times New Roman" w:hint="default"/>
        </w:rPr>
        <w:t>5</w:t>
      </w:r>
      <w:r>
        <w:rPr/>
        <w:t>、</w:t>
      </w:r>
      <w:r>
        <w:rPr>
          <w:spacing w:val="-68"/>
        </w:rPr>
        <w:t> </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Heading5"/>
        <w:spacing w:line="300" w:lineRule="auto"/>
        <w:ind w:right="193" w:firstLine="361"/>
        <w:jc w:val="both"/>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、分步实现企业合并过程中的各项交易的条款、条件以及经济影响符合以下一种或多种情况，将多次交易事项作为一</w:t>
      </w:r>
      <w:r>
        <w:rPr>
          <w:spacing w:val="-16"/>
          <w:w w:val="95"/>
        </w:rPr>
        <w:t> </w:t>
      </w:r>
      <w:r>
        <w:rPr>
          <w:spacing w:val="-16"/>
          <w:w w:val="95"/>
        </w:rPr>
      </w:r>
      <w:r>
        <w:rPr/>
        <w:t>揽子交易进行会计处理：</w:t>
      </w:r>
      <w:r>
        <w:rPr>
          <w:b w:val="0"/>
          <w:bCs w:val="0"/>
        </w:rPr>
      </w:r>
    </w:p>
    <w:p>
      <w:pPr>
        <w:pStyle w:val="BodyText"/>
        <w:spacing w:line="240" w:lineRule="auto" w:before="32"/>
        <w:ind w:left="513" w:right="93"/>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3" w:right="5192"/>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3" w:right="5192"/>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513" w:right="93"/>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5"/>
        <w:spacing w:line="240" w:lineRule="auto" w:before="63"/>
        <w:ind w:left="606" w:right="5192"/>
        <w:jc w:val="left"/>
        <w:rPr>
          <w:b w:val="0"/>
          <w:bCs w:val="0"/>
        </w:rPr>
      </w:pPr>
      <w:r>
        <w:rPr>
          <w:rFonts w:ascii="Times New Roman" w:hAnsi="Times New Roman" w:cs="Times New Roman" w:eastAsia="Times New Roman" w:hint="default"/>
        </w:rPr>
        <w:t>2.</w:t>
      </w:r>
      <w:r>
        <w:rPr/>
        <w:t>同一控制下的企业合并</w:t>
      </w:r>
      <w:r>
        <w:rPr>
          <w:b w:val="0"/>
          <w:bCs w:val="0"/>
        </w:rPr>
      </w:r>
    </w:p>
    <w:p>
      <w:pPr>
        <w:pStyle w:val="BodyText"/>
        <w:spacing w:line="300" w:lineRule="auto" w:before="63"/>
        <w:ind w:left="514" w:right="93"/>
        <w:jc w:val="left"/>
      </w:pPr>
      <w:r>
        <w:rPr>
          <w:rFonts w:ascii="Times New Roman" w:hAnsi="Times New Roman" w:cs="Times New Roman" w:eastAsia="Times New Roman" w:hint="default"/>
        </w:rPr>
        <w:t>1</w:t>
      </w:r>
      <w:r>
        <w:rPr/>
        <w:t>）个别财务报表 </w:t>
      </w:r>
      <w:r>
        <w:rPr>
          <w:spacing w:val="-2"/>
        </w:rPr>
        <w:t>公司以支付现金、转让非现金资产、承担债务方式或以发行权益性证券作为合并对价的，在合并日按照被合并方所有者</w:t>
      </w:r>
    </w:p>
    <w:p>
      <w:pPr>
        <w:pStyle w:val="BodyText"/>
        <w:spacing w:line="316" w:lineRule="auto" w:before="31"/>
        <w:ind w:right="93"/>
        <w:jc w:val="left"/>
      </w:pPr>
      <w:r>
        <w:rPr>
          <w:spacing w:val="-2"/>
        </w:rPr>
        <w:t>权益在最终控制方合并财务报表中的账面价值的份额作为长期股权投资的初始投资成本。长期股权投资初始投资成本与支付</w:t>
      </w:r>
      <w:r>
        <w:rPr>
          <w:spacing w:val="-63"/>
        </w:rPr>
        <w:t> </w:t>
      </w:r>
      <w:r>
        <w:rPr>
          <w:spacing w:val="-63"/>
        </w:rPr>
      </w:r>
      <w:r>
        <w:rPr>
          <w:spacing w:val="-4"/>
        </w:rPr>
        <w:t>合并对价之间的差额，调整资本公积；资本公积不足冲减的，调整留存收益。如果存在或有对价并需要确认预计负债或资产，</w:t>
      </w:r>
      <w:r>
        <w:rPr>
          <w:spacing w:val="-46"/>
        </w:rPr>
        <w:t> </w:t>
      </w:r>
      <w:r>
        <w:rPr>
          <w:spacing w:val="-46"/>
        </w:rPr>
      </w:r>
      <w:r>
        <w:rPr>
          <w:spacing w:val="-2"/>
        </w:rPr>
        <w:t>该预计负债或资产金额与后续或有对价结算金额的差额，调整资本公积（资本溢价或股本溢价），资本公积不足的，调整留</w:t>
      </w:r>
      <w:r>
        <w:rPr>
          <w:spacing w:val="-66"/>
        </w:rPr>
        <w:t> </w:t>
      </w:r>
      <w:r>
        <w:rPr>
          <w:spacing w:val="-66"/>
        </w:rPr>
      </w:r>
      <w:r>
        <w:rPr/>
        <w:t>存收益。</w:t>
      </w:r>
    </w:p>
    <w:p>
      <w:pPr>
        <w:pStyle w:val="BodyText"/>
        <w:spacing w:line="316" w:lineRule="auto" w:before="19"/>
        <w:ind w:right="103" w:firstLine="360"/>
        <w:jc w:val="both"/>
      </w:pPr>
      <w:r>
        <w:rPr>
          <w:spacing w:val="-2"/>
        </w:rPr>
        <w:t>对于通过多次交易最终实现企业合并的，属于一揽子交易的，将各项交易作为一项取得控制权的交易进行会计处理；不</w:t>
      </w:r>
      <w:r>
        <w:rPr/>
        <w:t> </w:t>
      </w:r>
      <w:r>
        <w:rPr>
          <w:spacing w:val="-2"/>
        </w:rPr>
        <w:t>属于一揽子交易的，在取得控制权日，长期股权投资初始投资成本，与达到合并前的长期股权投资账面价值加上合并日进一</w:t>
      </w:r>
      <w:r>
        <w:rPr>
          <w:spacing w:val="-66"/>
        </w:rPr>
        <w:t> </w:t>
      </w:r>
      <w:r>
        <w:rPr>
          <w:spacing w:val="-66"/>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319" w:lineRule="auto" w:before="19"/>
        <w:ind w:right="191" w:firstLine="360"/>
        <w:jc w:val="both"/>
      </w:pPr>
      <w:r>
        <w:rPr>
          <w:spacing w:val="-2"/>
        </w:rPr>
        <w:t>合并发生的各项直接相关费用，包括为进行合并而支付的审计费用、评估费用、法律服务费用等，于发生时计入当期损</w:t>
      </w:r>
      <w:r>
        <w:rPr/>
        <w:t> </w:t>
      </w:r>
      <w:r>
        <w:rPr>
          <w:spacing w:val="-2"/>
        </w:rPr>
        <w:t>益；与发行权益性工具作为合并对价直接相关的交易费用，冲减资本公积，资本公积不足冲减的，依次冲减盈余公积和未分</w:t>
      </w:r>
      <w:r>
        <w:rPr>
          <w:spacing w:val="-66"/>
        </w:rPr>
        <w:t> </w:t>
      </w:r>
      <w:r>
        <w:rPr>
          <w:spacing w:val="-66"/>
        </w:rPr>
      </w:r>
      <w:r>
        <w:rPr/>
        <w:t>配利润；与发行债务性工具作为合并对价直接相关的交易费用，作为计入债务性工具的初始确认金额。</w:t>
      </w:r>
    </w:p>
    <w:p>
      <w:pPr>
        <w:pStyle w:val="BodyText"/>
        <w:spacing w:line="316" w:lineRule="auto" w:before="17"/>
        <w:ind w:right="191" w:firstLine="360"/>
        <w:jc w:val="both"/>
      </w:pPr>
      <w:r>
        <w:rPr>
          <w:spacing w:val="-2"/>
        </w:rPr>
        <w:t>被合并方存在合并财务报表，则以合并日被合并方合并财务报表中归属于母公司的所有者权益为基础确定长期股权投资</w:t>
      </w:r>
      <w:r>
        <w:rPr/>
        <w:t> 的初始投资成本。</w:t>
      </w:r>
    </w:p>
    <w:p>
      <w:pPr>
        <w:pStyle w:val="BodyText"/>
        <w:spacing w:line="300" w:lineRule="auto" w:before="19"/>
        <w:ind w:left="514" w:right="93"/>
        <w:jc w:val="left"/>
      </w:pPr>
      <w:r>
        <w:rPr>
          <w:rFonts w:ascii="Times New Roman" w:hAnsi="Times New Roman" w:cs="Times New Roman" w:eastAsia="Times New Roman" w:hint="default"/>
        </w:rPr>
        <w:t>2</w:t>
      </w:r>
      <w:r>
        <w:rPr/>
        <w:t>）合并财务报表 </w:t>
      </w:r>
      <w:r>
        <w:rPr>
          <w:spacing w:val="-2"/>
        </w:rPr>
        <w:t>合并方在企业合并中取得的资产和负债，按照合并日在被合并方所有者权益在最终控制方合并财务报表中的账面价值计</w:t>
      </w:r>
    </w:p>
    <w:p>
      <w:pPr>
        <w:pStyle w:val="BodyText"/>
        <w:spacing w:line="240" w:lineRule="auto" w:before="31"/>
        <w:ind w:right="5192"/>
        <w:jc w:val="left"/>
      </w:pPr>
      <w:r>
        <w:rPr/>
        <w:t>量。</w:t>
      </w:r>
    </w:p>
    <w:p>
      <w:pPr>
        <w:pStyle w:val="BodyText"/>
        <w:spacing w:line="316" w:lineRule="auto" w:before="76"/>
        <w:ind w:right="191" w:firstLine="360"/>
        <w:jc w:val="both"/>
      </w:pPr>
      <w:r>
        <w:rPr>
          <w:spacing w:val="-2"/>
        </w:rPr>
        <w:t>对于通过多次交易最终实现企业合并的，属于一揽子交易的，将各项交易作为一项取得控制权的交易进行会计处理；不</w:t>
      </w:r>
      <w:r>
        <w:rPr/>
        <w:t> </w:t>
      </w:r>
      <w:r>
        <w:rPr>
          <w:spacing w:val="-2"/>
        </w:rPr>
        <w:t>属于一揽子交易的，合并方在达到合并之前持有的长期股权投资，在取得日与合并方与被合并方同处于同一方最终控制之日</w:t>
      </w:r>
      <w:r>
        <w:rPr>
          <w:spacing w:val="-64"/>
        </w:rPr>
        <w:t> </w:t>
      </w:r>
      <w:r>
        <w:rPr>
          <w:spacing w:val="-64"/>
        </w:rPr>
      </w:r>
      <w:r>
        <w:rPr>
          <w:spacing w:val="-2"/>
        </w:rPr>
        <w:t>孰晚日与合并日之间已确认有关损益、其他综合收益和其他所有者权益变动，分别冲减比较报表期间的期初留存收益或当期</w:t>
      </w:r>
      <w:r>
        <w:rPr>
          <w:spacing w:val="-64"/>
        </w:rPr>
        <w:t> </w:t>
      </w:r>
      <w:r>
        <w:rPr>
          <w:spacing w:val="-64"/>
        </w:rPr>
      </w:r>
      <w:r>
        <w:rPr/>
        <w:t>损益。</w:t>
      </w:r>
    </w:p>
    <w:p>
      <w:pPr>
        <w:pStyle w:val="BodyText"/>
        <w:spacing w:line="316" w:lineRule="auto" w:before="19"/>
        <w:ind w:right="192" w:firstLine="360"/>
        <w:jc w:val="both"/>
      </w:pPr>
      <w:r>
        <w:rPr>
          <w:spacing w:val="-2"/>
        </w:rPr>
        <w:t>被合并各方采用的会计政策与本公司不一致的，本公司在合并日按照本公司会计政策进行调整，在此基础上按照企业会</w:t>
      </w:r>
      <w:r>
        <w:rPr/>
        <w:t> 计准则规定确认。</w:t>
      </w:r>
    </w:p>
    <w:p>
      <w:pPr>
        <w:spacing w:line="300" w:lineRule="auto" w:before="19"/>
        <w:ind w:left="513" w:right="93" w:firstLine="18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对于非同一控制下的企业合并，合并成本为本公司在购买日为取得对被购买方的控制权而付出的资产、发生或承担的负</w:t>
      </w:r>
    </w:p>
    <w:p>
      <w:pPr>
        <w:pStyle w:val="BodyText"/>
        <w:spacing w:line="316" w:lineRule="auto" w:before="31"/>
        <w:ind w:right="93"/>
        <w:jc w:val="left"/>
      </w:pPr>
      <w:r>
        <w:rPr>
          <w:spacing w:val="-2"/>
        </w:rPr>
        <w:t>债以及发行的权益性工具或债务性工具的公允价值。在合并合同中对可能影响合并成本的未来事项作出约定的，购买日如果</w:t>
      </w:r>
      <w:r>
        <w:rPr>
          <w:spacing w:val="-64"/>
        </w:rPr>
        <w:t> </w:t>
      </w:r>
      <w:r>
        <w:rPr>
          <w:spacing w:val="-64"/>
        </w:rPr>
      </w:r>
      <w:r>
        <w:rPr/>
        <w:t>估计未来事项很可能发生并且对合并成本的影响金额能够可靠计量的，也计入合并成本。</w:t>
      </w:r>
    </w:p>
    <w:p>
      <w:pPr>
        <w:pStyle w:val="BodyText"/>
        <w:spacing w:line="319" w:lineRule="auto" w:before="19"/>
        <w:ind w:left="153" w:right="110" w:firstLine="360"/>
        <w:jc w:val="both"/>
      </w:pPr>
      <w:r>
        <w:rPr/>
        <w:t>本公司为进行企业合并发生的审计、法律服务、评估咨询等中介费用以及其他相关管理费用，于发生时计入当期损益； 本公司作为合并对价发行的权益性工具或债务性工具的交易费用，计入权益性工具或债务性工具的初始确认金额。</w:t>
      </w:r>
    </w:p>
    <w:p>
      <w:pPr>
        <w:pStyle w:val="BodyText"/>
        <w:spacing w:line="316" w:lineRule="auto" w:before="17"/>
        <w:ind w:left="153" w:right="191" w:firstLine="360"/>
        <w:jc w:val="both"/>
      </w:pPr>
      <w:r>
        <w:rPr>
          <w:spacing w:val="-2"/>
        </w:rPr>
        <w:t>本公司对合并成本大于合并中取得的被购买方可辨认净资产公允价值份额的差额，确认为商誉。本公司对合并成本小于</w:t>
      </w:r>
      <w:r>
        <w:rPr/>
        <w:t> </w:t>
      </w:r>
      <w:r>
        <w:rPr>
          <w:spacing w:val="-2"/>
        </w:rPr>
        <w:t>合并中取得的被购买方可辨认净资产公允价值份额的，经复核后合并成本仍小于合并中取得的被购买方可辨认净资产公允价</w:t>
      </w:r>
      <w:r>
        <w:rPr>
          <w:spacing w:val="-64"/>
        </w:rPr>
        <w:t> </w:t>
      </w:r>
      <w:r>
        <w:rPr>
          <w:spacing w:val="-64"/>
        </w:rPr>
      </w:r>
      <w:r>
        <w:rPr/>
        <w:t>值份额的差额，计入当期损益。</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2" w:firstLine="360"/>
        <w:jc w:val="both"/>
      </w:pPr>
      <w:r>
        <w:rPr>
          <w:spacing w:val="-2"/>
        </w:rPr>
        <w:t>通过多次交换交易分步实现的非同一控制下企业合并，属于一揽子交易的，将各项交易作为一项取得控制权的交易进行</w:t>
      </w:r>
      <w:r>
        <w:rPr/>
        <w:t> 会计处理；不属于一揽子交易的，区分个别财务报表和合并财务报表进行相关会计处理：</w:t>
      </w:r>
    </w:p>
    <w:p>
      <w:pPr>
        <w:pStyle w:val="BodyText"/>
        <w:spacing w:line="309" w:lineRule="auto" w:before="19"/>
        <w:ind w:right="190" w:firstLine="360"/>
        <w:jc w:val="both"/>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）在个别财务报表中，合并日之前持有的股权投资采用权益法核算的，以购买日之前所持被购买方的股权投资的账 </w:t>
      </w:r>
      <w:r>
        <w:rPr>
          <w:spacing w:val="-2"/>
        </w:rPr>
        <w:t>面价值与购买日新增投资成本之和，作为该项投资的初始投资成本；购买日之前持有的股权投资因采用权益法核算而确认的</w:t>
      </w:r>
      <w:r>
        <w:rPr>
          <w:spacing w:val="-63"/>
        </w:rPr>
        <w:t> </w:t>
      </w:r>
      <w:r>
        <w:rPr>
          <w:spacing w:val="-63"/>
        </w:rPr>
      </w:r>
      <w:r>
        <w:rPr/>
        <w:t>其他综合收益，在处置该项投资时采用与被投资单位直接处置相关资产或负债相同的基础进行会计处理</w:t>
      </w:r>
    </w:p>
    <w:p>
      <w:pPr>
        <w:pStyle w:val="BodyText"/>
        <w:spacing w:line="316" w:lineRule="auto" w:before="24"/>
        <w:ind w:left="153" w:right="191" w:firstLine="360"/>
        <w:jc w:val="both"/>
      </w:pPr>
      <w:r>
        <w:rPr>
          <w:spacing w:val="-2"/>
        </w:rPr>
        <w:t>合并日之前持有的股权投资采用金融工具确认和计量准则核算的，以该股权投资在合并日的公允价值加上新增投资成本</w:t>
      </w:r>
      <w:r>
        <w:rPr/>
        <w:t> </w:t>
      </w:r>
      <w:r>
        <w:rPr>
          <w:spacing w:val="-2"/>
        </w:rPr>
        <w:t>之和，作为合并日的初始投资成本。原持有股权的公允价值与账面价值之间的差额以及原计入其他综合收益的累计公允价值</w:t>
      </w:r>
      <w:r>
        <w:rPr>
          <w:spacing w:val="-64"/>
        </w:rPr>
        <w:t> </w:t>
      </w:r>
      <w:r>
        <w:rPr>
          <w:spacing w:val="-64"/>
        </w:rPr>
      </w:r>
      <w:r>
        <w:rPr/>
        <w:t>变动应全部转入合并日当期的投资收益。</w:t>
      </w:r>
    </w:p>
    <w:p>
      <w:pPr>
        <w:pStyle w:val="BodyText"/>
        <w:spacing w:line="309" w:lineRule="auto" w:before="19"/>
        <w:ind w:right="92" w:firstLine="360"/>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）在合并财务报表中，对于购买日之前持有的被购买方的股权，按照该股权在购买日的公允价值进行重新计量，公 允价值与其账面价值的差额计入当期投资收益；购买日之前持有的被购买方的股权涉及权益法核算下的其他综合收益等的， 与其相关的其他综合收益等转为购买日所属当期投资收益。</w:t>
      </w:r>
    </w:p>
    <w:p>
      <w:pPr>
        <w:spacing w:line="240" w:lineRule="auto" w:before="12"/>
        <w:rPr>
          <w:rFonts w:ascii="宋体" w:hAnsi="宋体" w:cs="宋体" w:eastAsia="宋体" w:hint="default"/>
          <w:sz w:val="22"/>
          <w:szCs w:val="22"/>
        </w:rPr>
      </w:pPr>
    </w:p>
    <w:p>
      <w:pPr>
        <w:pStyle w:val="Heading3"/>
        <w:spacing w:line="240" w:lineRule="auto"/>
        <w:ind w:right="5192"/>
        <w:jc w:val="left"/>
        <w:rPr>
          <w:b w:val="0"/>
          <w:bCs w:val="0"/>
        </w:rPr>
      </w:pPr>
      <w:bookmarkStart w:name="6、合并财务报表的编制方法" w:id="129"/>
      <w:bookmarkEnd w:id="12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3"/>
        <w:jc w:val="left"/>
      </w:pPr>
      <w:r>
        <w:rPr>
          <w:spacing w:val="-4"/>
        </w:rPr>
        <w:t>本公司合并财务报表的合并范围以控制为基础确定，所有子公司（包括母公司所控制的单独主体）均纳入合并财务报表。</w:t>
      </w:r>
      <w:r>
        <w:rPr>
          <w:spacing w:val="-52"/>
        </w:rPr>
        <w:t> </w:t>
      </w:r>
      <w:r>
        <w:rPr>
          <w:spacing w:val="-52"/>
        </w:rPr>
      </w:r>
      <w:r>
        <w:rPr>
          <w:spacing w:val="-2"/>
        </w:rPr>
        <w:t>所有纳入合并财务报表合并范围的子公司所采用的会计政策、会计期间与本公司一致，如子公司采用的会计政策、会计</w:t>
      </w:r>
    </w:p>
    <w:p>
      <w:pPr>
        <w:pStyle w:val="BodyText"/>
        <w:spacing w:line="316" w:lineRule="auto" w:before="19"/>
        <w:ind w:left="514" w:right="93" w:hanging="360"/>
        <w:jc w:val="left"/>
      </w:pPr>
      <w:r>
        <w:rPr/>
        <w:t>期间与本公司不一致的，在编制合并财务报表时，按本公司的会计政策、会计期间进行必要的调整。 合并财务报表以本公司及子公司的财务报表为基础，根据其他有关资料由本公司编制。 </w:t>
      </w:r>
      <w:r>
        <w:rPr>
          <w:spacing w:val="-2"/>
        </w:rPr>
        <w:t>合并财务报表时抵销本公司与各子公司、各子公司相互之间发生的内部交易对合并资产负债表、合并利润表、合并现金</w:t>
      </w:r>
    </w:p>
    <w:p>
      <w:pPr>
        <w:pStyle w:val="BodyText"/>
        <w:spacing w:line="316" w:lineRule="auto" w:before="19"/>
        <w:ind w:left="514" w:right="93" w:hanging="360"/>
        <w:jc w:val="left"/>
      </w:pPr>
      <w:r>
        <w:rPr/>
        <w:t>流量表、合并股东权益变动表的影响。 </w:t>
      </w:r>
      <w:r>
        <w:rPr>
          <w:spacing w:val="-2"/>
        </w:rPr>
        <w:t>子公司少数股东分担的当期亏损超过了少数股东在该子公司期初所有者权益中所享有的份额的，其余额仍应当冲减少数</w:t>
      </w:r>
    </w:p>
    <w:p>
      <w:pPr>
        <w:pStyle w:val="BodyText"/>
        <w:spacing w:line="240" w:lineRule="auto" w:before="19"/>
        <w:ind w:right="5192"/>
        <w:jc w:val="left"/>
      </w:pPr>
      <w:r>
        <w:rPr/>
        <w:t>股东权益。</w:t>
      </w:r>
    </w:p>
    <w:p>
      <w:pPr>
        <w:pStyle w:val="BodyText"/>
        <w:spacing w:line="316" w:lineRule="auto" w:before="77"/>
        <w:ind w:right="193" w:firstLine="360"/>
        <w:jc w:val="both"/>
      </w:pPr>
      <w:r>
        <w:rPr>
          <w:spacing w:val="-2"/>
        </w:rPr>
        <w:t>在报告期内，若因同一控制下企业合并增加子公司以及业务的，则调整合并资产负债表的期初数；将子公司以及业务合</w:t>
      </w:r>
      <w:r>
        <w:rPr/>
        <w:t> </w:t>
      </w:r>
      <w:r>
        <w:rPr>
          <w:spacing w:val="-2"/>
        </w:rPr>
        <w:t>并当期期初至报告期末的收入、费用、利润纳入合并利润表；将子公司以及业务合并当期期初至报告期末的现金流量纳入合</w:t>
      </w:r>
      <w:r>
        <w:rPr>
          <w:spacing w:val="-66"/>
        </w:rPr>
        <w:t> </w:t>
      </w:r>
      <w:r>
        <w:rPr>
          <w:spacing w:val="-66"/>
        </w:rPr>
      </w:r>
      <w:r>
        <w:rPr/>
        <w:t>并现金流量表。</w:t>
      </w:r>
    </w:p>
    <w:p>
      <w:pPr>
        <w:pStyle w:val="BodyText"/>
        <w:spacing w:line="316" w:lineRule="auto" w:before="19"/>
        <w:ind w:right="192" w:firstLine="360"/>
        <w:jc w:val="both"/>
      </w:pPr>
      <w:r>
        <w:rPr>
          <w:spacing w:val="-2"/>
        </w:rPr>
        <w:t>在报告期内，若因非同一控制下企业合并增加子公司以及业务的，则不调整合并资产负债表期初数；将子公司以及业务</w:t>
      </w:r>
      <w:r>
        <w:rPr/>
        <w:t> </w:t>
      </w:r>
      <w:r>
        <w:rPr>
          <w:spacing w:val="-2"/>
        </w:rPr>
        <w:t>自购买日至报告期末的收入、费用、利润纳入合并利润表；该子公司以及业务自购买日至报告期末的现金流量纳入合并现金</w:t>
      </w:r>
      <w:r>
        <w:rPr>
          <w:spacing w:val="-66"/>
        </w:rPr>
        <w:t> </w:t>
      </w:r>
      <w:r>
        <w:rPr>
          <w:spacing w:val="-66"/>
        </w:rPr>
      </w:r>
      <w:r>
        <w:rPr/>
        <w:t>流量表。</w:t>
      </w:r>
    </w:p>
    <w:p>
      <w:pPr>
        <w:pStyle w:val="BodyText"/>
        <w:spacing w:line="316" w:lineRule="auto" w:before="19"/>
        <w:ind w:right="193" w:firstLine="360"/>
        <w:jc w:val="both"/>
      </w:pPr>
      <w:r>
        <w:rPr>
          <w:spacing w:val="-2"/>
        </w:rPr>
        <w:t>在报告期内，本公司处置子公司以及业务，则该子公司以及业务期初至处置日的收入、费用、利润纳入合并利润表；该</w:t>
      </w:r>
      <w:r>
        <w:rPr/>
        <w:t> 子公司以及业务期初至处置日的现金流量纳入合并现金流量表。</w:t>
      </w:r>
    </w:p>
    <w:p>
      <w:pPr>
        <w:pStyle w:val="BodyText"/>
        <w:spacing w:line="316" w:lineRule="auto" w:before="19"/>
        <w:ind w:right="191" w:firstLine="360"/>
        <w:jc w:val="both"/>
      </w:pPr>
      <w:r>
        <w:rPr>
          <w:spacing w:val="-2"/>
        </w:rPr>
        <w:t>本公司因处置部分股权投资或其他原因丧失了对原有子公司控制权的，在合并财务报表中，对于剩余股权，按照其在丧</w:t>
      </w:r>
      <w:r>
        <w:rPr/>
        <w:t> </w:t>
      </w: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公司自购买日开始持续计算的净资产的份额之间的差额，计入丧失控制权当期的投资收益。与原有子公司股权投资相关的其</w:t>
      </w:r>
      <w:r>
        <w:rPr>
          <w:spacing w:val="-64"/>
        </w:rPr>
        <w:t> </w:t>
      </w:r>
      <w:r>
        <w:rPr>
          <w:spacing w:val="-64"/>
        </w:rPr>
      </w:r>
      <w:r>
        <w:rPr/>
        <w:t>他综合收益，应当在丧失控制权时转为当期投资收益。</w:t>
      </w:r>
    </w:p>
    <w:p>
      <w:pPr>
        <w:pStyle w:val="BodyText"/>
        <w:spacing w:line="316" w:lineRule="auto" w:before="19"/>
        <w:ind w:right="192" w:firstLine="360"/>
        <w:jc w:val="both"/>
      </w:pPr>
      <w:r>
        <w:rPr>
          <w:spacing w:val="-2"/>
        </w:rPr>
        <w:t>本公司因购买少数股东拥有的子公司股权，在合并财务报表中，对于新取得的长期股权投资，与按照新增持股比例计算</w:t>
      </w:r>
      <w:r>
        <w:rPr/>
        <w:t> </w:t>
      </w:r>
      <w:r>
        <w:rPr>
          <w:spacing w:val="-2"/>
        </w:rPr>
        <w:t>应享有子公司自购买日或合并日开始持续计算的净资产份额之间的差额，调整母公司所有者的资本公积，资本公积不足冲减</w:t>
      </w:r>
      <w:r>
        <w:rPr>
          <w:spacing w:val="-64"/>
        </w:rPr>
        <w:t> </w:t>
      </w:r>
      <w:r>
        <w:rPr>
          <w:spacing w:val="-64"/>
        </w:rPr>
      </w:r>
      <w:r>
        <w:rPr/>
        <w:t>的，调整留存收益。</w:t>
      </w:r>
    </w:p>
    <w:p>
      <w:pPr>
        <w:spacing w:line="240" w:lineRule="auto" w:before="7"/>
        <w:rPr>
          <w:rFonts w:ascii="宋体" w:hAnsi="宋体" w:cs="宋体" w:eastAsia="宋体" w:hint="default"/>
          <w:sz w:val="22"/>
          <w:szCs w:val="22"/>
        </w:rPr>
      </w:pPr>
    </w:p>
    <w:p>
      <w:pPr>
        <w:pStyle w:val="Heading3"/>
        <w:spacing w:line="240" w:lineRule="auto"/>
        <w:ind w:right="5192"/>
        <w:jc w:val="left"/>
        <w:rPr>
          <w:b w:val="0"/>
          <w:bCs w:val="0"/>
        </w:rPr>
      </w:pPr>
      <w:bookmarkStart w:name="7、合营安排分类及共同经营会计处理方法" w:id="130"/>
      <w:bookmarkEnd w:id="13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5192"/>
        <w:jc w:val="left"/>
        <w:rPr>
          <w:b w:val="0"/>
          <w:bCs w:val="0"/>
        </w:rPr>
      </w:pPr>
      <w:bookmarkStart w:name="8、现金及现金等价物的确定标准" w:id="131"/>
      <w:bookmarkEnd w:id="13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0" w:firstLine="420"/>
        <w:jc w:val="both"/>
      </w:pPr>
      <w:r>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spacing w:after="0" w:line="316" w:lineRule="auto"/>
        <w:jc w:val="both"/>
        <w:sectPr>
          <w:pgSz w:w="11910" w:h="16840"/>
          <w:pgMar w:header="877" w:footer="979" w:top="1100" w:bottom="1160" w:left="980" w:right="94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9、外币业务和外币报表折算" w:id="132"/>
      <w:bookmarkEnd w:id="13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2213" w:firstLine="9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2"/>
        <w:ind w:left="153" w:right="151"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3"/>
        </w:rPr>
        <w:t> </w:t>
      </w:r>
      <w:r>
        <w:rPr>
          <w:spacing w:val="-63"/>
        </w:rPr>
      </w:r>
      <w:r>
        <w:rPr/>
        <w:t>币性项目，仍采用交易发生日的即期汇率折算，不改变其记账本位币金额。</w:t>
      </w:r>
    </w:p>
    <w:p>
      <w:pPr>
        <w:pStyle w:val="BodyText"/>
        <w:spacing w:line="316" w:lineRule="auto" w:before="19"/>
        <w:ind w:left="153" w:right="15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00" w:lineRule="auto" w:before="19"/>
        <w:ind w:left="574" w:right="192" w:hanging="29"/>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3"/>
        <w:ind w:left="153" w:right="0"/>
        <w:jc w:val="left"/>
      </w:pPr>
      <w:r>
        <w:rPr>
          <w:spacing w:val="-2"/>
        </w:rPr>
        <w:t>项目采用发生时的即期汇率折算。利润表中的收入和费用项目，采用交易发生日的即期汇率折算。按照上述折算产生的外币</w:t>
      </w:r>
      <w:r>
        <w:rPr>
          <w:spacing w:val="-65"/>
        </w:rPr>
        <w:t> </w:t>
      </w:r>
      <w:r>
        <w:rPr>
          <w:spacing w:val="-65"/>
        </w:rPr>
      </w:r>
      <w:r>
        <w:rPr/>
        <w:t>财务报表折算差额计入其他综合收益。</w:t>
      </w:r>
    </w:p>
    <w:p>
      <w:pPr>
        <w:pStyle w:val="BodyText"/>
        <w:spacing w:line="316" w:lineRule="auto" w:before="19"/>
        <w:ind w:left="153" w:right="153" w:firstLine="420"/>
        <w:jc w:val="both"/>
      </w:pPr>
      <w:r>
        <w:rPr/>
        <w:t>处置境外经营时，将资产负债表中其他综合收益项目中列示的、与该境外经营相关的外币财务报表折算差额，自其他 </w:t>
      </w:r>
      <w:r>
        <w:rPr>
          <w:spacing w:val="-2"/>
        </w:rPr>
        <w:t>综合收益项目转入处置当期损益；部分处置境外经营的，按处置的比例计算处置部分的外币财务报表折算差额，转入处置当</w:t>
      </w:r>
      <w:r>
        <w:rPr>
          <w:spacing w:val="-66"/>
        </w:rPr>
        <w:t> </w:t>
      </w:r>
      <w:r>
        <w:rPr>
          <w:spacing w:val="-66"/>
        </w:rPr>
      </w:r>
      <w:r>
        <w:rPr/>
        <w:t>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0、金融工具" w:id="133"/>
      <w:bookmarkEnd w:id="13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94" w:right="0"/>
        <w:jc w:val="left"/>
      </w:pPr>
      <w:r>
        <w:rPr/>
        <w:t>金融工具包括金融资产、金融负债和权益工具。</w:t>
      </w:r>
    </w:p>
    <w:p>
      <w:pPr>
        <w:pStyle w:val="BodyText"/>
        <w:spacing w:line="300" w:lineRule="auto" w:before="76"/>
        <w:ind w:left="514" w:right="0" w:firstLine="184"/>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管理层根据所发行金融工具的合同条款及其所反映的经济实质而非仅以法律形式，结合取得持有金融资产和承担金融负</w:t>
      </w:r>
    </w:p>
    <w:p>
      <w:pPr>
        <w:pStyle w:val="BodyText"/>
        <w:spacing w:line="316" w:lineRule="auto" w:before="32"/>
        <w:ind w:right="0"/>
        <w:jc w:val="left"/>
      </w:pPr>
      <w:r>
        <w:rPr>
          <w:spacing w:val="-2"/>
        </w:rPr>
        <w:t>债的目的，将金融资产和金融负债分为不同类别：以公允价值计量且其变动计入当期损益的金融资产（或金融负债）；持有</w:t>
      </w:r>
      <w:r>
        <w:rPr>
          <w:spacing w:val="-67"/>
        </w:rPr>
        <w:t> </w:t>
      </w:r>
      <w:r>
        <w:rPr>
          <w:spacing w:val="-67"/>
        </w:rPr>
      </w:r>
      <w:r>
        <w:rPr/>
        <w:t>至到期投资；应收款项；可供出售金融资产；其他金融负债等。</w:t>
      </w:r>
    </w:p>
    <w:p>
      <w:pPr>
        <w:pStyle w:val="Heading5"/>
        <w:spacing w:line="240" w:lineRule="auto" w:before="19"/>
        <w:ind w:left="698"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00" w:lineRule="auto" w:before="63"/>
        <w:ind w:left="51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before="31"/>
        <w:ind w:left="513" w:right="3473" w:hanging="360"/>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ind w:right="160" w:firstLine="36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0" w:lineRule="auto" w:before="31"/>
        <w:ind w:right="160" w:firstLine="360"/>
        <w:jc w:val="both"/>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31"/>
        <w:ind w:left="153" w:right="151" w:firstLine="360"/>
        <w:jc w:val="both"/>
      </w:pPr>
      <w:r>
        <w:rPr>
          <w:spacing w:val="-2"/>
        </w:rPr>
        <w:t>只有符合以下条件之一，金融资产或金融负债才可在初始计量时指定为以公允价值计量且其变动计入损益的金融资产或</w:t>
      </w:r>
      <w:r>
        <w:rPr/>
        <w:t> 金融负债：</w:t>
      </w:r>
    </w:p>
    <w:p>
      <w:pPr>
        <w:pStyle w:val="BodyText"/>
        <w:spacing w:line="300" w:lineRule="auto" w:before="19"/>
        <w:ind w:right="159" w:firstLine="36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0" w:lineRule="auto" w:before="31"/>
        <w:ind w:right="160" w:firstLine="360"/>
        <w:jc w:val="both"/>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2"/>
        <w:ind w:right="160" w:firstLine="36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00" w:lineRule="auto" w:before="31"/>
        <w:ind w:left="513" w:right="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spacing w:after="0" w:line="300" w:lineRule="auto"/>
        <w:jc w:val="left"/>
        <w:sectPr>
          <w:footerReference w:type="default" r:id="rId60"/>
          <w:pgSz w:w="11910" w:h="16840"/>
          <w:pgMar w:footer="979" w:header="877" w:top="1100" w:bottom="116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193"/>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00" w:lineRule="auto" w:before="19"/>
        <w:ind w:left="513" w:right="93"/>
        <w:jc w:val="left"/>
      </w:pPr>
      <w:r>
        <w:rPr/>
        <w:t>（</w:t>
      </w:r>
      <w:r>
        <w:rPr>
          <w:rFonts w:ascii="Times New Roman" w:hAnsi="Times New Roman" w:cs="Times New Roman" w:eastAsia="Times New Roman" w:hint="default"/>
        </w:rPr>
        <w:t>2</w:t>
      </w:r>
      <w:r>
        <w:rPr/>
        <w:t>）应收款项 </w:t>
      </w:r>
      <w:r>
        <w:rPr>
          <w:spacing w:val="-2"/>
        </w:rPr>
        <w:t>本公司对外销售商品或提供劳务形成的应收债权，以及公司持有的其他企业的不包括在活跃市场上有报价的债务工具的</w:t>
      </w:r>
    </w:p>
    <w:p>
      <w:pPr>
        <w:pStyle w:val="BodyText"/>
        <w:spacing w:line="316" w:lineRule="auto" w:before="31"/>
        <w:ind w:left="153" w:right="193"/>
        <w:jc w:val="both"/>
      </w:pPr>
      <w:r>
        <w:rPr>
          <w:spacing w:val="-2"/>
        </w:rPr>
        <w:t>债权，包括应收账款、其他应收款，应收票据、预付账款、等，以向购货方应收的合同或协议价款作为初始确认金额；具有</w:t>
      </w:r>
      <w:r>
        <w:rPr>
          <w:spacing w:val="-72"/>
        </w:rPr>
        <w:t> </w:t>
      </w:r>
      <w:r>
        <w:rPr>
          <w:spacing w:val="-72"/>
        </w:rPr>
      </w:r>
      <w:r>
        <w:rPr/>
        <w:t>融资性质的，按其现值进行初始确认。</w:t>
      </w:r>
    </w:p>
    <w:p>
      <w:pPr>
        <w:pStyle w:val="BodyText"/>
        <w:spacing w:line="240" w:lineRule="auto" w:before="19"/>
        <w:ind w:left="514" w:right="93"/>
        <w:jc w:val="left"/>
      </w:pPr>
      <w:r>
        <w:rPr/>
        <w:t>收回或处置时，将取得的价款与该应收款项账面价值之间的差额计入当期损益。</w:t>
      </w:r>
    </w:p>
    <w:p>
      <w:pPr>
        <w:pStyle w:val="BodyText"/>
        <w:spacing w:line="309" w:lineRule="auto" w:before="76"/>
        <w:ind w:left="514" w:right="93" w:hanging="90"/>
        <w:jc w:val="left"/>
      </w:pPr>
      <w:r>
        <w:rPr/>
        <w:t>（</w:t>
      </w: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t> </w:t>
      </w:r>
      <w:r>
        <w:rPr>
          <w:spacing w:val="-2"/>
        </w:rPr>
        <w:t>本公司对持有至到期投资，在取得时按公允价值（扣除已到付息期但尚未领取的债券利息）和相关交易费用之和作为初</w:t>
      </w:r>
    </w:p>
    <w:p>
      <w:pPr>
        <w:pStyle w:val="BodyText"/>
        <w:spacing w:line="316" w:lineRule="auto" w:before="24"/>
        <w:ind w:right="191"/>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6" w:lineRule="auto" w:before="19"/>
        <w:ind w:right="19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0" w:lineRule="auto" w:before="19"/>
        <w:ind w:left="153" w:right="243"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513" w:right="93"/>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514" w:right="93"/>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09" w:lineRule="auto" w:before="63"/>
        <w:ind w:left="514" w:right="92" w:hanging="90"/>
        <w:jc w:val="left"/>
      </w:pPr>
      <w:r>
        <w:rPr/>
        <w:t>（</w:t>
      </w: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before="24"/>
        <w:ind w:right="19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93"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00" w:lineRule="auto" w:before="19"/>
        <w:ind w:left="514" w:right="279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300" w:lineRule="auto" w:before="31"/>
        <w:ind w:left="513" w:right="93" w:firstLine="18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公司发生金融资产转移时，如已将金融资产所有权上几乎所有的风险和报酬转移给转入方，则终止确认该金融资产；如</w:t>
      </w:r>
    </w:p>
    <w:p>
      <w:pPr>
        <w:pStyle w:val="BodyText"/>
        <w:spacing w:line="316" w:lineRule="auto" w:before="31"/>
        <w:ind w:left="513" w:right="93"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left="153" w:right="0"/>
        <w:jc w:val="both"/>
      </w:pPr>
      <w:r>
        <w:rPr/>
        <w:t>融资产整体转移和部分转移。金融资产整体转移满足终止确认条件的，将下列两项金额的差额计入当期损益：</w:t>
      </w:r>
    </w:p>
    <w:p>
      <w:pPr>
        <w:pStyle w:val="BodyText"/>
        <w:spacing w:line="240" w:lineRule="auto" w:before="76"/>
        <w:ind w:left="513" w:right="5192"/>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82"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2"/>
        <w:ind w:left="153" w:right="9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5192"/>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63"/>
        <w:ind w:left="513" w:right="9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w:t>
      </w:r>
    </w:p>
    <w:p>
      <w:pPr>
        <w:spacing w:after="0" w:line="240" w:lineRule="auto"/>
        <w:jc w:val="left"/>
        <w:sectPr>
          <w:footerReference w:type="default" r:id="rId61"/>
          <w:pgSz w:w="11910" w:h="16840"/>
          <w:pgMar w:footer="979" w:header="877" w:top="1100" w:bottom="1160" w:left="980" w:right="940"/>
          <w:pgNumType w:start="101"/>
        </w:sectPr>
      </w:pPr>
    </w:p>
    <w:p>
      <w:pPr>
        <w:spacing w:line="240" w:lineRule="auto" w:before="12"/>
        <w:rPr>
          <w:rFonts w:ascii="宋体" w:hAnsi="宋体" w:cs="宋体" w:eastAsia="宋体" w:hint="default"/>
          <w:sz w:val="21"/>
          <w:szCs w:val="21"/>
        </w:rPr>
      </w:pPr>
    </w:p>
    <w:p>
      <w:pPr>
        <w:pStyle w:val="BodyText"/>
        <w:spacing w:line="316" w:lineRule="auto" w:before="44"/>
        <w:ind w:left="513" w:right="1713" w:hanging="360"/>
        <w:jc w:val="left"/>
      </w:pPr>
      <w:r>
        <w:rPr/>
        <w:t>金融资产为可供出售金融资产的情形）之和。 金融资产转移不满足终止确认条件的，继续确认该金融资产，所收到的对价确认为一项金融负债。</w:t>
      </w:r>
    </w:p>
    <w:p>
      <w:pPr>
        <w:pStyle w:val="BodyText"/>
        <w:spacing w:line="300" w:lineRule="auto" w:before="19"/>
        <w:ind w:left="513" w:right="93" w:firstLine="184"/>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金融负债的的现时义务全部或部分已经解除的，则终止确认该金融负债或其一部分；本公司若与债权人签定协议，以承</w:t>
      </w:r>
    </w:p>
    <w:p>
      <w:pPr>
        <w:pStyle w:val="BodyText"/>
        <w:spacing w:line="316" w:lineRule="auto" w:before="32"/>
        <w:ind w:left="153" w:right="110"/>
        <w:jc w:val="both"/>
      </w:pPr>
      <w:r>
        <w:rPr/>
        <w:t>担新金融负债方式替换现存金融负债，且新金融负债与现存金融负债的合同条款实质上不同的，则终止确认现存金融负债， 并同时确认新金融负债。</w:t>
      </w:r>
    </w:p>
    <w:p>
      <w:pPr>
        <w:pStyle w:val="BodyText"/>
        <w:spacing w:line="316" w:lineRule="auto" w:before="19"/>
        <w:ind w:left="153" w:right="93"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left="153" w:right="93"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53" w:right="9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513" w:right="93" w:firstLine="18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本公司采用公允价值计量的金融资产和金融负债存在活跃市场的金融资产或金融负债，以活跃市场的报价确定其公允价</w:t>
      </w:r>
    </w:p>
    <w:p>
      <w:pPr>
        <w:pStyle w:val="BodyText"/>
        <w:spacing w:line="316" w:lineRule="auto" w:before="31"/>
        <w:ind w:left="153" w:right="191"/>
        <w:jc w:val="both"/>
      </w:pPr>
      <w:r>
        <w:rPr>
          <w:spacing w:val="-2"/>
        </w:rPr>
        <w:t>值；不存在活跃市场的金融资产或金融负债，采用估值技术（包括参考熟悉情况并自愿交易的各方最近进行的市场交易中使</w:t>
      </w:r>
      <w:r>
        <w:rPr>
          <w:spacing w:val="-66"/>
        </w:rPr>
        <w:t> </w:t>
      </w:r>
      <w:r>
        <w:rPr>
          <w:spacing w:val="-66"/>
        </w:rPr>
      </w:r>
      <w:r>
        <w:rPr>
          <w:spacing w:val="-2"/>
        </w:rPr>
        <w:t>用的价格、参照实质上相同的其他金融工具的当前公允价值、现金流量折现法和期权定价模型等）确定其公允价值；初始取</w:t>
      </w:r>
      <w:r>
        <w:rPr>
          <w:spacing w:val="-65"/>
        </w:rPr>
        <w:t> </w:t>
      </w:r>
      <w:r>
        <w:rPr>
          <w:spacing w:val="-65"/>
        </w:rPr>
      </w:r>
      <w:r>
        <w:rPr/>
        <w:t>得或衍生的金融资产或承担的金融负债，以市场交易价格作为确定其公允价值的基础。</w:t>
      </w:r>
    </w:p>
    <w:p>
      <w:pPr>
        <w:spacing w:line="300" w:lineRule="auto" w:before="19"/>
        <w:ind w:left="513" w:right="93" w:firstLine="18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资产负债表日对以公允价值计量且其变动计入当期损益的金融资产以外的金融资产的账面价值进行检查，如有客观证据</w:t>
      </w:r>
    </w:p>
    <w:p>
      <w:pPr>
        <w:pStyle w:val="BodyText"/>
        <w:spacing w:line="319" w:lineRule="auto" w:before="31"/>
        <w:ind w:left="513" w:right="5673" w:hanging="360"/>
        <w:jc w:val="left"/>
      </w:pPr>
      <w:r>
        <w:rPr/>
        <w:t>表明该金融资产发生减值的，计提减值准备。 金融资产发生减值的客观证据，包括但不限于： </w:t>
      </w:r>
      <w:r>
        <w:rPr>
          <w:rFonts w:ascii="Times New Roman" w:hAnsi="Times New Roman" w:cs="Times New Roman" w:eastAsia="Times New Roman" w:hint="default"/>
        </w:rPr>
        <w:t>1.</w:t>
      </w:r>
      <w:r>
        <w:rPr/>
        <w:t>发行方或债务人发生严重财务困难；</w:t>
      </w:r>
    </w:p>
    <w:p>
      <w:pPr>
        <w:pStyle w:val="BodyText"/>
        <w:spacing w:line="246" w:lineRule="exact"/>
        <w:ind w:left="513" w:right="93"/>
        <w:jc w:val="left"/>
      </w:pP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513" w:right="93"/>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513" w:right="5192"/>
        <w:jc w:val="left"/>
      </w:pP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513" w:right="93"/>
        <w:jc w:val="left"/>
      </w:pP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left="153" w:right="191" w:firstLine="360"/>
        <w:jc w:val="both"/>
      </w:pPr>
      <w:r>
        <w:rPr>
          <w:rFonts w:ascii="Times New Roman" w:hAnsi="Times New Roman" w:cs="Times New Roman" w:eastAsia="Times New Roman" w:hint="default"/>
          <w:spacing w:val="-1"/>
        </w:rPr>
        <w:t>6.</w:t>
      </w:r>
      <w:r>
        <w:rPr>
          <w:spacing w:val="-1"/>
        </w:rPr>
        <w:t>无法辨认一组金融资产中的某项资产的现金流量是否已经减少，但根据公开的数据对其进行总体评价后发现，该组金</w:t>
      </w:r>
      <w:r>
        <w:rPr/>
        <w:t> </w:t>
      </w:r>
      <w:r>
        <w:rPr>
          <w:spacing w:val="-2"/>
        </w:rPr>
        <w:t>融资产自初始确认以来的预计未来现金流量确已减少且可计量，如该组金融资产的债务人支付能力逐步恶化，或债务人所在</w:t>
      </w:r>
      <w:r>
        <w:rPr>
          <w:spacing w:val="-64"/>
        </w:rPr>
        <w:t> </w:t>
      </w:r>
      <w:r>
        <w:rPr>
          <w:spacing w:val="-64"/>
        </w:rPr>
      </w:r>
      <w:r>
        <w:rPr/>
        <w:t>国家或地区失业率提高、担保物在其所在地区的价格明显下降、所处行业不景气等；</w:t>
      </w:r>
    </w:p>
    <w:p>
      <w:pPr>
        <w:pStyle w:val="BodyText"/>
        <w:spacing w:line="300" w:lineRule="auto" w:before="24"/>
        <w:ind w:left="153" w:right="191" w:firstLine="360"/>
        <w:jc w:val="left"/>
      </w:pPr>
      <w:r>
        <w:rPr>
          <w:rFonts w:ascii="Times New Roman" w:hAnsi="Times New Roman" w:cs="Times New Roman" w:eastAsia="Times New Roman" w:hint="default"/>
          <w:spacing w:val="-1"/>
        </w:rPr>
        <w:t>7.</w:t>
      </w:r>
      <w:r>
        <w:rPr>
          <w:spacing w:val="-1"/>
        </w:rPr>
        <w:t>权益工具发行方经营所处的技术、市场、经济或法律环境等发生重大不利变化，使权益工具投资人可能无法收回投资</w:t>
      </w:r>
      <w:r>
        <w:rPr/>
        <w:t> 成本；</w:t>
      </w:r>
    </w:p>
    <w:p>
      <w:pPr>
        <w:pStyle w:val="BodyText"/>
        <w:spacing w:line="300" w:lineRule="auto" w:before="31"/>
        <w:ind w:left="513" w:right="5178"/>
        <w:jc w:val="left"/>
      </w:pP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00" w:lineRule="auto" w:before="31"/>
        <w:ind w:left="513" w:right="93"/>
        <w:jc w:val="left"/>
      </w:pPr>
      <w:r>
        <w:rPr/>
        <w:t>（</w:t>
      </w:r>
      <w:r>
        <w:rPr>
          <w:rFonts w:ascii="Times New Roman" w:hAnsi="Times New Roman" w:cs="Times New Roman" w:eastAsia="Times New Roman" w:hint="default"/>
        </w:rPr>
        <w:t>1</w:t>
      </w:r>
      <w:r>
        <w:rPr/>
        <w:t>）可供出售金融资产的减值准备 </w:t>
      </w:r>
      <w:r>
        <w:rPr>
          <w:spacing w:val="-2"/>
        </w:rPr>
        <w:t>本公司于资产负债表日对各项可供出售金融资产采用个别认定的方式评估减值损失，其中：表明可供出售权益工具投资</w:t>
      </w:r>
    </w:p>
    <w:p>
      <w:pPr>
        <w:pStyle w:val="BodyText"/>
        <w:spacing w:line="309" w:lineRule="auto" w:before="31"/>
        <w:ind w:left="0" w:right="169"/>
        <w:jc w:val="right"/>
      </w:pPr>
      <w:r>
        <w:rPr>
          <w:spacing w:val="-2"/>
        </w:rPr>
        <w:t>发生减值的客观证据包括权益工具投资的公允价值发生严重或非暂时性下跌，具体量化标准为：若该权益工具投资于资产负</w:t>
      </w:r>
      <w:r>
        <w:rPr/>
        <w:t> 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 </w:t>
      </w:r>
      <w:r>
        <w:rPr>
          <w:spacing w:val="-2"/>
        </w:rPr>
        <w:t>本公司于资产负债表日对各项可供出售权益工具投资单独进行检查，若该权益工具投资于资产负债表日的公允价值低于</w:t>
      </w:r>
      <w:r>
        <w:rPr/>
        <w:t> </w:t>
      </w: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t> 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w:t>
      </w:r>
    </w:p>
    <w:p>
      <w:pPr>
        <w:pStyle w:val="BodyText"/>
        <w:spacing w:line="316" w:lineRule="auto" w:before="5"/>
        <w:ind w:left="514" w:right="93" w:hanging="360"/>
        <w:jc w:val="left"/>
      </w:pPr>
      <w:r>
        <w:rPr/>
        <w:t>判断该权益工具投资是否发生减值。 </w:t>
      </w:r>
      <w:r>
        <w:rPr>
          <w:spacing w:val="-2"/>
        </w:rPr>
        <w:t>上段所述</w:t>
      </w:r>
      <w:r>
        <w:rPr>
          <w:rFonts w:ascii="Times New Roman" w:hAnsi="Times New Roman" w:cs="Times New Roman" w:eastAsia="Times New Roman" w:hint="default"/>
          <w:spacing w:val="-2"/>
        </w:rPr>
        <w:t>“</w:t>
      </w:r>
      <w:r>
        <w:rPr>
          <w:spacing w:val="-2"/>
        </w:rPr>
        <w:t>成本</w:t>
      </w:r>
      <w:r>
        <w:rPr>
          <w:rFonts w:ascii="Times New Roman" w:hAnsi="Times New Roman" w:cs="Times New Roman" w:eastAsia="Times New Roman" w:hint="default"/>
          <w:spacing w:val="-2"/>
        </w:rPr>
        <w:t>”</w:t>
      </w:r>
      <w:r>
        <w:rPr>
          <w:spacing w:val="-2"/>
        </w:rPr>
        <w:t>按照可供出售权益工具投资的初始取得成本扣除已收回本金和已摊销金额、原已计入损益的减值损失确</w:t>
      </w:r>
    </w:p>
    <w:p>
      <w:pPr>
        <w:pStyle w:val="BodyText"/>
        <w:spacing w:line="248" w:lineRule="exact"/>
        <w:ind w:right="92"/>
        <w:jc w:val="left"/>
      </w:pPr>
      <w:r>
        <w:rPr/>
        <w:t>定；</w:t>
      </w:r>
      <w:r>
        <w:rPr>
          <w:rFonts w:ascii="Times New Roman" w:hAnsi="Times New Roman" w:cs="Times New Roman" w:eastAsia="Times New Roman" w:hint="default"/>
        </w:rPr>
        <w:t>“</w:t>
      </w:r>
      <w:r>
        <w:rPr/>
        <w:t>公允价值</w:t>
      </w:r>
      <w:r>
        <w:rPr>
          <w:rFonts w:ascii="Times New Roman" w:hAnsi="Times New Roman" w:cs="Times New Roman" w:eastAsia="Times New Roman" w:hint="default"/>
        </w:rPr>
        <w:t>”</w:t>
      </w:r>
      <w:r>
        <w:rPr/>
        <w:t>根据证券交易所期末收盘价确定，除非该项可供出售权益工具投资存在限售期。对于存在限售期的可供出售</w:t>
      </w:r>
    </w:p>
    <w:p>
      <w:pPr>
        <w:spacing w:after="0" w:line="248" w:lineRule="exact"/>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权益工具投资，按照证券交易所期末收盘价扣除市场参与者因承担指定期间内无法在公开市场上出售该权益工具的风险而要</w:t>
      </w:r>
      <w:r>
        <w:rPr>
          <w:spacing w:val="-64"/>
        </w:rPr>
        <w:t> </w:t>
      </w:r>
      <w:r>
        <w:rPr>
          <w:spacing w:val="-64"/>
        </w:rPr>
      </w:r>
      <w:r>
        <w:rPr/>
        <w:t>求获得的补偿金额后确定。</w:t>
      </w:r>
    </w:p>
    <w:p>
      <w:pPr>
        <w:pStyle w:val="BodyText"/>
        <w:spacing w:line="319" w:lineRule="auto" w:before="19"/>
        <w:ind w:left="153" w:right="15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7"/>
        <w:ind w:left="153" w:right="151"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00" w:lineRule="auto" w:before="19"/>
        <w:ind w:left="513" w:right="0"/>
        <w:jc w:val="left"/>
      </w:pPr>
      <w:r>
        <w:rPr/>
        <w:t>（</w:t>
      </w:r>
      <w:r>
        <w:rPr>
          <w:rFonts w:ascii="Times New Roman" w:hAnsi="Times New Roman" w:cs="Times New Roman" w:eastAsia="Times New Roman"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316" w:lineRule="auto" w:before="31"/>
        <w:ind w:left="153" w:right="0"/>
        <w:jc w:val="left"/>
      </w:pPr>
      <w:r>
        <w:rPr>
          <w:spacing w:val="-2"/>
        </w:rPr>
        <w:t>值损失；计提后如有证据表明其价值已恢复，原确认的减值损失可予以转回，记入当期损益，但该转回的账面价值不超过假</w:t>
      </w:r>
      <w:r>
        <w:rPr>
          <w:spacing w:val="-65"/>
        </w:rPr>
        <w:t> </w:t>
      </w:r>
      <w:r>
        <w:rPr>
          <w:spacing w:val="-65"/>
        </w:rPr>
      </w:r>
      <w:r>
        <w:rPr/>
        <w:t>定不计提减值准备情况下该金融资产在转回日的摊余成本。</w:t>
      </w:r>
    </w:p>
    <w:p>
      <w:pPr>
        <w:spacing w:line="300" w:lineRule="auto" w:before="19"/>
        <w:ind w:left="514" w:right="0" w:firstLine="18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31"/>
        <w:ind w:right="0"/>
        <w:jc w:val="left"/>
      </w:pPr>
      <w:r>
        <w:rPr/>
        <w:t>产负债表内列示：</w:t>
      </w:r>
    </w:p>
    <w:p>
      <w:pPr>
        <w:pStyle w:val="BodyText"/>
        <w:spacing w:line="240" w:lineRule="auto" w:before="76"/>
        <w:ind w:left="514"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513"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1、应收款项" w:id="134"/>
      <w:bookmarkEnd w:id="13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5"/>
      <w:bookmarkEnd w:id="13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，其他应收款期末余额</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万的款项。</w:t>
            </w:r>
          </w:p>
        </w:tc>
      </w:tr>
      <w:tr>
        <w:trPr>
          <w:trHeight w:val="1026"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36"/>
      <w:bookmarkEnd w:id="13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26"/>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96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）信用风险特征组合的确定依据</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5192"/>
        <w:jc w:val="left"/>
      </w:pPr>
      <w:r>
        <w:rPr/>
        <w:t>组合中，采用余额百分比法计提坏账准备的：</w:t>
      </w:r>
    </w:p>
    <w:p>
      <w:pPr>
        <w:pStyle w:val="BodyText"/>
        <w:spacing w:line="338" w:lineRule="auto" w:before="117"/>
        <w:ind w:left="153"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53" w:right="5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3"/>
        <w:jc w:val="left"/>
        <w:rPr>
          <w:b w:val="0"/>
          <w:bCs w:val="0"/>
        </w:rPr>
      </w:pPr>
      <w:bookmarkStart w:name="（3）单项金额上重大但单独计提坏账准备的应收款项" w:id="137"/>
      <w:bookmarkEnd w:id="13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5192"/>
        <w:jc w:val="left"/>
        <w:rPr>
          <w:b w:val="0"/>
          <w:bCs w:val="0"/>
        </w:rPr>
      </w:pPr>
      <w:bookmarkStart w:name="12、存货" w:id="138"/>
      <w:bookmarkEnd w:id="13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5192"/>
        <w:jc w:val="left"/>
        <w:rPr>
          <w:b w:val="0"/>
          <w:bCs w:val="0"/>
        </w:rPr>
      </w:pPr>
      <w:r>
        <w:rPr>
          <w:rFonts w:ascii="宋体" w:hAnsi="宋体" w:cs="宋体" w:eastAsia="宋体" w:hint="default"/>
        </w:rPr>
        <w:t>1.</w:t>
      </w:r>
      <w:r>
        <w:rPr>
          <w:rFonts w:ascii="宋体" w:hAnsi="宋体" w:cs="宋体" w:eastAsia="宋体" w:hint="default"/>
          <w:spacing w:val="40"/>
        </w:rPr>
        <w:t> </w:t>
      </w:r>
      <w:r>
        <w:rPr/>
        <w:t>存货的分类</w:t>
      </w:r>
      <w:r>
        <w:rPr>
          <w:b w:val="0"/>
          <w:bCs w:val="0"/>
        </w:rPr>
      </w:r>
    </w:p>
    <w:p>
      <w:pPr>
        <w:pStyle w:val="BodyText"/>
        <w:spacing w:line="316" w:lineRule="auto" w:before="62"/>
        <w:ind w:right="93" w:firstLine="360"/>
        <w:jc w:val="left"/>
      </w:pPr>
      <w:r>
        <w:rPr>
          <w:spacing w:val="-2"/>
        </w:rPr>
        <w:t>存货是指本公司在日常活动中持有以备出售的产成品或商品、处在生产过程中的在产品、在生产过程或提供劳务过程中</w:t>
      </w:r>
      <w:r>
        <w:rPr/>
        <w:t> 耗用的材料和物料等。主要包括原材料、半成品、在产品、产成品、发出商品、低值易耗品等。</w:t>
      </w:r>
    </w:p>
    <w:p>
      <w:pPr>
        <w:pStyle w:val="Heading3"/>
        <w:spacing w:line="268" w:lineRule="exact"/>
        <w:ind w:left="153" w:right="5192"/>
        <w:jc w:val="left"/>
        <w:rPr>
          <w:b w:val="0"/>
          <w:bCs w:val="0"/>
        </w:rPr>
      </w:pPr>
      <w:r>
        <w:rPr>
          <w:rFonts w:ascii="宋体" w:hAnsi="宋体" w:cs="宋体" w:eastAsia="宋体" w:hint="default"/>
        </w:rPr>
        <w:t>1.</w:t>
      </w:r>
      <w:r>
        <w:rPr>
          <w:rFonts w:ascii="宋体" w:hAnsi="宋体" w:cs="宋体" w:eastAsia="宋体" w:hint="default"/>
          <w:spacing w:val="39"/>
        </w:rPr>
        <w:t> </w:t>
      </w:r>
      <w:r>
        <w:rPr/>
        <w:t>存货的计价方法</w:t>
      </w:r>
      <w:r>
        <w:rPr>
          <w:b w:val="0"/>
          <w:bCs w:val="0"/>
        </w:rPr>
      </w:r>
    </w:p>
    <w:p>
      <w:pPr>
        <w:pStyle w:val="BodyText"/>
        <w:spacing w:line="240" w:lineRule="auto" w:before="62"/>
        <w:ind w:left="514" w:right="0"/>
        <w:jc w:val="left"/>
      </w:pPr>
      <w:r>
        <w:rPr/>
        <w:t>存货在取得时，按成本进行初始计量，包括采购成本、加工成本和其他成本。存货发出时按月末一次加权平均法计价。</w:t>
      </w:r>
    </w:p>
    <w:p>
      <w:pPr>
        <w:pStyle w:val="Heading3"/>
        <w:spacing w:line="240" w:lineRule="auto" w:before="51"/>
        <w:ind w:right="93"/>
        <w:jc w:val="left"/>
        <w:rPr>
          <w:b w:val="0"/>
          <w:bCs w:val="0"/>
        </w:rPr>
      </w:pPr>
      <w:r>
        <w:rPr>
          <w:rFonts w:ascii="宋体" w:hAnsi="宋体" w:cs="宋体" w:eastAsia="宋体" w:hint="default"/>
        </w:rPr>
        <w:t>1.</w:t>
      </w:r>
      <w:r>
        <w:rPr>
          <w:rFonts w:ascii="宋体" w:hAnsi="宋体" w:cs="宋体" w:eastAsia="宋体" w:hint="default"/>
          <w:spacing w:val="39"/>
        </w:rPr>
        <w:t> </w:t>
      </w:r>
      <w:r>
        <w:rPr/>
        <w:t>存货可变现净值的确定依据及存货跌价准备的计提方法</w:t>
      </w:r>
      <w:r>
        <w:rPr>
          <w:b w:val="0"/>
          <w:bCs w:val="0"/>
        </w:rPr>
      </w:r>
    </w:p>
    <w:p>
      <w:pPr>
        <w:pStyle w:val="BodyText"/>
        <w:spacing w:line="316" w:lineRule="auto" w:before="63"/>
        <w:ind w:left="153" w:right="93" w:firstLine="360"/>
        <w:jc w:val="left"/>
      </w:pPr>
      <w:r>
        <w:rPr>
          <w:spacing w:val="-2"/>
        </w:rPr>
        <w:t>期末对存货进行全面清查后，按存货的成本与可变现净值孰低提取或调整存货跌价准备。产成品、库存商品和用于出售</w:t>
      </w:r>
      <w:r>
        <w:rPr/>
        <w:t> </w:t>
      </w: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6"/>
        </w:rPr>
        <w:t> </w:t>
      </w:r>
      <w:r>
        <w:rPr>
          <w:spacing w:val="-66"/>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left="153" w:right="19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153" w:right="93" w:firstLine="360"/>
        <w:jc w:val="left"/>
      </w:pPr>
      <w:r>
        <w:rPr>
          <w:spacing w:val="-2"/>
        </w:rPr>
        <w:t>以前减记存货价值的影响因素已经消失的，减记的金额予以恢复，并在原已计提的存货跌价准备金额内转回，转回的金</w:t>
      </w:r>
      <w:r>
        <w:rPr/>
        <w:t> 额计入当期损益。</w:t>
      </w:r>
    </w:p>
    <w:p>
      <w:pPr>
        <w:spacing w:line="316" w:lineRule="auto" w:before="19"/>
        <w:ind w:left="513" w:right="8013" w:hanging="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5"/>
        <w:spacing w:line="240" w:lineRule="auto" w:before="19"/>
        <w:ind w:right="5192"/>
        <w:jc w:val="left"/>
        <w:rPr>
          <w:b w:val="0"/>
          <w:bCs w:val="0"/>
        </w:rPr>
      </w:pPr>
      <w:r>
        <w:rPr>
          <w:rFonts w:ascii="宋体" w:hAnsi="宋体" w:cs="宋体" w:eastAsia="宋体" w:hint="default"/>
        </w:rPr>
        <w:t>1.</w:t>
      </w:r>
      <w:r>
        <w:rPr>
          <w:rFonts w:ascii="宋体" w:hAnsi="宋体" w:cs="宋体" w:eastAsia="宋体" w:hint="default"/>
          <w:spacing w:val="84"/>
        </w:rPr>
        <w:t> </w:t>
      </w:r>
      <w:r>
        <w:rPr/>
        <w:t>低值易耗品和包装物的摊销方法</w:t>
      </w:r>
      <w:r>
        <w:rPr>
          <w:b w:val="0"/>
          <w:bCs w:val="0"/>
        </w:rPr>
      </w:r>
    </w:p>
    <w:p>
      <w:pPr>
        <w:pStyle w:val="BodyText"/>
        <w:spacing w:line="240" w:lineRule="auto" w:before="76"/>
        <w:ind w:left="153" w:right="5192"/>
        <w:jc w:val="left"/>
      </w:pPr>
      <w:r>
        <w:rPr>
          <w:rFonts w:ascii="宋体" w:hAnsi="宋体" w:cs="宋体" w:eastAsia="宋体" w:hint="default"/>
        </w:rPr>
        <w:t>2.  </w:t>
      </w:r>
      <w:r>
        <w:rPr/>
        <w:t>低值易耗品采用一次转销法；</w:t>
      </w:r>
    </w:p>
    <w:p>
      <w:pPr>
        <w:pStyle w:val="BodyText"/>
        <w:spacing w:line="240" w:lineRule="auto" w:before="76"/>
        <w:ind w:left="153" w:right="5192"/>
        <w:jc w:val="left"/>
      </w:pPr>
      <w:r>
        <w:rPr>
          <w:rFonts w:ascii="宋体" w:hAnsi="宋体" w:cs="宋体" w:eastAsia="宋体" w:hint="default"/>
        </w:rPr>
        <w:t>3.  </w:t>
      </w:r>
      <w:r>
        <w:rPr/>
        <w:t>包装物采用一次转销法。</w:t>
      </w:r>
    </w:p>
    <w:p>
      <w:pPr>
        <w:pStyle w:val="BodyText"/>
        <w:spacing w:line="240" w:lineRule="auto" w:before="76"/>
        <w:ind w:right="5192"/>
        <w:jc w:val="left"/>
      </w:pPr>
      <w:r>
        <w:rPr>
          <w:rFonts w:ascii="宋体" w:hAnsi="宋体" w:cs="宋体" w:eastAsia="宋体" w:hint="default"/>
        </w:rPr>
        <w:t>4.  </w:t>
      </w:r>
      <w:r>
        <w:rPr/>
        <w:t>其他周转材料采用一次转销法摊销。</w:t>
      </w:r>
    </w:p>
    <w:p>
      <w:pPr>
        <w:spacing w:line="240" w:lineRule="auto" w:before="12"/>
        <w:rPr>
          <w:rFonts w:ascii="宋体" w:hAnsi="宋体" w:cs="宋体" w:eastAsia="宋体" w:hint="default"/>
          <w:sz w:val="26"/>
          <w:szCs w:val="26"/>
        </w:rPr>
      </w:pPr>
    </w:p>
    <w:p>
      <w:pPr>
        <w:pStyle w:val="Heading3"/>
        <w:spacing w:line="240" w:lineRule="auto"/>
        <w:ind w:right="5192"/>
        <w:jc w:val="left"/>
        <w:rPr>
          <w:b w:val="0"/>
          <w:bCs w:val="0"/>
        </w:rPr>
      </w:pPr>
      <w:bookmarkStart w:name="13、划分为持有待售资产" w:id="139"/>
      <w:bookmarkEnd w:id="13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spacing w:line="300" w:lineRule="auto" w:before="0"/>
        <w:ind w:left="424" w:right="2522" w:hanging="27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本公司将同时满足下列条件的企业组成部分（或非流动资产）确认为持有待售组成部分：</w:t>
      </w:r>
    </w:p>
    <w:p>
      <w:pPr>
        <w:spacing w:after="0" w:line="30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93"/>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40" w:lineRule="auto" w:before="63"/>
        <w:ind w:left="153" w:right="93"/>
        <w:jc w:val="left"/>
      </w:pPr>
      <w:r>
        <w:rPr/>
        <w:t>（</w:t>
      </w:r>
      <w:r>
        <w:rPr>
          <w:rFonts w:ascii="Times New Roman" w:hAnsi="Times New Roman" w:cs="Times New Roman" w:eastAsia="Times New Roman" w:hint="default"/>
        </w:rPr>
        <w:t>2</w:t>
      </w:r>
      <w:r>
        <w:rPr/>
        <w:t>）企业已经就处置该组成部分作出决议，如按规定需得到股东批准的，已经取得股东大会或相应权力机构的批准；</w:t>
      </w:r>
    </w:p>
    <w:p>
      <w:pPr>
        <w:pStyle w:val="BodyText"/>
        <w:spacing w:line="240" w:lineRule="auto" w:before="63"/>
        <w:ind w:left="153" w:right="5192"/>
        <w:jc w:val="left"/>
      </w:pPr>
      <w:r>
        <w:rPr/>
        <w:t>（</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63"/>
        <w:ind w:right="5192"/>
        <w:jc w:val="left"/>
      </w:pPr>
      <w:r>
        <w:rPr/>
        <w:t>（</w:t>
      </w:r>
      <w:r>
        <w:rPr>
          <w:rFonts w:ascii="Times New Roman" w:hAnsi="Times New Roman" w:cs="Times New Roman" w:eastAsia="Times New Roman" w:hint="default"/>
        </w:rPr>
        <w:t>4</w:t>
      </w:r>
      <w:r>
        <w:rPr/>
        <w:t>）该项转让将在一年内完成。</w:t>
      </w:r>
    </w:p>
    <w:p>
      <w:pPr>
        <w:spacing w:line="300" w:lineRule="auto" w:before="63"/>
        <w:ind w:left="513" w:right="9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划分为持有待售核算方法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本公司对于持有待售的固定资产，调整该项固定资产的预计净残值，使该固定资产的预计净残值反映其公允价值减去处</w:t>
      </w:r>
    </w:p>
    <w:p>
      <w:pPr>
        <w:pStyle w:val="BodyText"/>
        <w:spacing w:line="316" w:lineRule="auto" w:before="31"/>
        <w:ind w:left="153" w:right="192"/>
        <w:jc w:val="both"/>
      </w:pPr>
      <w:r>
        <w:rPr>
          <w:spacing w:val="-2"/>
        </w:rPr>
        <w:t>置费用后的金额，但不超过符合持有待售条件时该项固定资产的原账面价值，原账面价值高于调整后预计净残值的差额，应</w:t>
      </w:r>
      <w:r>
        <w:rPr>
          <w:spacing w:val="-66"/>
        </w:rPr>
        <w:t> </w:t>
      </w:r>
      <w:r>
        <w:rPr>
          <w:spacing w:val="-66"/>
        </w:rPr>
      </w:r>
      <w:r>
        <w:rPr>
          <w:spacing w:val="-2"/>
        </w:rPr>
        <w:t>作为资产减值损失计入当期损益。持有待售的固定资产不计提折旧或摊销，按照账面价值与公允价值减去处置费用后的净额</w:t>
      </w:r>
      <w:r>
        <w:rPr>
          <w:spacing w:val="-64"/>
        </w:rPr>
        <w:t> </w:t>
      </w:r>
      <w:r>
        <w:rPr>
          <w:spacing w:val="-64"/>
        </w:rPr>
      </w:r>
      <w:r>
        <w:rPr/>
        <w:t>孰低进行计量。</w:t>
      </w:r>
    </w:p>
    <w:p>
      <w:pPr>
        <w:pStyle w:val="BodyText"/>
        <w:spacing w:line="309" w:lineRule="auto" w:before="19"/>
        <w:ind w:left="153" w:right="192" w:firstLine="360"/>
        <w:jc w:val="both"/>
      </w:pPr>
      <w:r>
        <w:rPr>
          <w:spacing w:val="-2"/>
        </w:rPr>
        <w:t>符合持有待售条件的权益性投资、无形资产等其他非流动资产，比照上述原则处理，但不包括递延所得税资产、《企业</w:t>
      </w:r>
      <w:r>
        <w:rPr/>
        <w:t> </w:t>
      </w:r>
      <w:r>
        <w:rPr>
          <w:spacing w:val="-2"/>
        </w:rPr>
        <w:t>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金融工具确认和计量》规范的金融资产、以公允价值计量的投资性房地产和生物资产、保险合同中产生</w:t>
      </w:r>
      <w:r>
        <w:rPr>
          <w:spacing w:val="-64"/>
        </w:rPr>
        <w:t> </w:t>
      </w:r>
      <w:r>
        <w:rPr>
          <w:spacing w:val="-64"/>
        </w:rPr>
      </w:r>
      <w:r>
        <w:rPr/>
        <w:t>的合同权利。</w:t>
      </w:r>
    </w:p>
    <w:p>
      <w:pPr>
        <w:spacing w:line="240" w:lineRule="auto" w:before="12"/>
        <w:rPr>
          <w:rFonts w:ascii="宋体" w:hAnsi="宋体" w:cs="宋体" w:eastAsia="宋体" w:hint="default"/>
          <w:sz w:val="22"/>
          <w:szCs w:val="22"/>
        </w:rPr>
      </w:pPr>
    </w:p>
    <w:p>
      <w:pPr>
        <w:pStyle w:val="Heading3"/>
        <w:spacing w:line="240" w:lineRule="auto"/>
        <w:ind w:left="153" w:right="5192"/>
        <w:jc w:val="left"/>
        <w:rPr>
          <w:b w:val="0"/>
          <w:bCs w:val="0"/>
        </w:rPr>
      </w:pPr>
      <w:bookmarkStart w:name="14、长期股权投资" w:id="140"/>
      <w:bookmarkEnd w:id="14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5192"/>
        <w:jc w:val="left"/>
        <w:rPr>
          <w:b w:val="0"/>
          <w:bCs w:val="0"/>
        </w:rPr>
      </w:pPr>
      <w:r>
        <w:rPr>
          <w:rFonts w:ascii="Times New Roman" w:hAnsi="Times New Roman" w:cs="Times New Roman" w:eastAsia="Times New Roman" w:hint="default"/>
        </w:rPr>
        <w:t>1.</w:t>
      </w:r>
      <w:r>
        <w:rPr/>
        <w:t>投资成本的确定</w:t>
      </w:r>
      <w:r>
        <w:rPr>
          <w:b w:val="0"/>
          <w:bCs w:val="0"/>
        </w:rPr>
      </w:r>
    </w:p>
    <w:p>
      <w:pPr>
        <w:pStyle w:val="BodyText"/>
        <w:spacing w:line="300" w:lineRule="auto" w:before="103"/>
        <w:ind w:right="191" w:firstLine="360"/>
        <w:jc w:val="both"/>
      </w:pPr>
      <w:r>
        <w:rPr/>
        <w:t>（</w:t>
      </w:r>
      <w:r>
        <w:rPr>
          <w:rFonts w:ascii="Times New Roman" w:hAnsi="Times New Roman" w:cs="Times New Roman" w:eastAsia="Times New Roman" w:hint="default"/>
        </w:rPr>
        <w:t>1</w:t>
      </w:r>
      <w:r>
        <w:rPr/>
        <w:t>）企业合并形成的长期股权投资，具体会计政策详见本附注四／（五）同一控制下和非同一控制下企业合并的会计 处理方法</w:t>
      </w:r>
    </w:p>
    <w:p>
      <w:pPr>
        <w:pStyle w:val="BodyText"/>
        <w:spacing w:line="338" w:lineRule="auto" w:before="72"/>
        <w:ind w:left="513" w:right="93"/>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57" w:lineRule="auto" w:before="4"/>
        <w:ind w:left="513" w:right="93"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57" w:lineRule="auto"/>
        <w:ind w:left="514" w:right="93"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224" w:lineRule="exact"/>
        <w:ind w:right="0"/>
        <w:jc w:val="left"/>
      </w:pPr>
      <w:r>
        <w:rPr/>
        <w:t>长期股权投资以换出资产的公允价值为基础确定其初始投资成本，除非有确凿证据表明换入资产的公允价值更加可靠；不满</w:t>
      </w:r>
    </w:p>
    <w:p>
      <w:pPr>
        <w:pStyle w:val="BodyText"/>
        <w:spacing w:line="357" w:lineRule="auto" w:before="77"/>
        <w:ind w:left="513" w:right="453" w:hanging="360"/>
        <w:jc w:val="left"/>
      </w:pPr>
      <w:r>
        <w:rPr/>
        <w:t>足上述前提的非货币性资产交换，以换出资产的账面价值和应支付的相关税费作为换入长期股权投资的初始投资成本。 通过债务重组取得的长期股权投资，其初始投资成本按照公允价值为基础确定。</w:t>
      </w:r>
    </w:p>
    <w:p>
      <w:pPr>
        <w:pStyle w:val="Heading5"/>
        <w:spacing w:line="240" w:lineRule="auto" w:before="26"/>
        <w:ind w:right="5192"/>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38" w:lineRule="auto" w:before="103"/>
        <w:ind w:left="513" w:right="93"/>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57" w:lineRule="auto" w:before="4"/>
        <w:ind w:left="513" w:right="93"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25" w:lineRule="exact"/>
        <w:ind w:left="153" w:right="5192"/>
        <w:jc w:val="left"/>
      </w:pPr>
      <w:r>
        <w:rPr/>
        <w:t>分派的现金股利或利润确认为当期投资收益。</w:t>
      </w:r>
    </w:p>
    <w:p>
      <w:pPr>
        <w:pStyle w:val="BodyText"/>
        <w:spacing w:line="338" w:lineRule="auto" w:before="117"/>
        <w:ind w:left="513" w:right="93"/>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57" w:lineRule="auto" w:before="4"/>
        <w:ind w:left="513" w:right="93"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57" w:lineRule="auto"/>
        <w:ind w:left="513" w:right="93"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224" w:lineRule="exact"/>
        <w:ind w:left="153" w:right="0"/>
        <w:jc w:val="left"/>
      </w:pPr>
      <w:r>
        <w:rPr/>
        <w:t>益和其他综合收益，同时调整长期股权投资的账面价值；并按照被投资单位宣告分派的利润或现金股利计算应享有的部分，</w:t>
      </w:r>
    </w:p>
    <w:p>
      <w:pPr>
        <w:pStyle w:val="BodyText"/>
        <w:spacing w:line="319" w:lineRule="auto" w:before="76"/>
        <w:ind w:left="153" w:right="93"/>
        <w:jc w:val="left"/>
      </w:pP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240" w:lineRule="auto" w:before="55"/>
        <w:ind w:left="513" w:right="0"/>
        <w:jc w:val="left"/>
      </w:pPr>
      <w:r>
        <w:rPr/>
        <w:t>本公司在确认应享有被投资单位净损益的份额时，以取得投资时被投资单位各项可辨认资产等的公允价值为基础，对被</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9" w:lineRule="auto" w:before="44"/>
        <w:ind w:left="153" w:right="93"/>
        <w:jc w:val="left"/>
      </w:pP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9" w:lineRule="auto" w:before="55"/>
        <w:ind w:left="153" w:right="93"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38" w:lineRule="auto" w:before="56"/>
        <w:ind w:left="153" w:right="93" w:firstLine="360"/>
        <w:jc w:val="left"/>
        <w:rPr>
          <w:rFonts w:ascii="宋体" w:hAnsi="宋体" w:cs="宋体" w:eastAsia="宋体" w:hint="default"/>
        </w:rPr>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 </w:t>
      </w:r>
      <w:r>
        <w:rPr>
          <w:rFonts w:ascii="Times New Roman" w:hAnsi="Times New Roman" w:cs="Times New Roman" w:eastAsia="Times New Roman" w:hint="default"/>
          <w:b/>
          <w:bCs/>
        </w:rPr>
        <w:t>3.</w:t>
      </w:r>
      <w:r>
        <w:rPr>
          <w:rFonts w:ascii="宋体" w:hAnsi="宋体" w:cs="宋体" w:eastAsia="宋体" w:hint="default"/>
          <w:b/>
          <w:bCs/>
        </w:rPr>
        <w:t>长期股权投资核算方法的转换</w:t>
      </w:r>
      <w:r>
        <w:rPr>
          <w:rFonts w:ascii="宋体" w:hAnsi="宋体" w:cs="宋体" w:eastAsia="宋体" w:hint="default"/>
        </w:rPr>
      </w:r>
    </w:p>
    <w:p>
      <w:pPr>
        <w:pStyle w:val="BodyText"/>
        <w:spacing w:line="338" w:lineRule="auto" w:before="22"/>
        <w:ind w:left="513" w:right="93"/>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2" w:lineRule="auto" w:before="2"/>
        <w:ind w:left="153" w:right="93"/>
        <w:jc w:val="left"/>
      </w:pPr>
      <w:r>
        <w:rPr/>
        <w:t>资，因追加投资等原因能够对被投资单位施加重大影响或实施共同控制但不构成控制的，按照《企业会计准则第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 </w:t>
      </w:r>
      <w:r>
        <w:rPr/>
        <w:t>金融工具确认和计量》确定的原持有的股权投资的公允价值加上新增投资成本之和，作为改按权益法核算的初始投资成本。</w:t>
      </w:r>
    </w:p>
    <w:p>
      <w:pPr>
        <w:pStyle w:val="BodyText"/>
        <w:spacing w:line="319" w:lineRule="auto" w:before="68"/>
        <w:ind w:left="153" w:right="93"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9" w:lineRule="auto" w:before="55"/>
        <w:ind w:left="153" w:right="9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38" w:lineRule="auto" w:before="58"/>
        <w:ind w:left="514" w:right="93"/>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9" w:lineRule="auto" w:before="2"/>
        <w:ind w:right="93"/>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9" w:lineRule="auto" w:before="56"/>
        <w:ind w:left="153" w:right="93"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2" w:lineRule="auto" w:before="56"/>
        <w:ind w:right="174" w:firstLine="360"/>
        <w:jc w:val="left"/>
      </w:pPr>
      <w:r>
        <w:rPr/>
        <w:t>购买日之前持有的股权投资按照《企业会计准则第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金融工具确认和计量》的有关规定进行会计处理的，原计 入其他综合收益的累计公允价值变动在改按成本法核算时转入当期损益。</w:t>
      </w:r>
    </w:p>
    <w:p>
      <w:pPr>
        <w:pStyle w:val="BodyText"/>
        <w:spacing w:line="338" w:lineRule="auto" w:before="69"/>
        <w:ind w:left="513" w:right="93"/>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2" w:lineRule="auto" w:before="2"/>
        <w:ind w:right="174"/>
        <w:jc w:val="left"/>
      </w:pPr>
      <w:r>
        <w:rPr/>
        <w:t>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金融工具确认和计量》核算，其在丧失共同控制或重大影响之日的公允价值与账面价值之间的差额计入当期 损益。</w:t>
      </w:r>
    </w:p>
    <w:p>
      <w:pPr>
        <w:pStyle w:val="BodyText"/>
        <w:spacing w:line="319" w:lineRule="auto" w:before="69"/>
        <w:ind w:right="93"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38" w:lineRule="auto" w:before="56"/>
        <w:ind w:left="514" w:right="93"/>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4"/>
        <w:ind w:right="0"/>
        <w:jc w:val="left"/>
      </w:pPr>
      <w:r>
        <w:rPr/>
        <w:t>被投资单位实施共同控制或施加重大影响的，改按权益法核算，并对该剩余股权视同自取得时即采用权益法核算进行调整。</w:t>
      </w:r>
    </w:p>
    <w:p>
      <w:pPr>
        <w:pStyle w:val="BodyText"/>
        <w:spacing w:line="338" w:lineRule="auto" w:before="117"/>
        <w:ind w:left="514" w:right="93"/>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2" w:lineRule="auto" w:before="2"/>
        <w:ind w:right="173"/>
        <w:jc w:val="left"/>
      </w:pPr>
      <w:r>
        <w:rPr/>
        <w:t>被投资单位实施共同控制或施加重大影响的，改按《企业会计准则第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金融工具确认和计量》的有关规定进行会计 处理，其在丧失控制之日的公允价值与账面价值间的差额计入当期损益。</w:t>
      </w:r>
    </w:p>
    <w:p>
      <w:pPr>
        <w:pStyle w:val="BodyText"/>
        <w:spacing w:line="340" w:lineRule="auto" w:before="68"/>
        <w:ind w:left="513" w:right="93" w:hanging="360"/>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9" w:lineRule="auto" w:before="1"/>
        <w:ind w:left="153" w:right="93"/>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spacing w:after="0" w:line="319"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9" w:lineRule="auto" w:before="44"/>
        <w:ind w:left="153" w:right="19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56"/>
        <w:ind w:left="513" w:right="9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3"/>
        <w:ind w:left="514" w:right="5192"/>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4" w:right="9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8" w:lineRule="auto" w:before="102"/>
        <w:ind w:left="513" w:right="93"/>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4"/>
        <w:ind w:left="153" w:right="5192"/>
        <w:jc w:val="left"/>
      </w:pPr>
      <w:r>
        <w:rPr/>
        <w:t>表进行相关会计处理：</w:t>
      </w:r>
    </w:p>
    <w:p>
      <w:pPr>
        <w:pStyle w:val="BodyText"/>
        <w:spacing w:line="307" w:lineRule="auto" w:before="115"/>
        <w:ind w:left="153" w:right="190"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t>调整；处置后的剩余股权不能对被投资单位实施共同控制或施加重大影响的，改按《企业会计准则第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 认和计量》的有关规定进行会计处理，其在丧失控制之日的公允价值与账面价值间的差额计入当期损益。</w:t>
      </w:r>
    </w:p>
    <w:p>
      <w:pPr>
        <w:pStyle w:val="BodyText"/>
        <w:spacing w:line="314" w:lineRule="auto" w:before="64"/>
        <w:ind w:right="191"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19" w:lineRule="auto" w:before="60"/>
        <w:ind w:right="19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2" w:lineRule="auto" w:before="55"/>
        <w:ind w:right="191"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2" w:lineRule="auto" w:before="68"/>
        <w:ind w:right="191"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340" w:lineRule="auto" w:before="69"/>
        <w:ind w:left="513" w:right="9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57" w:lineRule="auto" w:before="1"/>
        <w:ind w:left="513" w:right="93"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224" w:lineRule="exact"/>
        <w:ind w:left="153" w:right="0"/>
        <w:jc w:val="left"/>
      </w:pPr>
      <w:r>
        <w:rPr/>
        <w:t>业，采用权益法核算。若根据相关约定判断本公司并非对该单独主体的净资产享有权利时，该单独主体作为共同经营，本公</w:t>
      </w:r>
    </w:p>
    <w:p>
      <w:pPr>
        <w:pStyle w:val="BodyText"/>
        <w:spacing w:line="357" w:lineRule="auto" w:before="77"/>
        <w:ind w:left="513" w:right="93" w:hanging="360"/>
        <w:jc w:val="left"/>
      </w:pPr>
      <w:r>
        <w:rPr/>
        <w:t>司确认与共同经营利益份额相关的项目，并按照相关企业会计准则的规定进行会计处理。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w:t>
      </w:r>
    </w:p>
    <w:p>
      <w:pPr>
        <w:pStyle w:val="BodyText"/>
        <w:spacing w:line="237" w:lineRule="exact"/>
        <w:ind w:left="153" w:right="0"/>
        <w:jc w:val="left"/>
      </w:pPr>
      <w:r>
        <w:rPr/>
        <w:t>这些政策的制定。本公司通过以下一种或多种情形，并综合考虑所有事实和情况后，判断对被投资单位具有重大影响</w:t>
      </w:r>
      <w:r>
        <w:rPr>
          <w:spacing w:val="-90"/>
        </w:rPr>
        <w:t>。</w:t>
      </w:r>
      <w:r>
        <w:rPr>
          <w:spacing w:val="1"/>
        </w:rPr>
        <w:t>（</w:t>
      </w:r>
      <w:r>
        <w:rPr>
          <w:rFonts w:ascii="Times New Roman" w:hAnsi="Times New Roman" w:cs="Times New Roman" w:eastAsia="Times New Roman" w:hint="default"/>
        </w:rPr>
        <w:t>1</w:t>
      </w:r>
      <w:r>
        <w:rPr/>
        <w:t>）</w:t>
      </w:r>
    </w:p>
    <w:p>
      <w:pPr>
        <w:pStyle w:val="BodyText"/>
        <w:spacing w:line="302" w:lineRule="auto" w:before="63"/>
        <w:ind w:left="153" w:right="177"/>
        <w:jc w:val="left"/>
      </w:pPr>
      <w:r>
        <w:rPr/>
        <w:t>在被投资单位的董事会或类似权力机构中派有代表</w:t>
      </w:r>
      <w:r>
        <w:rPr>
          <w:spacing w:val="-111"/>
        </w:rPr>
        <w:t>；</w:t>
      </w:r>
      <w:r>
        <w:rPr/>
        <w:t>（</w:t>
      </w:r>
      <w:r>
        <w:rPr>
          <w:rFonts w:ascii="Times New Roman" w:hAnsi="Times New Roman" w:cs="Times New Roman" w:eastAsia="Times New Roman" w:hint="default"/>
        </w:rPr>
        <w:t>2</w:t>
      </w:r>
      <w:r>
        <w:rPr>
          <w:spacing w:val="-21"/>
        </w:rPr>
        <w:t>）</w:t>
      </w:r>
      <w:r>
        <w:rPr/>
        <w:t>参与被投资单位财务和经营政策制定过程</w:t>
      </w:r>
      <w:r>
        <w:rPr>
          <w:spacing w:val="-111"/>
        </w:rPr>
        <w:t>；</w:t>
      </w:r>
      <w:r>
        <w:rPr/>
        <w:t>（</w:t>
      </w:r>
      <w:r>
        <w:rPr>
          <w:rFonts w:ascii="Times New Roman" w:hAnsi="Times New Roman" w:cs="Times New Roman" w:eastAsia="Times New Roman" w:hint="default"/>
        </w:rPr>
        <w:t>3</w:t>
      </w:r>
      <w:r>
        <w:rPr>
          <w:spacing w:val="-21"/>
        </w:rPr>
        <w:t>）</w:t>
      </w:r>
      <w:r>
        <w:rPr/>
        <w:t>与被投资单位之间</w:t>
      </w:r>
      <w:r>
        <w:rPr/>
        <w:t> 发生重要交易</w:t>
      </w:r>
      <w:r>
        <w:rPr>
          <w:spacing w:val="-90"/>
        </w:rPr>
        <w:t>；</w:t>
      </w:r>
      <w:r>
        <w:rPr/>
        <w:t>（</w:t>
      </w:r>
      <w:r>
        <w:rPr>
          <w:rFonts w:ascii="Times New Roman" w:hAnsi="Times New Roman" w:cs="Times New Roman" w:eastAsia="Times New Roman" w:hint="default"/>
        </w:rPr>
        <w:t>4</w:t>
      </w:r>
      <w:r>
        <w:rPr/>
        <w:t>）向被投资单位派出管理人员</w:t>
      </w:r>
      <w:r>
        <w:rPr>
          <w:spacing w:val="-90"/>
        </w:rPr>
        <w:t>；</w:t>
      </w:r>
      <w:r>
        <w:rPr/>
        <w:t>（</w:t>
      </w:r>
      <w:r>
        <w:rPr>
          <w:rFonts w:ascii="Times New Roman" w:hAnsi="Times New Roman" w:cs="Times New Roman" w:eastAsia="Times New Roman" w:hint="default"/>
        </w:rPr>
        <w:t>5</w:t>
      </w:r>
      <w:r>
        <w:rPr/>
        <w:t>）向被投资单位提供关键技术资料。</w:t>
      </w:r>
    </w:p>
    <w:p>
      <w:pPr>
        <w:spacing w:line="240" w:lineRule="auto" w:before="10"/>
        <w:rPr>
          <w:rFonts w:ascii="宋体" w:hAnsi="宋体" w:cs="宋体" w:eastAsia="宋体" w:hint="default"/>
          <w:sz w:val="21"/>
          <w:szCs w:val="21"/>
        </w:rPr>
      </w:pPr>
    </w:p>
    <w:p>
      <w:pPr>
        <w:pStyle w:val="Heading3"/>
        <w:spacing w:line="240" w:lineRule="auto"/>
        <w:ind w:left="153" w:right="5192"/>
        <w:jc w:val="left"/>
        <w:rPr>
          <w:b w:val="0"/>
          <w:bCs w:val="0"/>
        </w:rPr>
      </w:pPr>
      <w:bookmarkStart w:name="15、投资性房地产" w:id="141"/>
      <w:bookmarkEnd w:id="14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12"/>
        <w:jc w:val="left"/>
      </w:pPr>
      <w:r>
        <w:rPr/>
        <w:t>投资性房地产计量模式 不适用</w:t>
      </w:r>
    </w:p>
    <w:p>
      <w:pPr>
        <w:spacing w:after="0" w:line="357" w:lineRule="auto"/>
        <w:jc w:val="left"/>
        <w:sectPr>
          <w:pgSz w:w="11910" w:h="16840"/>
          <w:pgMar w:header="877" w:footer="979" w:top="1100" w:bottom="1160" w:left="980" w:right="940"/>
        </w:sectPr>
      </w:pPr>
    </w:p>
    <w:p>
      <w:pPr>
        <w:spacing w:line="240" w:lineRule="auto" w:before="9"/>
        <w:rPr>
          <w:rFonts w:ascii="宋体" w:hAnsi="宋体" w:cs="宋体" w:eastAsia="宋体" w:hint="default"/>
          <w:sz w:val="20"/>
          <w:szCs w:val="20"/>
        </w:rPr>
      </w:pPr>
    </w:p>
    <w:p>
      <w:pPr>
        <w:pStyle w:val="Heading3"/>
        <w:spacing w:line="240" w:lineRule="auto" w:before="35"/>
        <w:ind w:left="153" w:right="5192"/>
        <w:jc w:val="left"/>
        <w:rPr>
          <w:b w:val="0"/>
          <w:bCs w:val="0"/>
        </w:rPr>
      </w:pPr>
      <w:bookmarkStart w:name="16、固定资产" w:id="142"/>
      <w:bookmarkEnd w:id="14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154" w:right="5192"/>
        <w:jc w:val="left"/>
        <w:rPr>
          <w:b w:val="0"/>
          <w:bCs w:val="0"/>
        </w:rPr>
      </w:pPr>
      <w:bookmarkStart w:name="（1）确认条件" w:id="143"/>
      <w:bookmarkEnd w:id="14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18"/>
          <w:szCs w:val="18"/>
        </w:rPr>
      </w:pPr>
    </w:p>
    <w:p>
      <w:pPr>
        <w:pStyle w:val="BodyText"/>
        <w:spacing w:line="314" w:lineRule="auto" w:before="127"/>
        <w:ind w:left="153" w:right="93"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r>
        <w:rPr>
          <w:spacing w:val="-47"/>
        </w:rPr>
        <w:t> </w:t>
      </w:r>
      <w:r>
        <w:rPr>
          <w:spacing w:val="-47"/>
        </w:rPr>
      </w:r>
      <w:r>
        <w:rPr>
          <w:spacing w:val="-2"/>
        </w:rPr>
        <w:t>固定资产初始计量本公司固定资产按成本进行初始计量。其中，外购的固定资产的成本包括买价、进口关税等相关税费，以</w:t>
      </w:r>
      <w:r>
        <w:rPr>
          <w:spacing w:val="-65"/>
        </w:rPr>
        <w:t> </w:t>
      </w:r>
      <w:r>
        <w:rPr>
          <w:spacing w:val="-65"/>
        </w:rPr>
      </w:r>
      <w:r>
        <w:rPr>
          <w:spacing w:val="-2"/>
        </w:rPr>
        <w:t>及为使固定资产达到预定可使用状态前所发生的可直接归属于该资产的其他支出。自行建造固定资产的成本，由建造该项资</w:t>
      </w:r>
      <w:r>
        <w:rPr>
          <w:spacing w:val="-64"/>
        </w:rPr>
        <w:t> </w:t>
      </w:r>
      <w:r>
        <w:rPr>
          <w:spacing w:val="-64"/>
        </w:rPr>
      </w:r>
      <w:r>
        <w:rPr>
          <w:spacing w:val="-2"/>
        </w:rPr>
        <w:t>产达到预定可使用状态前所发生的必要支出构成。投资者投入的固定资产，按投资合同或协议约定的价值作为入账价值，但</w:t>
      </w:r>
      <w:r>
        <w:rPr>
          <w:spacing w:val="-66"/>
        </w:rPr>
        <w:t> </w:t>
      </w:r>
      <w:r>
        <w:rPr>
          <w:spacing w:val="-66"/>
        </w:rPr>
      </w:r>
      <w:r>
        <w:rPr/>
        <w:t>合同或协议约定价值不公允的按公允价值入账。购买固定资产的价款超过正常信用条件延期支付，实质上具有融资性质的， </w:t>
      </w:r>
      <w:r>
        <w:rPr>
          <w:spacing w:val="-2"/>
        </w:rPr>
        <w:t>固定资产的成本以购买价款的现值为基础确定。实际支付的价款与购买价款的现值之间的差额，除应予资本化的以外，在信</w:t>
      </w:r>
      <w:r>
        <w:rPr>
          <w:spacing w:val="-66"/>
        </w:rPr>
        <w:t> </w:t>
      </w:r>
      <w:r>
        <w:rPr>
          <w:spacing w:val="-66"/>
        </w:rPr>
      </w:r>
      <w:r>
        <w:rPr/>
        <w:t>用期间内计入当期损益。</w:t>
      </w:r>
    </w:p>
    <w:p>
      <w:pPr>
        <w:spacing w:line="240" w:lineRule="auto" w:before="5"/>
        <w:rPr>
          <w:rFonts w:ascii="宋体" w:hAnsi="宋体" w:cs="宋体" w:eastAsia="宋体" w:hint="default"/>
          <w:sz w:val="24"/>
          <w:szCs w:val="24"/>
        </w:rPr>
      </w:pPr>
    </w:p>
    <w:p>
      <w:pPr>
        <w:pStyle w:val="Heading5"/>
        <w:spacing w:line="240" w:lineRule="auto"/>
        <w:ind w:right="5192"/>
        <w:jc w:val="left"/>
        <w:rPr>
          <w:b w:val="0"/>
          <w:bCs w:val="0"/>
        </w:rPr>
      </w:pPr>
      <w:bookmarkStart w:name="（2）折旧方法" w:id="144"/>
      <w:bookmarkEnd w:id="14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6"/>
        <w:rPr>
          <w:rFonts w:ascii="宋体" w:hAnsi="宋体" w:cs="宋体" w:eastAsia="宋体" w:hint="default"/>
          <w:b/>
          <w:bCs/>
          <w:sz w:val="20"/>
          <w:szCs w:val="20"/>
        </w:rPr>
      </w:pPr>
    </w:p>
    <w:p>
      <w:pPr>
        <w:pStyle w:val="Heading5"/>
        <w:spacing w:line="240" w:lineRule="auto" w:before="44"/>
        <w:ind w:left="154" w:right="5192"/>
        <w:jc w:val="left"/>
        <w:rPr>
          <w:b w:val="0"/>
          <w:bCs w:val="0"/>
        </w:rPr>
      </w:pPr>
      <w:bookmarkStart w:name="（3）融资租入固定资产的认定依据、计价和折旧方法" w:id="145"/>
      <w:bookmarkEnd w:id="14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18"/>
          <w:szCs w:val="18"/>
        </w:rPr>
      </w:pPr>
    </w:p>
    <w:p>
      <w:pPr>
        <w:pStyle w:val="BodyText"/>
        <w:spacing w:line="312" w:lineRule="auto" w:before="127"/>
        <w:ind w:left="153" w:right="191" w:firstLine="360"/>
        <w:jc w:val="both"/>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w:t>
      </w:r>
      <w:r>
        <w:rPr/>
        <w:t> </w:t>
      </w:r>
      <w:r>
        <w:rPr>
          <w:spacing w:val="-4"/>
        </w:rPr>
        <w:t>有权转移给本公司。（</w:t>
      </w:r>
      <w:r>
        <w:rPr>
          <w:rFonts w:ascii="Times New Roman" w:hAnsi="Times New Roman" w:cs="Times New Roman" w:eastAsia="Times New Roman" w:hint="default"/>
          <w:spacing w:val="-4"/>
        </w:rPr>
        <w:t>2</w:t>
      </w:r>
      <w:r>
        <w:rPr>
          <w:spacing w:val="-4"/>
        </w:rPr>
        <w:t>）本公司有购买租赁资产的选择权，所订立的购买价款预计将远低于行使选择权时租赁资产的公允价</w:t>
      </w:r>
      <w:r>
        <w:rPr>
          <w:spacing w:val="-44"/>
        </w:rPr>
        <w:t> </w:t>
      </w:r>
      <w:r>
        <w:rPr>
          <w:spacing w:val="-44"/>
        </w:rPr>
      </w:r>
      <w:r>
        <w:rPr>
          <w:spacing w:val="-4"/>
        </w:rPr>
        <w:t>值，因而在租赁开始日就可以合理确定本公司将会行使这种选择权。（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w:t>
      </w:r>
      <w:r>
        <w:rPr>
          <w:spacing w:val="-44"/>
        </w:rPr>
        <w:t> </w:t>
      </w:r>
      <w:r>
        <w:rPr>
          <w:spacing w:val="-44"/>
        </w:rPr>
      </w:r>
      <w:r>
        <w:rPr>
          <w:spacing w:val="-5"/>
        </w:rPr>
        <w:t>用寿命的大部分。（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w:t>
      </w:r>
      <w:r>
        <w:rPr>
          <w:spacing w:val="-74"/>
        </w:rPr>
        <w:t> </w:t>
      </w:r>
      <w:r>
        <w:rPr>
          <w:spacing w:val="-74"/>
        </w:rPr>
      </w:r>
      <w:r>
        <w:rPr/>
        <w:t>产性质特殊，如果不作较大改造，只有本公司才能使用。 融资租赁租入的固定资产，按租赁开始日租赁资产公允价 </w:t>
      </w:r>
      <w:r>
        <w:rPr>
          <w:spacing w:val="-2"/>
        </w:rPr>
        <w:t>值与最低租赁付款额的现值两者中较低者，作为入账价值。最低租赁付款额作为长期应付款的入账价值，其差额作为未确认</w:t>
      </w:r>
      <w:r>
        <w:rPr>
          <w:spacing w:val="-66"/>
        </w:rPr>
        <w:t> </w:t>
      </w:r>
      <w:r>
        <w:rPr>
          <w:spacing w:val="-66"/>
        </w:rPr>
      </w:r>
      <w:r>
        <w:rPr>
          <w:spacing w:val="-2"/>
        </w:rPr>
        <w:t>融资费用。在租赁谈判和签订租赁合同过程中发生的，可归属于租赁项目的手续费、律师费、差旅费、印花税等初始直接费</w:t>
      </w:r>
      <w:r>
        <w:rPr>
          <w:spacing w:val="-66"/>
        </w:rPr>
        <w:t> </w:t>
      </w:r>
      <w:r>
        <w:rPr>
          <w:spacing w:val="-66"/>
        </w:rPr>
      </w:r>
      <w:r>
        <w:rPr/>
        <w:t>用，计入租入资产价值。未确认融资费用在租赁期内各个期间采用实际利率法进行分摊。</w:t>
      </w:r>
      <w:r>
        <w:rPr>
          <w:spacing w:val="1"/>
        </w:rPr>
        <w:t> </w:t>
      </w:r>
      <w:r>
        <w:rPr/>
        <w:t>本公司采用与自有固定资</w:t>
      </w:r>
      <w:r>
        <w:rPr/>
        <w:t> </w:t>
      </w:r>
      <w:r>
        <w:rPr>
          <w:spacing w:val="-2"/>
        </w:rPr>
        <w:t>产相一致的折旧政策计提融资租入固定资产折旧。能够合理确定租赁期届满时取得租赁资产所有权的，在租赁资产使用寿命</w:t>
      </w:r>
      <w:r>
        <w:rPr>
          <w:spacing w:val="-64"/>
        </w:rPr>
        <w:t> </w:t>
      </w:r>
      <w:r>
        <w:rPr>
          <w:spacing w:val="-64"/>
        </w:rPr>
      </w:r>
      <w:r>
        <w:rPr>
          <w:spacing w:val="-2"/>
        </w:rPr>
        <w:t>内计提折旧。无法合理确定租赁期届满时能够取得租赁资产所有权的，在租赁期与租赁资产使用寿命两者中较短的期间内计</w:t>
      </w:r>
      <w:r>
        <w:rPr>
          <w:spacing w:val="-64"/>
        </w:rPr>
        <w:t> </w:t>
      </w:r>
      <w:r>
        <w:rPr>
          <w:spacing w:val="-64"/>
        </w:rPr>
      </w:r>
      <w:r>
        <w:rPr/>
        <w:t>提折旧。</w:t>
      </w:r>
    </w:p>
    <w:p>
      <w:pPr>
        <w:spacing w:line="240" w:lineRule="auto" w:before="8"/>
        <w:rPr>
          <w:rFonts w:ascii="宋体" w:hAnsi="宋体" w:cs="宋体" w:eastAsia="宋体" w:hint="default"/>
          <w:sz w:val="22"/>
          <w:szCs w:val="22"/>
        </w:rPr>
      </w:pPr>
    </w:p>
    <w:p>
      <w:pPr>
        <w:pStyle w:val="Heading3"/>
        <w:spacing w:line="240" w:lineRule="auto"/>
        <w:ind w:left="153" w:right="5192"/>
        <w:jc w:val="left"/>
        <w:rPr>
          <w:b w:val="0"/>
          <w:bCs w:val="0"/>
        </w:rPr>
      </w:pPr>
      <w:bookmarkStart w:name="17、在建工程" w:id="146"/>
      <w:bookmarkEnd w:id="14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left="154" w:right="5192"/>
        <w:jc w:val="left"/>
        <w:rPr>
          <w:b w:val="0"/>
          <w:bCs w:val="0"/>
        </w:rPr>
      </w:pPr>
      <w:r>
        <w:rPr>
          <w:rFonts w:ascii="Times New Roman" w:hAnsi="Times New Roman" w:cs="Times New Roman" w:eastAsia="Times New Roman" w:hint="default"/>
        </w:rPr>
        <w:t>1.</w:t>
      </w:r>
      <w:r>
        <w:rPr/>
        <w:t>在建工程的类别</w:t>
      </w:r>
      <w:r>
        <w:rPr>
          <w:b w:val="0"/>
          <w:bCs w:val="0"/>
        </w:rPr>
      </w:r>
    </w:p>
    <w:p>
      <w:pPr>
        <w:pStyle w:val="BodyText"/>
        <w:spacing w:line="319" w:lineRule="auto" w:before="63"/>
        <w:ind w:right="84" w:firstLine="420"/>
        <w:jc w:val="left"/>
      </w:pPr>
      <w:r>
        <w:rPr>
          <w:spacing w:val="-1"/>
        </w:rPr>
        <w:t>本公司自行建造的在建工程按实际成本计价，实际成本由建造该项资产达到预定可使用状态前所发生的必要支出构成，</w:t>
      </w:r>
      <w:r>
        <w:rPr/>
        <w:t> </w:t>
      </w:r>
      <w:r>
        <w:rPr>
          <w:spacing w:val="-2"/>
        </w:rPr>
        <w:t>包括工程用物资成本、人工成本、交纳的相关税费、应予资本化的借款费用以及应分摊的间接费用等。本公司的在建工程以</w:t>
      </w:r>
      <w:r>
        <w:rPr>
          <w:spacing w:val="-66"/>
        </w:rPr>
        <w:t> </w:t>
      </w:r>
      <w:r>
        <w:rPr>
          <w:spacing w:val="-66"/>
        </w:rPr>
      </w:r>
      <w:r>
        <w:rPr/>
        <w:t>项目分类核算。</w:t>
      </w:r>
    </w:p>
    <w:p>
      <w:pPr>
        <w:spacing w:line="300" w:lineRule="auto" w:before="17"/>
        <w:ind w:left="574" w:right="21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z w:val="18"/>
          <w:szCs w:val="18"/>
        </w:rPr>
        <w:t>在建工程项目按建造该项资产达到预定可使用状态前所发生的全部支出，作为固定资产的入账价值。所建造的固定资</w:t>
      </w:r>
    </w:p>
    <w:p>
      <w:pPr>
        <w:spacing w:after="0" w:line="30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1"/>
        <w:jc w:val="both"/>
      </w:pPr>
      <w:r>
        <w:rPr>
          <w:spacing w:val="-2"/>
        </w:rPr>
        <w:t>产在建工程已达到预定可使用状态，但尚未办理竣工决算的，自达到预定可使用状态之日起，根据工程预算、造价或者工程</w:t>
      </w:r>
      <w:r>
        <w:rPr>
          <w:spacing w:val="-66"/>
        </w:rPr>
        <w:t> </w:t>
      </w:r>
      <w:r>
        <w:rPr>
          <w:spacing w:val="-66"/>
        </w:rPr>
      </w:r>
      <w:r>
        <w:rPr>
          <w:spacing w:val="-2"/>
        </w:rPr>
        <w:t>实际成本等，按估计的价值转入固定资产，并按本公司固定资产折旧政策计提固定资产的折旧，待办理竣工决算后，再按实</w:t>
      </w:r>
      <w:r>
        <w:rPr>
          <w:spacing w:val="-66"/>
        </w:rPr>
        <w:t> </w:t>
      </w:r>
      <w:r>
        <w:rPr>
          <w:spacing w:val="-66"/>
        </w:rPr>
      </w:r>
      <w:r>
        <w:rPr/>
        <w:t>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53" w:right="5192"/>
        <w:jc w:val="left"/>
        <w:rPr>
          <w:b w:val="0"/>
          <w:bCs w:val="0"/>
        </w:rPr>
      </w:pPr>
      <w:bookmarkStart w:name="18、借款费用" w:id="147"/>
      <w:bookmarkEnd w:id="14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574" w:right="21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公司发生的借款费用，可直接归属于符合资本化条件的资产的购建或者生产的，在符合资本化条件的情况下开始资本</w:t>
      </w:r>
    </w:p>
    <w:p>
      <w:pPr>
        <w:pStyle w:val="BodyText"/>
        <w:spacing w:line="316" w:lineRule="auto" w:before="31"/>
        <w:ind w:left="573" w:right="213" w:hanging="420"/>
        <w:jc w:val="left"/>
      </w:pPr>
      <w:r>
        <w:rPr/>
        <w:t>化，计入相关资产成本；其他借款费用，在发生时根据其发生额确认为费用，计入当期损益。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74" w:right="5972" w:hanging="420"/>
        <w:jc w:val="left"/>
      </w:pPr>
      <w:r>
        <w:rPr/>
        <w:t>产、投资性房地产和存货等资产。 借款费用同时满足下列条件时开始资本化：</w:t>
      </w:r>
    </w:p>
    <w:p>
      <w:pPr>
        <w:pStyle w:val="BodyText"/>
        <w:spacing w:line="300" w:lineRule="auto" w:before="19"/>
        <w:ind w:right="18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74" w:right="5192"/>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74" w:right="9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73" w:right="213" w:hanging="42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20"/>
        <w:ind w:left="153" w:right="5192"/>
        <w:jc w:val="left"/>
      </w:pPr>
      <w:r>
        <w:rPr/>
        <w:t>借款费用资本化。</w:t>
      </w:r>
    </w:p>
    <w:p>
      <w:pPr>
        <w:pStyle w:val="Heading5"/>
        <w:spacing w:line="240" w:lineRule="auto" w:before="77"/>
        <w:ind w:right="5192"/>
        <w:jc w:val="left"/>
        <w:rPr>
          <w:b w:val="0"/>
          <w:bCs w:val="0"/>
        </w:rPr>
      </w:pPr>
      <w:r>
        <w:rPr>
          <w:rFonts w:ascii="Times New Roman" w:hAnsi="Times New Roman" w:cs="Times New Roman" w:eastAsia="Times New Roman" w:hint="default"/>
        </w:rPr>
        <w:t>3.</w:t>
      </w:r>
      <w:r>
        <w:rPr/>
        <w:t>暂停资本化期间</w:t>
      </w:r>
      <w:r>
        <w:rPr>
          <w:b w:val="0"/>
          <w:bCs w:val="0"/>
        </w:rPr>
      </w:r>
    </w:p>
    <w:p>
      <w:pPr>
        <w:pStyle w:val="BodyText"/>
        <w:spacing w:line="312" w:lineRule="auto" w:before="63"/>
        <w:ind w:right="93" w:firstLine="420"/>
        <w:jc w:val="left"/>
        <w:rPr>
          <w:rFonts w:ascii="宋体" w:hAnsi="宋体" w:cs="宋体" w:eastAsia="宋体" w:hint="default"/>
        </w:rPr>
      </w:pP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 </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rPr>
      </w:r>
    </w:p>
    <w:p>
      <w:pPr>
        <w:pStyle w:val="BodyText"/>
        <w:spacing w:line="316" w:lineRule="auto" w:before="3"/>
        <w:ind w:right="212" w:firstLine="420"/>
        <w:jc w:val="left"/>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BodyText"/>
        <w:spacing w:line="316" w:lineRule="auto" w:before="19"/>
        <w:ind w:right="93" w:firstLine="420"/>
        <w:jc w:val="left"/>
      </w:pPr>
      <w:r>
        <w:rPr>
          <w:spacing w:val="-2"/>
        </w:rPr>
        <w:t>根据累计资产支出超过专门借款部分的资产支出加权平均数【按年初期末简单平均】乘以所占用一般借款的资本化率，</w:t>
      </w:r>
      <w:r>
        <w:rPr/>
        <w:t> 计算确定一般借款应予资本化的利息金额。资本化率根据一般借款加权平均利率计算确定。</w:t>
      </w:r>
    </w:p>
    <w:p>
      <w:pPr>
        <w:pStyle w:val="BodyText"/>
        <w:spacing w:line="240" w:lineRule="auto" w:before="19"/>
        <w:ind w:left="574" w:right="93"/>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3"/>
        <w:spacing w:line="240" w:lineRule="auto"/>
        <w:ind w:left="153" w:right="5192"/>
        <w:jc w:val="left"/>
        <w:rPr>
          <w:b w:val="0"/>
          <w:bCs w:val="0"/>
        </w:rPr>
      </w:pPr>
      <w:bookmarkStart w:name="19、生物资产" w:id="148"/>
      <w:bookmarkEnd w:id="14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192"/>
        <w:jc w:val="left"/>
        <w:rPr>
          <w:b w:val="0"/>
          <w:bCs w:val="0"/>
        </w:rPr>
      </w:pPr>
      <w:bookmarkStart w:name="20、油气资产" w:id="149"/>
      <w:bookmarkEnd w:id="14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192"/>
        <w:jc w:val="left"/>
        <w:rPr>
          <w:b w:val="0"/>
          <w:bCs w:val="0"/>
        </w:rPr>
      </w:pPr>
      <w:bookmarkStart w:name="21、无形资产" w:id="150"/>
      <w:bookmarkEnd w:id="150"/>
      <w:r>
        <w:rPr>
          <w:b w:val="0"/>
          <w:bCs w:val="0"/>
        </w:rPr>
      </w:r>
      <w:r>
        <w:rPr>
          <w:rFonts w:ascii="Times New Roman" w:hAnsi="Times New Roman" w:cs="Times New Roman" w:eastAsia="Times New Roman" w:hint="default"/>
        </w:rPr>
        <w:t>21</w:t>
      </w:r>
      <w:r>
        <w:rPr/>
        <w:t>、无形资产</w:t>
      </w:r>
      <w:r>
        <w:rPr>
          <w:b w:val="0"/>
          <w:bCs w:val="0"/>
        </w:rPr>
      </w:r>
    </w:p>
    <w:p>
      <w:pPr>
        <w:spacing w:line="612" w:lineRule="exact" w:before="68"/>
        <w:ind w:left="513" w:right="93" w:hanging="360"/>
        <w:jc w:val="left"/>
        <w:rPr>
          <w:rFonts w:ascii="宋体" w:hAnsi="宋体" w:cs="宋体" w:eastAsia="宋体" w:hint="default"/>
          <w:sz w:val="18"/>
          <w:szCs w:val="18"/>
        </w:rPr>
      </w:pPr>
      <w:bookmarkStart w:name="（1）计价方法、使用寿命、减值测试" w:id="151"/>
      <w:bookmarkEnd w:id="151"/>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z w:val="18"/>
          <w:szCs w:val="18"/>
        </w:rPr>
        <w:t>无形资产是指本公司拥有或者控制的没有实物形态的可辨认非货币性资产，包括专利权、软件著作权、商标权、软件、</w:t>
      </w:r>
    </w:p>
    <w:p>
      <w:pPr>
        <w:pStyle w:val="BodyText"/>
        <w:spacing w:line="215" w:lineRule="exact"/>
        <w:ind w:left="153" w:right="5192"/>
        <w:jc w:val="left"/>
      </w:pPr>
      <w:r>
        <w:rPr/>
        <w:t>非专利技术。</w:t>
      </w:r>
    </w:p>
    <w:p>
      <w:pPr>
        <w:pStyle w:val="BodyText"/>
        <w:spacing w:line="300" w:lineRule="auto" w:before="76"/>
        <w:ind w:left="513" w:right="93"/>
        <w:jc w:val="left"/>
      </w:pP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spacing w:after="0" w:line="30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5192"/>
        <w:jc w:val="left"/>
      </w:pPr>
      <w:r>
        <w:rPr/>
        <w:t>据如下：</w:t>
      </w:r>
    </w:p>
    <w:p>
      <w:pPr>
        <w:pStyle w:val="BodyText"/>
        <w:spacing w:line="240" w:lineRule="auto" w:before="76"/>
        <w:ind w:left="513" w:right="93"/>
        <w:jc w:val="left"/>
      </w:pPr>
      <w:r>
        <w:rPr/>
        <w:t>（</w:t>
      </w:r>
      <w:r>
        <w:rPr>
          <w:rFonts w:ascii="Times New Roman" w:hAnsi="Times New Roman" w:cs="Times New Roman" w:eastAsia="Times New Roman" w:hint="default"/>
        </w:rPr>
        <w:t>1</w:t>
      </w:r>
      <w:r>
        <w:rPr/>
        <w:t>）软件、专利权法律有规定的从法律，合同有规定的从合同，两者都没有规定的按</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年摊销；</w:t>
      </w:r>
    </w:p>
    <w:p>
      <w:pPr>
        <w:pStyle w:val="BodyText"/>
        <w:spacing w:line="240" w:lineRule="auto" w:before="63"/>
        <w:ind w:left="514" w:right="93"/>
        <w:jc w:val="left"/>
      </w:pPr>
      <w:r>
        <w:rPr/>
        <w:t>（</w:t>
      </w:r>
      <w:r>
        <w:rPr>
          <w:rFonts w:ascii="Times New Roman" w:hAnsi="Times New Roman" w:cs="Times New Roman" w:eastAsia="Times New Roman" w:hint="default"/>
        </w:rPr>
        <w:t>2</w:t>
      </w:r>
      <w:r>
        <w:rPr/>
        <w:t>）商标权法律有规定的从法律，合同有规定的从合同，两者都没有规定的按</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年摊销；</w:t>
      </w:r>
    </w:p>
    <w:p>
      <w:pPr>
        <w:pStyle w:val="BodyText"/>
        <w:spacing w:line="240" w:lineRule="auto" w:before="63"/>
        <w:ind w:left="514" w:right="93"/>
        <w:jc w:val="left"/>
      </w:pPr>
      <w:r>
        <w:rPr/>
        <w:t>（</w:t>
      </w:r>
      <w:r>
        <w:rPr>
          <w:rFonts w:ascii="Times New Roman" w:hAnsi="Times New Roman" w:cs="Times New Roman" w:eastAsia="Times New Roman" w:hint="default"/>
        </w:rPr>
        <w:t>3</w:t>
      </w:r>
      <w:r>
        <w:rPr/>
        <w:t>）非专利技术法律有规定的从法律，合同有规定的从合同，两者都没有规定的按</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年摊销；</w:t>
      </w:r>
    </w:p>
    <w:p>
      <w:pPr>
        <w:pStyle w:val="BodyText"/>
        <w:spacing w:line="309" w:lineRule="auto" w:before="63"/>
        <w:ind w:left="514" w:right="92"/>
        <w:jc w:val="left"/>
      </w:pPr>
      <w:r>
        <w:rPr/>
        <w:t>（</w:t>
      </w:r>
      <w:r>
        <w:rPr>
          <w:rFonts w:ascii="Times New Roman" w:hAnsi="Times New Roman" w:cs="Times New Roman" w:eastAsia="Times New Roman" w:hint="default"/>
        </w:rPr>
        <w:t>4</w:t>
      </w:r>
      <w:r>
        <w:rPr/>
        <w:t>）土地使用权按购置使用年限的规定摊销。 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24"/>
        <w:ind w:left="514" w:right="2972"/>
        <w:jc w:val="left"/>
      </w:pP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1"/>
        <w:ind w:right="93"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spacing w:line="240" w:lineRule="auto" w:before="6"/>
        <w:rPr>
          <w:rFonts w:ascii="宋体" w:hAnsi="宋体" w:cs="宋体" w:eastAsia="宋体" w:hint="default"/>
          <w:sz w:val="24"/>
          <w:szCs w:val="24"/>
        </w:rPr>
      </w:pPr>
    </w:p>
    <w:p>
      <w:pPr>
        <w:pStyle w:val="Heading5"/>
        <w:spacing w:line="240" w:lineRule="auto"/>
        <w:ind w:left="154" w:right="5192"/>
        <w:jc w:val="left"/>
        <w:rPr>
          <w:b w:val="0"/>
          <w:bCs w:val="0"/>
        </w:rPr>
      </w:pPr>
      <w:bookmarkStart w:name="（2）内部研究开发支出会计政策" w:id="152"/>
      <w:bookmarkEnd w:id="15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13" w:right="93"/>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9"/>
        <w:ind w:left="513" w:right="3513" w:hanging="360"/>
        <w:jc w:val="left"/>
      </w:pPr>
      <w:r>
        <w:rPr/>
        <w:t>进的材料、装置、产品等活动的阶段。 内部研究开发项目研究阶段的支出，在发生时计入当期损益。 内部研究开发项目开发阶段的支出，同时满足下列条件时确认为无形资产：</w:t>
      </w:r>
    </w:p>
    <w:p>
      <w:pPr>
        <w:pStyle w:val="BodyText"/>
        <w:spacing w:line="240" w:lineRule="auto" w:before="19"/>
        <w:ind w:left="513" w:right="9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519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8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4" w:right="9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4" w:right="93"/>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31"/>
        <w:ind w:right="93"/>
        <w:jc w:val="left"/>
      </w:pPr>
      <w:r>
        <w:rPr/>
        <w:t>资产。已资本化的开发阶段的支出在资产负债表上列示为开发支出，自该项目达到预定用途之日起转为无形资产。</w:t>
      </w:r>
    </w:p>
    <w:p>
      <w:pPr>
        <w:spacing w:line="240" w:lineRule="auto" w:before="12"/>
        <w:rPr>
          <w:rFonts w:ascii="宋体" w:hAnsi="宋体" w:cs="宋体" w:eastAsia="宋体" w:hint="default"/>
          <w:sz w:val="26"/>
          <w:szCs w:val="26"/>
        </w:rPr>
      </w:pPr>
    </w:p>
    <w:p>
      <w:pPr>
        <w:pStyle w:val="Heading3"/>
        <w:spacing w:line="240" w:lineRule="auto"/>
        <w:ind w:left="153" w:right="5192"/>
        <w:jc w:val="left"/>
        <w:rPr>
          <w:b w:val="0"/>
          <w:bCs w:val="0"/>
        </w:rPr>
      </w:pPr>
      <w:bookmarkStart w:name="22、长期资产减值" w:id="153"/>
      <w:bookmarkEnd w:id="15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3"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4" w:right="92"/>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191"/>
        <w:jc w:val="both"/>
      </w:pPr>
      <w:r>
        <w:rPr>
          <w:spacing w:val="-2"/>
        </w:rPr>
        <w:t>记的金额确认为资产减值损失，计入当期损益，同时计提相应的资产减值准备。资产减值损失一经确认，在以后会计期间不</w:t>
      </w:r>
      <w:r>
        <w:rPr>
          <w:spacing w:val="-66"/>
        </w:rPr>
        <w:t> </w:t>
      </w:r>
      <w:r>
        <w:rPr>
          <w:spacing w:val="-66"/>
        </w:rPr>
      </w:r>
      <w:r>
        <w:rPr/>
        <w:t>得转回。</w:t>
      </w:r>
    </w:p>
    <w:p>
      <w:pPr>
        <w:pStyle w:val="BodyText"/>
        <w:spacing w:line="316" w:lineRule="auto" w:before="19"/>
        <w:ind w:right="93" w:firstLine="360"/>
        <w:jc w:val="left"/>
      </w:pPr>
      <w:r>
        <w:rPr>
          <w:spacing w:val="-2"/>
        </w:rPr>
        <w:t>资产减值损失确认后，减值资产的折旧或者摊销费用在未来期间作相应调整，以使该资产在剩余使用寿命内，系统地分</w:t>
      </w:r>
      <w:r>
        <w:rPr/>
        <w:t> </w:t>
      </w:r>
      <w:r>
        <w:rPr>
          <w:spacing w:val="-5"/>
        </w:rPr>
        <w:t>摊调整后的资产账面价值（扣除预计净残值）。</w:t>
      </w:r>
    </w:p>
    <w:p>
      <w:pPr>
        <w:pStyle w:val="BodyText"/>
        <w:spacing w:line="316" w:lineRule="auto" w:before="19"/>
        <w:ind w:left="514" w:right="93"/>
        <w:jc w:val="left"/>
      </w:pPr>
      <w:r>
        <w:rPr/>
        <w:t>因企业合并所形成的商誉和使用寿命不确定的无形资产，无论是否存在减值迹象，每年都进行减值测试。 商誉结合与其相关的资产组或者资产组组合进行减值测试。在对包含商誉的相关资产组或者资产组组合进行减值测试</w:t>
      </w:r>
    </w:p>
    <w:p>
      <w:pPr>
        <w:pStyle w:val="BodyText"/>
        <w:spacing w:line="316" w:lineRule="auto" w:before="19"/>
        <w:ind w:right="191"/>
        <w:jc w:val="both"/>
      </w:pPr>
      <w:r>
        <w:rPr>
          <w:spacing w:val="-2"/>
        </w:rPr>
        <w:t>时，如与商誉相关的资产组或者资产组组合存在减值迹象的，先对不包含商誉的资产组或者资产组组合进行减值测试，计算</w:t>
      </w:r>
      <w:r>
        <w:rPr>
          <w:spacing w:val="-66"/>
        </w:rPr>
        <w:t> </w:t>
      </w:r>
      <w:r>
        <w:rPr>
          <w:spacing w:val="-66"/>
        </w:rPr>
      </w:r>
      <w:r>
        <w:rPr>
          <w:spacing w:val="-2"/>
        </w:rPr>
        <w:t>可收回金额，并与相关账面价值相比较，确认相应的减值损失。再对包含商誉的资产组或者资产组组合进行减值测试，比较</w:t>
      </w:r>
      <w:r>
        <w:rPr>
          <w:spacing w:val="-66"/>
        </w:rPr>
        <w:t> </w:t>
      </w:r>
      <w:r>
        <w:rPr>
          <w:spacing w:val="-66"/>
        </w:rPr>
      </w:r>
      <w:r>
        <w:rPr>
          <w:spacing w:val="-2"/>
        </w:rPr>
        <w:t>这些相关资产组或者资产组组合的账面价值（包括所分摊的商誉的账面价值部分）与其可收回金额，如相关资产组或者资产</w:t>
      </w:r>
      <w:r>
        <w:rPr>
          <w:spacing w:val="-66"/>
        </w:rPr>
        <w:t> </w:t>
      </w:r>
      <w:r>
        <w:rPr>
          <w:spacing w:val="-66"/>
        </w:rPr>
      </w:r>
      <w:r>
        <w:rPr/>
        <w:t>组组合的可收回金额低于其账面价值的，确认商誉的减值损失。</w:t>
      </w:r>
    </w:p>
    <w:p>
      <w:pPr>
        <w:spacing w:after="0" w:line="316" w:lineRule="auto"/>
        <w:jc w:val="both"/>
        <w:sectPr>
          <w:pgSz w:w="11910" w:h="16840"/>
          <w:pgMar w:header="877" w:footer="979" w:top="1100" w:bottom="116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5192"/>
        <w:jc w:val="left"/>
        <w:rPr>
          <w:b w:val="0"/>
          <w:bCs w:val="0"/>
        </w:rPr>
      </w:pPr>
      <w:bookmarkStart w:name="23、长期待摊费用" w:id="154"/>
      <w:bookmarkEnd w:id="15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5192"/>
        <w:jc w:val="left"/>
        <w:rPr>
          <w:b w:val="0"/>
          <w:bCs w:val="0"/>
        </w:rPr>
      </w:pPr>
      <w:r>
        <w:rPr>
          <w:rFonts w:ascii="Times New Roman" w:hAnsi="Times New Roman" w:cs="Times New Roman" w:eastAsia="Times New Roman" w:hint="default"/>
        </w:rPr>
        <w:t>1.</w:t>
      </w:r>
      <w:r>
        <w:rPr/>
        <w:t>摊销方法</w:t>
      </w:r>
      <w:r>
        <w:rPr>
          <w:b w:val="0"/>
          <w:bCs w:val="0"/>
        </w:rPr>
      </w:r>
    </w:p>
    <w:p>
      <w:pPr>
        <w:pStyle w:val="BodyText"/>
        <w:spacing w:line="300" w:lineRule="auto" w:before="63"/>
        <w:ind w:left="153" w:right="243" w:firstLine="30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益期内按直接法分期摊销。</w:t>
      </w:r>
    </w:p>
    <w:p>
      <w:pPr>
        <w:pStyle w:val="Heading5"/>
        <w:spacing w:line="240" w:lineRule="auto" w:before="31"/>
        <w:ind w:right="5192"/>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34" w:type="dxa"/>
        <w:tblLayout w:type="fixed"/>
        <w:tblCellMar>
          <w:top w:w="0" w:type="dxa"/>
          <w:left w:w="0" w:type="dxa"/>
          <w:bottom w:w="0" w:type="dxa"/>
          <w:right w:w="0" w:type="dxa"/>
        </w:tblCellMar>
        <w:tblLook w:val="01E0"/>
      </w:tblPr>
      <w:tblGrid>
        <w:gridCol w:w="2856"/>
        <w:gridCol w:w="2844"/>
        <w:gridCol w:w="2843"/>
      </w:tblGrid>
      <w:tr>
        <w:trPr>
          <w:trHeight w:val="3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5192"/>
        <w:jc w:val="left"/>
        <w:rPr>
          <w:b w:val="0"/>
          <w:bCs w:val="0"/>
        </w:rPr>
      </w:pPr>
      <w:bookmarkStart w:name="24、职工薪酬" w:id="155"/>
      <w:bookmarkEnd w:id="155"/>
      <w:r>
        <w:rPr>
          <w:b w:val="0"/>
          <w:bCs w:val="0"/>
        </w:rPr>
      </w:r>
      <w:r>
        <w:rPr>
          <w:rFonts w:ascii="Times New Roman" w:hAnsi="Times New Roman" w:cs="Times New Roman" w:eastAsia="Times New Roman" w:hint="default"/>
        </w:rPr>
        <w:t>24</w:t>
      </w:r>
      <w:r>
        <w:rPr/>
        <w:t>、职工薪酬</w:t>
      </w:r>
      <w:r>
        <w:rPr>
          <w:b w:val="0"/>
          <w:bCs w:val="0"/>
        </w:rPr>
      </w:r>
    </w:p>
    <w:p>
      <w:pPr>
        <w:spacing w:line="614" w:lineRule="exact" w:before="67"/>
        <w:ind w:left="513" w:right="93" w:hanging="360"/>
        <w:jc w:val="left"/>
        <w:rPr>
          <w:rFonts w:ascii="宋体" w:hAnsi="宋体" w:cs="宋体" w:eastAsia="宋体" w:hint="default"/>
          <w:sz w:val="18"/>
          <w:szCs w:val="18"/>
        </w:rPr>
      </w:pPr>
      <w:bookmarkStart w:name="（1）短期薪酬的会计处理方法" w:id="156"/>
      <w:bookmarkEnd w:id="15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pacing w:val="-4"/>
          <w:sz w:val="18"/>
          <w:szCs w:val="18"/>
        </w:rPr>
        <w:t>职工薪酬，是指本公司为获得职工提供的服务或解除劳动关系而给予的各种形式的报酬或补偿。职工薪酬包括短期薪酬、</w:t>
      </w:r>
    </w:p>
    <w:p>
      <w:pPr>
        <w:pStyle w:val="BodyText"/>
        <w:spacing w:line="215" w:lineRule="exact"/>
        <w:ind w:left="153" w:right="5192"/>
        <w:jc w:val="left"/>
      </w:pPr>
      <w:r>
        <w:rPr/>
        <w:t>离职后福利、辞退福利和其他长期职工福利。</w:t>
      </w:r>
    </w:p>
    <w:p>
      <w:pPr>
        <w:pStyle w:val="BodyText"/>
        <w:spacing w:line="316" w:lineRule="auto" w:before="76"/>
        <w:ind w:left="153" w:right="191"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line="612" w:lineRule="exact" w:before="40"/>
        <w:ind w:left="513" w:right="93" w:hanging="360"/>
        <w:jc w:val="left"/>
        <w:rPr>
          <w:rFonts w:ascii="宋体" w:hAnsi="宋体" w:cs="宋体" w:eastAsia="宋体" w:hint="default"/>
          <w:sz w:val="18"/>
          <w:szCs w:val="18"/>
        </w:rPr>
      </w:pPr>
      <w:bookmarkStart w:name="（2）离职后福利的会计处理方法" w:id="157"/>
      <w:bookmarkEnd w:id="157"/>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离职后福利是指本公司为获得职工提供的服务而在职工退休或与企业解除劳动关系后，提供的各种形式的报酬和福利，</w:t>
      </w:r>
    </w:p>
    <w:p>
      <w:pPr>
        <w:pStyle w:val="BodyText"/>
        <w:spacing w:line="215" w:lineRule="exact"/>
        <w:ind w:left="153" w:right="93"/>
        <w:jc w:val="left"/>
      </w:pPr>
      <w:r>
        <w:rPr/>
        <w:t>短期薪酬和辞退福利除外。离职后福利计划分类为设定提存计划和设定受益计划。</w:t>
      </w:r>
    </w:p>
    <w:p>
      <w:pPr>
        <w:pStyle w:val="BodyText"/>
        <w:spacing w:line="316" w:lineRule="auto" w:before="76"/>
        <w:ind w:left="153" w:right="192" w:firstLine="360"/>
        <w:jc w:val="both"/>
      </w:pPr>
      <w:r>
        <w:rPr>
          <w:spacing w:val="-2"/>
        </w:rPr>
        <w:t>离职后福利设定提存计划主要为参加由各地劳动及社会保障机构组织实施的社会基本养老保险、失业保险等；在职工为</w:t>
      </w:r>
      <w:r>
        <w:rPr/>
        <w:t> 本公司提供服务的会计期间，将根据设定提存计划计算的应缴存金额确认为负债，并计入当期损益或相关资产成本。</w:t>
      </w:r>
    </w:p>
    <w:p>
      <w:pPr>
        <w:pStyle w:val="BodyText"/>
        <w:spacing w:line="240" w:lineRule="auto" w:before="19"/>
        <w:ind w:left="513" w:right="93"/>
        <w:jc w:val="left"/>
      </w:pPr>
      <w:r>
        <w:rPr/>
        <w:t>本公司按照国家规定的标准和年金计划定期缴付上述款项后，不再有其他的支付义务。</w:t>
      </w:r>
    </w:p>
    <w:p>
      <w:pPr>
        <w:spacing w:line="600" w:lineRule="atLeast" w:before="27"/>
        <w:ind w:left="513" w:right="273" w:hanging="360"/>
        <w:jc w:val="left"/>
        <w:rPr>
          <w:rFonts w:ascii="宋体" w:hAnsi="宋体" w:cs="宋体" w:eastAsia="宋体" w:hint="default"/>
          <w:sz w:val="18"/>
          <w:szCs w:val="18"/>
        </w:rPr>
      </w:pPr>
      <w:bookmarkStart w:name="（3）辞退福利的会计处理方法" w:id="158"/>
      <w:bookmarkEnd w:id="15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辞退福利是指本公司在职工劳动合同到期之前解除与职工的劳动关系，或者为鼓励职工自愿接受裁减而给予职工的补</w:t>
      </w:r>
    </w:p>
    <w:p>
      <w:pPr>
        <w:pStyle w:val="BodyText"/>
        <w:spacing w:line="240" w:lineRule="auto" w:before="76"/>
        <w:ind w:left="153" w:right="5192"/>
        <w:jc w:val="left"/>
      </w:pPr>
      <w:r>
        <w:rPr/>
        <w:t>偿，在发生当期计入当期损益。</w:t>
      </w:r>
    </w:p>
    <w:p>
      <w:pPr>
        <w:spacing w:line="240" w:lineRule="auto" w:before="0"/>
        <w:rPr>
          <w:rFonts w:ascii="宋体" w:hAnsi="宋体" w:cs="宋体" w:eastAsia="宋体" w:hint="default"/>
          <w:sz w:val="18"/>
          <w:szCs w:val="18"/>
        </w:rPr>
      </w:pPr>
    </w:p>
    <w:p>
      <w:pPr>
        <w:pStyle w:val="Heading5"/>
        <w:spacing w:line="240" w:lineRule="auto" w:before="142"/>
        <w:ind w:right="5192"/>
        <w:jc w:val="left"/>
        <w:rPr>
          <w:b w:val="0"/>
          <w:bCs w:val="0"/>
        </w:rPr>
      </w:pPr>
      <w:bookmarkStart w:name="（4）其他长期职工福利的会计处理方法" w:id="159"/>
      <w:bookmarkEnd w:id="15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13" w:right="93"/>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316" w:lineRule="auto" w:before="19"/>
        <w:ind w:left="153" w:right="93"/>
        <w:jc w:val="left"/>
      </w:pPr>
      <w:r>
        <w:rPr>
          <w:spacing w:val="-2"/>
        </w:rPr>
        <w:t>入当期损益或相关资产成本；除上述情形外的其他长期职工福利，在资产负债表日使用预期累计福利单位法进行精算，将设</w:t>
      </w:r>
      <w:r>
        <w:rPr>
          <w:spacing w:val="-66"/>
        </w:rPr>
        <w:t> </w:t>
      </w:r>
      <w:r>
        <w:rPr>
          <w:spacing w:val="-66"/>
        </w:rPr>
      </w:r>
      <w:r>
        <w:rPr/>
        <w:t>定受益计划产生的福利义务归属于职工提供服务的期间，并计入当期损益或相关资产成本。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53" w:right="5192"/>
        <w:jc w:val="left"/>
        <w:rPr>
          <w:b w:val="0"/>
          <w:bCs w:val="0"/>
        </w:rPr>
      </w:pPr>
      <w:bookmarkStart w:name="25、预计负债" w:id="160"/>
      <w:bookmarkEnd w:id="16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spacing w:line="309" w:lineRule="auto" w:before="0"/>
        <w:ind w:left="513" w:right="387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与或有事项相关的义务同时满足下列条件时，本公司确认为预计负债： 该义务是本公司承担的现时义务；</w:t>
      </w:r>
    </w:p>
    <w:p>
      <w:pPr>
        <w:spacing w:after="0" w:line="309"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513" w:right="5853"/>
        <w:jc w:val="left"/>
      </w:pPr>
      <w:r>
        <w:rPr/>
        <w:t>履行该义务很可能导致经济利益流出本公司； 该义务的金额能够可靠地计量。</w:t>
      </w:r>
    </w:p>
    <w:p>
      <w:pPr>
        <w:spacing w:line="300" w:lineRule="auto" w:before="19"/>
        <w:ind w:left="513" w:right="333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2"/>
        <w:ind w:left="153" w:right="93"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93"/>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3" w:right="93"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left="153" w:right="93"/>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left="153" w:right="93"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left="153" w:right="5192"/>
        <w:jc w:val="left"/>
        <w:rPr>
          <w:b w:val="0"/>
          <w:bCs w:val="0"/>
        </w:rPr>
      </w:pPr>
      <w:bookmarkStart w:name="26、股份支付" w:id="161"/>
      <w:bookmarkEnd w:id="16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192"/>
        <w:jc w:val="left"/>
        <w:rPr>
          <w:b w:val="0"/>
          <w:bCs w:val="0"/>
        </w:rPr>
      </w:pPr>
      <w:bookmarkStart w:name="27、优先股、永续债等其他金融工具" w:id="162"/>
      <w:bookmarkEnd w:id="16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5192"/>
        <w:jc w:val="left"/>
        <w:rPr>
          <w:b w:val="0"/>
          <w:bCs w:val="0"/>
        </w:rPr>
      </w:pPr>
      <w:bookmarkStart w:name="28、收入" w:id="163"/>
      <w:bookmarkEnd w:id="16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9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31"/>
        <w:ind w:right="93"/>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6" w:lineRule="auto" w:before="19"/>
        <w:ind w:right="93" w:firstLine="360"/>
        <w:jc w:val="left"/>
      </w:pPr>
      <w:r>
        <w:rPr>
          <w:spacing w:val="-2"/>
        </w:rPr>
        <w:t>本公司国内直销收入确认时点为客户在《安装调试、技术培训报告单》签字确认时间；国外直销和经销收入确认时点均</w:t>
      </w:r>
      <w:r>
        <w:rPr/>
        <w:t> 为货物报关出口时间。</w:t>
      </w:r>
    </w:p>
    <w:p>
      <w:pPr>
        <w:pStyle w:val="BodyText"/>
        <w:spacing w:line="316" w:lineRule="auto" w:before="19"/>
        <w:ind w:right="93" w:firstLine="360"/>
        <w:jc w:val="left"/>
      </w:pPr>
      <w:r>
        <w:rPr>
          <w:spacing w:val="-2"/>
        </w:rPr>
        <w:t>合同或协议价款的收取采用递延方式，实质上具有融资性质的，按照应收的合同或协议价款的公允价值确定销售商品收</w:t>
      </w:r>
      <w:r>
        <w:rPr/>
        <w:t> 入金额。</w:t>
      </w:r>
    </w:p>
    <w:p>
      <w:pPr>
        <w:spacing w:line="300" w:lineRule="auto" w:before="19"/>
        <w:ind w:left="514" w:right="9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31"/>
        <w:ind w:left="514" w:right="9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3" w:right="9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00" w:lineRule="auto" w:before="63"/>
        <w:ind w:left="513" w:right="9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16" w:lineRule="auto" w:before="31"/>
        <w:ind w:left="513" w:right="4593" w:hanging="360"/>
        <w:jc w:val="left"/>
      </w:pPr>
      <w:r>
        <w:rPr/>
        <w:t>依据已经发生的成本占估计总成本的比例确定。 提供劳务交易的结果能够可靠估计，是指同时满足下列条件：</w:t>
      </w:r>
    </w:p>
    <w:p>
      <w:pPr>
        <w:pStyle w:val="BodyText"/>
        <w:spacing w:line="240" w:lineRule="auto" w:before="19"/>
        <w:ind w:left="514" w:right="5192"/>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513" w:right="5192"/>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513" w:right="5192"/>
        <w:jc w:val="left"/>
      </w:pPr>
      <w:r>
        <w:rPr/>
        <w:t>（</w:t>
      </w:r>
      <w:r>
        <w:rPr>
          <w:rFonts w:ascii="Times New Roman" w:hAnsi="Times New Roman" w:cs="Times New Roman" w:eastAsia="Times New Roman" w:hint="default"/>
        </w:rPr>
        <w:t>3</w:t>
      </w:r>
      <w:r>
        <w:rPr/>
        <w:t>）交易的完工进度能够可靠地确定；</w:t>
      </w:r>
    </w:p>
    <w:p>
      <w:pPr>
        <w:pStyle w:val="BodyText"/>
        <w:spacing w:line="285" w:lineRule="auto" w:before="37"/>
        <w:ind w:left="514" w:right="93" w:firstLine="60"/>
        <w:jc w:val="left"/>
      </w:pPr>
      <w:r>
        <w:rPr>
          <w:sz w:val="21"/>
          <w:szCs w:val="21"/>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42"/>
        <w:ind w:right="93"/>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93"/>
        <w:jc w:val="left"/>
      </w:pPr>
      <w:r>
        <w:rPr/>
        <w:t>在资产负债表日提供劳务交易结果不能够可靠估计的，分别下列情况处理：</w:t>
      </w:r>
    </w:p>
    <w:p>
      <w:pPr>
        <w:spacing w:after="0" w:line="240" w:lineRule="auto"/>
        <w:jc w:val="left"/>
        <w:sectPr>
          <w:footerReference w:type="default" r:id="rId62"/>
          <w:pgSz w:w="11910" w:h="16840"/>
          <w:pgMar w:footer="979" w:header="877" w:top="1100" w:bottom="1160" w:left="980" w:right="940"/>
          <w:pgNumType w:start="112"/>
        </w:sectPr>
      </w:pPr>
    </w:p>
    <w:p>
      <w:pPr>
        <w:spacing w:line="240" w:lineRule="auto" w:before="12"/>
        <w:rPr>
          <w:rFonts w:ascii="宋体" w:hAnsi="宋体" w:cs="宋体" w:eastAsia="宋体" w:hint="default"/>
          <w:sz w:val="21"/>
          <w:szCs w:val="21"/>
        </w:rPr>
      </w:pPr>
    </w:p>
    <w:p>
      <w:pPr>
        <w:pStyle w:val="BodyText"/>
        <w:spacing w:line="300" w:lineRule="auto" w:before="44"/>
        <w:ind w:left="153" w:right="183"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513" w:right="93"/>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2"/>
        <w:ind w:left="153" w:right="93"/>
        <w:jc w:val="left"/>
        <w:rPr>
          <w:rFonts w:ascii="宋体" w:hAnsi="宋体" w:cs="宋体" w:eastAsia="宋体" w:hint="default"/>
        </w:rPr>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 </w:t>
      </w:r>
      <w:r>
        <w:rPr>
          <w:rFonts w:ascii="Times New Roman" w:hAnsi="Times New Roman" w:cs="Times New Roman" w:eastAsia="Times New Roman" w:hint="default"/>
          <w:b/>
          <w:bCs/>
        </w:rPr>
        <w:t>4.</w:t>
      </w:r>
      <w:r>
        <w:rPr>
          <w:rFonts w:ascii="宋体" w:hAnsi="宋体" w:cs="宋体" w:eastAsia="宋体" w:hint="default"/>
          <w:b/>
          <w:bCs/>
        </w:rPr>
        <w:t>建造合同收入的确认依据和方法</w:t>
      </w:r>
      <w:r>
        <w:rPr>
          <w:rFonts w:ascii="宋体" w:hAnsi="宋体" w:cs="宋体" w:eastAsia="宋体" w:hint="default"/>
        </w:rPr>
      </w:r>
    </w:p>
    <w:p>
      <w:pPr>
        <w:pStyle w:val="BodyText"/>
        <w:spacing w:line="309" w:lineRule="auto"/>
        <w:ind w:right="93" w:firstLine="360"/>
        <w:jc w:val="left"/>
      </w:pPr>
      <w:r>
        <w:rPr>
          <w:spacing w:val="-2"/>
        </w:rPr>
        <w:t>（</w:t>
      </w:r>
      <w:r>
        <w:rPr>
          <w:rFonts w:ascii="Times New Roman" w:hAnsi="Times New Roman" w:cs="Times New Roman" w:eastAsia="Times New Roman" w:hint="default"/>
          <w:spacing w:val="-2"/>
        </w:rPr>
        <w:t>1</w:t>
      </w:r>
      <w:r>
        <w:rPr>
          <w:spacing w:val="-2"/>
        </w:rPr>
        <w:t>）当建造合同的结果能够可靠地估计时，与其相关的合同收入和合同费用在资产负债表日按完工百分比法予以确认。</w:t>
      </w:r>
      <w:r>
        <w:rPr/>
        <w:t> </w:t>
      </w:r>
      <w:r>
        <w:rPr>
          <w:spacing w:val="-2"/>
        </w:rPr>
        <w:t>完工百分比法，是指根据合同完工进度确认合同收入和合同费用的方法。合同完工进度按照累计实际发生的合同费用占合同</w:t>
      </w:r>
      <w:r>
        <w:rPr>
          <w:spacing w:val="-64"/>
        </w:rPr>
        <w:t> </w:t>
      </w:r>
      <w:r>
        <w:rPr>
          <w:spacing w:val="-64"/>
        </w:rPr>
      </w:r>
      <w:r>
        <w:rPr/>
        <w:t>预计总成本的比例确定。</w:t>
      </w:r>
    </w:p>
    <w:p>
      <w:pPr>
        <w:pStyle w:val="BodyText"/>
        <w:spacing w:line="240" w:lineRule="auto" w:before="24"/>
        <w:ind w:left="514" w:right="93"/>
        <w:jc w:val="left"/>
      </w:pPr>
      <w:r>
        <w:rPr/>
        <w:t>固定造价合同的结果能够可靠估计，是指同时满足下列条件：</w:t>
      </w:r>
    </w:p>
    <w:p>
      <w:pPr>
        <w:pStyle w:val="BodyText"/>
        <w:spacing w:line="240" w:lineRule="auto" w:before="76"/>
        <w:ind w:left="514" w:right="5192"/>
        <w:jc w:val="left"/>
      </w:pPr>
      <w:r>
        <w:rPr>
          <w:rFonts w:ascii="Times New Roman" w:hAnsi="Times New Roman" w:cs="Times New Roman" w:eastAsia="Times New Roman" w:hint="default"/>
        </w:rPr>
        <w:t>1</w:t>
      </w:r>
      <w:r>
        <w:rPr/>
        <w:t>）合同总收入能够可靠地计量；</w:t>
      </w:r>
    </w:p>
    <w:p>
      <w:pPr>
        <w:pStyle w:val="BodyText"/>
        <w:spacing w:line="240" w:lineRule="auto" w:before="63"/>
        <w:ind w:left="513" w:right="5192"/>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63"/>
        <w:ind w:left="514" w:right="93"/>
        <w:jc w:val="left"/>
      </w:pPr>
      <w:r>
        <w:rPr>
          <w:rFonts w:ascii="Times New Roman" w:hAnsi="Times New Roman" w:cs="Times New Roman" w:eastAsia="Times New Roman" w:hint="default"/>
        </w:rPr>
        <w:t>3</w:t>
      </w:r>
      <w:r>
        <w:rPr/>
        <w:t>）实际发生的合同成本能够清楚地区分和可靠地计量；</w:t>
      </w:r>
    </w:p>
    <w:p>
      <w:pPr>
        <w:pStyle w:val="BodyText"/>
        <w:spacing w:line="309" w:lineRule="auto" w:before="63"/>
        <w:ind w:left="513" w:right="4323"/>
        <w:jc w:val="left"/>
      </w:pPr>
      <w:r>
        <w:rPr>
          <w:rFonts w:ascii="Times New Roman" w:hAnsi="Times New Roman" w:cs="Times New Roman" w:eastAsia="Times New Roman" w:hint="default"/>
        </w:rPr>
        <w:t>4</w:t>
      </w:r>
      <w:r>
        <w:rPr/>
        <w:t>）合同完工进度和为完成合同尚需发生的成本能够可靠地确定。 成本加成合同的结果能够可靠估计，是指同时满足下列条件： </w:t>
      </w:r>
      <w:r>
        <w:rPr>
          <w:rFonts w:ascii="Times New Roman" w:hAnsi="Times New Roman" w:cs="Times New Roman" w:eastAsia="Times New Roman" w:hint="default"/>
        </w:rPr>
        <w:t>1</w:t>
      </w:r>
      <w:r>
        <w:rPr/>
        <w:t>）与合同相关的经济利益很可能流入企业；</w:t>
      </w:r>
    </w:p>
    <w:p>
      <w:pPr>
        <w:pStyle w:val="BodyText"/>
        <w:spacing w:line="300" w:lineRule="auto" w:before="5"/>
        <w:ind w:left="514" w:right="93"/>
        <w:jc w:val="left"/>
      </w:pPr>
      <w:r>
        <w:rPr>
          <w:rFonts w:ascii="Times New Roman" w:hAnsi="Times New Roman" w:cs="Times New Roman" w:eastAsia="Times New Roman" w:hint="default"/>
        </w:rPr>
        <w:t>2</w:t>
      </w:r>
      <w:r>
        <w:rPr/>
        <w:t>）实际发生的合同成本能够清楚地区分和可靠地计量。 </w:t>
      </w:r>
      <w:r>
        <w:rPr>
          <w:spacing w:val="-2"/>
        </w:rPr>
        <w:t>在资产负债表日，按照合同总收入乘以完工进度扣除以前会计期间累计已确认收入后的金额，确认为当期合同收入；同</w:t>
      </w:r>
    </w:p>
    <w:p>
      <w:pPr>
        <w:pStyle w:val="BodyText"/>
        <w:spacing w:line="316" w:lineRule="auto" w:before="31"/>
        <w:ind w:right="93"/>
        <w:jc w:val="left"/>
      </w:pPr>
      <w:r>
        <w:rPr>
          <w:spacing w:val="-4"/>
        </w:rPr>
        <w:t>时，按照合同预计总成本乘以完工进度扣除以前会计期间累计已确认费用后的金额，确认为当期合同费用。合同工程的变动、</w:t>
      </w:r>
      <w:r>
        <w:rPr>
          <w:spacing w:val="-44"/>
        </w:rPr>
        <w:t> </w:t>
      </w:r>
      <w:r>
        <w:rPr>
          <w:spacing w:val="-44"/>
        </w:rPr>
      </w:r>
      <w:r>
        <w:rPr/>
        <w:t>索赔及奖金以可能带来收入并能可靠计算的数额为限计入合同总收入。</w:t>
      </w:r>
    </w:p>
    <w:p>
      <w:pPr>
        <w:pStyle w:val="BodyText"/>
        <w:spacing w:line="240" w:lineRule="auto" w:before="19"/>
        <w:ind w:left="513" w:right="93"/>
        <w:jc w:val="left"/>
      </w:pPr>
      <w:r>
        <w:rPr/>
        <w:t>（</w:t>
      </w:r>
      <w:r>
        <w:rPr>
          <w:rFonts w:ascii="Times New Roman" w:hAnsi="Times New Roman" w:cs="Times New Roman" w:eastAsia="Times New Roman" w:hint="default"/>
        </w:rPr>
        <w:t>2</w:t>
      </w:r>
      <w:r>
        <w:rPr/>
        <w:t>）建造合同的结果不能可靠估计的，分别下列情况处理：</w:t>
      </w:r>
    </w:p>
    <w:p>
      <w:pPr>
        <w:pStyle w:val="BodyText"/>
        <w:spacing w:line="240" w:lineRule="auto" w:before="63"/>
        <w:ind w:left="514" w:right="0"/>
        <w:jc w:val="left"/>
      </w:pPr>
      <w:r>
        <w:rPr>
          <w:rFonts w:ascii="Times New Roman" w:hAnsi="Times New Roman" w:cs="Times New Roman" w:eastAsia="Times New Roman" w:hint="default"/>
          <w:spacing w:val="-2"/>
        </w:rPr>
        <w:t>1</w:t>
      </w:r>
      <w:r>
        <w:rPr>
          <w:spacing w:val="-2"/>
        </w:rPr>
        <w:t>）合同成本能够收回的，合同收入根据能够收回的实际合同成本予以确认，合同成本在其发生的当期确认为合同费用。</w:t>
      </w:r>
    </w:p>
    <w:p>
      <w:pPr>
        <w:pStyle w:val="BodyText"/>
        <w:spacing w:line="240" w:lineRule="auto" w:before="63"/>
        <w:ind w:left="514" w:right="93"/>
        <w:jc w:val="left"/>
      </w:pPr>
      <w:r>
        <w:rPr>
          <w:rFonts w:ascii="Times New Roman" w:hAnsi="Times New Roman" w:cs="Times New Roman" w:eastAsia="Times New Roman" w:hint="default"/>
        </w:rPr>
        <w:t>2</w:t>
      </w:r>
      <w:r>
        <w:rPr/>
        <w:t>）合同成本不可能收回的，在发生时立即确认为合同费用，不确认合同收入。</w:t>
      </w:r>
    </w:p>
    <w:p>
      <w:pPr>
        <w:pStyle w:val="BodyText"/>
        <w:spacing w:line="240" w:lineRule="auto" w:before="63"/>
        <w:ind w:left="513" w:right="93"/>
        <w:jc w:val="left"/>
      </w:pPr>
      <w:r>
        <w:rPr>
          <w:rFonts w:ascii="Times New Roman" w:hAnsi="Times New Roman" w:cs="Times New Roman" w:eastAsia="Times New Roman" w:hint="default"/>
        </w:rPr>
        <w:t>3</w:t>
      </w:r>
      <w:r>
        <w:rPr/>
        <w:t>）如果合同总成本很可能超过合同总收入，则预期损失立即确认为费用。</w:t>
      </w:r>
    </w:p>
    <w:p>
      <w:pPr>
        <w:spacing w:line="300" w:lineRule="auto" w:before="63"/>
        <w:ind w:left="573" w:right="21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附回购条件的资产转让</w:t>
      </w:r>
      <w:r>
        <w:rPr>
          <w:rFonts w:ascii="宋体" w:hAnsi="宋体" w:cs="宋体" w:eastAsia="宋体" w:hint="default"/>
          <w:b/>
          <w:bCs/>
          <w:w w:val="99"/>
          <w:sz w:val="18"/>
          <w:szCs w:val="18"/>
        </w:rPr>
        <w:t> </w:t>
      </w:r>
      <w:r>
        <w:rPr>
          <w:rFonts w:ascii="宋体" w:hAnsi="宋体" w:cs="宋体" w:eastAsia="宋体" w:hint="default"/>
          <w:sz w:val="18"/>
          <w:szCs w:val="18"/>
        </w:rPr>
        <w:t>公司销售产品或转让其他资产时，与购买方签订了所销售的产品或转让资产回购协议，根据协议条款判断销售商品是</w:t>
      </w:r>
    </w:p>
    <w:p>
      <w:pPr>
        <w:pStyle w:val="BodyText"/>
        <w:spacing w:line="316" w:lineRule="auto" w:before="31"/>
        <w:ind w:left="153" w:right="93"/>
        <w:jc w:val="left"/>
      </w:pPr>
      <w:r>
        <w:rPr>
          <w:spacing w:val="-2"/>
        </w:rPr>
        <w:t>否满足收入确认条件。如售后回购属于融资交易，则在交付产品或资产时，本公司不确认销售收入。回购价款大于销售价款</w:t>
      </w:r>
      <w:r>
        <w:rPr>
          <w:spacing w:val="-66"/>
        </w:rPr>
        <w:t> </w:t>
      </w:r>
      <w:r>
        <w:rPr>
          <w:spacing w:val="-66"/>
        </w:rPr>
      </w:r>
      <w:r>
        <w:rPr/>
        <w:t>的差额，在回购期间按期计提利息，计入财务费用。</w:t>
      </w:r>
    </w:p>
    <w:p>
      <w:pPr>
        <w:spacing w:line="240" w:lineRule="auto" w:before="7"/>
        <w:rPr>
          <w:rFonts w:ascii="宋体" w:hAnsi="宋体" w:cs="宋体" w:eastAsia="宋体" w:hint="default"/>
          <w:sz w:val="22"/>
          <w:szCs w:val="22"/>
        </w:rPr>
      </w:pPr>
    </w:p>
    <w:p>
      <w:pPr>
        <w:pStyle w:val="Heading3"/>
        <w:spacing w:line="240" w:lineRule="auto"/>
        <w:ind w:right="5192"/>
        <w:jc w:val="left"/>
        <w:rPr>
          <w:b w:val="0"/>
          <w:bCs w:val="0"/>
        </w:rPr>
      </w:pPr>
      <w:bookmarkStart w:name="29、政府补助" w:id="164"/>
      <w:bookmarkEnd w:id="164"/>
      <w:r>
        <w:rPr>
          <w:b w:val="0"/>
          <w:bCs w:val="0"/>
        </w:rPr>
      </w:r>
      <w:r>
        <w:rPr>
          <w:rFonts w:ascii="Times New Roman" w:hAnsi="Times New Roman" w:cs="Times New Roman" w:eastAsia="Times New Roman" w:hint="default"/>
        </w:rPr>
        <w:t>29</w:t>
      </w:r>
      <w:r>
        <w:rPr/>
        <w:t>、政府补助</w:t>
      </w:r>
      <w:r>
        <w:rPr>
          <w:b w:val="0"/>
          <w:bCs w:val="0"/>
        </w:rPr>
      </w:r>
    </w:p>
    <w:p>
      <w:pPr>
        <w:spacing w:line="612" w:lineRule="exact" w:before="68"/>
        <w:ind w:left="573" w:right="213" w:hanging="420"/>
        <w:jc w:val="left"/>
        <w:rPr>
          <w:rFonts w:ascii="宋体" w:hAnsi="宋体" w:cs="宋体" w:eastAsia="宋体" w:hint="default"/>
          <w:sz w:val="18"/>
          <w:szCs w:val="18"/>
        </w:rPr>
      </w:pPr>
      <w:bookmarkStart w:name="（1）与资产相关的政府补助判断依据及会计处理方法" w:id="165"/>
      <w:bookmarkEnd w:id="165"/>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）与资产相关的政府补助判断依据及会计处理方法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z w:val="18"/>
          <w:szCs w:val="18"/>
        </w:rPr>
        <w:t>政府补助，是本公司从政府无偿取得的货币性资产与非货币性资产，但不包括政府作为企业所有者投入的资本。根据</w:t>
      </w:r>
    </w:p>
    <w:p>
      <w:pPr>
        <w:pStyle w:val="BodyText"/>
        <w:spacing w:line="215" w:lineRule="exact"/>
        <w:ind w:left="153" w:right="93"/>
        <w:jc w:val="left"/>
      </w:pPr>
      <w:r>
        <w:rPr/>
        <w:t>相关政府文件规定的补助对象，将政府补助划分为与资产相关的政府补助和与收益相关的政府补助。</w:t>
      </w:r>
    </w:p>
    <w:p>
      <w:pPr>
        <w:pStyle w:val="BodyText"/>
        <w:spacing w:line="316" w:lineRule="auto" w:before="76"/>
        <w:ind w:left="153" w:right="213" w:firstLine="420"/>
        <w:jc w:val="left"/>
      </w:pPr>
      <w:r>
        <w:rPr/>
        <w:t>与资产相关的政府补助，是指本公司取得的、用于购建或以其他方式形成长期资产的政府补助。与收益相关的政府补 助，是指除与资产相关的政府补助之外的政府补助。</w:t>
      </w:r>
    </w:p>
    <w:p>
      <w:pPr>
        <w:pStyle w:val="BodyText"/>
        <w:spacing w:line="316" w:lineRule="auto" w:before="19"/>
        <w:ind w:right="212" w:firstLine="420"/>
        <w:jc w:val="left"/>
      </w:pPr>
      <w:r>
        <w:rPr/>
        <w:t>对期末有证据表明公司能够符合财政扶持政策规定的相关条件且预计能够收到财政扶持资金的，按应收金额确认政府 补助。除此之外，政府补助均在实际收到时确认。</w:t>
      </w:r>
    </w:p>
    <w:p>
      <w:pPr>
        <w:pStyle w:val="BodyText"/>
        <w:spacing w:line="316" w:lineRule="auto" w:before="19"/>
        <w:ind w:right="212" w:firstLine="420"/>
        <w:jc w:val="left"/>
      </w:pPr>
      <w:r>
        <w:rPr/>
        <w:t>政府补助为货币性资产的，按照收到或应收的金额计量。政府补助为非货币性资产的，按照公允价值计量；公允价值 不能够可靠取得的，按照名义金额（人民币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spacing w:after="0" w:line="316" w:lineRule="auto"/>
        <w:jc w:val="left"/>
        <w:sectPr>
          <w:pgSz w:w="11910" w:h="16840"/>
          <w:pgMar w:header="877" w:footer="979" w:top="1100" w:bottom="1160" w:left="980" w:right="940"/>
        </w:sectPr>
      </w:pPr>
    </w:p>
    <w:p>
      <w:pPr>
        <w:spacing w:line="240" w:lineRule="auto" w:before="13"/>
        <w:rPr>
          <w:rFonts w:ascii="宋体" w:hAnsi="宋体" w:cs="宋体" w:eastAsia="宋体" w:hint="default"/>
          <w:sz w:val="21"/>
          <w:szCs w:val="21"/>
        </w:rPr>
      </w:pPr>
    </w:p>
    <w:p>
      <w:pPr>
        <w:pStyle w:val="Heading5"/>
        <w:spacing w:line="240" w:lineRule="auto" w:before="44"/>
        <w:ind w:right="5192"/>
        <w:jc w:val="left"/>
        <w:rPr>
          <w:b w:val="0"/>
          <w:bCs w:val="0"/>
        </w:rPr>
      </w:pPr>
      <w:bookmarkStart w:name="（2）与收益相关的政府补助判断依据及会计处理方法" w:id="166"/>
      <w:bookmarkEnd w:id="16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573" w:right="213"/>
        <w:jc w:val="left"/>
      </w:pPr>
      <w:r>
        <w:rPr/>
        <w:t>与资产相关的政府补助，确认为递延收益，按照所建造或购买的资产使用年限分期计入营业外收入； 与收益相关的政府补助，用于补偿企业以后期间的相关费用或损失的，确认为递延收益，在确认相关费用的期间计入</w:t>
      </w:r>
    </w:p>
    <w:p>
      <w:pPr>
        <w:pStyle w:val="BodyText"/>
        <w:spacing w:line="316" w:lineRule="auto" w:before="19"/>
        <w:ind w:left="573" w:right="213" w:hanging="420"/>
        <w:jc w:val="left"/>
      </w:pPr>
      <w:r>
        <w:rPr/>
        <w:t>当期营业外收入；用于补偿企业已发生的相关费用或损失的，取得时直接计入当期营业外收入。 已确认的政府补助需要返还时，存在相关递延收益余额的，冲减相关递延收益账面余额，超出部分计入当期损益；不</w:t>
      </w:r>
    </w:p>
    <w:p>
      <w:pPr>
        <w:pStyle w:val="BodyText"/>
        <w:spacing w:line="240" w:lineRule="auto" w:before="19"/>
        <w:ind w:left="153" w:right="5192"/>
        <w:jc w:val="left"/>
      </w:pPr>
      <w:r>
        <w:rPr/>
        <w:t>存在相关递延收益的，直接计入当期损益。</w:t>
      </w:r>
    </w:p>
    <w:p>
      <w:pPr>
        <w:spacing w:line="240" w:lineRule="auto" w:before="12"/>
        <w:rPr>
          <w:rFonts w:ascii="宋体" w:hAnsi="宋体" w:cs="宋体" w:eastAsia="宋体" w:hint="default"/>
          <w:sz w:val="26"/>
          <w:szCs w:val="26"/>
        </w:rPr>
      </w:pPr>
    </w:p>
    <w:p>
      <w:pPr>
        <w:pStyle w:val="Heading3"/>
        <w:spacing w:line="240" w:lineRule="auto"/>
        <w:ind w:left="153" w:right="5192"/>
        <w:jc w:val="left"/>
        <w:rPr>
          <w:b w:val="0"/>
          <w:bCs w:val="0"/>
        </w:rPr>
      </w:pPr>
      <w:bookmarkStart w:name="30、递延所得税资产/递延所得税负债" w:id="167"/>
      <w:bookmarkEnd w:id="16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3" w:firstLine="420"/>
        <w:jc w:val="left"/>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计算确认。于资产负债</w:t>
      </w:r>
      <w:r>
        <w:rPr/>
        <w:t> 表日，递延所得税资产和递延所得税负债，按照预期收回该资产或清偿该负债期间的适用税率计量。</w:t>
      </w:r>
    </w:p>
    <w:p>
      <w:pPr>
        <w:spacing w:line="316" w:lineRule="auto" w:before="31"/>
        <w:ind w:left="573" w:right="213" w:hanging="42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z w:val="18"/>
          <w:szCs w:val="18"/>
        </w:rPr>
        <w:t>本公司以很可能取得用来抵扣可抵扣暂时性差异、能够结转以后年度的可抵扣亏损和税款抵减的应纳税所得额为限，</w:t>
      </w:r>
    </w:p>
    <w:p>
      <w:pPr>
        <w:pStyle w:val="BodyText"/>
        <w:spacing w:line="316" w:lineRule="auto" w:before="19"/>
        <w:ind w:left="153" w:right="93"/>
        <w:jc w:val="left"/>
      </w:pPr>
      <w:r>
        <w:rPr>
          <w:spacing w:val="-2"/>
        </w:rPr>
        <w:t>确认由可抵扣暂时性差异产生的递延所得税资产。但是，同时具有下列特征的交易中因资产或负债的初始确认所产生的递延</w:t>
      </w:r>
      <w:r>
        <w:rPr>
          <w:spacing w:val="-64"/>
        </w:rPr>
        <w:t> </w:t>
      </w:r>
      <w:r>
        <w:rPr>
          <w:spacing w:val="-64"/>
        </w:rPr>
      </w:r>
      <w:r>
        <w:rPr>
          <w:spacing w:val="-4"/>
        </w:rPr>
        <w:t>所得税资产不予确认：（</w:t>
      </w:r>
      <w:r>
        <w:rPr>
          <w:rFonts w:ascii="Times New Roman" w:hAnsi="Times New Roman" w:cs="Times New Roman" w:eastAsia="Times New Roman" w:hint="default"/>
          <w:spacing w:val="-4"/>
        </w:rPr>
        <w:t>1</w:t>
      </w:r>
      <w:r>
        <w:rPr>
          <w:spacing w:val="-4"/>
        </w:rPr>
        <w:t>）该交易不是企业合并；（</w:t>
      </w:r>
      <w:r>
        <w:rPr>
          <w:rFonts w:ascii="Times New Roman" w:hAnsi="Times New Roman" w:cs="Times New Roman" w:eastAsia="Times New Roman" w:hint="default"/>
          <w:spacing w:val="-4"/>
        </w:rPr>
        <w:t>2</w:t>
      </w:r>
      <w:r>
        <w:rPr>
          <w:spacing w:val="-4"/>
        </w:rPr>
        <w:t>）交易发生时既不影响会计利润也不影响应纳税所得额或可抵扣亏损。</w:t>
      </w:r>
    </w:p>
    <w:p>
      <w:pPr>
        <w:pStyle w:val="BodyText"/>
        <w:spacing w:line="292" w:lineRule="auto"/>
        <w:ind w:right="212" w:firstLine="420"/>
        <w:jc w:val="left"/>
        <w:rPr>
          <w:sz w:val="21"/>
          <w:szCs w:val="21"/>
        </w:rPr>
      </w:pPr>
      <w:r>
        <w:rPr/>
        <w:t>对于与联营企业投资相关的可抵扣暂时性差异，同时满足下列条件的，确认相应的递延所得税资产：暂时性差异在可 预见的未来很可能转回，且未来很可能获得用来抵扣可抵扣暂时性差异的应纳税</w:t>
      </w:r>
      <w:r>
        <w:rPr>
          <w:sz w:val="21"/>
          <w:szCs w:val="21"/>
        </w:rPr>
        <w:t>所得额。</w:t>
      </w:r>
    </w:p>
    <w:p>
      <w:pPr>
        <w:spacing w:line="240" w:lineRule="auto" w:before="1"/>
        <w:rPr>
          <w:rFonts w:ascii="宋体" w:hAnsi="宋体" w:cs="宋体" w:eastAsia="宋体" w:hint="default"/>
          <w:sz w:val="25"/>
          <w:szCs w:val="25"/>
        </w:rPr>
      </w:pPr>
    </w:p>
    <w:p>
      <w:pPr>
        <w:spacing w:line="316" w:lineRule="auto" w:before="0"/>
        <w:ind w:left="574" w:right="2372" w:hanging="42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19"/>
        <w:ind w:left="574" w:right="5192"/>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left="153" w:right="93" w:firstLine="420"/>
        <w:jc w:val="left"/>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）非企业合并形成的交易或事项，且该交易或事项发生时既不影响会计利润，也不影响应纳税所得额（或可抵扣亏</w:t>
      </w:r>
      <w:r>
        <w:rPr/>
        <w:t> 损）所形成的暂时性差异；</w:t>
      </w:r>
    </w:p>
    <w:p>
      <w:pPr>
        <w:pStyle w:val="BodyText"/>
        <w:spacing w:line="300" w:lineRule="auto" w:before="31"/>
        <w:ind w:left="153" w:right="175" w:firstLine="420"/>
        <w:jc w:val="left"/>
      </w:pPr>
      <w:r>
        <w:rPr>
          <w:spacing w:val="-1"/>
        </w:rPr>
        <w:t>（</w:t>
      </w:r>
      <w:r>
        <w:rPr>
          <w:rFonts w:ascii="Times New Roman" w:hAnsi="Times New Roman" w:cs="Times New Roman" w:eastAsia="Times New Roman" w:hint="default"/>
          <w:spacing w:val="-1"/>
        </w:rPr>
        <w:t>3</w:t>
      </w:r>
      <w:r>
        <w:rPr>
          <w:spacing w:val="-1"/>
        </w:rPr>
        <w:t>）对于与子公司、联营企业投资相关的应纳税暂时性差异，该暂时性差异转回的时间能够控制并且该暂时性差异在</w:t>
      </w:r>
      <w:r>
        <w:rPr/>
        <w:t> 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5192"/>
        <w:jc w:val="left"/>
        <w:rPr>
          <w:b w:val="0"/>
          <w:bCs w:val="0"/>
        </w:rPr>
      </w:pPr>
      <w:bookmarkStart w:name="31、租赁" w:id="168"/>
      <w:bookmarkEnd w:id="168"/>
      <w:r>
        <w:rPr>
          <w:b w:val="0"/>
          <w:bCs w:val="0"/>
        </w:rPr>
      </w:r>
      <w:r>
        <w:rPr>
          <w:rFonts w:ascii="Times New Roman" w:hAnsi="Times New Roman" w:cs="Times New Roman" w:eastAsia="Times New Roman" w:hint="default"/>
        </w:rPr>
        <w:t>31</w:t>
      </w:r>
      <w:r>
        <w:rPr/>
        <w:t>、租赁</w:t>
      </w:r>
      <w:r>
        <w:rPr>
          <w:b w:val="0"/>
          <w:bCs w:val="0"/>
        </w:rPr>
      </w:r>
    </w:p>
    <w:p>
      <w:pPr>
        <w:spacing w:line="612" w:lineRule="exact" w:before="68"/>
        <w:ind w:left="573" w:right="213" w:hanging="420"/>
        <w:jc w:val="left"/>
        <w:rPr>
          <w:rFonts w:ascii="宋体" w:hAnsi="宋体" w:cs="宋体" w:eastAsia="宋体" w:hint="default"/>
          <w:sz w:val="18"/>
          <w:szCs w:val="18"/>
        </w:rPr>
      </w:pPr>
      <w:bookmarkStart w:name="（1）经营租赁的会计处理方法" w:id="169"/>
      <w:bookmarkEnd w:id="16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如果租赁条款在实质上将与租赁资产所有权有关的全部风险和报酬转移给承租人，该租赁为融资租赁，其他租赁则为</w:t>
      </w:r>
    </w:p>
    <w:p>
      <w:pPr>
        <w:pStyle w:val="BodyText"/>
        <w:spacing w:line="215" w:lineRule="exact"/>
        <w:ind w:left="153" w:right="5192"/>
        <w:jc w:val="left"/>
      </w:pPr>
      <w:r>
        <w:rPr/>
        <w:t>经营租赁。</w:t>
      </w:r>
    </w:p>
    <w:p>
      <w:pPr>
        <w:pStyle w:val="BodyText"/>
        <w:spacing w:line="300" w:lineRule="auto" w:before="76"/>
        <w:ind w:right="93" w:firstLine="270"/>
        <w:jc w:val="left"/>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）公司租入资产所支付的租赁费，在不扣除免租期的整个租赁期内，按直线法进行分摊，计入当期费用。公司支付的</w:t>
      </w:r>
      <w:r>
        <w:rPr/>
        <w:t> 与租赁交易相关的初始直接费用，计入当期费用。</w:t>
      </w:r>
    </w:p>
    <w:p>
      <w:pPr>
        <w:pStyle w:val="BodyText"/>
        <w:spacing w:line="316" w:lineRule="auto" w:before="31"/>
        <w:ind w:right="212" w:firstLine="420"/>
        <w:jc w:val="left"/>
      </w:pPr>
      <w:r>
        <w:rPr/>
        <w:t>资产出租方承担了应由公司承担的与租赁相关的费用时，公司将该部分费用从租金总额中扣除，按扣除后的租金费用 在租赁期内分摊，计入当期费用。</w:t>
      </w:r>
    </w:p>
    <w:p>
      <w:pPr>
        <w:pStyle w:val="BodyText"/>
        <w:spacing w:line="309" w:lineRule="auto" w:before="19"/>
        <w:ind w:right="93" w:firstLine="30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6" w:lineRule="auto" w:before="24"/>
        <w:ind w:right="212" w:firstLine="420"/>
        <w:jc w:val="left"/>
      </w:pPr>
      <w:r>
        <w:rPr/>
        <w:t>公司承担了应由承租方承担的与租赁相关的费用时，公司将该部分费用从租金收入总额中扣除，按扣除后的租金费用 在租赁期内分配。</w:t>
      </w:r>
    </w:p>
    <w:p>
      <w:pPr>
        <w:spacing w:after="0" w:line="316" w:lineRule="auto"/>
        <w:jc w:val="left"/>
        <w:sectPr>
          <w:pgSz w:w="11910" w:h="16840"/>
          <w:pgMar w:header="877" w:footer="979" w:top="1100" w:bottom="1160" w:left="980" w:right="940"/>
        </w:sectPr>
      </w:pPr>
    </w:p>
    <w:p>
      <w:pPr>
        <w:spacing w:line="240" w:lineRule="auto" w:before="13"/>
        <w:rPr>
          <w:rFonts w:ascii="宋体" w:hAnsi="宋体" w:cs="宋体" w:eastAsia="宋体" w:hint="default"/>
          <w:sz w:val="21"/>
          <w:szCs w:val="21"/>
        </w:rPr>
      </w:pPr>
    </w:p>
    <w:p>
      <w:pPr>
        <w:pStyle w:val="Heading5"/>
        <w:spacing w:line="240" w:lineRule="auto" w:before="44"/>
        <w:ind w:right="5192"/>
        <w:jc w:val="left"/>
        <w:rPr>
          <w:b w:val="0"/>
          <w:bCs w:val="0"/>
        </w:rPr>
      </w:pPr>
      <w:bookmarkStart w:name="（2）融资租赁的会计处理方法" w:id="170"/>
      <w:bookmarkEnd w:id="17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3" w:right="175" w:firstLine="420"/>
        <w:jc w:val="left"/>
      </w:pPr>
      <w:r>
        <w:rPr>
          <w:spacing w:val="-1"/>
        </w:rPr>
        <w:t>（</w:t>
      </w:r>
      <w:r>
        <w:rPr>
          <w:rFonts w:ascii="Times New Roman" w:hAnsi="Times New Roman" w:cs="Times New Roman" w:eastAsia="Times New Roman" w:hint="default"/>
          <w:spacing w:val="-1"/>
        </w:rPr>
        <w:t>1</w:t>
      </w:r>
      <w:r>
        <w:rPr>
          <w:spacing w:val="-1"/>
        </w:rPr>
        <w:t>）融资租入资产：公司在承租开始日，将租赁资产公允价值与最低租赁付款额现值两者中较低者作为租入资产的入</w:t>
      </w:r>
      <w:r>
        <w:rPr/>
        <w:t> 账价值，将最低租赁付款额作为长期应付款的入账价值，其差额作为未确认的融资费用。</w:t>
      </w:r>
    </w:p>
    <w:p>
      <w:pPr>
        <w:pStyle w:val="BodyText"/>
        <w:spacing w:line="240" w:lineRule="auto" w:before="32"/>
        <w:ind w:left="573" w:right="93"/>
        <w:jc w:val="left"/>
      </w:pPr>
      <w:r>
        <w:rPr/>
        <w:t>公司采用实际利率法对未确认的融资费用，在资产租赁期间内摊销，计入财务费用。</w:t>
      </w:r>
    </w:p>
    <w:p>
      <w:pPr>
        <w:pStyle w:val="BodyText"/>
        <w:spacing w:line="309" w:lineRule="auto" w:before="76"/>
        <w:ind w:left="153" w:right="93" w:firstLine="420"/>
        <w:jc w:val="left"/>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2"/>
        <w:rPr>
          <w:rFonts w:ascii="宋体" w:hAnsi="宋体" w:cs="宋体" w:eastAsia="宋体" w:hint="default"/>
          <w:sz w:val="22"/>
          <w:szCs w:val="22"/>
        </w:rPr>
      </w:pPr>
    </w:p>
    <w:p>
      <w:pPr>
        <w:pStyle w:val="Heading3"/>
        <w:spacing w:line="240" w:lineRule="auto"/>
        <w:ind w:left="153" w:right="5192"/>
        <w:jc w:val="left"/>
        <w:rPr>
          <w:b w:val="0"/>
          <w:bCs w:val="0"/>
        </w:rPr>
      </w:pPr>
      <w:bookmarkStart w:name="32、其他重要的会计政策和会计估计" w:id="171"/>
      <w:bookmarkEnd w:id="17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5192"/>
        <w:jc w:val="left"/>
        <w:rPr>
          <w:b w:val="0"/>
          <w:bCs w:val="0"/>
        </w:rPr>
      </w:pPr>
      <w:bookmarkStart w:name="33、重要会计政策和会计估计变更" w:id="172"/>
      <w:bookmarkEnd w:id="17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5192"/>
        <w:jc w:val="left"/>
        <w:rPr>
          <w:b w:val="0"/>
          <w:bCs w:val="0"/>
        </w:rPr>
      </w:pPr>
      <w:bookmarkStart w:name="（1）重要会计政策变更" w:id="173"/>
      <w:bookmarkEnd w:id="17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5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3189" w:type="dxa"/>
            <w:tcBorders>
              <w:top w:val="single" w:sz="4" w:space="0" w:color="000000"/>
              <w:left w:val="single" w:sz="4" w:space="0" w:color="000000"/>
              <w:bottom w:val="single" w:sz="4" w:space="0" w:color="000000"/>
              <w:right w:val="nil" w:sz="6" w:space="0" w:color="auto"/>
            </w:tcBorders>
          </w:tcPr>
          <w:p>
            <w:pPr/>
          </w:p>
        </w:tc>
      </w:tr>
    </w:tbl>
    <w:p>
      <w:pPr>
        <w:pStyle w:val="BodyText"/>
        <w:spacing w:line="300" w:lineRule="auto" w:before="10"/>
        <w:ind w:left="153" w:right="192" w:firstLine="420"/>
        <w:jc w:val="both"/>
      </w:pPr>
      <w:r>
        <w:rPr/>
        <w:t>自</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26</w:t>
      </w:r>
      <w:r>
        <w:rPr/>
        <w:t>日起，财政部陆续发布了《企业会计准则第</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职 工薪酬》、《企业会计准则第</w:t>
      </w: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合并财务报表》、《企业会计准则第 </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合营安排》和《企业会计准则第</w:t>
      </w:r>
      <w:r>
        <w:rPr>
          <w:rFonts w:ascii="Times New Roman" w:hAnsi="Times New Roman" w:cs="Times New Roman" w:eastAsia="Times New Roman" w:hint="default"/>
        </w:rPr>
        <w:t>41 </w:t>
      </w:r>
      <w:r>
        <w:rPr/>
        <w:t>号</w:t>
      </w:r>
      <w:r>
        <w:rPr>
          <w:rFonts w:ascii="Times New Roman" w:hAnsi="Times New Roman" w:cs="Times New Roman" w:eastAsia="Times New Roman" w:hint="default"/>
        </w:rPr>
        <w:t>——</w:t>
      </w:r>
      <w:r>
        <w:rPr/>
        <w:t>在其他主体中权益的披 露》共七项具体会计准则，并要求自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w:t>
      </w:r>
    </w:p>
    <w:p>
      <w:pPr>
        <w:pStyle w:val="BodyText"/>
        <w:spacing w:line="300" w:lineRule="auto" w:before="13"/>
        <w:ind w:left="153" w:right="229" w:firstLine="42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日，财政部修订《企业会计准则第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金融工具列报》，执行企业会计准则的企业应当在</w:t>
      </w:r>
      <w:r>
        <w:rPr>
          <w:rFonts w:ascii="Times New Roman" w:hAnsi="Times New Roman" w:cs="Times New Roman" w:eastAsia="Times New Roman" w:hint="default"/>
        </w:rPr>
        <w:t>2014</w:t>
      </w:r>
      <w:r>
        <w:rPr/>
        <w:t>年度及 以后期间的财务报告中按照本准则要求对金融工具进行列报。</w:t>
      </w:r>
    </w:p>
    <w:p>
      <w:pPr>
        <w:pStyle w:val="BodyText"/>
        <w:spacing w:line="300" w:lineRule="auto" w:before="31"/>
        <w:ind w:left="573"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的决定》并自公布之日起施行。 根据前述规定，公司于以上文件规定的起始日开始执行上述企业会计准则。</w:t>
      </w:r>
    </w:p>
    <w:p>
      <w:pPr>
        <w:pStyle w:val="BodyText"/>
        <w:spacing w:line="300" w:lineRule="auto" w:before="151"/>
        <w:ind w:right="229" w:firstLine="420"/>
        <w:jc w:val="both"/>
      </w:pPr>
      <w:r>
        <w:rPr/>
        <w:t>本公司根据修订后的《企业会计准则第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财务报表列报》，根据列报要求将递延收益单独列报，并对年初数采用 追溯调整法进行调整列报，追溯调整影响如下：</w:t>
      </w:r>
    </w:p>
    <w:tbl>
      <w:tblPr>
        <w:tblW w:w="0" w:type="auto"/>
        <w:jc w:val="left"/>
        <w:tblInd w:w="139" w:type="dxa"/>
        <w:tblLayout w:type="fixed"/>
        <w:tblCellMar>
          <w:top w:w="0" w:type="dxa"/>
          <w:left w:w="0" w:type="dxa"/>
          <w:bottom w:w="0" w:type="dxa"/>
          <w:right w:w="0" w:type="dxa"/>
        </w:tblCellMar>
        <w:tblLook w:val="01E0"/>
      </w:tblPr>
      <w:tblGrid>
        <w:gridCol w:w="2703"/>
        <w:gridCol w:w="1739"/>
        <w:gridCol w:w="1740"/>
        <w:gridCol w:w="1739"/>
        <w:gridCol w:w="1738"/>
      </w:tblGrid>
      <w:tr>
        <w:trPr>
          <w:trHeight w:val="342" w:hRule="exact"/>
        </w:trPr>
        <w:tc>
          <w:tcPr>
            <w:tcW w:w="2703" w:type="dxa"/>
            <w:vMerge w:val="restart"/>
            <w:tcBorders>
              <w:top w:val="single" w:sz="4" w:space="0" w:color="000000"/>
              <w:left w:val="nil" w:sz="6" w:space="0" w:color="auto"/>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4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1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2703" w:type="dxa"/>
            <w:vMerge/>
            <w:tcBorders>
              <w:left w:val="nil" w:sz="6" w:space="0" w:color="auto"/>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2" w:hRule="exact"/>
        </w:trPr>
        <w:tc>
          <w:tcPr>
            <w:tcW w:w="2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5" w:right="0"/>
              <w:jc w:val="left"/>
              <w:rPr>
                <w:rFonts w:ascii="Times New Roman" w:hAnsi="Times New Roman" w:cs="Times New Roman" w:eastAsia="Times New Roman" w:hint="default"/>
                <w:sz w:val="18"/>
                <w:szCs w:val="18"/>
              </w:rPr>
            </w:pPr>
            <w:r>
              <w:rPr>
                <w:rFonts w:ascii="Times New Roman"/>
                <w:sz w:val="18"/>
              </w:rPr>
              <w:t>380,226.54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913" w:right="0"/>
              <w:jc w:val="left"/>
              <w:rPr>
                <w:rFonts w:ascii="Times New Roman" w:hAnsi="Times New Roman" w:cs="Times New Roman" w:eastAsia="Times New Roman" w:hint="default"/>
                <w:sz w:val="18"/>
                <w:szCs w:val="18"/>
              </w:rPr>
            </w:pPr>
            <w:r>
              <w:rPr>
                <w:rFonts w:ascii="Times New Roman"/>
                <w:sz w:val="18"/>
              </w:rPr>
              <w:t>326,098.38</w:t>
            </w:r>
          </w:p>
        </w:tc>
      </w:tr>
      <w:tr>
        <w:trPr>
          <w:trHeight w:val="342" w:hRule="exact"/>
        </w:trPr>
        <w:tc>
          <w:tcPr>
            <w:tcW w:w="2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3" w:right="0"/>
              <w:jc w:val="left"/>
              <w:rPr>
                <w:rFonts w:ascii="Times New Roman" w:hAnsi="Times New Roman" w:cs="Times New Roman" w:eastAsia="Times New Roman" w:hint="default"/>
                <w:sz w:val="18"/>
                <w:szCs w:val="18"/>
              </w:rPr>
            </w:pPr>
            <w:r>
              <w:rPr>
                <w:rFonts w:ascii="Times New Roman"/>
                <w:sz w:val="18"/>
              </w:rPr>
              <w:t>380,226.54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4" w:right="0"/>
              <w:jc w:val="left"/>
              <w:rPr>
                <w:rFonts w:ascii="Times New Roman" w:hAnsi="Times New Roman" w:cs="Times New Roman" w:eastAsia="Times New Roman" w:hint="default"/>
                <w:sz w:val="18"/>
                <w:szCs w:val="18"/>
              </w:rPr>
            </w:pPr>
            <w:r>
              <w:rPr>
                <w:rFonts w:ascii="Times New Roman"/>
                <w:sz w:val="18"/>
              </w:rPr>
              <w:t>326,098.38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35"/>
        <w:ind w:right="5192"/>
        <w:jc w:val="left"/>
        <w:rPr>
          <w:b w:val="0"/>
          <w:bCs w:val="0"/>
        </w:rPr>
      </w:pPr>
      <w:bookmarkStart w:name="（2）重要会计估计变更" w:id="174"/>
      <w:bookmarkEnd w:id="17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5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940"/>
        </w:sectPr>
      </w:pPr>
    </w:p>
    <w:p>
      <w:pPr>
        <w:spacing w:line="240" w:lineRule="auto" w:before="9"/>
        <w:rPr>
          <w:rFonts w:ascii="宋体" w:hAnsi="宋体" w:cs="宋体" w:eastAsia="宋体" w:hint="default"/>
          <w:sz w:val="20"/>
          <w:szCs w:val="20"/>
        </w:rPr>
      </w:pPr>
    </w:p>
    <w:p>
      <w:pPr>
        <w:spacing w:line="487" w:lineRule="auto" w:before="35"/>
        <w:ind w:left="154" w:right="7986" w:firstLine="0"/>
        <w:jc w:val="left"/>
        <w:rPr>
          <w:rFonts w:ascii="宋体" w:hAnsi="宋体" w:cs="宋体" w:eastAsia="宋体" w:hint="default"/>
          <w:sz w:val="21"/>
          <w:szCs w:val="21"/>
        </w:rPr>
      </w:pPr>
      <w:bookmarkStart w:name="34、其他" w:id="175"/>
      <w:bookmarkEnd w:id="17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6"/>
      <w:bookmarkEnd w:id="17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7"/>
      <w:bookmarkEnd w:id="17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销售货物收入</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应税所得额</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武汉维拓</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78"/>
      <w:bookmarkEnd w:id="17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72"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日，本公司取得由湖北省科学技术厅、湖北省财政厅、湖北省国家税务局、湖北省地方税务局联合颁发 的编号为</w:t>
      </w:r>
      <w:r>
        <w:rPr>
          <w:rFonts w:ascii="Times New Roman" w:hAnsi="Times New Roman" w:cs="Times New Roman" w:eastAsia="Times New Roman" w:hint="default"/>
        </w:rPr>
        <w:t>GR201442000521</w:t>
      </w:r>
      <w:r>
        <w:rPr/>
        <w:t>的高新技术企业证书，</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年享受所得税优惠税率</w:t>
      </w:r>
      <w:r>
        <w:rPr>
          <w:rFonts w:ascii="Times New Roman" w:hAnsi="Times New Roman" w:cs="Times New Roman" w:eastAsia="Times New Roman" w:hint="default"/>
        </w:rPr>
        <w:t>15%</w:t>
      </w:r>
      <w:r>
        <w:rPr/>
        <w:t>。</w:t>
      </w:r>
    </w:p>
    <w:p>
      <w:pPr>
        <w:pStyle w:val="BodyText"/>
        <w:spacing w:line="300" w:lineRule="auto" w:before="13"/>
        <w:ind w:left="153" w:right="203" w:firstLine="420"/>
        <w:jc w:val="left"/>
      </w:pPr>
      <w:r>
        <w:rPr>
          <w:rFonts w:ascii="Times New Roman" w:hAnsi="Times New Roman" w:cs="Times New Roman" w:eastAsia="Times New Roman" w:hint="default"/>
        </w:rPr>
        <w:t>2014</w:t>
      </w:r>
      <w:r>
        <w:rPr/>
        <w:t>年武汉唯拓、东莞汇研、武汉斯利沃、辽宁金之运、扬州环宇符合小型微利企业的认定条件，故适用</w:t>
      </w:r>
      <w:r>
        <w:rPr>
          <w:rFonts w:ascii="Times New Roman" w:hAnsi="Times New Roman" w:cs="Times New Roman" w:eastAsia="Times New Roman" w:hint="default"/>
        </w:rPr>
        <w:t>20%</w:t>
      </w:r>
      <w:r>
        <w:rPr/>
        <w:t>的所得 税优惠税率。</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3、其他" w:id="179"/>
      <w:bookmarkEnd w:id="17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203"/>
        <w:jc w:val="left"/>
      </w:pPr>
      <w:r>
        <w:rPr/>
        <w:t>本公司出口销售业务适用</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税收政策，出口销售业务适用</w:t>
      </w:r>
      <w:r>
        <w:rPr>
          <w:rFonts w:ascii="Times New Roman" w:hAnsi="Times New Roman" w:cs="Times New Roman" w:eastAsia="Times New Roman" w:hint="default"/>
        </w:rPr>
        <w:t>13%</w:t>
      </w:r>
      <w:r>
        <w:rPr/>
        <w:t>、</w:t>
      </w:r>
      <w:r>
        <w:rPr>
          <w:rFonts w:ascii="Times New Roman" w:hAnsi="Times New Roman" w:cs="Times New Roman" w:eastAsia="Times New Roman" w:hint="default"/>
        </w:rPr>
        <w:t>15%</w:t>
      </w:r>
      <w:r>
        <w:rPr/>
        <w:t>及</w:t>
      </w:r>
      <w:r>
        <w:rPr>
          <w:rFonts w:ascii="Times New Roman" w:hAnsi="Times New Roman" w:cs="Times New Roman" w:eastAsia="Times New Roman" w:hint="default"/>
        </w:rPr>
        <w:t>17%</w:t>
      </w:r>
      <w:r>
        <w:rPr/>
        <w:t>三档退税率。 武汉斯利沃于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月份认定为一般规模纳税人，适用增值税税率</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月份之前为小规模纳税人，适用增</w:t>
      </w:r>
    </w:p>
    <w:p>
      <w:pPr>
        <w:pStyle w:val="BodyText"/>
        <w:spacing w:line="240" w:lineRule="auto" w:before="13"/>
        <w:ind w:left="153" w:right="0"/>
        <w:jc w:val="left"/>
      </w:pPr>
      <w:r>
        <w:rPr/>
        <w:t>值税税率</w:t>
      </w:r>
      <w:r>
        <w:rPr>
          <w:rFonts w:ascii="Times New Roman" w:hAnsi="Times New Roman" w:cs="Times New Roman" w:eastAsia="Times New Roman" w:hint="default"/>
        </w:rPr>
        <w:t>3%</w:t>
      </w:r>
      <w:r>
        <w:rPr/>
        <w:t>。</w:t>
      </w:r>
    </w:p>
    <w:p>
      <w:pPr>
        <w:pStyle w:val="BodyText"/>
        <w:spacing w:line="300" w:lineRule="auto" w:before="63"/>
        <w:ind w:left="153" w:right="203" w:firstLine="420"/>
        <w:jc w:val="left"/>
      </w:pPr>
      <w:r>
        <w:rPr/>
        <w:t>辽宁金之运于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月份认定为一般规模纳税人，适用增值税税率</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月份之前为小规模纳税人，适用 增值税税率</w:t>
      </w:r>
      <w:r>
        <w:rPr>
          <w:rFonts w:ascii="Times New Roman" w:hAnsi="Times New Roman" w:cs="Times New Roman" w:eastAsia="Times New Roman" w:hint="default"/>
        </w:rPr>
        <w:t>3%</w:t>
      </w:r>
      <w:r>
        <w:rPr/>
        <w:t>。</w:t>
      </w:r>
    </w:p>
    <w:p>
      <w:pPr>
        <w:pStyle w:val="BodyText"/>
        <w:spacing w:line="300" w:lineRule="auto" w:before="13"/>
        <w:ind w:left="153" w:right="203" w:firstLine="420"/>
        <w:jc w:val="left"/>
      </w:pPr>
      <w:r>
        <w:rPr/>
        <w:t>武汉落地于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月份认定为一般规模纳税人，销售物料及设备适用增值税税率</w:t>
      </w:r>
      <w:r>
        <w:rPr>
          <w:rFonts w:ascii="Times New Roman" w:hAnsi="Times New Roman" w:cs="Times New Roman" w:eastAsia="Times New Roman" w:hint="default"/>
        </w:rPr>
        <w:t>17%</w:t>
      </w:r>
      <w:r>
        <w:rPr/>
        <w:t>，提供技术服务设计服务适用 增值税税率</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月份之前为小规模纳税人，适用增值税税率</w:t>
      </w:r>
      <w:r>
        <w:rPr>
          <w:rFonts w:ascii="Times New Roman" w:hAnsi="Times New Roman" w:cs="Times New Roman" w:eastAsia="Times New Roman" w:hint="default"/>
        </w:rPr>
        <w:t>3%</w:t>
      </w:r>
      <w:r>
        <w:rPr/>
        <w:t>。</w:t>
      </w:r>
    </w:p>
    <w:p>
      <w:pPr>
        <w:pStyle w:val="BodyText"/>
        <w:spacing w:line="240" w:lineRule="auto" w:before="13"/>
        <w:ind w:left="573" w:right="0"/>
        <w:jc w:val="left"/>
      </w:pPr>
      <w:r>
        <w:rPr/>
        <w:t>诸暨金运和长沙落地为增值税小规模纳税人，本年度适用增值税税率为</w:t>
      </w:r>
      <w:r>
        <w:rPr>
          <w:rFonts w:ascii="Times New Roman" w:hAnsi="Times New Roman" w:cs="Times New Roman" w:eastAsia="Times New Roman" w:hint="default"/>
        </w:rPr>
        <w:t>3%</w:t>
      </w:r>
      <w:r>
        <w:rPr/>
        <w:t>。</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七、合并财务报表项目注释" w:id="180"/>
      <w:bookmarkEnd w:id="18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81"/>
      <w:bookmarkEnd w:id="18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269,295.02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55,653.56</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73,876,637.93</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105,105,011.61</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3,070,112.05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3,363,023.34</w:t>
            </w:r>
          </w:p>
        </w:tc>
      </w:tr>
      <w:tr>
        <w:trPr>
          <w:trHeight w:val="403"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77,216,045.00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108,523,688.51</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left="574" w:right="3069" w:hanging="17"/>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 其中受限制的货币资金明细如下：</w:t>
      </w:r>
    </w:p>
    <w:tbl>
      <w:tblPr>
        <w:tblW w:w="0" w:type="auto"/>
        <w:jc w:val="left"/>
        <w:tblInd w:w="125" w:type="dxa"/>
        <w:tblLayout w:type="fixed"/>
        <w:tblCellMar>
          <w:top w:w="0" w:type="dxa"/>
          <w:left w:w="0" w:type="dxa"/>
          <w:bottom w:w="0" w:type="dxa"/>
          <w:right w:w="0" w:type="dxa"/>
        </w:tblCellMar>
        <w:tblLook w:val="01E0"/>
      </w:tblPr>
      <w:tblGrid>
        <w:gridCol w:w="4152"/>
        <w:gridCol w:w="2761"/>
        <w:gridCol w:w="2760"/>
      </w:tblGrid>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2"/>
              <w:jc w:val="right"/>
              <w:rPr>
                <w:rFonts w:ascii="宋体" w:hAnsi="宋体" w:cs="宋体" w:eastAsia="宋体" w:hint="default"/>
                <w:sz w:val="18"/>
                <w:szCs w:val="18"/>
              </w:rPr>
            </w:pPr>
            <w:r>
              <w:rPr>
                <w:rFonts w:ascii="宋体" w:hAnsi="宋体" w:cs="宋体" w:eastAsia="宋体" w:hint="default"/>
                <w:sz w:val="18"/>
                <w:szCs w:val="18"/>
              </w:rPr>
              <w:t>项目</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2,447,900.00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1,907,271.00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35,892.05</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35,752.34</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信用卡分期业务保证金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买方信贷质押保证金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586,320.00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420,000.00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3,070,112.05</w:t>
            </w:r>
            <w:r>
              <w:rPr>
                <w:rFonts w:ascii="Times New Roman"/>
                <w:spacing w:val="-1"/>
                <w:sz w:val="18"/>
              </w:rPr>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3,363,023.34</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且其变动计入当期损益的金融资产" w:id="182"/>
      <w:bookmarkEnd w:id="18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衍生金融资产" w:id="183"/>
      <w:bookmarkEnd w:id="18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184"/>
      <w:bookmarkEnd w:id="18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185"/>
      <w:bookmarkEnd w:id="18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2,034,200.00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290,000.00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2,034,200.00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期末公司已质押的应收票据" w:id="186"/>
      <w:bookmarkEnd w:id="18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187"/>
      <w:bookmarkEnd w:id="18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5,225,268.15</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5,225,268.15</w:t>
            </w:r>
          </w:p>
        </w:tc>
        <w:tc>
          <w:tcPr>
            <w:tcW w:w="3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188"/>
      <w:bookmarkEnd w:id="18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439" w:lineRule="auto" w:before="51"/>
        <w:ind w:left="153" w:right="3008"/>
        <w:jc w:val="left"/>
      </w:pPr>
      <w:r>
        <w:rPr/>
        <w:t>其他说明 应收票据期末余额较上期增加</w:t>
      </w:r>
      <w:r>
        <w:rPr>
          <w:rFonts w:ascii="Times New Roman" w:hAnsi="Times New Roman" w:cs="Times New Roman" w:eastAsia="Times New Roman" w:hint="default"/>
        </w:rPr>
        <w:t>601.45%</w:t>
      </w:r>
      <w:r>
        <w:rPr/>
        <w:t>，主要系公司增加了银行承兑汇票结算量所致。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5、应收账款" w:id="189"/>
      <w:bookmarkEnd w:id="18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90"/>
      <w:bookmarkEnd w:id="1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621"/>
        <w:gridCol w:w="763"/>
        <w:gridCol w:w="762"/>
        <w:gridCol w:w="762"/>
        <w:gridCol w:w="762"/>
        <w:gridCol w:w="790"/>
        <w:gridCol w:w="654"/>
        <w:gridCol w:w="762"/>
        <w:gridCol w:w="813"/>
        <w:gridCol w:w="932"/>
        <w:gridCol w:w="918"/>
      </w:tblGrid>
      <w:tr>
        <w:trPr>
          <w:trHeight w:val="397" w:hRule="exact"/>
        </w:trPr>
        <w:tc>
          <w:tcPr>
            <w:tcW w:w="1621" w:type="dxa"/>
            <w:vMerge w:val="restart"/>
            <w:tcBorders>
              <w:top w:val="single" w:sz="4" w:space="0" w:color="000000"/>
              <w:left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9"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1" w:type="dxa"/>
            <w:vMerge/>
            <w:tcBorders>
              <w:left w:val="nil" w:sz="6" w:space="0" w:color="auto"/>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8"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2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nil" w:sz="6" w:space="0" w:color="auto"/>
              <w:right w:val="nil" w:sz="6" w:space="0" w:color="auto"/>
            </w:tcBorders>
            <w:shd w:val="clear" w:color="auto" w:fill="D2D2D2"/>
          </w:tcPr>
          <w:p>
            <w:pPr/>
          </w:p>
        </w:tc>
      </w:tr>
      <w:tr>
        <w:trPr>
          <w:trHeight w:val="158" w:hRule="exact"/>
        </w:trPr>
        <w:tc>
          <w:tcPr>
            <w:tcW w:w="1621" w:type="dxa"/>
            <w:vMerge/>
            <w:tcBorders>
              <w:left w:val="nil" w:sz="6" w:space="0" w:color="auto"/>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1" w:type="dxa"/>
            <w:vMerge w:val="restart"/>
            <w:tcBorders>
              <w:top w:val="single" w:sz="4" w:space="0" w:color="FFFFFF"/>
              <w:left w:val="nil" w:sz="6" w:space="0" w:color="auto"/>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8"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621" w:type="dxa"/>
            <w:vMerge/>
            <w:tcBorders>
              <w:left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1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21" w:type="dxa"/>
            <w:vMerge/>
            <w:tcBorders>
              <w:left w:val="nil" w:sz="6" w:space="0" w:color="auto"/>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6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42,661,6</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77.42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3,596,56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39,065,11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28,932,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172.46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2,169,895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7.50%</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26,762,277.</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19</w:t>
            </w:r>
          </w:p>
        </w:tc>
      </w:tr>
      <w:tr>
        <w:trPr>
          <w:trHeight w:val="161" w:hRule="exact"/>
        </w:trPr>
        <w:tc>
          <w:tcPr>
            <w:tcW w:w="1621" w:type="dxa"/>
            <w:tcBorders>
              <w:top w:val="single" w:sz="4" w:space="0" w:color="000000"/>
              <w:left w:val="nil" w:sz="6" w:space="0" w:color="auto"/>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42,661,6</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77.42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3,596,56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39,065,11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28,932,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172.46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2,169,895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7.50%</w:t>
            </w:r>
          </w:p>
        </w:tc>
        <w:tc>
          <w:tcPr>
            <w:tcW w:w="918" w:type="dxa"/>
            <w:vMerge w:val="restart"/>
            <w:tcBorders>
              <w:top w:val="single" w:sz="4" w:space="0" w:color="000000"/>
              <w:left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26,762,277.</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6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18" w:type="dxa"/>
            <w:vMerge/>
            <w:tcBorders>
              <w:left w:val="single" w:sz="4" w:space="0" w:color="000000"/>
              <w:right w:val="nil" w:sz="6" w:space="0" w:color="auto"/>
            </w:tcBorders>
          </w:tcPr>
          <w:p>
            <w:pPr/>
          </w:p>
        </w:tc>
      </w:tr>
      <w:tr>
        <w:trPr>
          <w:trHeight w:val="161" w:hRule="exact"/>
        </w:trPr>
        <w:tc>
          <w:tcPr>
            <w:tcW w:w="1621" w:type="dxa"/>
            <w:tcBorders>
              <w:top w:val="nil" w:sz="6" w:space="0" w:color="auto"/>
              <w:left w:val="nil" w:sz="6" w:space="0" w:color="auto"/>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nil" w:sz="6" w:space="0" w:color="auto"/>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32,921,534.79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987,646.05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32,921,534.79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987,646.05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6,830,880.03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1,024,632.00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1,289,952.60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644,976.30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939,310.00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939,310.00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41,981,677.42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3,596,564.35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8.57%</w:t>
            </w:r>
          </w:p>
        </w:tc>
      </w:tr>
    </w:tbl>
    <w:p>
      <w:pPr>
        <w:pStyle w:val="BodyText"/>
        <w:spacing w:line="439" w:lineRule="auto" w:before="51"/>
        <w:ind w:right="5272"/>
        <w:jc w:val="left"/>
      </w:pPr>
      <w:r>
        <w:rPr/>
        <w:pict>
          <v:shape style="position:absolute;margin-left:55.98pt;margin-top:39.221722pt;width:483.7pt;height:68.9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76"/>
                    <w:gridCol w:w="1440"/>
                    <w:gridCol w:w="1285"/>
                    <w:gridCol w:w="2171"/>
                    <w:gridCol w:w="1286"/>
                  </w:tblGrid>
                  <w:tr>
                    <w:trPr>
                      <w:trHeight w:val="342" w:hRule="exact"/>
                    </w:trPr>
                    <w:tc>
                      <w:tcPr>
                        <w:tcW w:w="3476" w:type="dxa"/>
                        <w:vMerge w:val="restart"/>
                        <w:tcBorders>
                          <w:top w:val="single" w:sz="4" w:space="0" w:color="000000"/>
                          <w:left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18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476"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1479"/>
                          <w:jc w:val="right"/>
                          <w:rPr>
                            <w:rFonts w:ascii="宋体" w:hAnsi="宋体" w:cs="宋体" w:eastAsia="宋体" w:hint="default"/>
                            <w:sz w:val="18"/>
                            <w:szCs w:val="18"/>
                          </w:rPr>
                        </w:pPr>
                        <w:r>
                          <w:rPr>
                            <w:rFonts w:ascii="宋体" w:hAnsi="宋体" w:cs="宋体" w:eastAsia="宋体" w:hint="default"/>
                            <w:sz w:val="18"/>
                            <w:szCs w:val="18"/>
                          </w:rPr>
                          <w:t>东莞市汇研机械有限公司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680,000.00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少数股东</w:t>
                        </w:r>
                      </w:p>
                    </w:tc>
                  </w:tr>
                  <w:tr>
                    <w:trPr>
                      <w:trHeight w:val="342"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154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680,000.00</w:t>
                        </w:r>
                        <w:r>
                          <w:rPr>
                            <w:rFonts w:ascii="Times New Roman"/>
                            <w:sz w:val="18"/>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86"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t>确定该组合依据的说明： 组合中，采用无风险及关联方法计提坏账准备的应收账款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right="0"/>
        <w:jc w:val="left"/>
      </w:pPr>
      <w:r>
        <w:rPr/>
        <w:t>组合中，采用余额百分比法计提坏账准备的应收账款：</w:t>
      </w:r>
    </w:p>
    <w:p>
      <w:pPr>
        <w:pStyle w:val="BodyText"/>
        <w:spacing w:line="338" w:lineRule="auto" w:before="117"/>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191"/>
      <w:bookmarkEnd w:id="1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338" w:lineRule="auto" w:before="44"/>
        <w:ind w:right="-17"/>
        <w:jc w:val="left"/>
      </w:pPr>
      <w:r>
        <w:rPr/>
        <w:t>本期计提坏账准备金额</w:t>
      </w:r>
      <w:r>
        <w:rPr>
          <w:spacing w:val="-47"/>
        </w:rPr>
        <w:t> </w:t>
      </w:r>
      <w:r>
        <w:rPr>
          <w:rFonts w:ascii="Times New Roman" w:hAnsi="Times New Roman" w:cs="Times New Roman" w:eastAsia="Times New Roman" w:hint="default"/>
        </w:rPr>
        <w:t>1,426,669.08</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049" w:space="2780"/>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192"/>
      <w:bookmarkEnd w:id="1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436,294.99</w:t>
            </w:r>
          </w:p>
        </w:tc>
      </w:tr>
    </w:tbl>
    <w:p>
      <w:pPr>
        <w:pStyle w:val="BodyText"/>
        <w:spacing w:line="240" w:lineRule="auto" w:before="51"/>
        <w:ind w:right="0"/>
        <w:jc w:val="left"/>
      </w:pPr>
      <w:r>
        <w:rPr/>
        <w:t>其中重要的应收账款核销情况：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523"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4）按欠款方归集的期末余额前五吊的应收账款情况" w:id="193"/>
      <w:bookmarkEnd w:id="1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3,950,000.00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9.26</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118,500.00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2,202,000.00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5.16</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126,300.00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4.73</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287,880.00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1,814,000.00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4.25</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54,420.00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1,512,000.00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09" w:right="0"/>
              <w:jc w:val="left"/>
              <w:rPr>
                <w:rFonts w:ascii="Times New Roman" w:hAnsi="Times New Roman" w:cs="Times New Roman" w:eastAsia="Times New Roman" w:hint="default"/>
                <w:sz w:val="18"/>
                <w:szCs w:val="18"/>
              </w:rPr>
            </w:pPr>
            <w:r>
              <w:rPr>
                <w:rFonts w:ascii="Times New Roman"/>
                <w:sz w:val="18"/>
              </w:rPr>
              <w:t>3.54</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45,360.00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11,498,000.00</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3" w:right="0"/>
              <w:jc w:val="left"/>
              <w:rPr>
                <w:rFonts w:ascii="Times New Roman" w:hAnsi="Times New Roman" w:cs="Times New Roman" w:eastAsia="Times New Roman" w:hint="default"/>
                <w:sz w:val="18"/>
                <w:szCs w:val="18"/>
              </w:rPr>
            </w:pPr>
            <w:r>
              <w:rPr>
                <w:rFonts w:ascii="Times New Roman"/>
                <w:b/>
                <w:sz w:val="18"/>
              </w:rPr>
              <w:t>26.94</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z w:val="18"/>
              </w:rPr>
              <w:t>632,460.00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194"/>
      <w:bookmarkEnd w:id="1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195"/>
      <w:bookmarkEnd w:id="1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pStyle w:val="Heading4"/>
        <w:spacing w:line="240" w:lineRule="auto" w:before="89"/>
        <w:ind w:left="154" w:right="0"/>
        <w:jc w:val="left"/>
      </w:pPr>
      <w:r>
        <w:rPr/>
        <w:t>应收账款期末余额较上期增加</w:t>
      </w:r>
      <w:r>
        <w:rPr>
          <w:rFonts w:ascii="Times New Roman" w:hAnsi="Times New Roman" w:cs="Times New Roman" w:eastAsia="Times New Roman" w:hint="default"/>
        </w:rPr>
        <w:t>47.45%</w:t>
      </w:r>
      <w:r>
        <w:rPr/>
        <w:t>，主要系公司销售收入增加和放宽信用政策所致。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6、预付款项" w:id="196"/>
      <w:bookmarkEnd w:id="19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7"/>
      <w:bookmarkEnd w:id="19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7"/>
        <w:gridCol w:w="1914"/>
        <w:gridCol w:w="1914"/>
        <w:gridCol w:w="1915"/>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3,377,173.78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9,067,068.54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82.94%</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1,770,050.18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1,382,438.43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12.65%</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482,381.54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4.41%</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5,194,214.52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10,931,888.51</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吊的预付款情况" w:id="198"/>
      <w:bookmarkEnd w:id="19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2799"/>
        <w:gridCol w:w="1995"/>
        <w:gridCol w:w="1124"/>
        <w:gridCol w:w="1445"/>
        <w:gridCol w:w="2310"/>
      </w:tblGrid>
      <w:tr>
        <w:trPr>
          <w:trHeight w:val="654"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1" w:right="17"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 额的比例</w:t>
            </w:r>
            <w:r>
              <w:rPr>
                <w:rFonts w:ascii="Times New Roman" w:hAnsi="Times New Roman" w:cs="Times New Roman" w:eastAsia="Times New Roman"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7"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69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2"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VinwinTradingFZE</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1,329,930.74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7" w:right="0"/>
              <w:jc w:val="left"/>
              <w:rPr>
                <w:rFonts w:ascii="Times New Roman" w:hAnsi="Times New Roman" w:cs="Times New Roman" w:eastAsia="Times New Roman" w:hint="default"/>
                <w:sz w:val="18"/>
                <w:szCs w:val="18"/>
              </w:rPr>
            </w:pPr>
            <w:r>
              <w:rPr>
                <w:rFonts w:ascii="Times New Roman"/>
                <w:sz w:val="18"/>
              </w:rPr>
              <w:t>25.60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丁磨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400,000.00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2" w:right="0"/>
              <w:jc w:val="left"/>
              <w:rPr>
                <w:rFonts w:ascii="Times New Roman" w:hAnsi="Times New Roman" w:cs="Times New Roman" w:eastAsia="Times New Roman" w:hint="default"/>
                <w:sz w:val="18"/>
                <w:szCs w:val="18"/>
              </w:rPr>
            </w:pPr>
            <w:r>
              <w:rPr>
                <w:rFonts w:ascii="Times New Roman"/>
                <w:sz w:val="18"/>
              </w:rPr>
              <w:t>7.70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预付专有技术购买款项</w:t>
            </w:r>
          </w:p>
        </w:tc>
      </w:tr>
      <w:tr>
        <w:trPr>
          <w:trHeight w:val="654"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1"/>
              <w:ind w:left="24" w:right="69"/>
              <w:jc w:val="left"/>
              <w:rPr>
                <w:rFonts w:ascii="宋体" w:hAnsi="宋体" w:cs="宋体" w:eastAsia="宋体" w:hint="default"/>
                <w:sz w:val="18"/>
                <w:szCs w:val="18"/>
              </w:rPr>
            </w:pPr>
            <w:r>
              <w:rPr>
                <w:rFonts w:ascii="宋体" w:hAnsi="宋体" w:cs="宋体" w:eastAsia="宋体" w:hint="default"/>
                <w:sz w:val="18"/>
                <w:szCs w:val="18"/>
              </w:rPr>
              <w:t>史陶比尔（杭州）精密机械电子有 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378,000.00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2" w:right="0"/>
              <w:jc w:val="left"/>
              <w:rPr>
                <w:rFonts w:ascii="Times New Roman" w:hAnsi="Times New Roman" w:cs="Times New Roman" w:eastAsia="Times New Roman" w:hint="default"/>
                <w:sz w:val="18"/>
                <w:szCs w:val="18"/>
              </w:rPr>
            </w:pPr>
            <w:r>
              <w:rPr>
                <w:rFonts w:ascii="Times New Roman"/>
                <w:sz w:val="18"/>
              </w:rPr>
              <w:t>7.28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2799"/>
        <w:gridCol w:w="1995"/>
        <w:gridCol w:w="1124"/>
        <w:gridCol w:w="1445"/>
        <w:gridCol w:w="2310"/>
      </w:tblGrid>
      <w:tr>
        <w:trPr>
          <w:trHeight w:val="342"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纽敦光电科技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2" w:right="0"/>
              <w:jc w:val="left"/>
              <w:rPr>
                <w:rFonts w:ascii="Times New Roman" w:hAnsi="Times New Roman" w:cs="Times New Roman" w:eastAsia="Times New Roman" w:hint="default"/>
                <w:sz w:val="18"/>
                <w:szCs w:val="18"/>
              </w:rPr>
            </w:pPr>
            <w:r>
              <w:rPr>
                <w:rFonts w:ascii="Times New Roman"/>
                <w:sz w:val="18"/>
              </w:rPr>
              <w:t>5.78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沈阳重宝龙机械制造有限公司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230,400.00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2" w:right="0"/>
              <w:jc w:val="left"/>
              <w:rPr>
                <w:rFonts w:ascii="Times New Roman" w:hAnsi="Times New Roman" w:cs="Times New Roman" w:eastAsia="Times New Roman" w:hint="default"/>
                <w:sz w:val="18"/>
                <w:szCs w:val="18"/>
              </w:rPr>
            </w:pPr>
            <w:r>
              <w:rPr>
                <w:rFonts w:ascii="Times New Roman"/>
                <w:sz w:val="18"/>
              </w:rPr>
              <w:t>4.44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2,638,330.74</w:t>
            </w:r>
            <w:r>
              <w:rPr>
                <w:rFonts w:ascii="Times New Roman"/>
                <w:spacing w:val="-1"/>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7" w:right="0"/>
              <w:jc w:val="left"/>
              <w:rPr>
                <w:rFonts w:ascii="Times New Roman" w:hAnsi="Times New Roman" w:cs="Times New Roman" w:eastAsia="Times New Roman" w:hint="default"/>
                <w:sz w:val="18"/>
                <w:szCs w:val="18"/>
              </w:rPr>
            </w:pPr>
            <w:r>
              <w:rPr>
                <w:rFonts w:ascii="Times New Roman"/>
                <w:b/>
                <w:sz w:val="18"/>
              </w:rPr>
              <w:t>50.80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应收利息" w:id="199"/>
      <w:bookmarkEnd w:id="19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00"/>
      <w:bookmarkEnd w:id="20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01"/>
      <w:bookmarkEnd w:id="20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771" w:right="55"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8、应收股利" w:id="202"/>
      <w:bookmarkEnd w:id="20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03"/>
      <w:bookmarkEnd w:id="20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8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04"/>
      <w:bookmarkEnd w:id="20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771" w:right="55"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9、其他应收款" w:id="205"/>
      <w:bookmarkEnd w:id="20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206"/>
      <w:bookmarkEnd w:id="2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002"/>
        <w:gridCol w:w="701"/>
        <w:gridCol w:w="866"/>
        <w:gridCol w:w="600"/>
        <w:gridCol w:w="1001"/>
        <w:gridCol w:w="1001"/>
        <w:gridCol w:w="701"/>
        <w:gridCol w:w="866"/>
        <w:gridCol w:w="599"/>
        <w:gridCol w:w="1001"/>
      </w:tblGrid>
      <w:tr>
        <w:trPr>
          <w:trHeight w:val="402" w:hRule="exact"/>
        </w:trPr>
        <w:tc>
          <w:tcPr>
            <w:tcW w:w="133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8"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30" w:type="dxa"/>
            <w:vMerge/>
            <w:tcBorders>
              <w:left w:val="nil" w:sz="6" w:space="0" w:color="auto"/>
              <w:right w:val="single" w:sz="4" w:space="0" w:color="000000"/>
            </w:tcBorders>
            <w:shd w:val="clear" w:color="auto" w:fill="D2D2D2"/>
          </w:tcPr>
          <w:p>
            <w:pPr/>
          </w:p>
        </w:tc>
        <w:tc>
          <w:tcPr>
            <w:tcW w:w="17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30" w:type="dxa"/>
            <w:vMerge/>
            <w:tcBorders>
              <w:left w:val="nil" w:sz="6" w:space="0" w:color="auto"/>
              <w:bottom w:val="single" w:sz="4" w:space="0" w:color="000000"/>
              <w:right w:val="single" w:sz="4" w:space="0" w:color="000000"/>
            </w:tcBorders>
            <w:shd w:val="clear" w:color="auto" w:fill="D2D2D2"/>
          </w:tcPr>
          <w:p>
            <w:pP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1001"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1305"/>
        <w:gridCol w:w="1013"/>
        <w:gridCol w:w="701"/>
        <w:gridCol w:w="866"/>
        <w:gridCol w:w="600"/>
        <w:gridCol w:w="1001"/>
        <w:gridCol w:w="1001"/>
        <w:gridCol w:w="701"/>
        <w:gridCol w:w="866"/>
        <w:gridCol w:w="599"/>
        <w:gridCol w:w="1001"/>
      </w:tblGrid>
      <w:tr>
        <w:trPr>
          <w:trHeight w:val="362" w:hRule="exact"/>
        </w:trPr>
        <w:tc>
          <w:tcPr>
            <w:tcW w:w="1305" w:type="dxa"/>
            <w:tcBorders>
              <w:top w:val="single" w:sz="4" w:space="0" w:color="000000"/>
              <w:left w:val="nil" w:sz="6" w:space="0" w:color="auto"/>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00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1026" w:hRule="exact"/>
        </w:trPr>
        <w:tc>
          <w:tcPr>
            <w:tcW w:w="13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5,160,277.24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277,426.28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4,882,850.96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5,284,437.97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123,715.65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2.34%</w:t>
            </w:r>
          </w:p>
        </w:tc>
        <w:tc>
          <w:tcPr>
            <w:tcW w:w="10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5,160,722.32</w:t>
            </w:r>
          </w:p>
        </w:tc>
      </w:tr>
      <w:tr>
        <w:trPr>
          <w:trHeight w:val="402" w:hRule="exact"/>
        </w:trPr>
        <w:tc>
          <w:tcPr>
            <w:tcW w:w="13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5,160,277.24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277,426.28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5.38%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4,882,850.96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5,284,437.97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123,715.65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2.34%</w:t>
            </w:r>
          </w:p>
        </w:tc>
        <w:tc>
          <w:tcPr>
            <w:tcW w:w="10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5,160,722.32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nil" w:sz="6" w:space="0" w:color="auto"/>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3,432,940.55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102,988.22</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3,432,940.55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102,988.22</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996,033.78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149,405.06</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25,033.00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4,454,007.33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277,426.28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6.23%</w:t>
            </w:r>
          </w:p>
        </w:tc>
      </w:tr>
    </w:tbl>
    <w:p>
      <w:pPr>
        <w:pStyle w:val="BodyText"/>
        <w:spacing w:line="240" w:lineRule="auto" w:before="51"/>
        <w:ind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  </w:t>
      </w:r>
      <w:r>
        <w:rPr/>
        <w:t>组合中，采用无风险及关联方法计提坏账准备的其他应收账款</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300"/>
        <w:gridCol w:w="1906"/>
        <w:gridCol w:w="1115"/>
        <w:gridCol w:w="1432"/>
        <w:gridCol w:w="1906"/>
      </w:tblGrid>
      <w:tr>
        <w:trPr>
          <w:trHeight w:val="342" w:hRule="exact"/>
        </w:trPr>
        <w:tc>
          <w:tcPr>
            <w:tcW w:w="3300" w:type="dxa"/>
            <w:vMerge w:val="restart"/>
            <w:tcBorders>
              <w:top w:val="single" w:sz="4" w:space="0" w:color="000000"/>
              <w:left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300" w:type="dxa"/>
            <w:vMerge/>
            <w:tcBorders>
              <w:left w:val="nil" w:sz="6" w:space="0" w:color="auto"/>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58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706,269.91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587" w:right="0"/>
              <w:jc w:val="left"/>
              <w:rPr>
                <w:rFonts w:ascii="宋体" w:hAnsi="宋体" w:cs="宋体" w:eastAsia="宋体" w:hint="default"/>
                <w:sz w:val="18"/>
                <w:szCs w:val="18"/>
              </w:rPr>
            </w:pPr>
            <w:r>
              <w:rPr>
                <w:rFonts w:ascii="宋体" w:hAnsi="宋体" w:cs="宋体" w:eastAsia="宋体" w:hint="default"/>
                <w:sz w:val="18"/>
                <w:szCs w:val="18"/>
              </w:rPr>
              <w:t>出口退税</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706,269.91</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组合中，采用余额百分比法计提坏账准备的其他应收款：</w:t>
      </w:r>
    </w:p>
    <w:p>
      <w:pPr>
        <w:pStyle w:val="BodyText"/>
        <w:spacing w:line="338" w:lineRule="auto" w:before="117"/>
        <w:ind w:left="15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07"/>
      <w:bookmarkEnd w:id="2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4015"/>
        <w:jc w:val="left"/>
      </w:pPr>
      <w:r>
        <w:rPr/>
        <w:t>本期计提坏账准备金额</w:t>
      </w:r>
      <w:r>
        <w:rPr>
          <w:spacing w:val="-46"/>
        </w:rPr>
        <w:t> </w:t>
      </w:r>
      <w:r>
        <w:rPr>
          <w:rFonts w:ascii="Times New Roman" w:hAnsi="Times New Roman" w:cs="Times New Roman" w:eastAsia="Times New Roman" w:hint="default"/>
        </w:rPr>
        <w:t>153,710.63</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after="0" w:line="3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3）本期实际核销的其他应收款情况" w:id="208"/>
      <w:bookmarkEnd w:id="2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应收款按款项性质分类情况" w:id="209"/>
      <w:bookmarkEnd w:id="2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1,204,280.65</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2,016,053.95</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830,535.92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706,269.91</w:t>
            </w:r>
          </w:p>
        </w:tc>
        <w:tc>
          <w:tcPr>
            <w:tcW w:w="319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713,266.42</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274,281.00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差旅费借支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291,471.67</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475,833.37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228,934.64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203,787.68</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5,160,277.24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5,284,437.97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10"/>
      <w:bookmarkEnd w:id="2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706,269.91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13.69%</w:t>
            </w: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张春杰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王欢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119"/>
              <w:jc w:val="left"/>
              <w:rPr>
                <w:rFonts w:ascii="宋体" w:hAnsi="宋体" w:cs="宋体" w:eastAsia="宋体" w:hint="default"/>
                <w:sz w:val="18"/>
                <w:szCs w:val="18"/>
              </w:rPr>
            </w:pPr>
            <w:r>
              <w:rPr>
                <w:rFonts w:ascii="宋体" w:hAnsi="宋体" w:cs="宋体" w:eastAsia="宋体" w:hint="default"/>
                <w:sz w:val="18"/>
                <w:szCs w:val="18"/>
              </w:rPr>
              <w:t>上海市国际贸易促 进委员会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399,334.00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11,980.02</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唐文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5,700.00</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2,295,603.91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44.49%</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47,680.02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11"/>
      <w:bookmarkEnd w:id="2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683" w:right="55"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7）因金融资产转移而终止确认的其他应收款" w:id="212"/>
      <w:bookmarkEnd w:id="2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8）转移其他应收款且继续涉入形成的资产、负债金额" w:id="213"/>
      <w:bookmarkEnd w:id="2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0、存货" w:id="214"/>
      <w:bookmarkEnd w:id="214"/>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5"/>
      <w:bookmarkEnd w:id="21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350"/>
        <w:gridCol w:w="1379"/>
        <w:gridCol w:w="1367"/>
        <w:gridCol w:w="1367"/>
        <w:gridCol w:w="1368"/>
        <w:gridCol w:w="1367"/>
        <w:gridCol w:w="1367"/>
      </w:tblGrid>
      <w:tr>
        <w:trPr>
          <w:trHeight w:val="205" w:hRule="exact"/>
        </w:trPr>
        <w:tc>
          <w:tcPr>
            <w:tcW w:w="1350" w:type="dxa"/>
            <w:tcBorders>
              <w:top w:val="single" w:sz="4" w:space="0" w:color="000000"/>
              <w:left w:val="nil" w:sz="6" w:space="0" w:color="auto"/>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350"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0"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65,395,229.48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266,874.61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65,128,354.87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61,717,730.71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154,010.24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61,563,720.47</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20,930,019.11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20,930,019.11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19,796,118.53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19,796,118.53</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25,748,629.37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25,748,629.37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29,090,668.01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29,090,668.01</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21,101.77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21,101.77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885,612.10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885,612.10</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8,572,296.53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8,572,296.53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14,485,049.75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14,485,049.75</w:t>
            </w:r>
          </w:p>
        </w:tc>
      </w:tr>
      <w:tr>
        <w:trPr>
          <w:trHeight w:val="402"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120,667,276.26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266,874.61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120,400,401.65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125,975,179.10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154,010.24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125,821,168.86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16"/>
      <w:bookmarkEnd w:id="21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355"/>
        <w:gridCol w:w="1368"/>
        <w:gridCol w:w="1367"/>
        <w:gridCol w:w="1367"/>
        <w:gridCol w:w="1368"/>
        <w:gridCol w:w="1367"/>
        <w:gridCol w:w="1367"/>
      </w:tblGrid>
      <w:tr>
        <w:trPr>
          <w:trHeight w:val="206" w:hRule="exact"/>
        </w:trPr>
        <w:tc>
          <w:tcPr>
            <w:tcW w:w="1355" w:type="dxa"/>
            <w:tcBorders>
              <w:top w:val="single" w:sz="4" w:space="0" w:color="000000"/>
              <w:left w:val="nil" w:sz="6" w:space="0" w:color="auto"/>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nil" w:sz="6" w:space="0" w:color="auto"/>
            </w:tcBorders>
            <w:shd w:val="clear" w:color="auto" w:fill="D2D2D2"/>
          </w:tcPr>
          <w:p>
            <w:pPr/>
          </w:p>
        </w:tc>
      </w:tr>
      <w:tr>
        <w:trPr>
          <w:trHeight w:val="196" w:hRule="exact"/>
        </w:trPr>
        <w:tc>
          <w:tcPr>
            <w:tcW w:w="1355" w:type="dxa"/>
            <w:vMerge/>
            <w:tcBorders>
              <w:left w:val="nil" w:sz="6" w:space="0" w:color="auto"/>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nil" w:sz="6" w:space="0" w:color="auto"/>
            </w:tcBorders>
            <w:shd w:val="clear" w:color="auto" w:fill="D2D2D2"/>
          </w:tcPr>
          <w:p>
            <w:pPr/>
          </w:p>
        </w:tc>
      </w:tr>
      <w:tr>
        <w:trPr>
          <w:trHeight w:val="205" w:hRule="exact"/>
        </w:trPr>
        <w:tc>
          <w:tcPr>
            <w:tcW w:w="1355" w:type="dxa"/>
            <w:tcBorders>
              <w:top w:val="nil" w:sz="6" w:space="0" w:color="auto"/>
              <w:left w:val="nil" w:sz="6" w:space="0" w:color="auto"/>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154,010.24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112,864.37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266,874.61</w:t>
            </w:r>
          </w:p>
        </w:tc>
      </w:tr>
      <w:tr>
        <w:trPr>
          <w:trHeight w:val="403"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154,010.24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112,864.37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266,874.61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17"/>
      <w:bookmarkEnd w:id="21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18"/>
      <w:bookmarkEnd w:id="21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1、划分为持有待售的资产" w:id="219"/>
      <w:bookmarkEnd w:id="21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2、一年内到期的非流动资产" w:id="220"/>
      <w:bookmarkEnd w:id="22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3、其他流动资产" w:id="221"/>
      <w:bookmarkEnd w:id="22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43,796,452.08</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22,391,786.30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1,319,172.44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150,405.26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待抵扣增值税进项税费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179,251.95</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2,676,134.07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当期多缴所得税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698,675.99</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699,392.92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45,993,552.46</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25,917,718.55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4、可供出售金融资产" w:id="222"/>
      <w:bookmarkEnd w:id="22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23"/>
      <w:bookmarkEnd w:id="22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987"/>
        <w:gridCol w:w="1195"/>
        <w:gridCol w:w="1196"/>
        <w:gridCol w:w="1196"/>
        <w:gridCol w:w="1248"/>
        <w:gridCol w:w="1367"/>
        <w:gridCol w:w="1367"/>
      </w:tblGrid>
      <w:tr>
        <w:trPr>
          <w:trHeight w:val="206" w:hRule="exact"/>
        </w:trPr>
        <w:tc>
          <w:tcPr>
            <w:tcW w:w="1987" w:type="dxa"/>
            <w:tcBorders>
              <w:top w:val="single" w:sz="4" w:space="0" w:color="000000"/>
              <w:left w:val="nil" w:sz="6" w:space="0" w:color="auto"/>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987" w:type="dxa"/>
            <w:vMerge/>
            <w:tcBorders>
              <w:left w:val="nil" w:sz="6" w:space="0" w:color="auto"/>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7" w:type="dxa"/>
            <w:tcBorders>
              <w:top w:val="nil" w:sz="6" w:space="0" w:color="auto"/>
              <w:left w:val="nil" w:sz="6" w:space="0" w:color="auto"/>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24"/>
      <w:bookmarkEnd w:id="22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25"/>
      <w:bookmarkEnd w:id="22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报告期内可供出售金融资产减值的变动情况" w:id="226"/>
      <w:bookmarkEnd w:id="22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可供出售权益工具期末公允价值严重下跌或非暂时性下跌但未计提减值准备的相关说" w:id="227"/>
      <w:bookmarkEnd w:id="22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5、持有至到期投资" w:id="228"/>
      <w:bookmarkEnd w:id="22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有至到期投资情况" w:id="229"/>
      <w:bookmarkEnd w:id="22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期末重要的持有至到期投资" w:id="230"/>
      <w:bookmarkEnd w:id="23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本期重分类的持有至到期投资" w:id="231"/>
      <w:bookmarkEnd w:id="23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6、长期应收款" w:id="232"/>
      <w:bookmarkEnd w:id="23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33"/>
      <w:bookmarkEnd w:id="23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因金融资产转移而终止确认的长期应收款" w:id="234"/>
      <w:bookmarkEnd w:id="23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35"/>
      <w:bookmarkEnd w:id="23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17、长期股权投资" w:id="236"/>
      <w:bookmarkEnd w:id="23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2"/>
        <w:gridCol w:w="1002"/>
        <w:gridCol w:w="509"/>
        <w:gridCol w:w="509"/>
        <w:gridCol w:w="1444"/>
        <w:gridCol w:w="872"/>
        <w:gridCol w:w="691"/>
        <w:gridCol w:w="1146"/>
        <w:gridCol w:w="692"/>
        <w:gridCol w:w="326"/>
        <w:gridCol w:w="1002"/>
        <w:gridCol w:w="872"/>
      </w:tblGrid>
      <w:tr>
        <w:trPr>
          <w:trHeight w:val="402" w:hRule="exact"/>
        </w:trPr>
        <w:tc>
          <w:tcPr>
            <w:tcW w:w="60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20" w:right="24"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8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7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70" w:right="7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602" w:type="dxa"/>
            <w:vMerge/>
            <w:tcBorders>
              <w:left w:val="nil" w:sz="6" w:space="0" w:color="auto"/>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6" w:right="87"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7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7" w:right="26"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6"/>
              <w:jc w:val="left"/>
              <w:rPr>
                <w:rFonts w:ascii="宋体" w:hAnsi="宋体" w:cs="宋体" w:eastAsia="宋体" w:hint="default"/>
                <w:sz w:val="18"/>
                <w:szCs w:val="18"/>
              </w:rPr>
            </w:pPr>
            <w:r>
              <w:rPr>
                <w:rFonts w:ascii="宋体" w:hAnsi="宋体" w:cs="宋体" w:eastAsia="宋体" w:hint="default"/>
                <w:sz w:val="18"/>
                <w:szCs w:val="18"/>
              </w:rPr>
              <w:t>其 他</w:t>
            </w:r>
          </w:p>
        </w:tc>
        <w:tc>
          <w:tcPr>
            <w:tcW w:w="1002"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9667"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667"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精易迅</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3,000,000.00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2,977,310.20</w:t>
            </w:r>
          </w:p>
        </w:tc>
        <w:tc>
          <w:tcPr>
            <w:tcW w:w="87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3,000,000.00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2,977,310.20</w:t>
            </w:r>
          </w:p>
        </w:tc>
        <w:tc>
          <w:tcPr>
            <w:tcW w:w="87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6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3,000,000.00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87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2,977,310.20</w:t>
            </w:r>
          </w:p>
        </w:tc>
        <w:tc>
          <w:tcPr>
            <w:tcW w:w="87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8、投资性房地产" w:id="237"/>
      <w:bookmarkEnd w:id="23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8"/>
      <w:bookmarkEnd w:id="23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投资性房地产" w:id="239"/>
      <w:bookmarkEnd w:id="23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40"/>
      <w:bookmarkEnd w:id="24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9、固定资产" w:id="241"/>
      <w:bookmarkEnd w:id="24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2114"/>
        <w:gridCol w:w="1207"/>
        <w:gridCol w:w="1197"/>
        <w:gridCol w:w="1196"/>
        <w:gridCol w:w="1195"/>
        <w:gridCol w:w="1286"/>
        <w:gridCol w:w="1353"/>
      </w:tblGrid>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72,942,580.18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10,501,093.25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3,337,131.00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4,582,952.79</w:t>
            </w:r>
          </w:p>
        </w:tc>
        <w:tc>
          <w:tcPr>
            <w:tcW w:w="1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91,363,757.22</w:t>
            </w: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1,214,046.52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11,857,583.00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1,494,207.78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3,622,889.68</w:t>
            </w:r>
          </w:p>
        </w:tc>
        <w:tc>
          <w:tcPr>
            <w:tcW w:w="1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18,188,726.98</w:t>
            </w: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11,857,583.00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1,494,207.78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1,780,792.68</w:t>
            </w:r>
          </w:p>
        </w:tc>
        <w:tc>
          <w:tcPr>
            <w:tcW w:w="1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15,132,583.46</w:t>
            </w: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1,842,097.00</w:t>
            </w:r>
          </w:p>
        </w:tc>
        <w:tc>
          <w:tcPr>
            <w:tcW w:w="1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1,842,097.00</w:t>
            </w: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1,214,046.52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1,214,046.52</w:t>
            </w:r>
          </w:p>
        </w:tc>
      </w:tr>
      <w:tr>
        <w:trPr>
          <w:trHeight w:val="402" w:hRule="exact"/>
        </w:trPr>
        <w:tc>
          <w:tcPr>
            <w:tcW w:w="21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316,908.72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37,822.14</w:t>
            </w:r>
          </w:p>
        </w:tc>
        <w:tc>
          <w:tcPr>
            <w:tcW w:w="1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382,730.86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316,908.72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37,822.14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382,730.86</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22,330,676.25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4,514,430.06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8,168,020.33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109,169,753.34</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2,805,082.73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3,010,871.78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1,147,167.57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1,954,525.37</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8,917,647.45</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1,795,322.96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1,682,516.53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483,444.10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1,236,544.14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5,197,827.73</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1,795,322.96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1,682,516.53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483,444.10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1,181,316.14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5,142,599.73</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55,228.00</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55,228.00</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60,212.66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4,958.63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70,491.29</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60,212.66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4,958.63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70,491.29</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4,600,405.69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4,688,068.31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1,570,399.01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3,186,110.88</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14,044,983.89</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69,556,221.01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17,642,607.94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2,944,031.05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4,981,909.45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95,124,769.45</w:t>
            </w:r>
          </w:p>
        </w:tc>
      </w:tr>
      <w:tr>
        <w:trPr>
          <w:trHeight w:val="402" w:hRule="exact"/>
        </w:trPr>
        <w:tc>
          <w:tcPr>
            <w:tcW w:w="213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70,137,497.45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7,490,221.47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2,189,963.43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2,628,427.42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82,446,109.77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43"/>
      <w:bookmarkEnd w:id="24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通过融资租赁租入的固定资产情况" w:id="244"/>
      <w:bookmarkEnd w:id="24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45"/>
      <w:bookmarkEnd w:id="24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12,172,463.60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5）未办妥产权证书的固定资产情况" w:id="246"/>
      <w:bookmarkEnd w:id="24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0、在建工程" w:id="247"/>
      <w:bookmarkEnd w:id="24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计提在建工程减值准备情况" w:id="250"/>
      <w:bookmarkEnd w:id="25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工程物资" w:id="251"/>
      <w:bookmarkEnd w:id="25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2、固定资产清理" w:id="252"/>
      <w:bookmarkEnd w:id="25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3、生产性生物资产" w:id="253"/>
      <w:bookmarkEnd w:id="25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54"/>
      <w:bookmarkEnd w:id="25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55"/>
      <w:bookmarkEnd w:id="25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56"/>
      <w:bookmarkEnd w:id="25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57"/>
      <w:bookmarkEnd w:id="25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78,070.00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1,639,924.87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2,210,725.69</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3,928,720.56</w:t>
            </w: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4,250,033.81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501,959.26</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4,754,143.40</w:t>
            </w: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501,959.26</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501,959.59</w:t>
            </w: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4,250,033.81</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4,252,183.81</w:t>
            </w: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52" w:type="dxa"/>
            <w:tcBorders>
              <w:top w:val="single" w:sz="4" w:space="0" w:color="000000"/>
              <w:left w:val="nil" w:sz="6" w:space="0" w:color="auto"/>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380,000.00</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380,000.00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80,220.00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5,889,958.68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2,332,685.28</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8,302,863.96</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43,326.50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66,668.46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1,289,529.62</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1,399,524.58</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11,804.66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199,409.43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387,808.76</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599,023.18</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11,804.66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199,409.43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387,808.76</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599,023.18</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55,131.54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266,077.83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1,297,338.39</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1,618,547.76</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25,088.46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5,623,880.85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1,035,346.89</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6,684,316.20</w:t>
            </w:r>
          </w:p>
        </w:tc>
      </w:tr>
      <w:tr>
        <w:trPr>
          <w:trHeight w:val="402" w:hRule="exact"/>
        </w:trPr>
        <w:tc>
          <w:tcPr>
            <w:tcW w:w="24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34,743.50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1,573,256.41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921,196.07</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2,529,195.98</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51.21%</w:t>
      </w:r>
      <w:r>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未办妥产权证书的土地使用权情况" w:id="259"/>
      <w:bookmarkEnd w:id="25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6、开发支出" w:id="260"/>
      <w:bookmarkEnd w:id="26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2393"/>
        <w:gridCol w:w="3588"/>
        <w:gridCol w:w="1195"/>
      </w:tblGrid>
      <w:tr>
        <w:trPr>
          <w:trHeight w:val="402" w:hRule="exact"/>
        </w:trPr>
        <w:tc>
          <w:tcPr>
            <w:tcW w:w="11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714" w:hRule="exact"/>
        </w:trPr>
        <w:tc>
          <w:tcPr>
            <w:tcW w:w="11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1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5,356,732.22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13,529,220.79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4,250,033.81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3,031,008.48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1,263,170.55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10,341,740.17</w:t>
            </w:r>
          </w:p>
        </w:tc>
      </w:tr>
      <w:tr>
        <w:trPr>
          <w:trHeight w:val="402" w:hRule="exact"/>
        </w:trPr>
        <w:tc>
          <w:tcPr>
            <w:tcW w:w="11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5,356,732.22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13,529,220.79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4,250,033.81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3,031,008.48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1,263,170.55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10,341,740.17</w:t>
            </w:r>
          </w:p>
        </w:tc>
      </w:tr>
    </w:tbl>
    <w:p>
      <w:pPr>
        <w:pStyle w:val="BodyText"/>
        <w:spacing w:line="439" w:lineRule="auto" w:before="51"/>
        <w:ind w:left="153" w:right="4898"/>
        <w:jc w:val="left"/>
      </w:pPr>
      <w:r>
        <w:rPr/>
        <w:t>其他说明 本期开发支出占本期研究开发项目支出总额的比例为</w:t>
      </w:r>
      <w:r>
        <w:rPr>
          <w:rFonts w:ascii="Times New Roman" w:hAnsi="Times New Roman" w:cs="Times New Roman" w:eastAsia="Times New Roman" w:hint="default"/>
        </w:rPr>
        <w:t>36.85%</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left="153" w:right="0"/>
        <w:jc w:val="left"/>
        <w:rPr>
          <w:b w:val="0"/>
          <w:bCs w:val="0"/>
        </w:rPr>
      </w:pPr>
      <w:bookmarkStart w:name="27、商誉" w:id="261"/>
      <w:bookmarkEnd w:id="261"/>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2"/>
      <w:bookmarkEnd w:id="26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nil" w:sz="6" w:space="0" w:color="auto"/>
              <w:right w:val="single" w:sz="4" w:space="0" w:color="000000"/>
            </w:tcBorders>
            <w:shd w:val="clear" w:color="auto" w:fill="D2D2D2"/>
          </w:tcPr>
          <w:p>
            <w:pPr>
              <w:pStyle w:val="TableParagraph"/>
              <w:spacing w:line="319" w:lineRule="auto" w:before="51"/>
              <w:ind w:left="52"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5,834,760.95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5,834,760.95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5,834,760.95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5,834,760.95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63"/>
      <w:bookmarkEnd w:id="26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nil" w:sz="6" w:space="0" w:color="auto"/>
              <w:right w:val="single" w:sz="4" w:space="0" w:color="000000"/>
            </w:tcBorders>
            <w:shd w:val="clear" w:color="auto" w:fill="D2D2D2"/>
          </w:tcPr>
          <w:p>
            <w:pPr>
              <w:pStyle w:val="TableParagraph"/>
              <w:spacing w:line="319" w:lineRule="auto" w:before="51"/>
              <w:ind w:left="52"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nil" w:sz="6" w:space="0" w:color="auto"/>
            </w:tcBorders>
            <w:shd w:val="clear" w:color="auto" w:fill="D2D2D2"/>
          </w:tcPr>
          <w:p>
            <w:pPr/>
          </w:p>
        </w:tc>
      </w:tr>
    </w:tbl>
    <w:p>
      <w:pPr>
        <w:pStyle w:val="BodyText"/>
        <w:spacing w:line="357" w:lineRule="auto" w:before="51"/>
        <w:ind w:left="349" w:right="217" w:hanging="196"/>
        <w:jc w:val="left"/>
      </w:pPr>
      <w:r>
        <w:rPr/>
        <w:t>说明商誉减值测试过程、参数及商誉减值损失的确认方法： 公司根据未来现金流现值评估购买的股权价值，测算的未来现金流现值大于公司购买股权支付的成本，故报告期内商誉</w:t>
      </w:r>
    </w:p>
    <w:p>
      <w:pPr>
        <w:pStyle w:val="BodyText"/>
        <w:spacing w:line="224" w:lineRule="exact"/>
        <w:ind w:right="0"/>
        <w:jc w:val="left"/>
      </w:pPr>
      <w:r>
        <w:rPr/>
        <w:t>不需计提减值准备。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其他说明</w:t>
      </w:r>
    </w:p>
    <w:p>
      <w:pPr>
        <w:pStyle w:val="BodyText"/>
        <w:spacing w:line="240" w:lineRule="auto" w:before="116"/>
        <w:ind w:left="334" w:right="0"/>
        <w:jc w:val="left"/>
        <w:rPr>
          <w:rFonts w:ascii="Times New Roman" w:hAnsi="Times New Roman" w:cs="Times New Roman" w:eastAsia="Times New Roman" w:hint="default"/>
        </w:rPr>
      </w:pPr>
      <w:r>
        <w:rPr/>
        <w:t>商誉</w:t>
      </w:r>
      <w:r>
        <w:rPr>
          <w:rFonts w:ascii="Times New Roman" w:hAnsi="Times New Roman" w:cs="Times New Roman" w:eastAsia="Times New Roman" w:hint="default"/>
        </w:rPr>
        <w:t>=</w:t>
      </w:r>
      <w:r>
        <w:rPr/>
        <w:t>并购成本</w:t>
      </w:r>
      <w:r>
        <w:rPr>
          <w:rFonts w:ascii="Times New Roman" w:hAnsi="Times New Roman" w:cs="Times New Roman" w:eastAsia="Times New Roman" w:hint="default"/>
        </w:rPr>
        <w:t>-</w:t>
      </w:r>
      <w:r>
        <w:rPr/>
        <w:t>购买日武汉落地账面可辨认净资产的公允价值</w:t>
      </w:r>
      <w:r>
        <w:rPr>
          <w:rFonts w:ascii="Times New Roman" w:hAnsi="Times New Roman" w:cs="Times New Roman" w:eastAsia="Times New Roman" w:hint="default"/>
        </w:rPr>
        <w:t>*</w:t>
      </w:r>
      <w:r>
        <w:rPr/>
        <w:t>收购股权比例</w:t>
      </w:r>
      <w:r>
        <w:rPr>
          <w:rFonts w:ascii="Times New Roman" w:hAnsi="Times New Roman" w:cs="Times New Roman" w:eastAsia="Times New Roman" w:hint="default"/>
        </w:rPr>
        <w:t>= 13,000,000.00-</w:t>
      </w:r>
      <w:r>
        <w:rPr>
          <w:rFonts w:ascii="Times New Roman" w:hAnsi="Times New Roman" w:cs="Times New Roman" w:eastAsia="Times New Roman" w:hint="default"/>
          <w:spacing w:val="-5"/>
        </w:rPr>
        <w:t> </w:t>
      </w:r>
      <w:r>
        <w:rPr>
          <w:rFonts w:ascii="Times New Roman" w:hAnsi="Times New Roman" w:cs="Times New Roman" w:eastAsia="Times New Roman" w:hint="default"/>
        </w:rPr>
        <w:t>11,942,065.08</w:t>
      </w:r>
    </w:p>
    <w:p>
      <w:pPr>
        <w:pStyle w:val="BodyText"/>
        <w:spacing w:line="240" w:lineRule="auto" w:before="63"/>
        <w:ind w:left="153" w:right="0"/>
        <w:jc w:val="left"/>
      </w:pPr>
      <w:r>
        <w:rPr>
          <w:rFonts w:ascii="Times New Roman" w:hAnsi="Times New Roman" w:cs="Times New Roman" w:eastAsia="Times New Roman" w:hint="default"/>
        </w:rPr>
        <w:t>*60%=5,834,760.95</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8、长期待摊费用" w:id="264"/>
      <w:bookmarkEnd w:id="26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3,454,154.60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1,697,002.89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1,476,453.11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3,674,704.38</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8,938.17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89,381.83</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3,454,154.60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1,795,322.89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1,485,391.28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3,764,086.21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9、递延所得税资产/递延所得税负债" w:id="265"/>
      <w:bookmarkEnd w:id="26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66"/>
      <w:bookmarkEnd w:id="26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14"/>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4,140,839.99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657,823.99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2,446,269.91</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371,709.96</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718,603.47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148,526.60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238,350.82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54,749.79</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5,544,839.83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1,435,387.18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10,404,283.29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2,241,737.77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2,684,620.73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426,459.75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67"/>
      <w:bookmarkEnd w:id="26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以抵销后净额列示的递延所得税资产或负债" w:id="268"/>
      <w:bookmarkEnd w:id="26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910"/>
        <w:gridCol w:w="1905"/>
        <w:gridCol w:w="1914"/>
        <w:gridCol w:w="1914"/>
        <w:gridCol w:w="1914"/>
      </w:tblGrid>
      <w:tr>
        <w:trPr>
          <w:trHeight w:val="162" w:hRule="exact"/>
        </w:trPr>
        <w:tc>
          <w:tcPr>
            <w:tcW w:w="1910" w:type="dxa"/>
            <w:tcBorders>
              <w:top w:val="single" w:sz="4" w:space="0" w:color="000000"/>
              <w:left w:val="nil" w:sz="6" w:space="0" w:color="auto"/>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52"/>
              <w:ind w:left="321" w:right="55"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nil" w:sz="6" w:space="0" w:color="auto"/>
            </w:tcBorders>
            <w:shd w:val="clear" w:color="auto" w:fill="D2D2D2"/>
          </w:tcPr>
          <w:p>
            <w:pPr/>
          </w:p>
        </w:tc>
      </w:tr>
      <w:tr>
        <w:trPr>
          <w:trHeight w:val="161" w:hRule="exact"/>
        </w:trPr>
        <w:tc>
          <w:tcPr>
            <w:tcW w:w="1910" w:type="dxa"/>
            <w:tcBorders>
              <w:top w:val="nil" w:sz="6" w:space="0" w:color="auto"/>
              <w:left w:val="nil" w:sz="6" w:space="0" w:color="auto"/>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2,241,737.77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426,459.75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69"/>
      <w:bookmarkEnd w:id="26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1,351.25</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1,612,256.87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2,833,846.66</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1,612,282.12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2,835,197.91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70"/>
      <w:bookmarkEnd w:id="27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0、其他非流动资产" w:id="271"/>
      <w:bookmarkEnd w:id="27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9,000,000.00</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Heading5"/>
        <w:spacing w:line="240" w:lineRule="auto" w:before="44"/>
        <w:ind w:left="0" w:right="155"/>
        <w:jc w:val="right"/>
        <w:rPr>
          <w:b w:val="0"/>
          <w:bCs w:val="0"/>
        </w:rPr>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日，本公司与杨博智、杨林、王志强以及武汉落地签订了《股权转让与增资协议》，本公司以现金</w:t>
      </w:r>
      <w:r>
        <w:rPr>
          <w:b w:val="0"/>
          <w:bCs w:val="0"/>
          <w:spacing w:val="-1"/>
        </w:rPr>
      </w:r>
    </w:p>
    <w:p>
      <w:pPr>
        <w:pStyle w:val="Heading5"/>
        <w:spacing w:line="300" w:lineRule="auto" w:before="63"/>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w w:val="95"/>
        </w:rPr>
        <w:t>900</w:t>
      </w:r>
      <w:r>
        <w:rPr>
          <w:w w:val="95"/>
        </w:rPr>
        <w:t>万元对落地创意增资，本公司于</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11</w:t>
      </w:r>
      <w:r>
        <w:rPr>
          <w:w w:val="95"/>
        </w:rPr>
        <w:t>月支付增资款</w:t>
      </w:r>
      <w:r>
        <w:rPr>
          <w:rFonts w:ascii="Times New Roman" w:hAnsi="Times New Roman" w:cs="Times New Roman" w:eastAsia="Times New Roman" w:hint="default"/>
          <w:w w:val="95"/>
        </w:rPr>
        <w:t>900</w:t>
      </w:r>
      <w:r>
        <w:rPr>
          <w:w w:val="95"/>
        </w:rPr>
        <w:t>万元，由于</w:t>
      </w:r>
      <w:r>
        <w:rPr>
          <w:rFonts w:ascii="Times New Roman" w:hAnsi="Times New Roman" w:cs="Times New Roman" w:eastAsia="Times New Roman" w:hint="default"/>
          <w:w w:val="95"/>
        </w:rPr>
        <w:t>2013</w:t>
      </w:r>
      <w:r>
        <w:rPr>
          <w:w w:val="95"/>
        </w:rPr>
        <w:t>年尚未满足企业合并的条件，故将增资款列</w:t>
      </w:r>
      <w:r>
        <w:rPr>
          <w:spacing w:val="38"/>
          <w:w w:val="95"/>
        </w:rPr>
        <w:t> </w:t>
      </w:r>
      <w:r>
        <w:rPr>
          <w:spacing w:val="38"/>
          <w:w w:val="95"/>
        </w:rPr>
      </w:r>
      <w:r>
        <w:rPr/>
        <w:t>示于其他非流动资产，</w:t>
      </w:r>
      <w:r>
        <w:rPr>
          <w:rFonts w:ascii="Times New Roman" w:hAnsi="Times New Roman" w:cs="Times New Roman" w:eastAsia="Times New Roman" w:hint="default"/>
        </w:rPr>
        <w:t>2014</w:t>
      </w:r>
      <w:r>
        <w:rPr/>
        <w:t>年完成企业合并，将其纳入合并范围，上述增资款转入长期股权投资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25"/>
          <w:szCs w:val="25"/>
        </w:rPr>
      </w:pPr>
    </w:p>
    <w:p>
      <w:pPr>
        <w:pStyle w:val="Heading3"/>
        <w:spacing w:line="240" w:lineRule="auto"/>
        <w:ind w:left="153" w:right="0"/>
        <w:jc w:val="left"/>
        <w:rPr>
          <w:b w:val="0"/>
          <w:bCs w:val="0"/>
        </w:rPr>
      </w:pPr>
      <w:bookmarkStart w:name="31、短期借款" w:id="272"/>
      <w:bookmarkEnd w:id="27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74"/>
      <w:bookmarkEnd w:id="27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2、以公允价值计量且其变动计入当期损益的金融负债" w:id="275"/>
      <w:bookmarkEnd w:id="27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3、衍生金融负债" w:id="276"/>
      <w:bookmarkEnd w:id="27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应付票据" w:id="277"/>
      <w:bookmarkEnd w:id="27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6,116,931.15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1,907,271.00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6,116,931.15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1,907,271.00</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应付账款" w:id="278"/>
      <w:bookmarkEnd w:id="27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26,553,913.27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22,730,981.13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1,046,455.77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933,653.47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843,241.25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92,624.59</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28,443,610.29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23,757,259.19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6、预收款项" w:id="281"/>
      <w:bookmarkEnd w:id="28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13,924,781.19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20,578,170.84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195,425.55</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14,120,206.74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20,578,170.84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河北利达金属制品有限公司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产品质量纠纷，未决诉讼</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645,000.00</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84"/>
      <w:bookmarkEnd w:id="28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7、应付职工薪酬" w:id="285"/>
      <w:bookmarkEnd w:id="28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6"/>
      <w:bookmarkEnd w:id="28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8,233,510.58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39,314,273.17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39,320,398.35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8,227,385.40</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4,461,176.46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4,454,188.16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6,988.30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27,300.00</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8,233,510.58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43,802,749.63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43,801,886.51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8,234,373.70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短期薪酬列示" w:id="287"/>
      <w:bookmarkEnd w:id="28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8,151,450.04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35,664,555.67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35,608,587.31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8,207,418.40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885,249.72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868,449.72</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16,800.00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1,647,557.04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1,644,390.04</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3,167.00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1,422,962.85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1,420,137.25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2,825.60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132,482.92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132,322.92</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160.00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92,111.27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91,929.87</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181.40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82,060.54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1,015,384.42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1,097,444.96</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101,526.32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101,526.32</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8,233,510.58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39,314,273.17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39,320,398.35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8,227,385.40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88"/>
      <w:bookmarkEnd w:id="28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4,075,131.90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4,068,415.60</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6,716.30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386,044.56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385,772.56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272.00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4,461,176.46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4,454,188.16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6,988.30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8、应交税费" w:id="289"/>
      <w:bookmarkEnd w:id="28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294,781.24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18,117.03</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20,511.96</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17,406.07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18,576.61</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39,721.15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29,827.79</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57,318.50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545,191.44</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492,362.42</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14,888.48</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17,621.90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155,664.16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25,247.64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4,979.30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25,783.55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233,496.24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16,093.99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156,598.00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529,374.48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1,654,812.99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9、应付利息" w:id="290"/>
      <w:bookmarkEnd w:id="29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年度第一期集合票据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325,000.00</w:t>
            </w:r>
          </w:p>
        </w:tc>
      </w:tr>
    </w:tbl>
    <w:p>
      <w:pPr>
        <w:pStyle w:val="BodyText"/>
        <w:spacing w:line="240" w:lineRule="auto" w:before="51"/>
        <w:ind w:right="0"/>
        <w:jc w:val="left"/>
      </w:pPr>
      <w:r>
        <w:rPr/>
        <w:t>重要的已逾期未支付的利息情况：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pStyle w:val="Heading4"/>
        <w:spacing w:line="240" w:lineRule="auto" w:before="89"/>
        <w:ind w:left="0" w:right="18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年本公司联合武汉精测电子技术有限公司以及武汉盛帆电子股份有限公司发行《武汉市科技型</w:t>
      </w:r>
    </w:p>
    <w:p>
      <w:pPr>
        <w:pStyle w:val="BodyText"/>
        <w:spacing w:line="240" w:lineRule="auto" w:before="21"/>
        <w:ind w:right="0"/>
        <w:jc w:val="left"/>
        <w:rPr>
          <w:rFonts w:ascii="Times New Roman" w:hAnsi="Times New Roman" w:cs="Times New Roman" w:eastAsia="Times New Roman" w:hint="default"/>
        </w:rPr>
      </w:pPr>
      <w:r>
        <w:rPr>
          <w:sz w:val="21"/>
          <w:szCs w:val="21"/>
        </w:rPr>
        <w:t>中</w:t>
      </w:r>
      <w:r>
        <w:rPr/>
        <w:t>小企业</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年度第一期集合票据（科技之春）》，票面金额</w:t>
      </w:r>
      <w:r>
        <w:rPr>
          <w:spacing w:val="-52"/>
        </w:rPr>
        <w:t> </w:t>
      </w:r>
      <w:r>
        <w:rPr>
          <w:rFonts w:ascii="Times New Roman" w:hAnsi="Times New Roman" w:cs="Times New Roman" w:eastAsia="Times New Roman" w:hint="default"/>
        </w:rPr>
        <w:t>6000</w:t>
      </w:r>
      <w:r>
        <w:rPr>
          <w:rFonts w:ascii="Times New Roman" w:hAnsi="Times New Roman" w:cs="Times New Roman" w:eastAsia="Times New Roman" w:hint="default"/>
          <w:spacing w:val="-8"/>
        </w:rPr>
        <w:t> </w:t>
      </w:r>
      <w:r>
        <w:rPr/>
        <w:t>万元，票面利率</w:t>
      </w:r>
      <w:r>
        <w:rPr>
          <w:spacing w:val="-53"/>
        </w:rPr>
        <w:t> </w:t>
      </w:r>
      <w:r>
        <w:rPr>
          <w:rFonts w:ascii="Times New Roman" w:hAnsi="Times New Roman" w:cs="Times New Roman" w:eastAsia="Times New Roman" w:hint="default"/>
        </w:rPr>
        <w:t>6.5%</w:t>
      </w:r>
      <w:r>
        <w:rPr/>
        <w:t>，根据计息期限，本期应计提</w:t>
      </w:r>
      <w:r>
        <w:rPr>
          <w:spacing w:val="-53"/>
        </w:rPr>
        <w:t> </w:t>
      </w:r>
      <w:r>
        <w:rPr>
          <w:rFonts w:ascii="Times New Roman" w:hAnsi="Times New Roman" w:cs="Times New Roman" w:eastAsia="Times New Roman" w:hint="default"/>
        </w:rPr>
        <w:t>12</w:t>
      </w:r>
    </w:p>
    <w:p>
      <w:pPr>
        <w:pStyle w:val="BodyText"/>
        <w:spacing w:line="240" w:lineRule="auto" w:before="54"/>
        <w:ind w:right="0"/>
        <w:jc w:val="left"/>
      </w:pPr>
      <w:r>
        <w:rPr/>
        <w:t>个月利息共计</w:t>
      </w:r>
      <w:r>
        <w:rPr>
          <w:spacing w:val="-47"/>
        </w:rPr>
        <w:t> </w:t>
      </w:r>
      <w:r>
        <w:rPr>
          <w:rFonts w:ascii="Times New Roman" w:hAnsi="Times New Roman" w:cs="Times New Roman" w:eastAsia="Times New Roman" w:hint="default"/>
        </w:rPr>
        <w:t>3,900,000.00</w:t>
      </w:r>
      <w:r>
        <w:rPr>
          <w:rFonts w:ascii="Times New Roman" w:hAnsi="Times New Roman" w:cs="Times New Roman" w:eastAsia="Times New Roman" w:hint="default"/>
          <w:spacing w:val="-1"/>
        </w:rPr>
        <w:t> </w:t>
      </w:r>
      <w:r>
        <w:rPr/>
        <w:t>元，其中已支付上年利息</w:t>
      </w:r>
      <w:r>
        <w:rPr>
          <w:spacing w:val="-47"/>
        </w:rPr>
        <w:t> </w:t>
      </w:r>
      <w:r>
        <w:rPr>
          <w:rFonts w:ascii="Times New Roman" w:hAnsi="Times New Roman" w:cs="Times New Roman" w:eastAsia="Times New Roman" w:hint="default"/>
        </w:rPr>
        <w:t>325,000.00</w:t>
      </w:r>
      <w:r>
        <w:rPr>
          <w:rFonts w:ascii="Times New Roman" w:hAnsi="Times New Roman" w:cs="Times New Roman" w:eastAsia="Times New Roman" w:hint="default"/>
          <w:spacing w:val="-2"/>
        </w:rPr>
        <w:t> </w:t>
      </w:r>
      <w:r>
        <w:rPr/>
        <w:t>元、本年利息</w:t>
      </w:r>
      <w:r>
        <w:rPr>
          <w:spacing w:val="-47"/>
        </w:rPr>
        <w:t> </w:t>
      </w:r>
      <w:r>
        <w:rPr>
          <w:rFonts w:ascii="Times New Roman" w:hAnsi="Times New Roman" w:cs="Times New Roman" w:eastAsia="Times New Roman" w:hint="default"/>
        </w:rPr>
        <w:t>3,575,000.00</w:t>
      </w:r>
      <w:r>
        <w:rPr>
          <w:rFonts w:ascii="Times New Roman" w:hAnsi="Times New Roman" w:cs="Times New Roman" w:eastAsia="Times New Roman" w:hint="default"/>
          <w:spacing w:val="-1"/>
        </w:rPr>
        <w:t> </w:t>
      </w:r>
      <w:r>
        <w:rPr/>
        <w:t>元，剩余</w:t>
      </w:r>
      <w:r>
        <w:rPr>
          <w:spacing w:val="-47"/>
        </w:rPr>
        <w:t> </w:t>
      </w:r>
      <w:r>
        <w:rPr>
          <w:rFonts w:ascii="Times New Roman" w:hAnsi="Times New Roman" w:cs="Times New Roman" w:eastAsia="Times New Roman" w:hint="default"/>
        </w:rPr>
        <w:t>325,000.00</w:t>
      </w:r>
      <w:r>
        <w:rPr>
          <w:rFonts w:ascii="Times New Roman" w:hAnsi="Times New Roman" w:cs="Times New Roman" w:eastAsia="Times New Roman" w:hint="default"/>
          <w:spacing w:val="-1"/>
        </w:rPr>
        <w:t> </w:t>
      </w:r>
      <w:r>
        <w:rPr/>
        <w:t>元未支付。</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0、应付股利" w:id="291"/>
      <w:bookmarkEnd w:id="29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1、其他应付款" w:id="292"/>
      <w:bookmarkEnd w:id="29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3"/>
      <w:bookmarkEnd w:id="29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102,894.50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1,544,278.47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251,902.47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1,007,348.67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168,540.07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27,205.00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74,692.20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2,723,832.14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598,029.24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636" w:lineRule="auto"/>
        <w:ind w:right="3727"/>
        <w:jc w:val="left"/>
      </w:pPr>
      <w:r>
        <w:rPr/>
        <w:t>其他说明 其他应付款期末余额较上期增加</w:t>
      </w:r>
      <w:r>
        <w:rPr>
          <w:rFonts w:ascii="Times New Roman" w:hAnsi="Times New Roman" w:cs="Times New Roman" w:eastAsia="Times New Roman" w:hint="default"/>
        </w:rPr>
        <w:t>355.47%</w:t>
      </w:r>
      <w:r>
        <w:rPr/>
        <w:t>，主要系预提费用和押金增加所致。</w:t>
      </w:r>
    </w:p>
    <w:p>
      <w:pPr>
        <w:spacing w:after="0" w:line="636" w:lineRule="auto"/>
        <w:jc w:val="left"/>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42、划分为持有待售的负债" w:id="295"/>
      <w:bookmarkEnd w:id="29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3、一年内到期的非流动负债" w:id="296"/>
      <w:bookmarkEnd w:id="29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44、其他流动负债" w:id="297"/>
      <w:bookmarkEnd w:id="29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5、长期借款" w:id="298"/>
      <w:bookmarkEnd w:id="29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9"/>
      <w:bookmarkEnd w:id="29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6、应付债券" w:id="300"/>
      <w:bookmarkEnd w:id="30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01"/>
      <w:bookmarkEnd w:id="30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年度第一期集合票据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58,616,595.19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58,579,431.73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58,616,595.19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58,579,431.73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上包括划分为金融负债的优先股、永续债等其他金融工具）" w:id="302"/>
      <w:bookmarkEnd w:id="30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54"/>
        <w:gridCol w:w="1091"/>
        <w:gridCol w:w="932"/>
        <w:gridCol w:w="932"/>
        <w:gridCol w:w="1092"/>
        <w:gridCol w:w="1091"/>
        <w:gridCol w:w="485"/>
        <w:gridCol w:w="734"/>
        <w:gridCol w:w="568"/>
        <w:gridCol w:w="485"/>
        <w:gridCol w:w="319"/>
        <w:gridCol w:w="485"/>
      </w:tblGrid>
      <w:tr>
        <w:trPr>
          <w:trHeight w:val="1026" w:hRule="exact"/>
        </w:trPr>
        <w:tc>
          <w:tcPr>
            <w:tcW w:w="14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溢折 价摊 销</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3"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48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6" w:right="61"/>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27" w:right="67"/>
              <w:jc w:val="left"/>
              <w:rPr>
                <w:rFonts w:ascii="宋体" w:hAnsi="宋体" w:cs="宋体" w:eastAsia="宋体" w:hint="default"/>
                <w:sz w:val="18"/>
                <w:szCs w:val="18"/>
              </w:rPr>
            </w:pPr>
            <w:r>
              <w:rPr>
                <w:rFonts w:ascii="宋体" w:hAnsi="宋体" w:cs="宋体" w:eastAsia="宋体" w:hint="default"/>
                <w:sz w:val="18"/>
                <w:szCs w:val="18"/>
              </w:rPr>
              <w:t>武汉市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第一期集合票据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60,000,000.00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58,420,000.00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58,579,431.73</w:t>
            </w:r>
          </w:p>
        </w:tc>
        <w:tc>
          <w:tcPr>
            <w:tcW w:w="48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58,420,000.00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58,579,431.73</w:t>
            </w:r>
          </w:p>
        </w:tc>
        <w:tc>
          <w:tcPr>
            <w:tcW w:w="48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03"/>
      <w:bookmarkEnd w:id="30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04"/>
      <w:bookmarkEnd w:id="30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272"/>
        <w:jc w:val="left"/>
      </w:pPr>
      <w:r>
        <w:rPr/>
        <w:t>期末发行在外的优先股、永续债等其他金融工具基本情况 期末发行在外的优先股、永续债等金融工具变动情况表</w:t>
      </w:r>
    </w:p>
    <w:p>
      <w:pPr>
        <w:spacing w:after="0" w:line="357"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47、长期应付款" w:id="305"/>
      <w:bookmarkEnd w:id="30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06"/>
      <w:bookmarkEnd w:id="30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8、长期应付职工薪酬" w:id="307"/>
      <w:bookmarkEnd w:id="30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08"/>
      <w:bookmarkEnd w:id="30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设定受益计划变动情况" w:id="309"/>
      <w:bookmarkEnd w:id="30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9、专项应付款" w:id="310"/>
      <w:bookmarkEnd w:id="31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0、预计负债" w:id="311"/>
      <w:bookmarkEnd w:id="31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1、递延收益" w:id="312"/>
      <w:bookmarkEnd w:id="31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326,098.38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54,128.16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271,970.22</w:t>
            </w: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326,098.38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54,128.16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271,970.22</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00" w:lineRule="auto" w:before="52"/>
              <w:ind w:left="407" w:right="26"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72"/>
              <w:jc w:val="left"/>
              <w:rPr>
                <w:rFonts w:ascii="宋体" w:hAnsi="宋体" w:cs="宋体" w:eastAsia="宋体" w:hint="default"/>
                <w:sz w:val="18"/>
                <w:szCs w:val="18"/>
              </w:rPr>
            </w:pPr>
            <w:r>
              <w:rPr>
                <w:rFonts w:ascii="宋体" w:hAnsi="宋体" w:cs="宋体" w:eastAsia="宋体" w:hint="default"/>
                <w:sz w:val="18"/>
                <w:szCs w:val="18"/>
              </w:rPr>
              <w:t>十大科技产业化 专项项目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326,098.38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54,128.16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271,970.22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326,098.38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54,128.16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271,970.22</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left="153" w:right="142" w:firstLine="391"/>
        <w:jc w:val="left"/>
      </w:pPr>
      <w:r>
        <w:rPr>
          <w:spacing w:val="-1"/>
        </w:rPr>
        <w:t>根据《武汉市科技局关于下达</w:t>
      </w:r>
      <w:r>
        <w:rPr>
          <w:rFonts w:ascii="Times New Roman" w:hAnsi="Times New Roman" w:cs="Times New Roman" w:eastAsia="Times New Roman" w:hint="default"/>
          <w:spacing w:val="-1"/>
        </w:rPr>
        <w:t>2011</w:t>
      </w:r>
      <w:r>
        <w:rPr>
          <w:spacing w:val="-1"/>
        </w:rPr>
        <w:t>年十大科技产业化专项项目的通知》（武科计</w:t>
      </w:r>
      <w:r>
        <w:rPr>
          <w:rFonts w:ascii="Times New Roman" w:hAnsi="Times New Roman" w:cs="Times New Roman" w:eastAsia="Times New Roman" w:hint="default"/>
          <w:spacing w:val="-1"/>
        </w:rPr>
        <w:t>[2011]54</w:t>
      </w:r>
      <w:r>
        <w:rPr>
          <w:spacing w:val="-1"/>
        </w:rPr>
        <w:t>号文件）规定，公司</w:t>
      </w:r>
      <w:r>
        <w:rPr>
          <w:rFonts w:ascii="Times New Roman" w:hAnsi="Times New Roman" w:cs="Times New Roman" w:eastAsia="Times New Roman" w:hint="default"/>
          <w:spacing w:val="-1"/>
        </w:rPr>
        <w:t>2011</w:t>
      </w:r>
      <w:r>
        <w:rPr>
          <w:spacing w:val="-1"/>
        </w:rPr>
        <w:t>年收</w:t>
      </w:r>
      <w:r>
        <w:rPr/>
        <w:t> 到与资产相关政府补助</w:t>
      </w:r>
      <w:r>
        <w:rPr>
          <w:rFonts w:ascii="Times New Roman" w:hAnsi="Times New Roman" w:cs="Times New Roman" w:eastAsia="Times New Roman" w:hint="default"/>
        </w:rPr>
        <w:t>44</w:t>
      </w:r>
      <w:r>
        <w:rPr/>
        <w:t>万元，已全部用于购买固定资产，并按资产使用年限摊销计入当期损益。</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52、其他非流动负债" w:id="313"/>
      <w:bookmarkEnd w:id="31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3、股本" w:id="314"/>
      <w:bookmarkEnd w:id="314"/>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82"/>
        <w:gridCol w:w="1208"/>
        <w:gridCol w:w="1184"/>
        <w:gridCol w:w="1197"/>
        <w:gridCol w:w="1195"/>
        <w:gridCol w:w="1197"/>
        <w:gridCol w:w="1184"/>
        <w:gridCol w:w="1193"/>
      </w:tblGrid>
      <w:tr>
        <w:trPr>
          <w:trHeight w:val="206" w:hRule="exact"/>
        </w:trPr>
        <w:tc>
          <w:tcPr>
            <w:tcW w:w="1182" w:type="dxa"/>
            <w:tcBorders>
              <w:top w:val="single" w:sz="4" w:space="0" w:color="000000"/>
              <w:left w:val="nil" w:sz="6" w:space="0" w:color="auto"/>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6" w:hRule="exact"/>
        </w:trPr>
        <w:tc>
          <w:tcPr>
            <w:tcW w:w="1182" w:type="dxa"/>
            <w:vMerge w:val="restart"/>
            <w:tcBorders>
              <w:top w:val="nil" w:sz="6" w:space="0" w:color="auto"/>
              <w:left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82" w:type="dxa"/>
            <w:vMerge/>
            <w:tcBorders>
              <w:left w:val="nil" w:sz="6" w:space="0" w:color="auto"/>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1182" w:type="dxa"/>
            <w:tcBorders>
              <w:top w:val="nil" w:sz="6" w:space="0" w:color="auto"/>
              <w:left w:val="nil" w:sz="6" w:space="0" w:color="auto"/>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11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70,000,000.00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56,000,000.00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56,000,000.00</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126,000,000.00</w:t>
            </w:r>
          </w:p>
        </w:tc>
      </w:tr>
    </w:tbl>
    <w:p>
      <w:pPr>
        <w:pStyle w:val="BodyText"/>
        <w:spacing w:line="240" w:lineRule="auto" w:before="51"/>
        <w:ind w:right="0"/>
        <w:jc w:val="left"/>
      </w:pPr>
      <w:r>
        <w:rPr/>
        <w:t>其他说明：</w:t>
      </w:r>
    </w:p>
    <w:p>
      <w:pPr>
        <w:pStyle w:val="BodyText"/>
        <w:spacing w:line="240" w:lineRule="auto" w:before="115"/>
        <w:ind w:left="57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月，经本公司召开的</w:t>
      </w:r>
      <w:r>
        <w:rPr>
          <w:rFonts w:ascii="Times New Roman" w:hAnsi="Times New Roman" w:cs="Times New Roman" w:eastAsia="Times New Roman" w:hint="default"/>
        </w:rPr>
        <w:t>2014</w:t>
      </w:r>
      <w:r>
        <w:rPr/>
        <w:t>年第三次临时股东大会，以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7,000</w:t>
      </w:r>
      <w:r>
        <w:rPr/>
        <w:t>万股为基数，以资本公积金转增股</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股，转增后注册资本变更为</w:t>
      </w:r>
      <w:r>
        <w:rPr>
          <w:rFonts w:ascii="Times New Roman" w:hAnsi="Times New Roman" w:cs="Times New Roman" w:eastAsia="Times New Roman" w:hint="default"/>
        </w:rPr>
        <w:t>12,600</w:t>
      </w:r>
      <w:r>
        <w:rPr/>
        <w:t>万，并于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日完成工商变更登记手续。</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4、其他权益工具" w:id="315"/>
      <w:bookmarkEnd w:id="31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16"/>
      <w:bookmarkEnd w:id="31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17"/>
      <w:bookmarkEnd w:id="31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5、资本公积" w:id="318"/>
      <w:bookmarkEnd w:id="31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56,224,996.29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82,817,482.47</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139,042,478.76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56,224,996.29</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82,817,482.47</w:t>
            </w:r>
          </w:p>
        </w:tc>
      </w:tr>
    </w:tbl>
    <w:p>
      <w:pPr>
        <w:pStyle w:val="BodyText"/>
        <w:spacing w:line="240" w:lineRule="auto" w:before="51"/>
        <w:ind w:right="0"/>
        <w:jc w:val="left"/>
      </w:pPr>
      <w:r>
        <w:rPr/>
        <w:t>其他说明，包括本期增减变动情况、变动原因说明：</w:t>
      </w:r>
    </w:p>
    <w:p>
      <w:pPr>
        <w:pStyle w:val="BodyText"/>
        <w:spacing w:line="240" w:lineRule="auto" w:before="116"/>
        <w:ind w:left="574" w:right="0"/>
        <w:jc w:val="left"/>
      </w:pPr>
      <w:r>
        <w:rPr>
          <w:rFonts w:ascii="Times New Roman" w:hAnsi="Times New Roman" w:cs="Times New Roman" w:eastAsia="Times New Roman" w:hint="default"/>
        </w:rPr>
        <w:t>1.</w:t>
      </w:r>
      <w:r>
        <w:rPr/>
        <w:t>资本公积转增股本详见注释</w:t>
      </w:r>
      <w:r>
        <w:rPr>
          <w:rFonts w:ascii="Times New Roman" w:hAnsi="Times New Roman" w:cs="Times New Roman" w:eastAsia="Times New Roman" w:hint="default"/>
        </w:rPr>
        <w:t>25</w:t>
      </w:r>
      <w:r>
        <w:rPr/>
        <w:t>、股本。</w:t>
      </w:r>
    </w:p>
    <w:p>
      <w:pPr>
        <w:pStyle w:val="BodyText"/>
        <w:spacing w:line="240" w:lineRule="auto" w:before="63"/>
        <w:ind w:left="580"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月购买少数股东</w:t>
      </w:r>
      <w:r>
        <w:rPr>
          <w:rFonts w:ascii="Times New Roman" w:hAnsi="Times New Roman" w:cs="Times New Roman" w:eastAsia="Times New Roman" w:hint="default"/>
        </w:rPr>
        <w:t>—</w:t>
      </w:r>
      <w:r>
        <w:rPr/>
        <w:t>武汉天盛泽投资管理有限公司持有的武汉唯拓</w:t>
      </w:r>
      <w:r>
        <w:rPr>
          <w:rFonts w:ascii="Times New Roman" w:hAnsi="Times New Roman" w:cs="Times New Roman" w:eastAsia="Times New Roman" w:hint="default"/>
        </w:rPr>
        <w:t>49%</w:t>
      </w:r>
      <w:r>
        <w:rPr/>
        <w:t>的股权，支付对价</w:t>
      </w:r>
      <w:r>
        <w:rPr>
          <w:rFonts w:ascii="Times New Roman" w:hAnsi="Times New Roman" w:cs="Times New Roman" w:eastAsia="Times New Roman" w:hint="default"/>
        </w:rPr>
        <w:t>555,727.00</w:t>
      </w:r>
    </w:p>
    <w:p>
      <w:pPr>
        <w:pStyle w:val="BodyText"/>
        <w:spacing w:line="240" w:lineRule="auto" w:before="37"/>
        <w:ind w:left="153" w:right="0"/>
        <w:jc w:val="left"/>
        <w:rPr>
          <w:sz w:val="21"/>
          <w:szCs w:val="21"/>
        </w:rPr>
      </w:pPr>
      <w:r>
        <w:rPr/>
        <w:t>元，武汉唯拓自合并日开始持续计算的可辨认净资产份额的公允价值为</w:t>
      </w:r>
      <w:r>
        <w:rPr>
          <w:rFonts w:ascii="Times New Roman" w:hAnsi="Times New Roman" w:cs="Times New Roman" w:eastAsia="Times New Roman" w:hint="default"/>
        </w:rPr>
        <w:t>330,730.71</w:t>
      </w:r>
      <w:r>
        <w:rPr/>
        <w:t>元，冲减资本公积</w:t>
      </w:r>
      <w:r>
        <w:rPr>
          <w:rFonts w:ascii="Times New Roman" w:hAnsi="Times New Roman" w:cs="Times New Roman" w:eastAsia="Times New Roman" w:hint="default"/>
        </w:rPr>
        <w:t>224,996.29</w:t>
      </w:r>
      <w:r>
        <w:rPr/>
        <w:t>元</w:t>
      </w:r>
      <w:r>
        <w:rPr>
          <w:sz w:val="21"/>
          <w:szCs w:val="21"/>
        </w:rPr>
        <w:t>。</w:t>
      </w:r>
    </w:p>
    <w:p>
      <w:pPr>
        <w:spacing w:line="240" w:lineRule="auto" w:before="2"/>
        <w:rPr>
          <w:rFonts w:ascii="宋体" w:hAnsi="宋体" w:cs="宋体" w:eastAsia="宋体" w:hint="default"/>
          <w:sz w:val="25"/>
          <w:szCs w:val="25"/>
        </w:rPr>
      </w:pPr>
    </w:p>
    <w:p>
      <w:pPr>
        <w:pStyle w:val="Heading3"/>
        <w:spacing w:line="240" w:lineRule="auto"/>
        <w:ind w:left="153" w:right="0"/>
        <w:jc w:val="left"/>
        <w:rPr>
          <w:b w:val="0"/>
          <w:bCs w:val="0"/>
        </w:rPr>
      </w:pPr>
      <w:bookmarkStart w:name="56、库存股" w:id="319"/>
      <w:bookmarkEnd w:id="31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7、其他综合收益" w:id="320"/>
      <w:bookmarkEnd w:id="32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8、专项储备" w:id="321"/>
      <w:bookmarkEnd w:id="32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9、盈余公积" w:id="322"/>
      <w:bookmarkEnd w:id="32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8,321,318.16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1,153,116.94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9,474,435.10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8,321,318.16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1,153,116.94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9,474,435.10</w:t>
            </w:r>
          </w:p>
        </w:tc>
      </w:tr>
    </w:tbl>
    <w:p>
      <w:pPr>
        <w:pStyle w:val="BodyText"/>
        <w:spacing w:line="240" w:lineRule="auto" w:before="51"/>
        <w:ind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0、未分配利润" w:id="323"/>
      <w:bookmarkEnd w:id="32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8"/>
      </w:tblGrid>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70,759,240.24</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67,464,933.65</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-1,332,967.42</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70,759,240.24</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66,131,966.23</w:t>
            </w:r>
          </w:p>
        </w:tc>
      </w:tr>
      <w:tr>
        <w:trPr>
          <w:trHeight w:val="403"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7,181,394.42</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7,092,467.87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1,134,139.86</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2,465,193.86</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291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74,995,894.59</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70,759,240.24</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24"/>
      <w:bookmarkEnd w:id="32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98"/>
        <w:gridCol w:w="1917"/>
        <w:gridCol w:w="1914"/>
        <w:gridCol w:w="1914"/>
        <w:gridCol w:w="1914"/>
      </w:tblGrid>
      <w:tr>
        <w:trPr>
          <w:trHeight w:val="206" w:hRule="exact"/>
        </w:trPr>
        <w:tc>
          <w:tcPr>
            <w:tcW w:w="1898" w:type="dxa"/>
            <w:tcBorders>
              <w:top w:val="single" w:sz="4" w:space="0" w:color="000000"/>
              <w:left w:val="nil" w:sz="6" w:space="0" w:color="auto"/>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89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898" w:type="dxa"/>
            <w:vMerge/>
            <w:tcBorders>
              <w:left w:val="nil" w:sz="6" w:space="0" w:color="auto"/>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98" w:type="dxa"/>
            <w:tcBorders>
              <w:top w:val="nil" w:sz="6" w:space="0" w:color="auto"/>
              <w:left w:val="nil" w:sz="6" w:space="0" w:color="auto"/>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182,460,165.59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110,763,992.47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151,312,312.31</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86,726,917.70</w:t>
            </w:r>
          </w:p>
        </w:tc>
      </w:tr>
      <w:tr>
        <w:trPr>
          <w:trHeight w:val="402" w:hRule="exact"/>
        </w:trPr>
        <w:tc>
          <w:tcPr>
            <w:tcW w:w="1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10,075,656.91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9,780,377.45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7,105,879.79</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2"/>
                <w:sz w:val="18"/>
              </w:rPr>
              <w:t>5,111,311.64</w:t>
            </w:r>
          </w:p>
        </w:tc>
      </w:tr>
      <w:tr>
        <w:trPr>
          <w:trHeight w:val="402" w:hRule="exact"/>
        </w:trPr>
        <w:tc>
          <w:tcPr>
            <w:tcW w:w="18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192,535,822.50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120,544,369.92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158,418,192.10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91,838,229.34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25"/>
      <w:bookmarkEnd w:id="32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3181"/>
        <w:gridCol w:w="3194"/>
        <w:gridCol w:w="3175"/>
      </w:tblGrid>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93,210.46</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720,584.45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598,346.80</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312,840.96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257,796.24</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172,175.41</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210,256.12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169,938.05</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1,336,891.99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1,198,256.50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3、销售费用" w:id="326"/>
      <w:bookmarkEnd w:id="32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16,882,363.92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13,622,040.09</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5,129,282.34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5,471,967.55</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4,968,199.78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4,434,248.50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4,041,255.13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3,730,084.76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2,487,717.62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623,592.43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2,442,134.35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2,854,284.71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802,667.01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580,134.38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1,499,064.21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1,514,569.93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38,252,684.36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32,830,922.35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4、管理费用" w:id="327"/>
      <w:bookmarkEnd w:id="32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8,890,310.56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6,450,240.11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4,294,164.12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3,772,311.58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3,107,505.44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4,723,020.11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1,197,658.92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1,152,990.80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1,017,671.91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998,525.41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2,130,790.23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87,806.00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咨询、设计费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1,490,096.00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893,073.71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1,221,319.32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601,981.00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2,607,934.14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3,060,936.94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25,957,450.64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21,740,885.66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5、财务费用" w:id="328"/>
      <w:bookmarkEnd w:id="32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5,414,941.24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5,404,110.90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1,166,369.27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1,808,361.36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13,561.42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460,166.30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148,779.31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308,906.06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4,410,912.70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4,364,821.90</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66、资产减值损失" w:id="329"/>
      <w:bookmarkEnd w:id="32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2,016,674.70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1,330,257.97</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112,864.37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30,651.87</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2,129,539.07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1,360,909.84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7、公允价值变动收益" w:id="330"/>
      <w:bookmarkEnd w:id="33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8、投资收益" w:id="331"/>
      <w:bookmarkEnd w:id="33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453"/>
        <w:gridCol w:w="3191"/>
        <w:gridCol w:w="2904"/>
      </w:tblGrid>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1,518,534.37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1,126,996.85</w:t>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1,495,844.57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1,126,996.85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9、营业外收入" w:id="332"/>
      <w:bookmarkEnd w:id="33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83"/>
        <w:gridCol w:w="2396"/>
        <w:gridCol w:w="2392"/>
        <w:gridCol w:w="2378"/>
      </w:tblGrid>
      <w:tr>
        <w:trPr>
          <w:trHeight w:val="161" w:hRule="exact"/>
        </w:trPr>
        <w:tc>
          <w:tcPr>
            <w:tcW w:w="2383" w:type="dxa"/>
            <w:tcBorders>
              <w:top w:val="single" w:sz="4" w:space="0" w:color="000000"/>
              <w:left w:val="nil" w:sz="6" w:space="0" w:color="auto"/>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1"/>
              <w:ind w:left="1100" w:right="100"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8" w:type="dxa"/>
            <w:vMerge/>
            <w:tcBorders>
              <w:left w:val="single" w:sz="4" w:space="0" w:color="000000"/>
              <w:right w:val="nil" w:sz="6" w:space="0" w:color="auto"/>
            </w:tcBorders>
            <w:shd w:val="clear" w:color="auto" w:fill="D2D2D2"/>
          </w:tcPr>
          <w:p>
            <w:pPr/>
          </w:p>
        </w:tc>
      </w:tr>
      <w:tr>
        <w:trPr>
          <w:trHeight w:val="161" w:hRule="exact"/>
        </w:trPr>
        <w:tc>
          <w:tcPr>
            <w:tcW w:w="2383" w:type="dxa"/>
            <w:tcBorders>
              <w:top w:val="nil" w:sz="6" w:space="0" w:color="auto"/>
              <w:left w:val="nil" w:sz="6" w:space="0" w:color="auto"/>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2,706.55</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4,007,667.16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2,798,503.78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4,007,667.16</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132,820.51</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521,573.80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4,225.73</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521,573.80</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4,529,240.96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2,938,256.57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4,529,240.96</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稳岗补贴款</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p>
            <w:pPr>
              <w:pStyle w:val="TableParagraph"/>
              <w:spacing w:line="240" w:lineRule="auto" w:before="117"/>
              <w:ind w:left="27" w:right="0"/>
              <w:jc w:val="left"/>
              <w:rPr>
                <w:rFonts w:ascii="Times New Roman" w:hAnsi="Times New Roman" w:cs="Times New Roman" w:eastAsia="Times New Roman" w:hint="default"/>
                <w:sz w:val="18"/>
                <w:szCs w:val="18"/>
              </w:rPr>
            </w:pPr>
            <w:r>
              <w:rPr>
                <w:rFonts w:ascii="Times New Roman"/>
                <w:sz w:val="18"/>
              </w:rPr>
              <w:t>*2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武汉市财政局高新技术产品 贴息</w:t>
            </w:r>
            <w:r>
              <w:rPr>
                <w:rFonts w:ascii="Times New Roman" w:hAnsi="Times New Roman" w:cs="Times New Roman" w:eastAsia="Times New Roman" w:hint="default"/>
                <w:sz w:val="18"/>
                <w:szCs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498,059.00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643,511.00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27" w:right="1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年武汉市文化产业发展 专项资金项目经费</w:t>
            </w:r>
            <w:r>
              <w:rPr>
                <w:rFonts w:ascii="Times New Roman" w:hAnsi="Times New Roman" w:cs="Times New Roman" w:eastAsia="Times New Roman" w:hint="default"/>
                <w:sz w:val="18"/>
                <w:szCs w:val="18"/>
              </w:rPr>
              <w:t>*4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武汉市江岸区科学技术局科 技计划项目经费</w:t>
            </w:r>
            <w:r>
              <w:rPr>
                <w:rFonts w:ascii="Times New Roman" w:hAnsi="Times New Roman" w:cs="Times New Roman" w:eastAsia="Times New Roman" w:hint="default"/>
                <w:sz w:val="18"/>
                <w:szCs w:val="18"/>
              </w:rPr>
              <w:t>*5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年工博会展位补贴</w:t>
            </w:r>
            <w:r>
              <w:rPr>
                <w:rFonts w:ascii="Times New Roman" w:hAnsi="Times New Roman" w:cs="Times New Roman" w:eastAsia="Times New Roman" w:hint="default"/>
                <w:sz w:val="18"/>
                <w:szCs w:val="18"/>
              </w:rPr>
              <w:t>*6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黄鹤英才计划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人才项目</w:t>
            </w:r>
            <w:r>
              <w:rPr>
                <w:rFonts w:ascii="Times New Roman" w:hAnsi="Times New Roman" w:cs="Times New Roman" w:eastAsia="Times New Roman" w:hint="default"/>
                <w:sz w:val="18"/>
                <w:szCs w:val="18"/>
              </w:rPr>
              <w:t>*7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武汉市江岸区工商行政管理 局驰名商标奖励</w:t>
            </w:r>
            <w:r>
              <w:rPr>
                <w:rFonts w:ascii="Times New Roman" w:hAnsi="Times New Roman" w:cs="Times New Roman" w:eastAsia="Times New Roman" w:hint="default"/>
                <w:sz w:val="18"/>
                <w:szCs w:val="18"/>
              </w:rPr>
              <w:t>*8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51"/>
              <w:ind w:left="27"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 贷款贴息</w:t>
            </w:r>
            <w:r>
              <w:rPr>
                <w:rFonts w:ascii="Times New Roman" w:hAnsi="Times New Roman" w:cs="Times New Roman" w:eastAsia="Times New Roman" w:hint="default"/>
                <w:sz w:val="18"/>
                <w:szCs w:val="18"/>
              </w:rPr>
              <w:t>*9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武汉市经济和信息化委员会 印度展补贴</w:t>
            </w:r>
            <w:r>
              <w:rPr>
                <w:rFonts w:ascii="Times New Roman" w:hAnsi="Times New Roman" w:cs="Times New Roman" w:eastAsia="Times New Roman" w:hint="default"/>
                <w:sz w:val="18"/>
                <w:szCs w:val="18"/>
              </w:rPr>
              <w:t>*10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95,384.62</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武汉市知识产权局专利奖外 观设计优秀奖</w:t>
            </w:r>
            <w:r>
              <w:rPr>
                <w:rFonts w:ascii="Times New Roman" w:hAnsi="Times New Roman" w:cs="Times New Roman" w:eastAsia="Times New Roman" w:hint="default"/>
                <w:sz w:val="18"/>
                <w:szCs w:val="18"/>
              </w:rPr>
              <w:t>*11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宋体" w:hAnsi="宋体" w:cs="宋体" w:eastAsia="宋体" w:hint="default"/>
                <w:sz w:val="18"/>
                <w:szCs w:val="18"/>
              </w:rPr>
            </w:pPr>
            <w:r>
              <w:rPr>
                <w:rFonts w:ascii="宋体" w:hAnsi="宋体" w:cs="宋体" w:eastAsia="宋体" w:hint="default"/>
                <w:sz w:val="18"/>
                <w:szCs w:val="18"/>
              </w:rPr>
              <w:t>与资产相关的政府补助本期 转入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54,128.16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一企一策</w:t>
            </w:r>
            <w:r>
              <w:rPr>
                <w:rFonts w:ascii="Times New Roman" w:hAnsi="Times New Roman" w:cs="Times New Roman" w:eastAsia="Times New Roman" w:hint="default"/>
                <w:sz w:val="18"/>
                <w:szCs w:val="18"/>
              </w:rPr>
              <w:t>"</w:t>
            </w:r>
            <w:r>
              <w:rPr>
                <w:rFonts w:ascii="宋体" w:hAnsi="宋体" w:cs="宋体" w:eastAsia="宋体" w:hint="default"/>
                <w:sz w:val="18"/>
                <w:szCs w:val="18"/>
              </w:rPr>
              <w:t>政策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循环型企业奖励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科技资金补助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宋体" w:hAnsi="宋体" w:cs="宋体" w:eastAsia="宋体" w:hint="default"/>
                <w:sz w:val="18"/>
                <w:szCs w:val="18"/>
              </w:rPr>
            </w:pPr>
            <w:r>
              <w:rPr>
                <w:rFonts w:ascii="宋体" w:hAnsi="宋体" w:cs="宋体" w:eastAsia="宋体" w:hint="default"/>
                <w:sz w:val="18"/>
                <w:szCs w:val="18"/>
              </w:rPr>
              <w:t>十大科技产业化专项项目补 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54,128.16</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知识产权奖励费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95"/>
              <w:jc w:val="left"/>
              <w:rPr>
                <w:rFonts w:ascii="宋体" w:hAnsi="宋体" w:cs="宋体" w:eastAsia="宋体" w:hint="default"/>
                <w:sz w:val="18"/>
                <w:szCs w:val="18"/>
              </w:rPr>
            </w:pPr>
            <w:r>
              <w:rPr>
                <w:rFonts w:ascii="宋体" w:hAnsi="宋体" w:cs="宋体" w:eastAsia="宋体" w:hint="default"/>
                <w:sz w:val="18"/>
                <w:szCs w:val="18"/>
              </w:rPr>
              <w:t>市财政出口专项预算内区域 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债券融资奖励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4,007,667.16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2,798,503.78</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15"/>
          <w:szCs w:val="15"/>
        </w:rPr>
      </w:pPr>
    </w:p>
    <w:p>
      <w:pPr>
        <w:pStyle w:val="BodyText"/>
        <w:spacing w:line="300" w:lineRule="auto"/>
        <w:ind w:left="276" w:right="20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日，根据武汉市人力资源和社会保障局、武汉市财政局下发的《武汉市关于支持企业开展职工培训稳定 就业岗位补贴实施办法的通知》（武人社发</w:t>
      </w:r>
      <w:r>
        <w:rPr>
          <w:rFonts w:ascii="Times New Roman" w:hAnsi="Times New Roman" w:cs="Times New Roman" w:eastAsia="Times New Roman" w:hint="default"/>
        </w:rPr>
        <w:t>[2013]59  </w:t>
      </w:r>
      <w:r>
        <w:rPr/>
        <w:t>号），公司收到稳岗补贴款</w:t>
      </w:r>
      <w:r>
        <w:rPr>
          <w:spacing w:val="-3"/>
        </w:rPr>
        <w:t> </w:t>
      </w:r>
      <w:r>
        <w:rPr>
          <w:rFonts w:ascii="Times New Roman" w:hAnsi="Times New Roman" w:cs="Times New Roman" w:eastAsia="Times New Roman" w:hint="default"/>
        </w:rPr>
        <w:t>6.68</w:t>
      </w:r>
      <w:r>
        <w:rPr/>
        <w:t>万元。</w:t>
      </w:r>
    </w:p>
    <w:p>
      <w:pPr>
        <w:pStyle w:val="BodyText"/>
        <w:spacing w:line="300" w:lineRule="auto" w:before="133"/>
        <w:ind w:left="276" w:right="2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日，根据《财政部、商务部关于印发〈中小企业国际市场开拓资金管理办法〉的通知》（财企〔</w:t>
      </w:r>
      <w:r>
        <w:rPr>
          <w:rFonts w:ascii="Times New Roman" w:hAnsi="Times New Roman" w:cs="Times New Roman" w:eastAsia="Times New Roman" w:hint="default"/>
        </w:rPr>
        <w:t>2010</w:t>
      </w:r>
      <w:r>
        <w:rPr/>
        <w:t>〕 </w:t>
      </w:r>
      <w:r>
        <w:rPr>
          <w:rFonts w:ascii="Times New Roman" w:hAnsi="Times New Roman" w:cs="Times New Roman" w:eastAsia="Times New Roman" w:hint="default"/>
        </w:rPr>
        <w:t>87</w:t>
      </w:r>
      <w:r>
        <w:rPr/>
        <w:t>号），公司收到中小企业国际市场开拓资金</w:t>
      </w:r>
      <w:r>
        <w:rPr>
          <w:rFonts w:ascii="Times New Roman" w:hAnsi="Times New Roman" w:cs="Times New Roman" w:eastAsia="Times New Roman" w:hint="default"/>
        </w:rPr>
        <w:t>5</w:t>
      </w:r>
      <w:r>
        <w:rPr/>
        <w:t>万元。</w:t>
      </w:r>
    </w:p>
    <w:p>
      <w:pPr>
        <w:spacing w:after="0" w:line="30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271" w:right="9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日，公司收到</w:t>
      </w:r>
      <w:r>
        <w:rPr>
          <w:rFonts w:ascii="Times New Roman" w:hAnsi="Times New Roman" w:cs="Times New Roman" w:eastAsia="Times New Roman" w:hint="default"/>
        </w:rPr>
        <w:t>2013</w:t>
      </w:r>
      <w:r>
        <w:rPr/>
        <w:t>年度高新技术产品出口贴息资金</w:t>
      </w:r>
      <w:r>
        <w:rPr>
          <w:rFonts w:ascii="Times New Roman" w:hAnsi="Times New Roman" w:cs="Times New Roman" w:eastAsia="Times New Roman" w:hint="default"/>
        </w:rPr>
        <w:t>498,059.00</w:t>
      </w:r>
      <w:r>
        <w:rPr/>
        <w:t>元。</w:t>
      </w:r>
    </w:p>
    <w:p>
      <w:pPr>
        <w:spacing w:line="240" w:lineRule="auto" w:before="13"/>
        <w:rPr>
          <w:rFonts w:ascii="宋体" w:hAnsi="宋体" w:cs="宋体" w:eastAsia="宋体" w:hint="default"/>
          <w:sz w:val="13"/>
          <w:szCs w:val="13"/>
        </w:rPr>
      </w:pPr>
    </w:p>
    <w:p>
      <w:pPr>
        <w:pStyle w:val="BodyText"/>
        <w:spacing w:line="300" w:lineRule="auto"/>
        <w:ind w:left="271" w:right="93"/>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日，根据《武汉市文化产业发展专项基金管理暂行办法》（武文产办</w:t>
      </w:r>
      <w:r>
        <w:rPr>
          <w:rFonts w:ascii="Times New Roman" w:hAnsi="Times New Roman" w:cs="Times New Roman" w:eastAsia="Times New Roman" w:hint="default"/>
          <w:spacing w:val="-2"/>
        </w:rPr>
        <w:t>[2013]1</w:t>
      </w:r>
      <w:r>
        <w:rPr>
          <w:spacing w:val="-2"/>
        </w:rPr>
        <w:t>号），公司</w:t>
      </w:r>
      <w:r>
        <w:rPr>
          <w:rFonts w:ascii="Times New Roman" w:hAnsi="Times New Roman" w:cs="Times New Roman" w:eastAsia="Times New Roman" w:hint="default"/>
          <w:spacing w:val="-2"/>
        </w:rPr>
        <w:t>3D</w:t>
      </w:r>
      <w:r>
        <w:rPr>
          <w:spacing w:val="-2"/>
        </w:rPr>
        <w:t>打印及云工厂</w:t>
      </w:r>
      <w:r>
        <w:rPr>
          <w:spacing w:val="-61"/>
        </w:rPr>
        <w:t> </w:t>
      </w:r>
      <w:r>
        <w:rPr>
          <w:spacing w:val="-61"/>
        </w:rPr>
      </w:r>
      <w:r>
        <w:rPr/>
        <w:t>文化产业项目收到项目经费</w:t>
      </w:r>
      <w:r>
        <w:rPr>
          <w:rFonts w:ascii="Times New Roman" w:hAnsi="Times New Roman" w:cs="Times New Roman" w:eastAsia="Times New Roman" w:hint="default"/>
        </w:rPr>
        <w:t>49</w:t>
      </w:r>
      <w:r>
        <w:rPr/>
        <w:t>万元。</w:t>
      </w:r>
    </w:p>
    <w:p>
      <w:pPr>
        <w:pStyle w:val="BodyText"/>
        <w:spacing w:line="300" w:lineRule="auto" w:before="133"/>
        <w:ind w:left="271" w:right="93"/>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日，根据武汉市江岸区科学技术局、江岸区财务局下发的《关于下达</w:t>
      </w:r>
      <w:r>
        <w:rPr>
          <w:rFonts w:ascii="Times New Roman" w:hAnsi="Times New Roman" w:cs="Times New Roman" w:eastAsia="Times New Roman" w:hint="default"/>
          <w:spacing w:val="-1"/>
        </w:rPr>
        <w:t>2014</w:t>
      </w:r>
      <w:r>
        <w:rPr>
          <w:spacing w:val="-1"/>
        </w:rPr>
        <w:t>年技术成果转化类科技计划项</w:t>
      </w:r>
      <w:r>
        <w:rPr>
          <w:spacing w:val="-50"/>
        </w:rPr>
        <w:t> </w:t>
      </w:r>
      <w:r>
        <w:rPr/>
        <w:t>目的通知》（岸科</w:t>
      </w:r>
      <w:r>
        <w:rPr>
          <w:rFonts w:ascii="Times New Roman" w:hAnsi="Times New Roman" w:cs="Times New Roman" w:eastAsia="Times New Roman" w:hint="default"/>
        </w:rPr>
        <w:t>[2014]17</w:t>
      </w:r>
      <w:r>
        <w:rPr/>
        <w:t>号），公司桥式激光刺绣雕花切割一体机产业化（编号</w:t>
      </w:r>
      <w:r>
        <w:rPr>
          <w:rFonts w:ascii="Times New Roman" w:hAnsi="Times New Roman" w:cs="Times New Roman" w:eastAsia="Times New Roman" w:hint="default"/>
        </w:rPr>
        <w:t>2014111701</w:t>
      </w:r>
      <w:r>
        <w:rPr/>
        <w:t>）项目收到补贴</w:t>
      </w:r>
      <w:r>
        <w:rPr>
          <w:rFonts w:ascii="Times New Roman" w:hAnsi="Times New Roman" w:cs="Times New Roman" w:eastAsia="Times New Roman" w:hint="default"/>
        </w:rPr>
        <w:t>40</w:t>
      </w:r>
      <w:r>
        <w:rPr/>
        <w:t>万元。</w:t>
      </w:r>
    </w:p>
    <w:p>
      <w:pPr>
        <w:pStyle w:val="BodyText"/>
        <w:spacing w:line="240" w:lineRule="auto" w:before="133"/>
        <w:ind w:left="271" w:right="93"/>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日，公司收到</w:t>
      </w:r>
      <w:r>
        <w:rPr>
          <w:rFonts w:ascii="Times New Roman" w:hAnsi="Times New Roman" w:cs="Times New Roman" w:eastAsia="Times New Roman" w:hint="default"/>
        </w:rPr>
        <w:t>2014</w:t>
      </w:r>
      <w:r>
        <w:rPr/>
        <w:t>年工博会展位补贴</w:t>
      </w:r>
      <w:r>
        <w:rPr>
          <w:rFonts w:ascii="Times New Roman" w:hAnsi="Times New Roman" w:cs="Times New Roman" w:eastAsia="Times New Roman" w:hint="default"/>
        </w:rPr>
        <w:t>6</w:t>
      </w:r>
      <w:r>
        <w:rPr/>
        <w:t>万元。</w:t>
      </w:r>
    </w:p>
    <w:p>
      <w:pPr>
        <w:spacing w:line="240" w:lineRule="auto" w:before="13"/>
        <w:rPr>
          <w:rFonts w:ascii="宋体" w:hAnsi="宋体" w:cs="宋体" w:eastAsia="宋体" w:hint="default"/>
          <w:sz w:val="13"/>
          <w:szCs w:val="13"/>
        </w:rPr>
      </w:pPr>
    </w:p>
    <w:p>
      <w:pPr>
        <w:pStyle w:val="BodyText"/>
        <w:spacing w:line="300" w:lineRule="auto"/>
        <w:ind w:left="271" w:right="177"/>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日，根据《江岸区人才项目专项资金管理办法（试行）》（岸组</w:t>
      </w:r>
      <w:r>
        <w:rPr>
          <w:rFonts w:ascii="Times New Roman" w:hAnsi="Times New Roman" w:cs="Times New Roman" w:eastAsia="Times New Roman" w:hint="default"/>
        </w:rPr>
        <w:t>[2012] 8</w:t>
      </w:r>
      <w:r>
        <w:rPr/>
        <w:t>号），公司收到</w:t>
      </w:r>
      <w:r>
        <w:rPr>
          <w:spacing w:val="-7"/>
        </w:rPr>
        <w:t> </w:t>
      </w:r>
      <w:r>
        <w:rPr/>
        <w:t>补</w:t>
      </w:r>
      <w:r>
        <w:rPr/>
        <w:t> 贴</w:t>
      </w:r>
      <w:r>
        <w:rPr>
          <w:rFonts w:ascii="Times New Roman" w:hAnsi="Times New Roman" w:cs="Times New Roman" w:eastAsia="Times New Roman" w:hint="default"/>
        </w:rPr>
        <w:t>100</w:t>
      </w:r>
      <w:r>
        <w:rPr/>
        <w:t>万元。</w:t>
      </w:r>
    </w:p>
    <w:p>
      <w:pPr>
        <w:pStyle w:val="BodyText"/>
        <w:spacing w:line="240" w:lineRule="auto" w:before="133"/>
        <w:ind w:left="271" w:right="0"/>
        <w:jc w:val="left"/>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日，根据《市人民政府关于实施商标品牌战略促进经济发展的若干意见》，公司收到驰名商标奖</w:t>
      </w:r>
      <w:r>
        <w:rPr>
          <w:rFonts w:ascii="Times New Roman" w:hAnsi="Times New Roman" w:cs="Times New Roman" w:eastAsia="Times New Roman" w:hint="default"/>
          <w:spacing w:val="-2"/>
        </w:rPr>
        <w:t>15</w:t>
      </w:r>
      <w:r>
        <w:rPr>
          <w:spacing w:val="-2"/>
        </w:rPr>
        <w:t>万元。</w:t>
      </w:r>
    </w:p>
    <w:p>
      <w:pPr>
        <w:spacing w:line="240" w:lineRule="auto" w:before="13"/>
        <w:rPr>
          <w:rFonts w:ascii="宋体" w:hAnsi="宋体" w:cs="宋体" w:eastAsia="宋体" w:hint="default"/>
          <w:sz w:val="13"/>
          <w:szCs w:val="13"/>
        </w:rPr>
      </w:pPr>
    </w:p>
    <w:p>
      <w:pPr>
        <w:pStyle w:val="BodyText"/>
        <w:spacing w:line="240" w:lineRule="auto"/>
        <w:ind w:left="271" w:right="0"/>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日，根据武汉市科技局、市财政局下发的《关于下达</w:t>
      </w:r>
      <w:r>
        <w:rPr>
          <w:rFonts w:ascii="Times New Roman" w:hAnsi="Times New Roman" w:cs="Times New Roman" w:eastAsia="Times New Roman" w:hint="default"/>
          <w:spacing w:val="-2"/>
        </w:rPr>
        <w:t>2014</w:t>
      </w:r>
      <w:r>
        <w:rPr>
          <w:spacing w:val="-2"/>
        </w:rPr>
        <w:t>年第二批高新技术产业化贷款贴息项目的通知》</w:t>
      </w:r>
    </w:p>
    <w:p>
      <w:pPr>
        <w:pStyle w:val="BodyText"/>
        <w:spacing w:line="240" w:lineRule="auto" w:before="63"/>
        <w:ind w:left="271" w:right="0"/>
        <w:jc w:val="left"/>
      </w:pPr>
      <w:r>
        <w:rPr/>
        <w:t>（武科计</w:t>
      </w:r>
      <w:r>
        <w:rPr>
          <w:rFonts w:ascii="Times New Roman" w:hAnsi="Times New Roman" w:cs="Times New Roman" w:eastAsia="Times New Roman" w:hint="default"/>
        </w:rPr>
        <w:t>[2014]214</w:t>
      </w:r>
      <w:r>
        <w:rPr/>
        <w:t>号），公司金属激光系列产品研发及产业化项目（项目编号</w:t>
      </w:r>
      <w:r>
        <w:rPr>
          <w:rFonts w:ascii="Times New Roman" w:hAnsi="Times New Roman" w:cs="Times New Roman" w:eastAsia="Times New Roman" w:hint="default"/>
        </w:rPr>
        <w:t>2014082108020960</w:t>
      </w:r>
      <w:r>
        <w:rPr/>
        <w:t>）收到贷款贴息</w:t>
      </w:r>
      <w:r>
        <w:rPr>
          <w:rFonts w:ascii="Times New Roman" w:hAnsi="Times New Roman" w:cs="Times New Roman" w:eastAsia="Times New Roman" w:hint="default"/>
        </w:rPr>
        <w:t>100</w:t>
      </w:r>
      <w:r>
        <w:rPr/>
        <w:t>万元。</w:t>
      </w:r>
    </w:p>
    <w:p>
      <w:pPr>
        <w:spacing w:line="240" w:lineRule="auto" w:before="13"/>
        <w:rPr>
          <w:rFonts w:ascii="宋体" w:hAnsi="宋体" w:cs="宋体" w:eastAsia="宋体" w:hint="default"/>
          <w:sz w:val="13"/>
          <w:szCs w:val="13"/>
        </w:rPr>
      </w:pPr>
    </w:p>
    <w:p>
      <w:pPr>
        <w:pStyle w:val="BodyText"/>
        <w:spacing w:line="300" w:lineRule="auto"/>
        <w:ind w:left="271" w:right="245"/>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日，根据《市人民政府关于转发</w:t>
      </w:r>
      <w:r>
        <w:rPr>
          <w:rFonts w:ascii="Times New Roman" w:hAnsi="Times New Roman" w:cs="Times New Roman" w:eastAsia="Times New Roman" w:hint="default"/>
        </w:rPr>
        <w:t>2014</w:t>
      </w:r>
      <w:r>
        <w:rPr/>
        <w:t>年武汉商品泰国和印度展览会工作方案的通知》，公司获得印度 展补贴</w:t>
      </w:r>
      <w:r>
        <w:rPr>
          <w:rFonts w:ascii="Times New Roman" w:hAnsi="Times New Roman" w:cs="Times New Roman" w:eastAsia="Times New Roman" w:hint="default"/>
        </w:rPr>
        <w:t>12.16</w:t>
      </w:r>
      <w:r>
        <w:rPr/>
        <w:t>万元。</w:t>
      </w:r>
    </w:p>
    <w:p>
      <w:pPr>
        <w:pStyle w:val="BodyText"/>
        <w:spacing w:line="300" w:lineRule="auto" w:before="133"/>
        <w:ind w:left="271" w:right="93"/>
        <w:jc w:val="left"/>
      </w:pPr>
      <w:r>
        <w:rPr>
          <w:rFonts w:ascii="Times New Roman" w:hAnsi="Times New Roman" w:cs="Times New Roman" w:eastAsia="Times New Roman" w:hint="default"/>
          <w:spacing w:val="-6"/>
        </w:rPr>
        <w:t>*11</w:t>
      </w:r>
      <w:r>
        <w:rPr>
          <w:spacing w:val="-6"/>
        </w:rPr>
        <w:t>、</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30</w:t>
      </w:r>
      <w:r>
        <w:rPr>
          <w:spacing w:val="-6"/>
        </w:rPr>
        <w:t>日，根据《武汉市专利奖评选管理办法》（武政规〔</w:t>
      </w:r>
      <w:r>
        <w:rPr>
          <w:rFonts w:ascii="Times New Roman" w:hAnsi="Times New Roman" w:cs="Times New Roman" w:eastAsia="Times New Roman" w:hint="default"/>
          <w:spacing w:val="-6"/>
        </w:rPr>
        <w:t>2010</w:t>
      </w:r>
      <w:r>
        <w:rPr>
          <w:spacing w:val="-6"/>
        </w:rPr>
        <w:t>〕</w:t>
      </w:r>
      <w:r>
        <w:rPr>
          <w:rFonts w:ascii="Times New Roman" w:hAnsi="Times New Roman" w:cs="Times New Roman" w:eastAsia="Times New Roman" w:hint="default"/>
          <w:spacing w:val="-6"/>
        </w:rPr>
        <w:t>21</w:t>
      </w:r>
      <w:r>
        <w:rPr>
          <w:spacing w:val="-6"/>
        </w:rPr>
        <w:t>号），公司激光雕花机（</w:t>
      </w:r>
      <w:r>
        <w:rPr>
          <w:rFonts w:ascii="Times New Roman" w:hAnsi="Times New Roman" w:cs="Times New Roman" w:eastAsia="Times New Roman" w:hint="default"/>
          <w:spacing w:val="-6"/>
        </w:rPr>
        <w:t>ZL201130506366.3</w:t>
      </w:r>
      <w:r>
        <w:rPr>
          <w:spacing w:val="-6"/>
        </w:rPr>
        <w:t>）</w:t>
      </w:r>
      <w:r>
        <w:rPr>
          <w:spacing w:val="-42"/>
        </w:rPr>
        <w:t> </w:t>
      </w:r>
      <w:r>
        <w:rPr/>
        <w:t>获得专利奖外观设计优秀奖</w:t>
      </w:r>
      <w:r>
        <w:rPr>
          <w:rFonts w:ascii="Times New Roman" w:hAnsi="Times New Roman" w:cs="Times New Roman" w:eastAsia="Times New Roman" w:hint="default"/>
        </w:rPr>
        <w:t>5</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5192"/>
        <w:jc w:val="left"/>
        <w:rPr>
          <w:b w:val="0"/>
          <w:bCs w:val="0"/>
        </w:rPr>
      </w:pPr>
      <w:bookmarkStart w:name="70、营业外支出" w:id="333"/>
      <w:bookmarkEnd w:id="33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2383"/>
        <w:gridCol w:w="2396"/>
        <w:gridCol w:w="2392"/>
        <w:gridCol w:w="2378"/>
      </w:tblGrid>
      <w:tr>
        <w:trPr>
          <w:trHeight w:val="161" w:hRule="exact"/>
        </w:trPr>
        <w:tc>
          <w:tcPr>
            <w:tcW w:w="2383" w:type="dxa"/>
            <w:tcBorders>
              <w:top w:val="single" w:sz="4" w:space="0" w:color="000000"/>
              <w:left w:val="nil" w:sz="6" w:space="0" w:color="auto"/>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2"/>
              <w:ind w:left="1100" w:right="100"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3"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8" w:type="dxa"/>
            <w:vMerge/>
            <w:tcBorders>
              <w:left w:val="single" w:sz="4" w:space="0" w:color="000000"/>
              <w:right w:val="nil" w:sz="6" w:space="0" w:color="auto"/>
            </w:tcBorders>
            <w:shd w:val="clear" w:color="auto" w:fill="D2D2D2"/>
          </w:tcPr>
          <w:p>
            <w:pPr/>
          </w:p>
        </w:tc>
      </w:tr>
      <w:tr>
        <w:trPr>
          <w:trHeight w:val="161" w:hRule="exact"/>
        </w:trPr>
        <w:tc>
          <w:tcPr>
            <w:tcW w:w="2383" w:type="dxa"/>
            <w:tcBorders>
              <w:top w:val="nil" w:sz="6" w:space="0" w:color="auto"/>
              <w:left w:val="nil" w:sz="6" w:space="0" w:color="auto"/>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81,780.79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330,617.86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81,780.79</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81,780.79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330,617.86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81,780.79</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20,846.62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752.80</w:t>
            </w:r>
          </w:p>
        </w:tc>
      </w:tr>
      <w:tr>
        <w:trPr>
          <w:trHeight w:val="402" w:hRule="exact"/>
        </w:trPr>
        <w:tc>
          <w:tcPr>
            <w:tcW w:w="2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4,713.16</w:t>
            </w:r>
          </w:p>
        </w:tc>
      </w:tr>
      <w:tr>
        <w:trPr>
          <w:trHeight w:val="403" w:hRule="exact"/>
        </w:trPr>
        <w:tc>
          <w:tcPr>
            <w:tcW w:w="23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87,246.75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651,468.46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87,246.75</w:t>
            </w:r>
          </w:p>
        </w:tc>
      </w:tr>
    </w:tbl>
    <w:p>
      <w:pPr>
        <w:pStyle w:val="BodyText"/>
        <w:spacing w:line="240" w:lineRule="auto" w:before="51"/>
        <w:ind w:right="519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5192"/>
        <w:jc w:val="left"/>
        <w:rPr>
          <w:b w:val="0"/>
          <w:bCs w:val="0"/>
        </w:rPr>
      </w:pPr>
      <w:bookmarkStart w:name="71、所得税费用" w:id="334"/>
      <w:bookmarkEnd w:id="33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5192"/>
        <w:jc w:val="left"/>
        <w:rPr>
          <w:b w:val="0"/>
          <w:bCs w:val="0"/>
        </w:rPr>
      </w:pPr>
      <w:bookmarkStart w:name="（1）所得税费用表" w:id="335"/>
      <w:bookmarkEnd w:id="33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1,908,557.11</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1,859,342.41</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-1,815,278.02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-94,871.98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93,279.09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1,764,470.43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6"/>
      <w:bookmarkEnd w:id="33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4762"/>
        <w:gridCol w:w="4787"/>
      </w:tblGrid>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5,841,812.60</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997,717.50</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-620,270.35</w:t>
            </w:r>
            <w:r>
              <w:rPr>
                <w:rFonts w:ascii="Times New Roman"/>
                <w:sz w:val="18"/>
              </w:rPr>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443.32</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-139,034.89</w:t>
            </w:r>
            <w:r>
              <w:rPr>
                <w:rFonts w:ascii="Times New Roman"/>
                <w:sz w:val="18"/>
              </w:rPr>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75,120.49</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-168,339.20</w:t>
            </w:r>
            <w:r>
              <w:rPr>
                <w:rFonts w:ascii="Times New Roman"/>
                <w:sz w:val="18"/>
              </w:rPr>
            </w:r>
          </w:p>
        </w:tc>
      </w:tr>
      <w:tr>
        <w:trPr>
          <w:trHeight w:val="714"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0"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235,938.39</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-277,280.68</w:t>
            </w:r>
            <w:r>
              <w:rPr>
                <w:rFonts w:ascii="Times New Roman"/>
                <w:sz w:val="18"/>
              </w:rPr>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税率变动对递延所得税余额的影响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-11,015.46</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93,279.09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2、其他综合收益" w:id="337"/>
      <w:bookmarkEnd w:id="33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现金流量表项目" w:id="338"/>
      <w:bookmarkEnd w:id="33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3,953,539.00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2,744,375.62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3,340,159.05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2,174,272.24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1,035,654.59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1,618,331.72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1,412,043.80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4,225.73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9,741,396.44</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6,541,205.31</w:t>
            </w:r>
          </w:p>
        </w:tc>
      </w:tr>
    </w:tbl>
    <w:p>
      <w:pPr>
        <w:pStyle w:val="BodyText"/>
        <w:spacing w:line="240" w:lineRule="auto" w:before="51"/>
        <w:ind w:right="0"/>
        <w:jc w:val="left"/>
      </w:pPr>
      <w:r>
        <w:rPr/>
        <w:t>收到的其他与经营活动有关的现金说明：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5192"/>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20,567,653.43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18,445,381.18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9,141,958.98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5,235,050.48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买方信贷质押保证金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166,459.70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420,000.00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148,779.31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308,906.06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1,526,768.99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5,994,123.61</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31,551,620.41</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30,403,461.33</w:t>
            </w:r>
          </w:p>
        </w:tc>
      </w:tr>
    </w:tbl>
    <w:p>
      <w:pPr>
        <w:pStyle w:val="BodyText"/>
        <w:spacing w:line="240" w:lineRule="auto" w:before="51"/>
        <w:ind w:right="5192"/>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5192"/>
        <w:jc w:val="left"/>
        <w:rPr>
          <w:b w:val="0"/>
          <w:bCs w:val="0"/>
        </w:rPr>
      </w:pPr>
      <w:bookmarkStart w:name="（3）收到的其他与投资活动有关的现金" w:id="341"/>
      <w:bookmarkEnd w:id="34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取得子公司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5,259,032.63</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5,259,032.63</w:t>
            </w:r>
          </w:p>
        </w:tc>
        <w:tc>
          <w:tcPr>
            <w:tcW w:w="318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5192"/>
        <w:jc w:val="left"/>
      </w:pPr>
      <w:r>
        <w:rPr/>
        <w:t>收到的其他与投资活动有关的现金说明：</w:t>
      </w:r>
    </w:p>
    <w:p>
      <w:pPr>
        <w:spacing w:line="240" w:lineRule="auto" w:before="12"/>
        <w:rPr>
          <w:rFonts w:ascii="宋体" w:hAnsi="宋体" w:cs="宋体" w:eastAsia="宋体" w:hint="default"/>
          <w:sz w:val="14"/>
          <w:szCs w:val="14"/>
        </w:rPr>
      </w:pPr>
    </w:p>
    <w:p>
      <w:pPr>
        <w:pStyle w:val="BodyText"/>
        <w:spacing w:line="300" w:lineRule="auto"/>
        <w:ind w:left="153" w:right="100" w:firstLine="360"/>
        <w:jc w:val="left"/>
      </w:pPr>
      <w:r>
        <w:rPr>
          <w:spacing w:val="-2"/>
        </w:rPr>
        <w:t>公司本期完成对武汉落地的收购，本期支付对价</w:t>
      </w:r>
      <w:r>
        <w:rPr>
          <w:rFonts w:ascii="Times New Roman" w:hAnsi="Times New Roman" w:cs="Times New Roman" w:eastAsia="Times New Roman" w:hint="default"/>
          <w:spacing w:val="-2"/>
        </w:rPr>
        <w:t>4,000,000.00</w:t>
      </w:r>
      <w:r>
        <w:rPr>
          <w:spacing w:val="-2"/>
        </w:rPr>
        <w:t>元，购买日武汉落地持有现金及现金等价物</w:t>
      </w:r>
      <w:r>
        <w:rPr>
          <w:rFonts w:ascii="Times New Roman" w:hAnsi="Times New Roman" w:cs="Times New Roman" w:eastAsia="Times New Roman" w:hint="default"/>
          <w:spacing w:val="-2"/>
        </w:rPr>
        <w:t>9,259,032.63</w:t>
      </w:r>
      <w:r>
        <w:rPr>
          <w:spacing w:val="-2"/>
        </w:rPr>
        <w:t>元，</w:t>
      </w:r>
      <w:r>
        <w:rPr/>
        <w:t> 取得子公司支付的现金净额为</w:t>
      </w:r>
      <w:r>
        <w:rPr>
          <w:rFonts w:ascii="Times New Roman" w:hAnsi="Times New Roman" w:cs="Times New Roman" w:eastAsia="Times New Roman" w:hint="default"/>
        </w:rPr>
        <w:t>-5,259,032.63</w:t>
      </w:r>
      <w:r>
        <w:rPr/>
        <w:t>元，将其重分类至收到的其他与投资活动有关的现金。</w:t>
      </w:r>
    </w:p>
    <w:p>
      <w:pPr>
        <w:spacing w:line="240" w:lineRule="auto" w:before="1"/>
        <w:rPr>
          <w:rFonts w:ascii="宋体" w:hAnsi="宋体" w:cs="宋体" w:eastAsia="宋体" w:hint="default"/>
          <w:sz w:val="22"/>
          <w:szCs w:val="22"/>
        </w:rPr>
      </w:pPr>
    </w:p>
    <w:p>
      <w:pPr>
        <w:pStyle w:val="Heading3"/>
        <w:spacing w:line="240" w:lineRule="auto"/>
        <w:ind w:left="153" w:right="5192"/>
        <w:jc w:val="left"/>
        <w:rPr>
          <w:b w:val="0"/>
          <w:bCs w:val="0"/>
        </w:rPr>
      </w:pPr>
      <w:bookmarkStart w:name="（4）支付的其他与投资活动有关的现金" w:id="342"/>
      <w:bookmarkEnd w:id="34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154,561.37</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154,561.37</w:t>
            </w:r>
          </w:p>
        </w:tc>
        <w:tc>
          <w:tcPr>
            <w:tcW w:w="318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5192"/>
        <w:jc w:val="left"/>
      </w:pPr>
      <w:r>
        <w:rPr/>
        <w:t>支付的其他与投资活动有关的现金说明：</w:t>
      </w:r>
    </w:p>
    <w:p>
      <w:pPr>
        <w:spacing w:line="240" w:lineRule="auto" w:before="0"/>
        <w:rPr>
          <w:rFonts w:ascii="宋体" w:hAnsi="宋体" w:cs="宋体" w:eastAsia="宋体" w:hint="default"/>
          <w:sz w:val="15"/>
          <w:szCs w:val="15"/>
        </w:rPr>
      </w:pPr>
    </w:p>
    <w:p>
      <w:pPr>
        <w:pStyle w:val="BodyText"/>
        <w:spacing w:line="300" w:lineRule="auto"/>
        <w:ind w:right="100" w:firstLine="301"/>
        <w:jc w:val="left"/>
      </w:pPr>
      <w:r>
        <w:rPr>
          <w:spacing w:val="-2"/>
        </w:rPr>
        <w:t>公司本期处置了控股子公司鞍山万隆，收到现金</w:t>
      </w:r>
      <w:r>
        <w:rPr>
          <w:rFonts w:ascii="Times New Roman" w:hAnsi="Times New Roman" w:cs="Times New Roman" w:eastAsia="Times New Roman" w:hint="default"/>
          <w:spacing w:val="-2"/>
        </w:rPr>
        <w:t>131,635.69</w:t>
      </w:r>
      <w:r>
        <w:rPr>
          <w:spacing w:val="-2"/>
        </w:rPr>
        <w:t>元，丧失控制权日子公司持有的现金及现金等价物</w:t>
      </w:r>
      <w:r>
        <w:rPr>
          <w:rFonts w:ascii="Times New Roman" w:hAnsi="Times New Roman" w:cs="Times New Roman" w:eastAsia="Times New Roman" w:hint="default"/>
          <w:spacing w:val="-2"/>
        </w:rPr>
        <w:t>286,197.06</w:t>
      </w:r>
      <w:r>
        <w:rPr>
          <w:spacing w:val="-2"/>
        </w:rPr>
        <w:t>，</w:t>
      </w:r>
      <w:r>
        <w:rPr/>
        <w:t> 处置鞍山万隆收到的现金净额为</w:t>
      </w:r>
      <w:r>
        <w:rPr>
          <w:rFonts w:ascii="Times New Roman" w:hAnsi="Times New Roman" w:cs="Times New Roman" w:eastAsia="Times New Roman" w:hint="default"/>
        </w:rPr>
        <w:t>-154,561.37</w:t>
      </w:r>
      <w:r>
        <w:rPr/>
        <w:t>元，将其重分类至支付的其他与投资活动有关的现金。</w:t>
      </w:r>
    </w:p>
    <w:p>
      <w:pPr>
        <w:spacing w:line="240" w:lineRule="auto" w:before="1"/>
        <w:rPr>
          <w:rFonts w:ascii="宋体" w:hAnsi="宋体" w:cs="宋体" w:eastAsia="宋体" w:hint="default"/>
          <w:sz w:val="22"/>
          <w:szCs w:val="22"/>
        </w:rPr>
      </w:pPr>
    </w:p>
    <w:p>
      <w:pPr>
        <w:pStyle w:val="Heading3"/>
        <w:spacing w:line="240" w:lineRule="auto"/>
        <w:ind w:left="153" w:right="5192"/>
        <w:jc w:val="left"/>
        <w:rPr>
          <w:b w:val="0"/>
          <w:bCs w:val="0"/>
        </w:rPr>
      </w:pPr>
      <w:bookmarkStart w:name="（5）收到的其他与筹资活动有关的现金" w:id="343"/>
      <w:bookmarkEnd w:id="34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票据及信用证等保证金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459,370.99</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4,752,595.37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募集资金账户利息收入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130,714.68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190,029.64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6"/>
        <w:rPr>
          <w:rFonts w:ascii="宋体" w:hAnsi="宋体" w:cs="宋体" w:eastAsia="宋体" w:hint="default"/>
          <w:sz w:val="24"/>
          <w:szCs w:val="24"/>
        </w:rPr>
      </w:pPr>
      <w:r>
        <w:rPr/>
        <w:pict>
          <v:group style="position:absolute;margin-left:223.339996pt;margin-top:638.289978pt;width:151.25pt;height:20.7pt;mso-position-horizontal-relative:page;mso-position-vertical-relative:page;z-index:-923728" coordorigin="4467,12766" coordsize="3025,414">
            <v:group style="position:absolute;left:4478;top:12777;width:2;height:392" coordorigin="4478,12777" coordsize="2,392">
              <v:shape style="position:absolute;left:4478;top:12777;width:2;height:392" coordorigin="4478,12777" coordsize="0,392" path="m4478,12777l4478,13168e" filled="false" stroked="true" strokeweight="1.140pt" strokecolor="#ffffff">
                <v:path arrowok="t"/>
              </v:shape>
            </v:group>
            <v:group style="position:absolute;left:4490;top:12777;width:3002;height:392" coordorigin="4490,12777" coordsize="3002,392">
              <v:shape style="position:absolute;left:4490;top:12777;width:3002;height:392" coordorigin="4490,12777" coordsize="3002,392" path="m4490,13168l7491,13168,7491,12777,4490,12777,4490,131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590,085.67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4,942,625.01</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44"/>
      <w:bookmarkEnd w:id="34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购买子公司少数股东权益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529,200.00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票据及信用证等保证金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1,943,023.34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集合票据承销费、担保费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2,003,400.00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3,413,023.34</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4、现金流量表补充资料" w:id="345"/>
      <w:bookmarkEnd w:id="34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46"/>
      <w:bookmarkEnd w:id="34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302"/>
        <w:gridCol w:w="3069"/>
        <w:gridCol w:w="3170"/>
      </w:tblGrid>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5,748,533.51</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6,733,481.04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2,129,539.07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1,360,909.84</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5,142,599.73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3,637,213.75</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599,023.18</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805,994.20</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1,485,391.28</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1,154,528.99</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81,780.79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327,911.31</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5,414,941.24</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5,214,081.26</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-1,495,844.57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-1,126,996.85</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-1,815,278.02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-94,571.98</w:t>
            </w:r>
            <w:r>
              <w:rPr>
                <w:rFonts w:ascii="Times New Roman"/>
                <w:sz w:val="18"/>
              </w:rPr>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5,307,902.84</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-28,973,646.91</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-9,611,870.24</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-947,675.38</w:t>
            </w:r>
            <w:r>
              <w:rPr>
                <w:rFonts w:ascii="Times New Roman"/>
                <w:sz w:val="18"/>
              </w:rPr>
            </w:r>
          </w:p>
        </w:tc>
      </w:tr>
      <w:tr>
        <w:trPr>
          <w:trHeight w:val="715"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-1,524,668.90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-1,298,297.32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11,462,049.91</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-13,207,068.05</w:t>
            </w:r>
          </w:p>
        </w:tc>
      </w:tr>
      <w:tr>
        <w:trPr>
          <w:trHeight w:val="161" w:hRule="exact"/>
        </w:trPr>
        <w:tc>
          <w:tcPr>
            <w:tcW w:w="3302" w:type="dxa"/>
            <w:vMerge w:val="restart"/>
            <w:tcBorders>
              <w:top w:val="single" w:sz="4" w:space="0" w:color="000000"/>
              <w:left w:val="nil" w:sz="6" w:space="0" w:color="auto"/>
              <w:right w:val="single" w:sz="4" w:space="0" w:color="000000"/>
            </w:tcBorders>
            <w:shd w:val="clear" w:color="auto" w:fill="D2D2D2"/>
          </w:tcPr>
          <w:p>
            <w:pPr>
              <w:pStyle w:val="TableParagraph"/>
              <w:spacing w:line="302" w:lineRule="auto" w:before="51"/>
              <w:ind w:left="1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2" w:hRule="exact"/>
        </w:trPr>
        <w:tc>
          <w:tcPr>
            <w:tcW w:w="3302" w:type="dxa"/>
            <w:vMerge/>
            <w:tcBorders>
              <w:left w:val="nil" w:sz="6" w:space="0" w:color="auto"/>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7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2" w:type="dxa"/>
            <w:vMerge/>
            <w:tcBorders>
              <w:left w:val="nil" w:sz="6" w:space="0" w:color="auto"/>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7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74,145,932.95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105,160,665.17</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105,160,665.17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166,260,392.33</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-31,014,732.22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-61,099,727.16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7"/>
      <w:bookmarkEnd w:id="34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收到的处置子公司的现金净额" w:id="348"/>
      <w:bookmarkEnd w:id="34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49"/>
      <w:bookmarkEnd w:id="34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74,145,932.95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105,160,665.17</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269,295.02</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55,653.56</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73,876,637.93</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105,105,011.61</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74,145,932.95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105,160,665.17</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3,070,112.05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3,363,023.34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4393" w:firstLine="0"/>
        <w:jc w:val="left"/>
        <w:rPr>
          <w:rFonts w:ascii="宋体" w:hAnsi="宋体" w:cs="宋体" w:eastAsia="宋体" w:hint="default"/>
          <w:sz w:val="21"/>
          <w:szCs w:val="21"/>
        </w:rPr>
      </w:pPr>
      <w:bookmarkStart w:name="75、所有者权益变动表项目注释" w:id="350"/>
      <w:bookmarkEnd w:id="35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51"/>
      <w:bookmarkEnd w:id="35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3,070,112.05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3,070,112.05</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77、外币货币性项目" w:id="352"/>
      <w:bookmarkEnd w:id="35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53"/>
      <w:bookmarkEnd w:id="35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498,371.76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3,049,536.80</w:t>
            </w:r>
          </w:p>
        </w:tc>
      </w:tr>
      <w:tr>
        <w:trPr>
          <w:trHeight w:val="403"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223.67</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2464"/>
        <w:gridCol w:w="1971"/>
        <w:gridCol w:w="1372"/>
        <w:gridCol w:w="3867"/>
      </w:tblGrid>
      <w:tr>
        <w:trPr>
          <w:trHeight w:val="342"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7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3867" w:type="dxa"/>
            <w:tcBorders>
              <w:top w:val="single" w:sz="4" w:space="0" w:color="000000"/>
              <w:left w:val="single" w:sz="4" w:space="0" w:color="000000"/>
              <w:bottom w:val="single" w:sz="4" w:space="0" w:color="000000"/>
              <w:right w:val="nil" w:sz="6" w:space="0" w:color="auto"/>
            </w:tcBorders>
          </w:tcPr>
          <w:p>
            <w:pPr/>
          </w:p>
        </w:tc>
      </w:tr>
      <w:tr>
        <w:trPr>
          <w:trHeight w:val="342"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22,394.69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31"/>
              <w:jc w:val="right"/>
              <w:rPr>
                <w:rFonts w:ascii="Times New Roman" w:hAnsi="Times New Roman" w:cs="Times New Roman" w:eastAsia="Times New Roman" w:hint="default"/>
                <w:sz w:val="18"/>
                <w:szCs w:val="18"/>
              </w:rPr>
            </w:pPr>
            <w:r>
              <w:rPr>
                <w:rFonts w:ascii="Times New Roman"/>
                <w:sz w:val="18"/>
              </w:rPr>
              <w:t>6.1190</w:t>
            </w:r>
          </w:p>
        </w:tc>
        <w:tc>
          <w:tcPr>
            <w:tcW w:w="3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137,033.09</w:t>
            </w:r>
          </w:p>
        </w:tc>
      </w:tr>
      <w:tr>
        <w:trPr>
          <w:trHeight w:val="342"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1,774.93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31"/>
              <w:jc w:val="right"/>
              <w:rPr>
                <w:rFonts w:ascii="Times New Roman" w:hAnsi="Times New Roman" w:cs="Times New Roman" w:eastAsia="Times New Roman" w:hint="default"/>
                <w:sz w:val="18"/>
                <w:szCs w:val="18"/>
              </w:rPr>
            </w:pPr>
            <w:r>
              <w:rPr>
                <w:rFonts w:ascii="Times New Roman"/>
                <w:sz w:val="18"/>
              </w:rPr>
              <w:t>7.4556</w:t>
            </w:r>
          </w:p>
        </w:tc>
        <w:tc>
          <w:tcPr>
            <w:tcW w:w="3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13,233.19</w:t>
            </w:r>
          </w:p>
        </w:tc>
      </w:tr>
      <w:tr>
        <w:trPr>
          <w:trHeight w:val="343" w:hRule="exact"/>
        </w:trPr>
        <w:tc>
          <w:tcPr>
            <w:tcW w:w="2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64" w:right="0"/>
              <w:jc w:val="left"/>
              <w:rPr>
                <w:rFonts w:ascii="宋体" w:hAnsi="宋体" w:cs="宋体" w:eastAsia="宋体" w:hint="default"/>
                <w:sz w:val="18"/>
                <w:szCs w:val="18"/>
              </w:rPr>
            </w:pPr>
            <w:r>
              <w:rPr>
                <w:rFonts w:ascii="宋体" w:hAnsi="宋体" w:cs="宋体" w:eastAsia="宋体" w:hint="default"/>
                <w:sz w:val="18"/>
                <w:szCs w:val="18"/>
              </w:rPr>
              <w:t>迪拉姆币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187.57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31"/>
              <w:jc w:val="right"/>
              <w:rPr>
                <w:rFonts w:ascii="Times New Roman" w:hAnsi="Times New Roman" w:cs="Times New Roman" w:eastAsia="Times New Roman" w:hint="default"/>
                <w:sz w:val="18"/>
                <w:szCs w:val="18"/>
              </w:rPr>
            </w:pPr>
            <w:r>
              <w:rPr>
                <w:rFonts w:ascii="Times New Roman"/>
                <w:sz w:val="18"/>
              </w:rPr>
              <w:t>1.6659</w:t>
            </w:r>
          </w:p>
        </w:tc>
        <w:tc>
          <w:tcPr>
            <w:tcW w:w="3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312.47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59" w:lineRule="auto" w:before="35"/>
        <w:ind w:right="0"/>
        <w:jc w:val="left"/>
        <w:rPr>
          <w:b w:val="0"/>
          <w:bCs w:val="0"/>
        </w:rPr>
      </w:pPr>
      <w:bookmarkStart w:name="（2）境外经营实体说明，包括对于重要的境外经营实体，应披露其境外主要经营地、记账" w:id="354"/>
      <w:bookmarkEnd w:id="35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78、套期" w:id="355"/>
      <w:bookmarkEnd w:id="35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7349" w:firstLine="0"/>
        <w:jc w:val="left"/>
        <w:rPr>
          <w:rFonts w:ascii="宋体" w:hAnsi="宋体" w:cs="宋体" w:eastAsia="宋体" w:hint="default"/>
          <w:sz w:val="21"/>
          <w:szCs w:val="21"/>
        </w:rPr>
      </w:pPr>
      <w:bookmarkStart w:name="79、其他" w:id="356"/>
      <w:bookmarkEnd w:id="35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7"/>
      <w:bookmarkEnd w:id="35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8"/>
      <w:bookmarkEnd w:id="3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本期发生的非同一控制下企业合并" w:id="359"/>
      <w:bookmarkEnd w:id="35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0"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75" w:right="79"/>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完成工商变 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10,282,871.7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-2,929,396.04</w:t>
            </w:r>
          </w:p>
        </w:tc>
      </w:tr>
    </w:tbl>
    <w:p>
      <w:pPr>
        <w:pStyle w:val="BodyText"/>
        <w:spacing w:line="240" w:lineRule="auto" w:before="51"/>
        <w:ind w:right="0"/>
        <w:jc w:val="left"/>
      </w:pPr>
      <w:r>
        <w:rPr/>
        <w:t>其他说明：</w:t>
      </w:r>
    </w:p>
    <w:p>
      <w:pPr>
        <w:pStyle w:val="BodyText"/>
        <w:spacing w:line="300" w:lineRule="auto" w:before="116"/>
        <w:ind w:right="0"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日，本公司与杨博智、杨林、王志强签订《股权转让与增资协议书》</w:t>
      </w:r>
      <w:r>
        <w:rPr>
          <w:rFonts w:ascii="Times New Roman" w:hAnsi="Times New Roman" w:cs="Times New Roman" w:eastAsia="Times New Roman" w:hint="default"/>
        </w:rPr>
        <w:t>,</w:t>
      </w:r>
      <w:r>
        <w:rPr/>
        <w:t>其中：本公司以货币</w:t>
      </w:r>
      <w:r>
        <w:rPr>
          <w:rFonts w:ascii="Times New Roman" w:hAnsi="Times New Roman" w:cs="Times New Roman" w:eastAsia="Times New Roman" w:hint="default"/>
        </w:rPr>
        <w:t>900</w:t>
      </w:r>
      <w:r>
        <w:rPr/>
        <w:t>万元增资 </w:t>
      </w:r>
      <w:r>
        <w:rPr>
          <w:spacing w:val="-1"/>
        </w:rPr>
        <w:t>武汉落地，取得武汉落地</w:t>
      </w:r>
      <w:r>
        <w:rPr>
          <w:rFonts w:ascii="Times New Roman" w:hAnsi="Times New Roman" w:cs="Times New Roman" w:eastAsia="Times New Roman" w:hint="default"/>
          <w:spacing w:val="-1"/>
        </w:rPr>
        <w:t>40%</w:t>
      </w:r>
      <w:r>
        <w:rPr>
          <w:spacing w:val="-1"/>
        </w:rPr>
        <w:t>的股权，并于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日支付了出资款；增资后，本公司持股</w:t>
      </w:r>
      <w:r>
        <w:rPr>
          <w:rFonts w:ascii="Times New Roman" w:hAnsi="Times New Roman" w:cs="Times New Roman" w:eastAsia="Times New Roman" w:hint="default"/>
          <w:spacing w:val="-1"/>
        </w:rPr>
        <w:t>40%</w:t>
      </w:r>
      <w:r>
        <w:rPr>
          <w:spacing w:val="-1"/>
        </w:rPr>
        <w:t>，杨博智、杨林、王志</w:t>
      </w:r>
      <w:r>
        <w:rPr>
          <w:spacing w:val="-57"/>
        </w:rPr>
        <w:t> </w:t>
      </w:r>
      <w:r>
        <w:rPr>
          <w:spacing w:val="-57"/>
        </w:rPr>
      </w:r>
      <w:r>
        <w:rPr/>
        <w:t>强三人持股</w:t>
      </w:r>
      <w:r>
        <w:rPr>
          <w:rFonts w:ascii="Times New Roman" w:hAnsi="Times New Roman" w:cs="Times New Roman" w:eastAsia="Times New Roman" w:hint="default"/>
        </w:rPr>
        <w:t>60%</w:t>
      </w:r>
      <w:r>
        <w:rPr/>
        <w:t>。</w:t>
      </w:r>
    </w:p>
    <w:p>
      <w:pPr>
        <w:spacing w:after="0" w:line="30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153" w:right="93" w:firstLine="420"/>
        <w:jc w:val="left"/>
      </w:pPr>
      <w:r>
        <w:rPr>
          <w:spacing w:val="-1"/>
        </w:rPr>
        <w:t>同时根据协议，本公司以货币</w:t>
      </w:r>
      <w:r>
        <w:rPr>
          <w:rFonts w:ascii="Times New Roman" w:hAnsi="Times New Roman" w:cs="Times New Roman" w:eastAsia="Times New Roman" w:hint="default"/>
          <w:spacing w:val="-1"/>
        </w:rPr>
        <w:t>600</w:t>
      </w:r>
      <w:r>
        <w:rPr>
          <w:spacing w:val="-1"/>
        </w:rPr>
        <w:t>万元受让杨博智、杨林、王志强三人持有的武汉落地</w:t>
      </w:r>
      <w:r>
        <w:rPr>
          <w:rFonts w:ascii="Times New Roman" w:hAnsi="Times New Roman" w:cs="Times New Roman" w:eastAsia="Times New Roman" w:hint="default"/>
          <w:spacing w:val="-1"/>
        </w:rPr>
        <w:t>1/3</w:t>
      </w:r>
      <w:r>
        <w:rPr>
          <w:spacing w:val="-1"/>
        </w:rPr>
        <w:t>的股权（即：杨博智、杨林、</w:t>
      </w:r>
      <w:r>
        <w:rPr/>
        <w:t> </w:t>
      </w:r>
      <w:r>
        <w:rPr>
          <w:spacing w:val="-2"/>
        </w:rPr>
        <w:t>王志强三人持股</w:t>
      </w:r>
      <w:r>
        <w:rPr>
          <w:rFonts w:ascii="Times New Roman" w:hAnsi="Times New Roman" w:cs="Times New Roman" w:eastAsia="Times New Roman" w:hint="default"/>
          <w:spacing w:val="-2"/>
        </w:rPr>
        <w:t>60%</w:t>
      </w:r>
      <w:r>
        <w:rPr>
          <w:spacing w:val="-2"/>
        </w:rPr>
        <w:t>的</w:t>
      </w:r>
      <w:r>
        <w:rPr>
          <w:rFonts w:ascii="Times New Roman" w:hAnsi="Times New Roman" w:cs="Times New Roman" w:eastAsia="Times New Roman" w:hint="default"/>
          <w:spacing w:val="-2"/>
        </w:rPr>
        <w:t>1/3</w:t>
      </w:r>
      <w:r>
        <w:rPr>
          <w:spacing w:val="-2"/>
        </w:rPr>
        <w:t>，为武汉落地</w:t>
      </w:r>
      <w:r>
        <w:rPr>
          <w:rFonts w:ascii="Times New Roman" w:hAnsi="Times New Roman" w:cs="Times New Roman" w:eastAsia="Times New Roman" w:hint="default"/>
          <w:spacing w:val="-2"/>
        </w:rPr>
        <w:t>20%</w:t>
      </w:r>
      <w:r>
        <w:rPr>
          <w:spacing w:val="-2"/>
        </w:rPr>
        <w:t>的股权）。协议约定：本公司首期支付该三人</w:t>
      </w:r>
      <w:r>
        <w:rPr>
          <w:rFonts w:ascii="Times New Roman" w:hAnsi="Times New Roman" w:cs="Times New Roman" w:eastAsia="Times New Roman" w:hint="default"/>
          <w:spacing w:val="-2"/>
        </w:rPr>
        <w:t>400</w:t>
      </w:r>
      <w:r>
        <w:rPr>
          <w:spacing w:val="-2"/>
        </w:rPr>
        <w:t>万元，剩余</w:t>
      </w:r>
      <w:r>
        <w:rPr>
          <w:rFonts w:ascii="Times New Roman" w:hAnsi="Times New Roman" w:cs="Times New Roman" w:eastAsia="Times New Roman" w:hint="default"/>
          <w:spacing w:val="-2"/>
        </w:rPr>
        <w:t>200</w:t>
      </w:r>
      <w:r>
        <w:rPr>
          <w:spacing w:val="-2"/>
        </w:rPr>
        <w:t>万元于本协议签</w:t>
      </w:r>
      <w:r>
        <w:rPr>
          <w:spacing w:val="-43"/>
        </w:rPr>
        <w:t> </w:t>
      </w:r>
      <w:r>
        <w:rPr>
          <w:spacing w:val="-2"/>
        </w:rPr>
        <w:t>订并生效后的第二年的会计年度完成后的</w:t>
      </w:r>
      <w:r>
        <w:rPr>
          <w:rFonts w:ascii="Times New Roman" w:hAnsi="Times New Roman" w:cs="Times New Roman" w:eastAsia="Times New Roman" w:hint="default"/>
          <w:spacing w:val="-2"/>
        </w:rPr>
        <w:t>60</w:t>
      </w:r>
      <w:r>
        <w:rPr>
          <w:spacing w:val="-2"/>
        </w:rPr>
        <w:t>日内，根据本协议约定的武汉落地的业绩完成情况，按照确定的结算金额支付给</w:t>
      </w:r>
      <w:r>
        <w:rPr>
          <w:spacing w:val="-62"/>
        </w:rPr>
        <w:t> </w:t>
      </w:r>
      <w:r>
        <w:rPr>
          <w:spacing w:val="-62"/>
        </w:rPr>
      </w:r>
      <w:r>
        <w:rPr/>
        <w:t>杨博智、杨林、王志强三人。</w:t>
      </w:r>
    </w:p>
    <w:p>
      <w:pPr>
        <w:pStyle w:val="BodyText"/>
        <w:spacing w:line="240" w:lineRule="auto" w:before="32"/>
        <w:ind w:left="573" w:right="93"/>
        <w:jc w:val="left"/>
      </w:pPr>
      <w:r>
        <w:rPr/>
        <w:t>增资与受让股权后，本公司合计持有武汉落地</w:t>
      </w:r>
      <w:r>
        <w:rPr>
          <w:rFonts w:ascii="Times New Roman" w:hAnsi="Times New Roman" w:cs="Times New Roman" w:eastAsia="Times New Roman" w:hint="default"/>
        </w:rPr>
        <w:t>60%</w:t>
      </w:r>
      <w:r>
        <w:rPr/>
        <w:t>的股权。</w:t>
      </w:r>
    </w:p>
    <w:p>
      <w:pPr>
        <w:pStyle w:val="BodyText"/>
        <w:spacing w:line="240" w:lineRule="auto" w:before="63"/>
        <w:ind w:left="574"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日，武汉落地完成工商变更手续，将其纳入合并范围。</w:t>
      </w:r>
    </w:p>
    <w:p>
      <w:pPr>
        <w:spacing w:line="240" w:lineRule="auto" w:before="11"/>
        <w:rPr>
          <w:rFonts w:ascii="宋体" w:hAnsi="宋体" w:cs="宋体" w:eastAsia="宋体" w:hint="default"/>
          <w:sz w:val="25"/>
          <w:szCs w:val="25"/>
        </w:rPr>
      </w:pPr>
    </w:p>
    <w:p>
      <w:pPr>
        <w:pStyle w:val="Heading3"/>
        <w:spacing w:line="240" w:lineRule="auto"/>
        <w:ind w:left="153" w:right="5192"/>
        <w:jc w:val="left"/>
        <w:rPr>
          <w:b w:val="0"/>
          <w:bCs w:val="0"/>
        </w:rPr>
      </w:pPr>
      <w:bookmarkStart w:name="（2）合并成本及商誉" w:id="360"/>
      <w:bookmarkEnd w:id="36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960"/>
        <w:gridCol w:w="4713"/>
      </w:tblGrid>
      <w:tr>
        <w:trPr>
          <w:trHeight w:val="342" w:hRule="exact"/>
        </w:trPr>
        <w:tc>
          <w:tcPr>
            <w:tcW w:w="4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武汉落地</w:t>
            </w:r>
          </w:p>
        </w:tc>
      </w:tr>
      <w:tr>
        <w:trPr>
          <w:trHeight w:val="342" w:hRule="exact"/>
        </w:trPr>
        <w:tc>
          <w:tcPr>
            <w:tcW w:w="4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342" w:hRule="exact"/>
        </w:trPr>
        <w:tc>
          <w:tcPr>
            <w:tcW w:w="4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合并成本合计</w:t>
            </w:r>
          </w:p>
        </w:tc>
        <w:tc>
          <w:tcPr>
            <w:tcW w:w="4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342" w:hRule="exact"/>
        </w:trPr>
        <w:tc>
          <w:tcPr>
            <w:tcW w:w="4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7,165,239.05</w:t>
            </w:r>
          </w:p>
        </w:tc>
      </w:tr>
      <w:tr>
        <w:trPr>
          <w:trHeight w:val="342" w:hRule="exact"/>
        </w:trPr>
        <w:tc>
          <w:tcPr>
            <w:tcW w:w="4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5,834,760.95</w:t>
            </w:r>
          </w:p>
        </w:tc>
      </w:tr>
    </w:tbl>
    <w:p>
      <w:pPr>
        <w:spacing w:line="240" w:lineRule="auto" w:before="5"/>
        <w:rPr>
          <w:rFonts w:ascii="宋体" w:hAnsi="宋体" w:cs="宋体" w:eastAsia="宋体" w:hint="default"/>
          <w:b/>
          <w:bCs/>
          <w:sz w:val="24"/>
          <w:szCs w:val="24"/>
        </w:rPr>
      </w:pPr>
    </w:p>
    <w:p>
      <w:pPr>
        <w:pStyle w:val="BodyText"/>
        <w:spacing w:line="357" w:lineRule="auto" w:before="44"/>
        <w:ind w:left="514" w:right="93" w:hanging="360"/>
        <w:jc w:val="left"/>
      </w:pPr>
      <w:r>
        <w:rPr/>
        <w:t>合并成本公允价值的确定方法、或有对价及其变动的说明： </w:t>
      </w:r>
      <w:r>
        <w:rPr>
          <w:spacing w:val="-2"/>
        </w:rPr>
        <w:t>对于非同一控制下的企业合并，合并成本为本公司在购买日为取得对被购买方的控制权而付出的资产、发生或承担的负</w:t>
      </w:r>
    </w:p>
    <w:p>
      <w:pPr>
        <w:pStyle w:val="BodyText"/>
        <w:spacing w:line="224" w:lineRule="exact"/>
        <w:ind w:right="0"/>
        <w:jc w:val="left"/>
      </w:pPr>
      <w:r>
        <w:rPr/>
        <w:t>债以及发行的权益性工具或债务性工具的公允价值。在合并合同中对可能影响合并成本的未来事项作出约定的，购买日如果</w:t>
      </w:r>
    </w:p>
    <w:p>
      <w:pPr>
        <w:pStyle w:val="BodyText"/>
        <w:spacing w:line="316" w:lineRule="auto" w:before="76"/>
        <w:ind w:left="513" w:right="93" w:hanging="360"/>
        <w:jc w:val="left"/>
      </w:pPr>
      <w:r>
        <w:rPr/>
        <w:t>估计未来事项很可能发生并且对合并成本的影响金额能够可靠计量的，也计入合并成本。 本公司为进行企业合并发生的审计、法律服务、评估咨询等中介费用以及其他相关管理费用，于发生时计入当期损益；</w:t>
      </w:r>
    </w:p>
    <w:p>
      <w:pPr>
        <w:pStyle w:val="BodyText"/>
        <w:spacing w:line="319" w:lineRule="auto" w:before="19"/>
        <w:ind w:left="513" w:right="93" w:hanging="360"/>
        <w:jc w:val="left"/>
      </w:pPr>
      <w:r>
        <w:rPr/>
        <w:t>本公司作为合并对价发行的权益性工具或债务性工具的交易费用，计入权益性工具或债务性工具的初始确认金额。 </w:t>
      </w:r>
      <w:r>
        <w:rPr>
          <w:spacing w:val="-2"/>
        </w:rPr>
        <w:t>本公司对合并成本大于合并中取得的被购买方可辨认净资产公允价值份额的差额，确认为商誉。本公司对合并成本小于</w:t>
      </w:r>
    </w:p>
    <w:p>
      <w:pPr>
        <w:pStyle w:val="BodyText"/>
        <w:spacing w:line="316" w:lineRule="auto" w:before="17"/>
        <w:ind w:left="153" w:right="93"/>
        <w:jc w:val="left"/>
      </w:pPr>
      <w:r>
        <w:rPr>
          <w:spacing w:val="-2"/>
        </w:rPr>
        <w:t>合并中取得的被购买方可辨认净资产公允价值份额的，经复核后合并成本仍小于合并中取得的被购买方可辨认净资产公允价</w:t>
      </w:r>
      <w:r>
        <w:rPr>
          <w:spacing w:val="-64"/>
        </w:rPr>
        <w:t> </w:t>
      </w:r>
      <w:r>
        <w:rPr>
          <w:spacing w:val="-64"/>
        </w:rPr>
      </w:r>
      <w:r>
        <w:rPr/>
        <w:t>值份额的差额，计入当期损益。</w:t>
      </w:r>
    </w:p>
    <w:p>
      <w:pPr>
        <w:pStyle w:val="BodyText"/>
        <w:spacing w:line="316" w:lineRule="auto" w:before="19"/>
        <w:ind w:right="192" w:firstLine="360"/>
        <w:jc w:val="both"/>
      </w:pPr>
      <w:r>
        <w:rPr>
          <w:spacing w:val="-2"/>
        </w:rPr>
        <w:t>通过多次交换交易分步实现的非同一控制下企业合并，属于一揽子交易的，将各项交易作为一项取得控制权的交易进行</w:t>
      </w:r>
      <w:r>
        <w:rPr/>
        <w:t> 会计处理；不属于一揽子交易的，区分个别财务报表和合并财务报表进行相关会计处理：</w:t>
      </w:r>
    </w:p>
    <w:p>
      <w:pPr>
        <w:pStyle w:val="BodyText"/>
        <w:spacing w:line="309" w:lineRule="auto" w:before="19"/>
        <w:ind w:right="192" w:firstLine="360"/>
        <w:jc w:val="both"/>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）在个别财务报表中，合并日之前持有的股权投资采用权益法核算的，以购买日之前所持被购买方的股权投资的账 </w:t>
      </w:r>
      <w:r>
        <w:rPr>
          <w:spacing w:val="-2"/>
        </w:rPr>
        <w:t>面价值与购买日新增投资成本之和，作为该项投资的初始投资成本；购买日之前持有的股权投资因采用权益法核算而确认的</w:t>
      </w:r>
      <w:r>
        <w:rPr>
          <w:spacing w:val="-64"/>
        </w:rPr>
        <w:t> </w:t>
      </w:r>
      <w:r>
        <w:rPr>
          <w:spacing w:val="-64"/>
        </w:rPr>
      </w:r>
      <w:r>
        <w:rPr/>
        <w:t>其他综合收益，在处置该项投资时采用与被投资单位直接处置相关资产或负债相同的基础进行会计处理</w:t>
      </w:r>
    </w:p>
    <w:p>
      <w:pPr>
        <w:pStyle w:val="BodyText"/>
        <w:spacing w:line="316" w:lineRule="auto" w:before="24"/>
        <w:ind w:left="153" w:right="191" w:firstLine="360"/>
        <w:jc w:val="both"/>
      </w:pPr>
      <w:r>
        <w:rPr>
          <w:spacing w:val="-2"/>
        </w:rPr>
        <w:t>合并日之前持有的股权投资采用金融工具确认和计量准则核算的，以该股权投资在合并日的公允价值加上新增投资成本</w:t>
      </w:r>
      <w:r>
        <w:rPr/>
        <w:t> </w:t>
      </w:r>
      <w:r>
        <w:rPr>
          <w:spacing w:val="-2"/>
        </w:rPr>
        <w:t>之和，作为合并日的初始投资成本。原持有股权的公允价值与账面价值之间的差额以及原计入其他综合收益的累计公允价值</w:t>
      </w:r>
      <w:r>
        <w:rPr>
          <w:spacing w:val="-64"/>
        </w:rPr>
        <w:t> </w:t>
      </w:r>
      <w:r>
        <w:rPr>
          <w:spacing w:val="-64"/>
        </w:rPr>
      </w:r>
      <w:r>
        <w:rPr/>
        <w:t>变动应全部转入合并日当期的投资收益。</w:t>
      </w:r>
    </w:p>
    <w:p>
      <w:pPr>
        <w:pStyle w:val="BodyText"/>
        <w:spacing w:line="309" w:lineRule="auto" w:before="19"/>
        <w:ind w:right="92" w:firstLine="360"/>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）在合并财务报表中，对于购买日之前持有的被购买方的股权，按照该股权在购买日的公允价值进行重新计量，公 允价值与其账面价值的差额计入当期投资收益；购买日之前持有的被购买方的股权涉及权益法核算下的其他综合收益等的， 与其相关的其他综合收益等转为购买日所属当期投资收益。</w:t>
      </w:r>
    </w:p>
    <w:p>
      <w:pPr>
        <w:spacing w:line="240" w:lineRule="auto" w:before="0"/>
        <w:rPr>
          <w:rFonts w:ascii="宋体" w:hAnsi="宋体" w:cs="宋体" w:eastAsia="宋体" w:hint="default"/>
          <w:sz w:val="18"/>
          <w:szCs w:val="18"/>
        </w:rPr>
      </w:pPr>
    </w:p>
    <w:p>
      <w:pPr>
        <w:pStyle w:val="BodyText"/>
        <w:spacing w:line="360" w:lineRule="auto" w:before="141"/>
        <w:ind w:right="6392"/>
        <w:jc w:val="left"/>
      </w:pPr>
      <w:r>
        <w:rPr/>
        <w:t>大额商誉形成的主要原因： 通过非同一控制下合并武汉落地形成的商誉 其他说明：</w:t>
      </w:r>
    </w:p>
    <w:p>
      <w:pPr>
        <w:spacing w:line="240" w:lineRule="auto" w:before="12"/>
        <w:rPr>
          <w:rFonts w:ascii="宋体" w:hAnsi="宋体" w:cs="宋体" w:eastAsia="宋体" w:hint="default"/>
          <w:sz w:val="19"/>
          <w:szCs w:val="19"/>
        </w:rPr>
      </w:pPr>
    </w:p>
    <w:p>
      <w:pPr>
        <w:pStyle w:val="Heading3"/>
        <w:spacing w:line="240" w:lineRule="auto"/>
        <w:ind w:right="5192"/>
        <w:jc w:val="left"/>
        <w:rPr>
          <w:b w:val="0"/>
          <w:bCs w:val="0"/>
        </w:rPr>
      </w:pPr>
      <w:bookmarkStart w:name="（3）被购买方于购买日可辨认资产、负债" w:id="361"/>
      <w:bookmarkEnd w:id="36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2214"/>
        <w:gridCol w:w="7444"/>
      </w:tblGrid>
      <w:tr>
        <w:trPr>
          <w:trHeight w:val="342"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武汉落地</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40"/>
        </w:sectPr>
      </w:pPr>
    </w:p>
    <w:p>
      <w:pPr>
        <w:spacing w:line="240" w:lineRule="auto" w:before="6"/>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2229"/>
        <w:gridCol w:w="3695"/>
        <w:gridCol w:w="3749"/>
      </w:tblGrid>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1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123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9,259,032.63</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9,259,032.63</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999,783.17</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999,783.17</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747,228.90</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747,228.90</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1,786,869.00</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1,786,869.00</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长摊待摊费用</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72,000.00</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12,864,913.70</w:t>
            </w:r>
            <w:r>
              <w:rPr>
                <w:rFonts w:ascii="Times New Roman"/>
                <w:spacing w:val="-1"/>
                <w:sz w:val="18"/>
              </w:rPr>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right"/>
              <w:rPr>
                <w:rFonts w:ascii="Times New Roman" w:hAnsi="Times New Roman" w:cs="Times New Roman" w:eastAsia="Times New Roman" w:hint="default"/>
                <w:sz w:val="18"/>
                <w:szCs w:val="18"/>
              </w:rPr>
            </w:pPr>
            <w:r>
              <w:rPr>
                <w:rFonts w:ascii="Times New Roman"/>
                <w:b/>
                <w:spacing w:val="-1"/>
                <w:sz w:val="18"/>
              </w:rPr>
              <w:t>12,864,913.70</w:t>
            </w:r>
            <w:r>
              <w:rPr>
                <w:rFonts w:ascii="Times New Roman"/>
                <w:spacing w:val="-1"/>
                <w:sz w:val="18"/>
              </w:rPr>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减：借款</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900,000.00</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22,848.62</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22,848.62</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11,942,065.08</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11,942,065.08</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4,776,826.03</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4,776,826.03</w:t>
            </w:r>
          </w:p>
        </w:tc>
      </w:tr>
      <w:tr>
        <w:trPr>
          <w:trHeight w:val="342" w:hRule="exact"/>
        </w:trPr>
        <w:tc>
          <w:tcPr>
            <w:tcW w:w="2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7,165,239.05</w:t>
            </w:r>
          </w:p>
        </w:tc>
        <w:tc>
          <w:tcPr>
            <w:tcW w:w="37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7,165,239.05</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360" w:lineRule="auto" w:before="44"/>
        <w:ind w:right="6590"/>
        <w:jc w:val="both"/>
      </w:pPr>
      <w:r>
        <w:rPr/>
        <w:t>可辨认资产、负债公允价值的确定方法： 企业合并中承担的被购买方的或有负债： 其他说明：</w:t>
      </w:r>
    </w:p>
    <w:p>
      <w:pPr>
        <w:pStyle w:val="BodyText"/>
        <w:spacing w:line="300" w:lineRule="auto" w:before="26"/>
        <w:ind w:left="153" w:right="102"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武汉良拓系由本公司、朱佳和徐欢共同出资设立，注册资本为人民币</w:t>
      </w:r>
      <w:r>
        <w:rPr>
          <w:rFonts w:ascii="Times New Roman" w:hAnsi="Times New Roman" w:cs="Times New Roman" w:eastAsia="Times New Roman" w:hint="default"/>
        </w:rPr>
        <w:t>100</w:t>
      </w:r>
      <w:r>
        <w:rPr/>
        <w:t>万元。其中本公司以货币认缴注册资本</w:t>
      </w:r>
      <w:r>
        <w:rPr>
          <w:rFonts w:ascii="Times New Roman" w:hAnsi="Times New Roman" w:cs="Times New Roman" w:eastAsia="Times New Roman" w:hint="default"/>
        </w:rPr>
        <w:t>60</w:t>
      </w:r>
      <w:r>
        <w:rPr/>
        <w:t>万 元，占比</w:t>
      </w:r>
      <w:r>
        <w:rPr>
          <w:rFonts w:ascii="Times New Roman" w:hAnsi="Times New Roman" w:cs="Times New Roman" w:eastAsia="Times New Roman" w:hint="default"/>
        </w:rPr>
        <w:t>60%</w:t>
      </w:r>
      <w:r>
        <w:rPr/>
        <w:t>；朱佳以货币认缴注册资本</w:t>
      </w:r>
      <w:r>
        <w:rPr>
          <w:rFonts w:ascii="Times New Roman" w:hAnsi="Times New Roman" w:cs="Times New Roman" w:eastAsia="Times New Roman" w:hint="default"/>
        </w:rPr>
        <w:t>20</w:t>
      </w:r>
      <w:r>
        <w:rPr/>
        <w:t>万元，占比</w:t>
      </w:r>
      <w:r>
        <w:rPr>
          <w:rFonts w:ascii="Times New Roman" w:hAnsi="Times New Roman" w:cs="Times New Roman" w:eastAsia="Times New Roman" w:hint="default"/>
        </w:rPr>
        <w:t>20%</w:t>
      </w:r>
      <w:r>
        <w:rPr/>
        <w:t>；徐欢以货币认缴注册资本</w:t>
      </w:r>
      <w:r>
        <w:rPr>
          <w:rFonts w:ascii="Times New Roman" w:hAnsi="Times New Roman" w:cs="Times New Roman" w:eastAsia="Times New Roman" w:hint="default"/>
        </w:rPr>
        <w:t>20</w:t>
      </w:r>
      <w:r>
        <w:rPr/>
        <w:t>万元，占比</w:t>
      </w:r>
      <w:r>
        <w:rPr>
          <w:rFonts w:ascii="Times New Roman" w:hAnsi="Times New Roman" w:cs="Times New Roman" w:eastAsia="Times New Roman" w:hint="default"/>
        </w:rPr>
        <w:t>20%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spacing w:val="-4"/>
        </w:rPr>
        <w:t>31</w:t>
      </w:r>
      <w:r>
        <w:rPr>
          <w:spacing w:val="-4"/>
        </w:rPr>
        <w:t>日止，武汉良拓实收资本</w:t>
      </w:r>
      <w:r>
        <w:rPr>
          <w:rFonts w:ascii="Times New Roman" w:hAnsi="Times New Roman" w:cs="Times New Roman" w:eastAsia="Times New Roman" w:hint="default"/>
          <w:spacing w:val="-4"/>
        </w:rPr>
        <w:t>70</w:t>
      </w:r>
      <w:r>
        <w:rPr>
          <w:spacing w:val="-4"/>
        </w:rPr>
        <w:t>万元，其中本公司以货币</w:t>
      </w:r>
      <w:r>
        <w:rPr>
          <w:rFonts w:ascii="Times New Roman" w:hAnsi="Times New Roman" w:cs="Times New Roman" w:eastAsia="Times New Roman" w:hint="default"/>
          <w:spacing w:val="-4"/>
        </w:rPr>
        <w:t>60</w:t>
      </w:r>
      <w:r>
        <w:rPr>
          <w:spacing w:val="-4"/>
        </w:rPr>
        <w:t>万元出资，占比</w:t>
      </w:r>
      <w:r>
        <w:rPr>
          <w:rFonts w:ascii="Times New Roman" w:hAnsi="Times New Roman" w:cs="Times New Roman" w:eastAsia="Times New Roman" w:hint="default"/>
          <w:spacing w:val="-4"/>
        </w:rPr>
        <w:t>85.7143%</w:t>
      </w:r>
      <w:r>
        <w:rPr>
          <w:spacing w:val="-4"/>
        </w:rPr>
        <w:t>；朱佳以货币</w:t>
      </w:r>
      <w:r>
        <w:rPr>
          <w:rFonts w:ascii="Times New Roman" w:hAnsi="Times New Roman" w:cs="Times New Roman" w:eastAsia="Times New Roman" w:hint="default"/>
          <w:spacing w:val="-4"/>
        </w:rPr>
        <w:t>10</w:t>
      </w:r>
      <w:r>
        <w:rPr>
          <w:spacing w:val="-4"/>
        </w:rPr>
        <w:t>万元出资，占比</w:t>
      </w:r>
      <w:r>
        <w:rPr>
          <w:rFonts w:ascii="Times New Roman" w:hAnsi="Times New Roman" w:cs="Times New Roman" w:eastAsia="Times New Roman" w:hint="default"/>
          <w:spacing w:val="-4"/>
        </w:rPr>
        <w:t>14.2857%</w:t>
      </w:r>
      <w:r>
        <w:rPr>
          <w:spacing w:val="-4"/>
        </w:rPr>
        <w:t>。</w:t>
      </w:r>
    </w:p>
    <w:p>
      <w:pPr>
        <w:pStyle w:val="BodyText"/>
        <w:spacing w:line="300" w:lineRule="auto" w:before="13"/>
        <w:ind w:left="153" w:right="85"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高投金运系由本公司、湖北省高新技术产业投资有限公司（以下简称</w:t>
      </w:r>
      <w:r>
        <w:rPr>
          <w:rFonts w:ascii="Times New Roman" w:hAnsi="Times New Roman" w:cs="Times New Roman" w:eastAsia="Times New Roman" w:hint="default"/>
        </w:rPr>
        <w:t>“</w:t>
      </w:r>
      <w:r>
        <w:rPr/>
        <w:t>湖北高新投</w:t>
      </w:r>
      <w:r>
        <w:rPr>
          <w:rFonts w:ascii="Times New Roman" w:hAnsi="Times New Roman" w:cs="Times New Roman" w:eastAsia="Times New Roman" w:hint="default"/>
        </w:rPr>
        <w:t>”</w:t>
      </w:r>
      <w:r>
        <w:rPr/>
        <w:t>）和专业管理团队共同出资设立， 注册资本为人民币</w:t>
      </w:r>
      <w:r>
        <w:rPr>
          <w:rFonts w:ascii="Times New Roman" w:hAnsi="Times New Roman" w:cs="Times New Roman" w:eastAsia="Times New Roman" w:hint="default"/>
        </w:rPr>
        <w:t>425</w:t>
      </w:r>
      <w:r>
        <w:rPr/>
        <w:t>万元。其中本公司以货币认缴注册资本</w:t>
      </w:r>
      <w:r>
        <w:rPr>
          <w:rFonts w:ascii="Times New Roman" w:hAnsi="Times New Roman" w:cs="Times New Roman" w:eastAsia="Times New Roman" w:hint="default"/>
        </w:rPr>
        <w:t>170</w:t>
      </w:r>
      <w:r>
        <w:rPr/>
        <w:t>万元，占比</w:t>
      </w:r>
      <w:r>
        <w:rPr>
          <w:rFonts w:ascii="Times New Roman" w:hAnsi="Times New Roman" w:cs="Times New Roman" w:eastAsia="Times New Roman" w:hint="default"/>
        </w:rPr>
        <w:t>40%</w:t>
      </w:r>
      <w:r>
        <w:rPr/>
        <w:t>；湖北高新投以货币认缴注册资本</w:t>
      </w:r>
      <w:r>
        <w:rPr>
          <w:rFonts w:ascii="Times New Roman" w:hAnsi="Times New Roman" w:cs="Times New Roman" w:eastAsia="Times New Roman" w:hint="default"/>
        </w:rPr>
        <w:t>127.5</w:t>
      </w:r>
      <w:r>
        <w:rPr/>
        <w:t>万 元，占比</w:t>
      </w:r>
      <w:r>
        <w:rPr>
          <w:rFonts w:ascii="Times New Roman" w:hAnsi="Times New Roman" w:cs="Times New Roman" w:eastAsia="Times New Roman" w:hint="default"/>
        </w:rPr>
        <w:t>30%</w:t>
      </w:r>
      <w:r>
        <w:rPr/>
        <w:t>；专业管理团队以货币认缴注册资本</w:t>
      </w:r>
      <w:r>
        <w:rPr>
          <w:rFonts w:ascii="Times New Roman" w:hAnsi="Times New Roman" w:cs="Times New Roman" w:eastAsia="Times New Roman" w:hint="default"/>
        </w:rPr>
        <w:t>127.5</w:t>
      </w:r>
      <w:r>
        <w:rPr/>
        <w:t>万元，占比</w:t>
      </w:r>
      <w:r>
        <w:rPr>
          <w:rFonts w:ascii="Times New Roman" w:hAnsi="Times New Roman" w:cs="Times New Roman" w:eastAsia="Times New Roman" w:hint="default"/>
        </w:rPr>
        <w:t>30%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日止，高投金运实收资本</w:t>
      </w:r>
      <w:r>
        <w:rPr>
          <w:rFonts w:ascii="Times New Roman" w:hAnsi="Times New Roman" w:cs="Times New Roman" w:eastAsia="Times New Roman" w:hint="default"/>
        </w:rPr>
        <w:t>212.5 </w:t>
      </w:r>
      <w:r>
        <w:rPr>
          <w:spacing w:val="-2"/>
        </w:rPr>
        <w:t>万元，其中本公司以货币</w:t>
      </w:r>
      <w:r>
        <w:rPr>
          <w:rFonts w:ascii="Times New Roman" w:hAnsi="Times New Roman" w:cs="Times New Roman" w:eastAsia="Times New Roman" w:hint="default"/>
          <w:spacing w:val="-2"/>
        </w:rPr>
        <w:t>85</w:t>
      </w:r>
      <w:r>
        <w:rPr>
          <w:spacing w:val="-2"/>
        </w:rPr>
        <w:t>万元出资，占比</w:t>
      </w:r>
      <w:r>
        <w:rPr>
          <w:rFonts w:ascii="Times New Roman" w:hAnsi="Times New Roman" w:cs="Times New Roman" w:eastAsia="Times New Roman" w:hint="default"/>
          <w:spacing w:val="-2"/>
        </w:rPr>
        <w:t>40%</w:t>
      </w:r>
      <w:r>
        <w:rPr>
          <w:spacing w:val="-2"/>
        </w:rPr>
        <w:t>；湖北高新投以货币</w:t>
      </w:r>
      <w:r>
        <w:rPr>
          <w:rFonts w:ascii="Times New Roman" w:hAnsi="Times New Roman" w:cs="Times New Roman" w:eastAsia="Times New Roman" w:hint="default"/>
          <w:spacing w:val="-2"/>
        </w:rPr>
        <w:t>21.25</w:t>
      </w:r>
      <w:r>
        <w:rPr>
          <w:spacing w:val="-2"/>
        </w:rPr>
        <w:t>万元出资，占比</w:t>
      </w:r>
      <w:r>
        <w:rPr>
          <w:rFonts w:ascii="Times New Roman" w:hAnsi="Times New Roman" w:cs="Times New Roman" w:eastAsia="Times New Roman" w:hint="default"/>
          <w:spacing w:val="-2"/>
        </w:rPr>
        <w:t>10%</w:t>
      </w:r>
      <w:r>
        <w:rPr>
          <w:spacing w:val="-2"/>
        </w:rPr>
        <w:t>；专业管理团队佟德瑞和钱斌</w:t>
      </w:r>
      <w:r>
        <w:rPr>
          <w:spacing w:val="-42"/>
        </w:rPr>
        <w:t> </w:t>
      </w:r>
      <w:r>
        <w:rPr>
          <w:spacing w:val="-42"/>
        </w:rPr>
      </w:r>
      <w:r>
        <w:rPr/>
        <w:t>分别以货币</w:t>
      </w:r>
      <w:r>
        <w:rPr>
          <w:rFonts w:ascii="Times New Roman" w:hAnsi="Times New Roman" w:cs="Times New Roman" w:eastAsia="Times New Roman" w:hint="default"/>
        </w:rPr>
        <w:t>63.75</w:t>
      </w:r>
      <w:r>
        <w:rPr/>
        <w:t>万元和</w:t>
      </w:r>
      <w:r>
        <w:rPr>
          <w:rFonts w:ascii="Times New Roman" w:hAnsi="Times New Roman" w:cs="Times New Roman" w:eastAsia="Times New Roman" w:hint="default"/>
        </w:rPr>
        <w:t>42.5</w:t>
      </w:r>
      <w:r>
        <w:rPr/>
        <w:t>万元出资，分别占比</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20%</w:t>
      </w:r>
      <w:r>
        <w:rPr/>
        <w:t>。</w:t>
      </w:r>
    </w:p>
    <w:p>
      <w:pPr>
        <w:pStyle w:val="BodyText"/>
        <w:spacing w:line="300" w:lineRule="auto" w:before="13"/>
        <w:ind w:right="174"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高汇科技于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月在香港成立，系本公司的全资境外子公司，注册资本</w:t>
      </w:r>
      <w:r>
        <w:rPr>
          <w:rFonts w:ascii="Times New Roman" w:hAnsi="Times New Roman" w:cs="Times New Roman" w:eastAsia="Times New Roman" w:hint="default"/>
        </w:rPr>
        <w:t>50</w:t>
      </w:r>
      <w:r>
        <w:rPr/>
        <w:t>万元港币。截至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 公司尚未实际出资。</w:t>
      </w:r>
    </w:p>
    <w:p>
      <w:pPr>
        <w:pStyle w:val="BodyText"/>
        <w:spacing w:line="300" w:lineRule="auto" w:before="31"/>
        <w:ind w:left="153" w:right="173" w:firstLine="99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长沙落地系由武汉落地和何劲鹏共同出资设立，注册资本</w:t>
      </w:r>
      <w:r>
        <w:rPr>
          <w:rFonts w:ascii="Times New Roman" w:hAnsi="Times New Roman" w:cs="Times New Roman" w:eastAsia="Times New Roman" w:hint="default"/>
        </w:rPr>
        <w:t>200</w:t>
      </w:r>
      <w:r>
        <w:rPr/>
        <w:t>万元。其中武汉落地以货币认缴注册资本</w:t>
      </w:r>
      <w:r>
        <w:rPr>
          <w:rFonts w:ascii="Times New Roman" w:hAnsi="Times New Roman" w:cs="Times New Roman" w:eastAsia="Times New Roman" w:hint="default"/>
        </w:rPr>
        <w:t>120</w:t>
      </w:r>
      <w:r>
        <w:rPr/>
        <w:t>万 元，占比</w:t>
      </w:r>
      <w:r>
        <w:rPr>
          <w:rFonts w:ascii="Times New Roman" w:hAnsi="Times New Roman" w:cs="Times New Roman" w:eastAsia="Times New Roman" w:hint="default"/>
        </w:rPr>
        <w:t>60%</w:t>
      </w:r>
      <w:r>
        <w:rPr/>
        <w:t>；何劲鹏以货币认缴注册资本</w:t>
      </w:r>
      <w:r>
        <w:rPr>
          <w:rFonts w:ascii="Times New Roman" w:hAnsi="Times New Roman" w:cs="Times New Roman" w:eastAsia="Times New Roman" w:hint="default"/>
        </w:rPr>
        <w:t>80</w:t>
      </w:r>
      <w:r>
        <w:rPr/>
        <w:t>万元，占比</w:t>
      </w:r>
      <w:r>
        <w:rPr>
          <w:rFonts w:ascii="Times New Roman" w:hAnsi="Times New Roman" w:cs="Times New Roman" w:eastAsia="Times New Roman" w:hint="default"/>
        </w:rPr>
        <w:t>40%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日止，长沙落地实收资本</w:t>
      </w:r>
      <w:r>
        <w:rPr>
          <w:rFonts w:ascii="Times New Roman" w:hAnsi="Times New Roman" w:cs="Times New Roman" w:eastAsia="Times New Roman" w:hint="default"/>
        </w:rPr>
        <w:t>120</w:t>
      </w:r>
      <w:r>
        <w:rPr/>
        <w:t>万元，其中 武汉落地以货币</w:t>
      </w:r>
      <w:r>
        <w:rPr>
          <w:rFonts w:ascii="Times New Roman" w:hAnsi="Times New Roman" w:cs="Times New Roman" w:eastAsia="Times New Roman" w:hint="default"/>
        </w:rPr>
        <w:t>72</w:t>
      </w:r>
      <w:r>
        <w:rPr/>
        <w:t>万元出资，占比</w:t>
      </w:r>
      <w:r>
        <w:rPr>
          <w:rFonts w:ascii="Times New Roman" w:hAnsi="Times New Roman" w:cs="Times New Roman" w:eastAsia="Times New Roman" w:hint="default"/>
        </w:rPr>
        <w:t>60%</w:t>
      </w:r>
      <w:r>
        <w:rPr/>
        <w:t>，何劲鹏以货币</w:t>
      </w:r>
      <w:r>
        <w:rPr>
          <w:rFonts w:ascii="Times New Roman" w:hAnsi="Times New Roman" w:cs="Times New Roman" w:eastAsia="Times New Roman" w:hint="default"/>
        </w:rPr>
        <w:t>48</w:t>
      </w:r>
      <w:r>
        <w:rPr/>
        <w:t>万元出资，占比</w:t>
      </w:r>
      <w:r>
        <w:rPr>
          <w:rFonts w:ascii="Times New Roman" w:hAnsi="Times New Roman" w:cs="Times New Roman" w:eastAsia="Times New Roman" w:hint="default"/>
        </w:rPr>
        <w:t>40%</w:t>
      </w:r>
      <w:r>
        <w:rPr/>
        <w:t>。</w:t>
      </w:r>
    </w:p>
    <w:p>
      <w:pPr>
        <w:pStyle w:val="BodyText"/>
        <w:spacing w:line="300" w:lineRule="auto" w:before="13"/>
        <w:ind w:right="227" w:firstLine="360"/>
        <w:jc w:val="left"/>
      </w:pPr>
      <w:r>
        <w:rPr>
          <w:rFonts w:ascii="Times New Roman" w:hAnsi="Times New Roman" w:cs="Times New Roman" w:eastAsia="Times New Roman" w:hint="default"/>
        </w:rPr>
        <w:t>5.2014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日，本公司之控股子公司鞍山万隆取得鞍山市工商行政管理局高新技术产业开发区分局《企业注销核准 通知书》，自注销日起，鞍山万隆不再纳入合并范围。</w:t>
      </w:r>
    </w:p>
    <w:p>
      <w:pPr>
        <w:pStyle w:val="BodyText"/>
        <w:spacing w:line="300" w:lineRule="auto" w:before="31"/>
        <w:ind w:right="227" w:firstLine="360"/>
        <w:jc w:val="left"/>
      </w:pPr>
      <w:r>
        <w:rPr>
          <w:rFonts w:ascii="Times New Roman" w:hAnsi="Times New Roman" w:cs="Times New Roman" w:eastAsia="Times New Roman" w:hint="default"/>
        </w:rPr>
        <w:t>6.2014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日，本公司之全资子公司盛兴业取得武汉市工商行政管理局东湖新技术开发区分局，自注销日起，盛兴 业不再纳入合并范围。</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4）购买日之前持有的股权按照公允价值重新计量产生的利得或损失" w:id="362"/>
      <w:bookmarkEnd w:id="36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877" w:footer="979" w:top="1100" w:bottom="1160" w:left="980" w:right="94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5）购买日或合并当期期末无法合理确定合并对价或被购买方可辨认资产、负债公允价值" w:id="363"/>
      <w:bookmarkEnd w:id="36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6）其他说明" w:id="364"/>
      <w:bookmarkEnd w:id="36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同一控制下企业合并" w:id="365"/>
      <w:bookmarkEnd w:id="36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同一控制下企业合并" w:id="366"/>
      <w:bookmarkEnd w:id="36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合并成本" w:id="367"/>
      <w:bookmarkEnd w:id="36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13"/>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3）合并日被合并方资产、负债的账面价值" w:id="368"/>
      <w:bookmarkEnd w:id="36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533"/>
        <w:jc w:val="left"/>
      </w:pPr>
      <w:r>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left="153" w:right="0"/>
        <w:jc w:val="left"/>
        <w:rPr>
          <w:b w:val="0"/>
          <w:bCs w:val="0"/>
        </w:rPr>
      </w:pPr>
      <w:bookmarkStart w:name="3、反向购买" w:id="369"/>
      <w:bookmarkEnd w:id="36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bookmarkStart w:name="4、处置子公司" w:id="370"/>
      <w:bookmarkEnd w:id="37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是否存在单次处置对子公司投资即丧失控制权的情形</w:t>
      </w:r>
    </w:p>
    <w:p>
      <w:pPr>
        <w:pStyle w:val="BodyText"/>
        <w:spacing w:line="338" w:lineRule="auto" w:before="117"/>
        <w:ind w:left="153" w:right="40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371"/>
      <w:bookmarkEnd w:id="37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3" w:right="6623" w:firstLine="0"/>
        <w:jc w:val="left"/>
        <w:rPr>
          <w:rFonts w:ascii="宋体" w:hAnsi="宋体" w:cs="宋体" w:eastAsia="宋体" w:hint="default"/>
          <w:sz w:val="21"/>
          <w:szCs w:val="21"/>
        </w:rPr>
      </w:pPr>
      <w:bookmarkStart w:name="6、其他" w:id="372"/>
      <w:bookmarkEnd w:id="3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3"/>
      <w:bookmarkEnd w:id="37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4"/>
      <w:bookmarkEnd w:id="37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企业集团的构成" w:id="375"/>
      <w:bookmarkEnd w:id="37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203"/>
        <w:gridCol w:w="1202"/>
        <w:gridCol w:w="748"/>
        <w:gridCol w:w="2560"/>
        <w:gridCol w:w="880"/>
        <w:gridCol w:w="771"/>
        <w:gridCol w:w="2332"/>
      </w:tblGrid>
      <w:tr>
        <w:trPr>
          <w:trHeight w:val="402" w:hRule="exact"/>
        </w:trPr>
        <w:tc>
          <w:tcPr>
            <w:tcW w:w="120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33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203" w:type="dxa"/>
            <w:vMerge/>
            <w:tcBorders>
              <w:left w:val="nil" w:sz="6" w:space="0" w:color="auto"/>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2560" w:type="dxa"/>
            <w:vMerge/>
            <w:tcBorders>
              <w:left w:val="single" w:sz="4" w:space="0" w:color="000000"/>
              <w:bottom w:val="single" w:sz="4" w:space="0" w:color="000000"/>
              <w:right w:val="single" w:sz="4" w:space="0" w:color="000000"/>
            </w:tcBorders>
            <w:shd w:val="clear" w:color="auto" w:fill="D2D2D2"/>
          </w:tcPr>
          <w:p>
            <w:pP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32"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1217"/>
        <w:gridCol w:w="1202"/>
        <w:gridCol w:w="748"/>
        <w:gridCol w:w="2560"/>
        <w:gridCol w:w="880"/>
        <w:gridCol w:w="771"/>
        <w:gridCol w:w="2332"/>
      </w:tblGrid>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电子设备生产销售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盛兴业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软件生产销售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鞍山万隆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诸暨金运</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仪征市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仪征市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武汉赛凡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精细加工设备生产、销售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东莞金运</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激光设备、配件生产销售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铁岭县</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铁岭县</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激光系统组装、销售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长沙落地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88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60.00%</w:t>
            </w: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武汉良拓</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激光设备销售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股权类投资管理</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CORP</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71" w:type="dxa"/>
            <w:tcBorders>
              <w:top w:val="single" w:sz="4" w:space="0" w:color="000000"/>
              <w:left w:val="single" w:sz="4" w:space="0" w:color="000000"/>
              <w:bottom w:val="single" w:sz="4" w:space="0" w:color="000000"/>
              <w:right w:val="single" w:sz="4" w:space="0" w:color="000000"/>
            </w:tcBorders>
          </w:tcPr>
          <w:p>
            <w:pPr/>
          </w:p>
        </w:tc>
        <w:tc>
          <w:tcPr>
            <w:tcW w:w="2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1852"/>
        <w:jc w:val="left"/>
      </w:pPr>
      <w:r>
        <w:rPr/>
        <w:t>在子公司的持股比例不同于表决权比例的说明： 持有半数或以下表决权但仍控制被投资单位、以及持有半数以上表决权但不控制被投资单位的依据：</w:t>
      </w:r>
    </w:p>
    <w:p>
      <w:pPr>
        <w:pStyle w:val="BodyText"/>
        <w:spacing w:line="300" w:lineRule="auto" w:before="25"/>
        <w:ind w:left="153" w:right="0" w:firstLine="420"/>
        <w:jc w:val="left"/>
      </w:pPr>
      <w:r>
        <w:rPr>
          <w:spacing w:val="-2"/>
        </w:rPr>
        <w:t>高投金运的经营决策由董事会作出，高投金运董事会由</w:t>
      </w:r>
      <w:r>
        <w:rPr>
          <w:rFonts w:ascii="Times New Roman" w:hAnsi="Times New Roman" w:cs="Times New Roman" w:eastAsia="Times New Roman" w:hint="default"/>
          <w:spacing w:val="-2"/>
        </w:rPr>
        <w:t>5</w:t>
      </w:r>
      <w:r>
        <w:rPr>
          <w:spacing w:val="-2"/>
        </w:rPr>
        <w:t>人组成，其中金运激光推荐</w:t>
      </w:r>
      <w:r>
        <w:rPr>
          <w:rFonts w:ascii="Times New Roman" w:hAnsi="Times New Roman" w:cs="Times New Roman" w:eastAsia="Times New Roman" w:hint="default"/>
          <w:spacing w:val="-2"/>
        </w:rPr>
        <w:t>3</w:t>
      </w:r>
      <w:r>
        <w:rPr>
          <w:spacing w:val="-2"/>
        </w:rPr>
        <w:t>名，湖北高新投推荐</w:t>
      </w:r>
      <w:r>
        <w:rPr>
          <w:rFonts w:ascii="Times New Roman" w:hAnsi="Times New Roman" w:cs="Times New Roman" w:eastAsia="Times New Roman" w:hint="default"/>
          <w:spacing w:val="-2"/>
        </w:rPr>
        <w:t>2</w:t>
      </w:r>
      <w:r>
        <w:rPr>
          <w:spacing w:val="-2"/>
        </w:rPr>
        <w:t>名，上述证</w:t>
      </w:r>
      <w:r>
        <w:rPr/>
        <w:t> 据表明金运激光可以对高投金运实施控制，决定高投金运的财务和经营政策。</w:t>
      </w:r>
    </w:p>
    <w:p>
      <w:pPr>
        <w:pStyle w:val="BodyText"/>
        <w:spacing w:line="360" w:lineRule="auto" w:before="72"/>
        <w:ind w:right="5452"/>
        <w:jc w:val="left"/>
      </w:pPr>
      <w:r>
        <w:rPr/>
        <w:t>对于纳入合并范围的重要的结构化主体，控制的依据： 确定公司是代理人还是委托人的依据：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376"/>
      <w:bookmarkEnd w:id="37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6" w:right="0"/>
              <w:jc w:val="left"/>
              <w:rPr>
                <w:rFonts w:ascii="Times New Roman" w:hAnsi="Times New Roman" w:cs="Times New Roman" w:eastAsia="Times New Roman" w:hint="default"/>
                <w:sz w:val="18"/>
                <w:szCs w:val="18"/>
              </w:rPr>
            </w:pPr>
            <w:r>
              <w:rPr>
                <w:rFonts w:ascii="Times New Roman"/>
                <w:sz w:val="18"/>
              </w:rPr>
              <w:t>-1,214,849.54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4,041,976.49</w:t>
            </w:r>
          </w:p>
        </w:tc>
      </w:tr>
    </w:tbl>
    <w:p>
      <w:pPr>
        <w:pStyle w:val="BodyText"/>
        <w:spacing w:line="357" w:lineRule="auto" w:before="51"/>
        <w:ind w:right="545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377"/>
      <w:bookmarkEnd w:id="37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nil" w:sz="6" w:space="0" w:color="auto"/>
              <w:right w:val="single" w:sz="4" w:space="0" w:color="000000"/>
            </w:tcBorders>
            <w:shd w:val="clear" w:color="auto" w:fill="D2D2D2"/>
          </w:tcPr>
          <w:p>
            <w:pPr>
              <w:pStyle w:val="TableParagraph"/>
              <w:spacing w:line="316" w:lineRule="auto" w:before="76"/>
              <w:ind w:left="187"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nil" w:sz="6" w:space="0" w:color="auto"/>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nil" w:sz="6" w:space="0" w:color="auto"/>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714" w:hRule="exact"/>
        </w:trPr>
        <w:tc>
          <w:tcPr>
            <w:tcW w:w="7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161"/>
              <w:jc w:val="left"/>
              <w:rPr>
                <w:rFonts w:ascii="宋体" w:hAnsi="宋体" w:cs="宋体" w:eastAsia="宋体" w:hint="default"/>
                <w:sz w:val="18"/>
                <w:szCs w:val="18"/>
              </w:rPr>
            </w:pPr>
            <w:r>
              <w:rPr>
                <w:rFonts w:ascii="宋体" w:hAnsi="宋体" w:cs="宋体" w:eastAsia="宋体" w:hint="default"/>
                <w:sz w:val="18"/>
                <w:szCs w:val="18"/>
              </w:rPr>
              <w:t>武汉落 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5,374,48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6,759,20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12,133,6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2,641,01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5.27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2,641,01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nil" w:sz="6" w:space="0" w:color="auto"/>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257" w:right="8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10,282,871.7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-2,929,396.04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-2,929,396.04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1,569,236.90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-7,633.98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-7,633.98</w:t>
            </w:r>
          </w:p>
        </w:tc>
        <w:tc>
          <w:tcPr>
            <w:tcW w:w="106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使用企业集团资产和清偿企业集团债务的重大限制" w:id="378"/>
      <w:bookmarkEnd w:id="37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向纳入合并财务报表范围的结构化主体提供的财务支持或其他支持" w:id="379"/>
      <w:bookmarkEnd w:id="37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在子公司的所有者权益份额发生变化且仍控制子公司的交易" w:id="380"/>
      <w:bookmarkEnd w:id="38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81"/>
      <w:bookmarkEnd w:id="38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7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日武汉天盛泽投资管理有限公司将其持有的武汉唯拓</w:t>
      </w:r>
      <w:r>
        <w:rPr>
          <w:rFonts w:ascii="Times New Roman" w:hAnsi="Times New Roman" w:cs="Times New Roman" w:eastAsia="Times New Roman" w:hint="default"/>
        </w:rPr>
        <w:t>49%</w:t>
      </w:r>
      <w:r>
        <w:rPr/>
        <w:t>股权以对价</w:t>
      </w:r>
      <w:r>
        <w:rPr>
          <w:rFonts w:ascii="Times New Roman" w:hAnsi="Times New Roman" w:cs="Times New Roman" w:eastAsia="Times New Roman" w:hint="default"/>
        </w:rPr>
        <w:t>555,727.00</w:t>
      </w:r>
      <w:r>
        <w:rPr/>
        <w:t>元转让给金运激光，转让后 金运激光持有武汉唯拓</w:t>
      </w:r>
      <w:r>
        <w:rPr>
          <w:rFonts w:ascii="Times New Roman" w:hAnsi="Times New Roman" w:cs="Times New Roman" w:eastAsia="Times New Roman" w:hint="default"/>
        </w:rPr>
        <w:t>100%</w:t>
      </w:r>
      <w:r>
        <w:rPr/>
        <w:t>的股权。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交易对于少数股东权益及归属于母公司所有者权益的影响" w:id="382"/>
      <w:bookmarkEnd w:id="38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5779"/>
        <w:gridCol w:w="3894"/>
      </w:tblGrid>
      <w:tr>
        <w:trPr>
          <w:trHeight w:val="342" w:hRule="exact"/>
        </w:trPr>
        <w:tc>
          <w:tcPr>
            <w:tcW w:w="5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武汉唯拓</w:t>
            </w:r>
          </w:p>
        </w:tc>
      </w:tr>
      <w:tr>
        <w:trPr>
          <w:trHeight w:val="342" w:hRule="exact"/>
        </w:trPr>
        <w:tc>
          <w:tcPr>
            <w:tcW w:w="5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555,727.00</w:t>
            </w:r>
          </w:p>
        </w:tc>
      </w:tr>
      <w:tr>
        <w:trPr>
          <w:trHeight w:val="342" w:hRule="exact"/>
        </w:trPr>
        <w:tc>
          <w:tcPr>
            <w:tcW w:w="5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555,727.00</w:t>
            </w:r>
          </w:p>
        </w:tc>
      </w:tr>
      <w:tr>
        <w:trPr>
          <w:trHeight w:val="342" w:hRule="exact"/>
        </w:trPr>
        <w:tc>
          <w:tcPr>
            <w:tcW w:w="5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330,730.71</w:t>
            </w:r>
          </w:p>
        </w:tc>
      </w:tr>
      <w:tr>
        <w:trPr>
          <w:trHeight w:val="342" w:hRule="exact"/>
        </w:trPr>
        <w:tc>
          <w:tcPr>
            <w:tcW w:w="5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224,996.29</w:t>
            </w:r>
          </w:p>
        </w:tc>
      </w:tr>
      <w:tr>
        <w:trPr>
          <w:trHeight w:val="342" w:hRule="exact"/>
        </w:trPr>
        <w:tc>
          <w:tcPr>
            <w:tcW w:w="5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224,996.29</w:t>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在合营安排或联营企业中的权益" w:id="383"/>
      <w:bookmarkEnd w:id="38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合营企业或联营企业" w:id="384"/>
      <w:bookmarkEnd w:id="38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17"/>
        <w:gridCol w:w="955"/>
        <w:gridCol w:w="597"/>
        <w:gridCol w:w="1136"/>
        <w:gridCol w:w="611"/>
        <w:gridCol w:w="416"/>
        <w:gridCol w:w="3476"/>
      </w:tblGrid>
      <w:tr>
        <w:trPr>
          <w:trHeight w:val="402" w:hRule="exact"/>
        </w:trPr>
        <w:tc>
          <w:tcPr>
            <w:tcW w:w="2217"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4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对合营企业或联营企业投资的会计处理方法</w:t>
            </w:r>
          </w:p>
        </w:tc>
      </w:tr>
      <w:tr>
        <w:trPr>
          <w:trHeight w:val="402" w:hRule="exact"/>
        </w:trPr>
        <w:tc>
          <w:tcPr>
            <w:tcW w:w="2217" w:type="dxa"/>
            <w:vMerge/>
            <w:tcBorders>
              <w:left w:val="nil" w:sz="6" w:space="0" w:color="auto"/>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476"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2231"/>
        <w:gridCol w:w="955"/>
        <w:gridCol w:w="597"/>
        <w:gridCol w:w="1136"/>
        <w:gridCol w:w="611"/>
        <w:gridCol w:w="416"/>
        <w:gridCol w:w="3476"/>
      </w:tblGrid>
      <w:tr>
        <w:trPr>
          <w:trHeight w:val="402"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深圳市精易迅科技有限公司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34.00%</w:t>
            </w:r>
          </w:p>
        </w:tc>
        <w:tc>
          <w:tcPr>
            <w:tcW w:w="416" w:type="dxa"/>
            <w:tcBorders>
              <w:top w:val="single" w:sz="4" w:space="0" w:color="000000"/>
              <w:left w:val="single" w:sz="4" w:space="0" w:color="000000"/>
              <w:bottom w:val="single" w:sz="4" w:space="0" w:color="000000"/>
              <w:right w:val="single" w:sz="4" w:space="0" w:color="000000"/>
            </w:tcBorders>
          </w:tcPr>
          <w:p>
            <w:pPr/>
          </w:p>
        </w:tc>
        <w:tc>
          <w:tcPr>
            <w:tcW w:w="3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85"/>
      <w:bookmarkEnd w:id="38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386"/>
      <w:bookmarkEnd w:id="38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上重要的合营企业和联营企业的汇总财务信息" w:id="387"/>
      <w:bookmarkEnd w:id="38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2,977,310.20</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388"/>
      <w:bookmarkEnd w:id="38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合营企业或联营企业发生的超额亏损" w:id="389"/>
      <w:bookmarkEnd w:id="38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7）与合营企业投资相关的未确认承诺" w:id="390"/>
      <w:bookmarkEnd w:id="39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8）与合营企业或联营企业投资相关的或有负债" w:id="391"/>
      <w:bookmarkEnd w:id="39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4、重要的共同经营" w:id="392"/>
      <w:bookmarkEnd w:id="39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nil" w:sz="6" w:space="0" w:color="auto"/>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left="153" w:right="4553"/>
        <w:jc w:val="left"/>
      </w:pPr>
      <w:r>
        <w:rPr/>
        <w:t>在共同经营中的持股比例或享有的份额不同于表决权比例的说明： 共同经营为单独主体的，分类为共同经营的依据：</w:t>
      </w:r>
    </w:p>
    <w:p>
      <w:pPr>
        <w:pStyle w:val="BodyText"/>
        <w:spacing w:line="240" w:lineRule="auto" w:before="26"/>
        <w:ind w:left="153"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5、在未纳入合并财务报表范围的结构化主体中的权益" w:id="393"/>
      <w:bookmarkEnd w:id="39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2"/>
        <w:spacing w:line="477" w:lineRule="auto"/>
        <w:ind w:right="6413"/>
        <w:jc w:val="left"/>
        <w:rPr>
          <w:b w:val="0"/>
          <w:bCs w:val="0"/>
        </w:rPr>
      </w:pPr>
      <w:bookmarkStart w:name="6、其他" w:id="394"/>
      <w:bookmarkEnd w:id="394"/>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395"/>
      <w:bookmarkEnd w:id="395"/>
      <w:r>
        <w:rPr>
          <w:spacing w:val="1"/>
          <w:w w:val="99"/>
          <w:sz w:val="21"/>
          <w:szCs w:val="21"/>
        </w:rPr>
      </w:r>
      <w:r>
        <w:rPr>
          <w:w w:val="95"/>
        </w:rPr>
        <w:t>十、与金融工具相关的风险</w:t>
      </w:r>
      <w:r>
        <w:rPr>
          <w:spacing w:val="18"/>
          <w:w w:val="95"/>
        </w:rPr>
        <w:t> </w:t>
      </w:r>
      <w:r>
        <w:rPr>
          <w:spacing w:val="18"/>
          <w:w w:val="95"/>
        </w:rPr>
      </w:r>
      <w:bookmarkStart w:name="十一、公允价值的披露" w:id="396"/>
      <w:bookmarkEnd w:id="396"/>
      <w:r>
        <w:rPr/>
        <w:t>十一、公允价值的披露</w:t>
      </w:r>
      <w:r>
        <w:rPr>
          <w:b w:val="0"/>
          <w:bCs w:val="0"/>
        </w:rPr>
      </w:r>
    </w:p>
    <w:p>
      <w:pPr>
        <w:pStyle w:val="Heading3"/>
        <w:spacing w:line="240" w:lineRule="auto" w:before="84"/>
        <w:ind w:left="153" w:right="0"/>
        <w:jc w:val="left"/>
        <w:rPr>
          <w:b w:val="0"/>
          <w:bCs w:val="0"/>
        </w:rPr>
      </w:pPr>
      <w:bookmarkStart w:name="1、以公允价值计量的资产和负债的期末公允价值" w:id="397"/>
      <w:bookmarkEnd w:id="39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nil" w:sz="6" w:space="0" w:color="auto"/>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398"/>
      <w:bookmarkEnd w:id="39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99"/>
      <w:bookmarkEnd w:id="39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00"/>
      <w:bookmarkEnd w:id="40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上可观察参数" w:id="401"/>
      <w:bookmarkEnd w:id="40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02"/>
      <w:bookmarkEnd w:id="40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03"/>
      <w:bookmarkEnd w:id="40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上以公允价值计量的金融资产和金融负债的公允价值情况" w:id="404"/>
      <w:bookmarkEnd w:id="40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623" w:firstLine="0"/>
        <w:jc w:val="left"/>
        <w:rPr>
          <w:rFonts w:ascii="宋体" w:hAnsi="宋体" w:cs="宋体" w:eastAsia="宋体" w:hint="default"/>
          <w:sz w:val="21"/>
          <w:szCs w:val="21"/>
        </w:rPr>
      </w:pPr>
      <w:bookmarkStart w:name="9、其他" w:id="405"/>
      <w:bookmarkEnd w:id="40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8"/>
          <w:w w:val="95"/>
          <w:sz w:val="24"/>
          <w:szCs w:val="24"/>
        </w:rPr>
        <w:t> </w:t>
      </w:r>
      <w:r>
        <w:rPr>
          <w:rFonts w:ascii="宋体" w:hAnsi="宋体" w:cs="宋体" w:eastAsia="宋体" w:hint="default"/>
          <w:b/>
          <w:bCs/>
          <w:spacing w:val="8"/>
          <w:w w:val="95"/>
          <w:sz w:val="24"/>
          <w:szCs w:val="24"/>
        </w:rPr>
      </w:r>
      <w:bookmarkStart w:name="1、本企业的母公司情况" w:id="407"/>
      <w:bookmarkEnd w:id="407"/>
      <w:r>
        <w:rPr>
          <w:rFonts w:ascii="宋体" w:hAnsi="宋体" w:cs="宋体" w:eastAsia="宋体" w:hint="default"/>
          <w:b/>
          <w:bCs/>
          <w:spacing w:val="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341" w:right="77"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right="0"/>
        <w:jc w:val="left"/>
      </w:pPr>
      <w:r>
        <w:rPr/>
        <w:t>本企业的母公司情况的说明</w:t>
      </w:r>
    </w:p>
    <w:p>
      <w:pPr>
        <w:spacing w:after="0" w:line="240" w:lineRule="auto"/>
        <w:jc w:val="left"/>
        <w:sectPr>
          <w:pgSz w:w="11910" w:h="16840"/>
          <w:pgMar w:header="877" w:footer="979" w:top="1100" w:bottom="1160" w:left="980" w:right="980"/>
        </w:sectPr>
      </w:pPr>
    </w:p>
    <w:p>
      <w:pPr>
        <w:spacing w:line="240" w:lineRule="auto" w:before="13"/>
        <w:rPr>
          <w:rFonts w:ascii="宋体" w:hAnsi="宋体" w:cs="宋体" w:eastAsia="宋体" w:hint="default"/>
          <w:sz w:val="21"/>
          <w:szCs w:val="21"/>
        </w:rPr>
      </w:pPr>
    </w:p>
    <w:p>
      <w:pPr>
        <w:pStyle w:val="BodyText"/>
        <w:spacing w:line="357" w:lineRule="auto" w:before="44"/>
        <w:ind w:left="153" w:right="7599"/>
        <w:jc w:val="left"/>
      </w:pPr>
      <w:r>
        <w:rPr/>
        <w:t>本企业最终控制方是梁伟。 其他说明：</w:t>
      </w:r>
    </w:p>
    <w:p>
      <w:pPr>
        <w:spacing w:line="240" w:lineRule="auto" w:before="1"/>
        <w:rPr>
          <w:rFonts w:ascii="宋体" w:hAnsi="宋体" w:cs="宋体" w:eastAsia="宋体" w:hint="default"/>
          <w:sz w:val="20"/>
          <w:szCs w:val="20"/>
        </w:rPr>
      </w:pPr>
    </w:p>
    <w:p>
      <w:pPr>
        <w:pStyle w:val="Heading3"/>
        <w:spacing w:line="240" w:lineRule="auto"/>
        <w:ind w:left="153" w:right="5192"/>
        <w:jc w:val="left"/>
        <w:rPr>
          <w:b w:val="0"/>
          <w:bCs w:val="0"/>
        </w:rPr>
      </w:pPr>
      <w:bookmarkStart w:name="2、本企业的子公司情况" w:id="408"/>
      <w:bookmarkEnd w:id="40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93"/>
        <w:jc w:val="left"/>
      </w:pPr>
      <w:r>
        <w:rPr/>
        <w:t>本企业子公司的情况详见附注八（一）在子公司中的权益。</w:t>
      </w:r>
    </w:p>
    <w:p>
      <w:pPr>
        <w:spacing w:line="240" w:lineRule="auto" w:before="11"/>
        <w:rPr>
          <w:rFonts w:ascii="宋体" w:hAnsi="宋体" w:cs="宋体" w:eastAsia="宋体" w:hint="default"/>
          <w:sz w:val="26"/>
          <w:szCs w:val="26"/>
        </w:rPr>
      </w:pPr>
    </w:p>
    <w:p>
      <w:pPr>
        <w:pStyle w:val="Heading3"/>
        <w:spacing w:line="240" w:lineRule="auto"/>
        <w:ind w:left="153" w:right="5192"/>
        <w:jc w:val="left"/>
        <w:rPr>
          <w:b w:val="0"/>
          <w:bCs w:val="0"/>
        </w:rPr>
      </w:pPr>
      <w:bookmarkStart w:name="3、本企业合营和联营企业情况" w:id="409"/>
      <w:bookmarkEnd w:id="40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1353"/>
        <w:jc w:val="left"/>
      </w:pPr>
      <w:r>
        <w:rPr/>
        <w:t>本企业重要的合营或联营企业详见附注八（三）在合营安排或联营企业中的权益。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58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5"/>
        <w:ind w:right="519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5192"/>
        <w:jc w:val="left"/>
        <w:rPr>
          <w:b w:val="0"/>
          <w:bCs w:val="0"/>
        </w:rPr>
      </w:pPr>
      <w:bookmarkStart w:name="4、其他关联方情况" w:id="410"/>
      <w:bookmarkEnd w:id="41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全盛通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714"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6"/>
                <w:sz w:val="18"/>
                <w:szCs w:val="18"/>
              </w:rPr>
              <w:t>武汉高投金运激光产业投资基金合伙企业（有限合伙）（以下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高投基金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bl>
    <w:p>
      <w:pPr>
        <w:pStyle w:val="BodyText"/>
        <w:spacing w:line="240" w:lineRule="auto" w:before="51"/>
        <w:ind w:right="5192"/>
        <w:jc w:val="left"/>
      </w:pPr>
      <w:r>
        <w:rPr/>
        <w:t>其他说明</w:t>
      </w:r>
    </w:p>
    <w:p>
      <w:pPr>
        <w:pStyle w:val="BodyText"/>
        <w:spacing w:line="316" w:lineRule="auto" w:before="116"/>
        <w:ind w:right="93" w:firstLine="360"/>
        <w:jc w:val="left"/>
      </w:pPr>
      <w:r>
        <w:rPr>
          <w:spacing w:val="-4"/>
        </w:rPr>
        <w:t>高投基金系由高投金运（基金管理公司）作为发起人与公司实际控制人梁伟、湖北高新投联合发起设立的产业并购基金，</w:t>
      </w:r>
      <w:r>
        <w:rPr/>
        <w:t>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日，尚未实际出资，期后合伙人梁伟将股权转让予金运激光。</w:t>
      </w:r>
    </w:p>
    <w:p>
      <w:pPr>
        <w:spacing w:line="240" w:lineRule="auto" w:before="13"/>
        <w:rPr>
          <w:rFonts w:ascii="宋体" w:hAnsi="宋体" w:cs="宋体" w:eastAsia="宋体" w:hint="default"/>
          <w:sz w:val="20"/>
          <w:szCs w:val="20"/>
        </w:rPr>
      </w:pPr>
    </w:p>
    <w:p>
      <w:pPr>
        <w:pStyle w:val="Heading3"/>
        <w:spacing w:line="240" w:lineRule="auto"/>
        <w:ind w:left="153" w:right="5192"/>
        <w:jc w:val="left"/>
        <w:rPr>
          <w:b w:val="0"/>
          <w:bCs w:val="0"/>
        </w:rPr>
      </w:pPr>
      <w:bookmarkStart w:name="5、关联交易情况" w:id="411"/>
      <w:bookmarkEnd w:id="41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192"/>
        <w:jc w:val="left"/>
        <w:rPr>
          <w:b w:val="0"/>
          <w:bCs w:val="0"/>
        </w:rPr>
      </w:pPr>
      <w:bookmarkStart w:name="（1）购销商品、提供和接受劳务的关联交易" w:id="412"/>
      <w:bookmarkEnd w:id="41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519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519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5192"/>
        <w:jc w:val="left"/>
      </w:pPr>
      <w:r>
        <w:rPr/>
        <w:t>购销商品、提供和接受劳务的关联交易说明</w:t>
      </w:r>
    </w:p>
    <w:p>
      <w:pPr>
        <w:pStyle w:val="Heading3"/>
        <w:spacing w:line="240" w:lineRule="auto" w:before="90"/>
        <w:ind w:right="93"/>
        <w:jc w:val="left"/>
        <w:rPr>
          <w:b w:val="0"/>
          <w:bCs w:val="0"/>
        </w:rPr>
      </w:pPr>
      <w:r>
        <w:rPr/>
        <w:t>存在控制关系且已纳入本公司合并财务报表范围的子公司，其相互间交易及母子公司交易已作抵销。</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Heading3"/>
        <w:spacing w:line="240" w:lineRule="auto"/>
        <w:ind w:left="153" w:right="5192"/>
        <w:jc w:val="left"/>
        <w:rPr>
          <w:b w:val="0"/>
          <w:bCs w:val="0"/>
        </w:rPr>
      </w:pPr>
      <w:bookmarkStart w:name="（2）关联受托管理/承包及委托管理/出包情况" w:id="413"/>
      <w:bookmarkEnd w:id="41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5192"/>
        <w:jc w:val="left"/>
      </w:pPr>
      <w:r>
        <w:rPr/>
        <w:t>本</w:t>
      </w:r>
    </w:p>
    <w:p>
      <w:pPr>
        <w:spacing w:after="0" w:line="240" w:lineRule="auto"/>
        <w:jc w:val="left"/>
        <w:sectPr>
          <w:pgSz w:w="11910" w:h="16840"/>
          <w:pgMar w:header="877" w:footer="979" w:top="1100" w:bottom="1160" w:left="980" w:right="94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3）关联租赁情况" w:id="414"/>
      <w:bookmarkEnd w:id="41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4）关联担保情况" w:id="415"/>
      <w:bookmarkEnd w:id="41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梁伟、岳萍芳</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梁伟</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0"/>
        <w:jc w:val="left"/>
      </w:pPr>
      <w:r>
        <w:rPr/>
        <w:t>关联担保情况说明</w:t>
      </w:r>
    </w:p>
    <w:p>
      <w:pPr>
        <w:pStyle w:val="BodyText"/>
        <w:spacing w:line="307" w:lineRule="auto" w:before="116"/>
        <w:ind w:left="153" w:right="144"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月，本公司发行了《武汉市科技型中小企业</w:t>
      </w:r>
      <w:r>
        <w:rPr>
          <w:rFonts w:ascii="Times New Roman" w:hAnsi="Times New Roman" w:cs="Times New Roman" w:eastAsia="Times New Roman" w:hint="default"/>
        </w:rPr>
        <w:t>2012</w:t>
      </w:r>
      <w:r>
        <w:rPr/>
        <w:t>年度第一期集合票据（科技之春）》，募集资金总额</w:t>
      </w:r>
      <w:r>
        <w:rPr>
          <w:rFonts w:ascii="Times New Roman" w:hAnsi="Times New Roman" w:cs="Times New Roman" w:eastAsia="Times New Roman" w:hint="default"/>
        </w:rPr>
        <w:t>1</w:t>
      </w:r>
      <w:r>
        <w:rPr/>
        <w:t>亿， 本公司是本期集合票据联合发行人之一，起息日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日，募集资金</w:t>
      </w:r>
      <w:r>
        <w:rPr>
          <w:rFonts w:ascii="Times New Roman" w:hAnsi="Times New Roman" w:cs="Times New Roman" w:eastAsia="Times New Roman" w:hint="default"/>
        </w:rPr>
        <w:t>6000</w:t>
      </w:r>
      <w:r>
        <w:rPr/>
        <w:t>万元，证券期限</w:t>
      </w:r>
      <w:r>
        <w:rPr>
          <w:rFonts w:ascii="Times New Roman" w:hAnsi="Times New Roman" w:cs="Times New Roman" w:eastAsia="Times New Roman" w:hint="default"/>
        </w:rPr>
        <w:t>3</w:t>
      </w:r>
      <w:r>
        <w:rPr/>
        <w:t>年，由深圳市中小企业信 </w:t>
      </w:r>
      <w:r>
        <w:rPr>
          <w:spacing w:val="-2"/>
        </w:rPr>
        <w:t>用融资担保集团有限公司提供不可撤销连带责任保证，梁伟、岳萍芳提供质押反担保，担保期限自本合同签订之日起至债务</w:t>
      </w:r>
      <w:r>
        <w:rPr>
          <w:spacing w:val="-65"/>
        </w:rPr>
        <w:t> </w:t>
      </w:r>
      <w:r>
        <w:rPr>
          <w:spacing w:val="-65"/>
        </w:rPr>
      </w:r>
      <w:r>
        <w:rPr/>
        <w:t>履行期届满之日起另加两年。</w:t>
      </w:r>
    </w:p>
    <w:p>
      <w:pPr>
        <w:pStyle w:val="BodyText"/>
        <w:spacing w:line="300" w:lineRule="auto" w:before="26"/>
        <w:ind w:left="153" w:right="150" w:firstLine="420"/>
        <w:jc w:val="both"/>
      </w:pPr>
      <w:r>
        <w:rPr/>
        <w:t>梁伟以其持有本公司</w:t>
      </w:r>
      <w:r>
        <w:rPr>
          <w:rFonts w:ascii="Times New Roman" w:hAnsi="Times New Roman" w:cs="Times New Roman" w:eastAsia="Times New Roman" w:hint="default"/>
        </w:rPr>
        <w:t>800</w:t>
      </w:r>
      <w:r>
        <w:rPr/>
        <w:t>万元股提供质押反担保，每股质押股票设定补仓线为人民币</w:t>
      </w:r>
      <w:r>
        <w:rPr>
          <w:rFonts w:ascii="Times New Roman" w:hAnsi="Times New Roman" w:cs="Times New Roman" w:eastAsia="Times New Roman" w:hint="default"/>
        </w:rPr>
        <w:t>12</w:t>
      </w:r>
      <w:r>
        <w:rPr/>
        <w:t>元，当股票连续</w:t>
      </w:r>
      <w:r>
        <w:rPr>
          <w:rFonts w:ascii="Times New Roman" w:hAnsi="Times New Roman" w:cs="Times New Roman" w:eastAsia="Times New Roman" w:hint="default"/>
        </w:rPr>
        <w:t>5</w:t>
      </w:r>
      <w:r>
        <w:rPr/>
        <w:t>个交易日收盘 </w:t>
      </w:r>
      <w:r>
        <w:rPr>
          <w:spacing w:val="-1"/>
        </w:rPr>
        <w:t>价均低于人民币</w:t>
      </w:r>
      <w:r>
        <w:rPr>
          <w:rFonts w:ascii="Times New Roman" w:hAnsi="Times New Roman" w:cs="Times New Roman" w:eastAsia="Times New Roman" w:hint="default"/>
          <w:spacing w:val="-1"/>
        </w:rPr>
        <w:t>12</w:t>
      </w:r>
      <w:r>
        <w:rPr>
          <w:spacing w:val="-1"/>
        </w:rPr>
        <w:t>元时，出质人承诺</w:t>
      </w:r>
      <w:r>
        <w:rPr>
          <w:rFonts w:ascii="Times New Roman" w:hAnsi="Times New Roman" w:cs="Times New Roman" w:eastAsia="Times New Roman" w:hint="default"/>
          <w:spacing w:val="-1"/>
        </w:rPr>
        <w:t>5</w:t>
      </w:r>
      <w:r>
        <w:rPr>
          <w:spacing w:val="-1"/>
        </w:rPr>
        <w:t>个工作日内增加质押股票或相应的保证金到人民币</w:t>
      </w:r>
      <w:r>
        <w:rPr>
          <w:rFonts w:ascii="Times New Roman" w:hAnsi="Times New Roman" w:cs="Times New Roman" w:eastAsia="Times New Roman" w:hint="default"/>
          <w:spacing w:val="-1"/>
        </w:rPr>
        <w:t>9,600</w:t>
      </w:r>
      <w:r>
        <w:rPr>
          <w:spacing w:val="-1"/>
        </w:rPr>
        <w:t>万元以上。因公司以</w:t>
      </w:r>
      <w:r>
        <w:rPr>
          <w:rFonts w:ascii="Times New Roman" w:hAnsi="Times New Roman" w:cs="Times New Roman" w:eastAsia="Times New Roman" w:hint="default"/>
          <w:spacing w:val="-1"/>
        </w:rPr>
        <w:t>2012</w:t>
      </w:r>
      <w:r>
        <w:rPr>
          <w:spacing w:val="-1"/>
        </w:rPr>
        <w:t>年末</w:t>
      </w:r>
      <w:r>
        <w:rPr>
          <w:spacing w:val="-68"/>
        </w:rPr>
        <w:t> </w:t>
      </w:r>
      <w:r>
        <w:rPr/>
        <w:t>总股本</w:t>
      </w:r>
      <w:r>
        <w:rPr>
          <w:rFonts w:ascii="Times New Roman" w:hAnsi="Times New Roman" w:cs="Times New Roman" w:eastAsia="Times New Roman" w:hint="default"/>
        </w:rPr>
        <w:t>35,000,000.00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股，故梁伟提供的质押反担保股票为</w:t>
      </w:r>
      <w:r>
        <w:rPr>
          <w:rFonts w:ascii="Times New Roman" w:hAnsi="Times New Roman" w:cs="Times New Roman" w:eastAsia="Times New Roman" w:hint="default"/>
        </w:rPr>
        <w:t>1,600</w:t>
      </w:r>
      <w:r>
        <w:rPr/>
        <w:t>万股。</w:t>
      </w:r>
    </w:p>
    <w:p>
      <w:pPr>
        <w:spacing w:after="0" w:line="300" w:lineRule="auto"/>
        <w:jc w:val="both"/>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5）关联方资金拆借" w:id="416"/>
      <w:bookmarkEnd w:id="41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关联方资产转让、债务重组情况" w:id="417"/>
      <w:bookmarkEnd w:id="41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7）关键管理人员报酬" w:id="418"/>
      <w:bookmarkEnd w:id="41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8）其他关联交易" w:id="419"/>
      <w:bookmarkEnd w:id="41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关联方应收应付款项" w:id="420"/>
      <w:bookmarkEnd w:id="42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项目" w:id="421"/>
      <w:bookmarkEnd w:id="42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应付项目" w:id="422"/>
      <w:bookmarkEnd w:id="42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7、关联方承诺" w:id="423"/>
      <w:bookmarkEnd w:id="42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771" w:firstLine="0"/>
        <w:jc w:val="left"/>
        <w:rPr>
          <w:rFonts w:ascii="宋体" w:hAnsi="宋体" w:cs="宋体" w:eastAsia="宋体" w:hint="default"/>
          <w:sz w:val="21"/>
          <w:szCs w:val="21"/>
        </w:rPr>
      </w:pPr>
      <w:bookmarkStart w:name="8、其他" w:id="424"/>
      <w:bookmarkEnd w:id="42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25"/>
      <w:bookmarkEnd w:id="42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6"/>
      <w:bookmarkEnd w:id="4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以权益结算的股份支付情况" w:id="427"/>
      <w:bookmarkEnd w:id="4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以现金结算的股份支付情况" w:id="428"/>
      <w:bookmarkEnd w:id="42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69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9"/>
      <w:bookmarkEnd w:id="42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right="0"/>
        <w:jc w:val="left"/>
        <w:rPr>
          <w:b w:val="0"/>
          <w:bCs w:val="0"/>
        </w:rPr>
      </w:pPr>
      <w:bookmarkStart w:name="5、其他" w:id="430"/>
      <w:bookmarkEnd w:id="430"/>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spacing w:line="506" w:lineRule="auto" w:before="0"/>
        <w:ind w:left="153" w:right="7364" w:firstLine="0"/>
        <w:jc w:val="left"/>
        <w:rPr>
          <w:rFonts w:ascii="宋体" w:hAnsi="宋体" w:cs="宋体" w:eastAsia="宋体" w:hint="default"/>
          <w:sz w:val="18"/>
          <w:szCs w:val="18"/>
        </w:rPr>
      </w:pPr>
      <w:bookmarkStart w:name="十四、承诺及或有事项" w:id="431"/>
      <w:bookmarkEnd w:id="431"/>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2"/>
      <w:bookmarkEnd w:id="4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506"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5192"/>
        <w:jc w:val="left"/>
        <w:rPr>
          <w:b w:val="0"/>
          <w:bCs w:val="0"/>
        </w:rPr>
      </w:pPr>
      <w:r>
        <w:rPr/>
        <w:t>重大承诺事项</w:t>
      </w:r>
      <w:r>
        <w:rPr>
          <w:b w:val="0"/>
          <w:bCs w:val="0"/>
        </w:rPr>
      </w:r>
    </w:p>
    <w:p>
      <w:pPr>
        <w:pStyle w:val="Heading3"/>
        <w:spacing w:line="240" w:lineRule="auto" w:before="157"/>
        <w:ind w:left="153" w:right="5192"/>
        <w:jc w:val="left"/>
        <w:rPr>
          <w:b w:val="0"/>
          <w:bCs w:val="0"/>
        </w:rPr>
      </w:pPr>
      <w:r>
        <w:rPr>
          <w:rFonts w:ascii="Times New Roman" w:hAnsi="Times New Roman" w:cs="Times New Roman" w:eastAsia="Times New Roman" w:hint="default"/>
        </w:rPr>
        <w:t>1.</w:t>
      </w:r>
      <w:r>
        <w:rPr/>
        <w:t>已签订的正在或准备履行的租赁合同及财务影响</w:t>
      </w:r>
      <w:r>
        <w:rPr>
          <w:b w:val="0"/>
          <w:bCs w:val="0"/>
        </w:rPr>
      </w:r>
    </w:p>
    <w:p>
      <w:pPr>
        <w:pStyle w:val="BodyText"/>
        <w:spacing w:line="300" w:lineRule="auto" w:before="166"/>
        <w:ind w:right="212" w:firstLine="42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日，已签订的正在或准备履行的租赁合同主要为厂房及办事处、子公司办公场所的租赁，财务影响 金额为</w:t>
      </w:r>
      <w:r>
        <w:rPr>
          <w:rFonts w:ascii="Times New Roman" w:hAnsi="Times New Roman" w:cs="Times New Roman" w:eastAsia="Times New Roman" w:hint="default"/>
        </w:rPr>
        <w:t>22,869,062.45</w:t>
      </w:r>
      <w:r>
        <w:rPr/>
        <w:t>元。</w:t>
      </w:r>
    </w:p>
    <w:tbl>
      <w:tblPr>
        <w:tblW w:w="0" w:type="auto"/>
        <w:jc w:val="left"/>
        <w:tblInd w:w="125" w:type="dxa"/>
        <w:tblLayout w:type="fixed"/>
        <w:tblCellMar>
          <w:top w:w="0" w:type="dxa"/>
          <w:left w:w="0" w:type="dxa"/>
          <w:bottom w:w="0" w:type="dxa"/>
          <w:right w:w="0" w:type="dxa"/>
        </w:tblCellMar>
        <w:tblLook w:val="01E0"/>
      </w:tblPr>
      <w:tblGrid>
        <w:gridCol w:w="4813"/>
        <w:gridCol w:w="4860"/>
      </w:tblGrid>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6,352,873.94</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6,175,252.88</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4,577,529.03</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5,763,406.60</w:t>
            </w:r>
          </w:p>
        </w:tc>
      </w:tr>
      <w:tr>
        <w:trPr>
          <w:trHeight w:val="34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22,869,062.45</w:t>
            </w:r>
            <w:r>
              <w:rPr>
                <w:rFonts w:ascii="Times New Roman"/>
                <w:spacing w:val="-1"/>
                <w:sz w:val="18"/>
              </w:rPr>
            </w:r>
          </w:p>
        </w:tc>
      </w:tr>
    </w:tbl>
    <w:p>
      <w:pPr>
        <w:spacing w:line="240" w:lineRule="auto" w:before="10"/>
        <w:rPr>
          <w:rFonts w:ascii="宋体" w:hAnsi="宋体" w:cs="宋体" w:eastAsia="宋体" w:hint="default"/>
          <w:sz w:val="6"/>
          <w:szCs w:val="6"/>
        </w:rPr>
      </w:pPr>
    </w:p>
    <w:p>
      <w:pPr>
        <w:pStyle w:val="Heading5"/>
        <w:spacing w:line="240" w:lineRule="auto" w:before="44"/>
        <w:ind w:left="154" w:right="93"/>
        <w:jc w:val="left"/>
        <w:rPr>
          <w:b w:val="0"/>
          <w:bCs w:val="0"/>
        </w:rPr>
      </w:pPr>
      <w:r>
        <w:rPr>
          <w:rFonts w:ascii="Times New Roman" w:hAnsi="Times New Roman" w:cs="Times New Roman" w:eastAsia="Times New Roman" w:hint="default"/>
        </w:rPr>
        <w:t>2.</w:t>
      </w:r>
      <w:r>
        <w:rPr/>
        <w:t>除存在上述承诺事项外，截止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5192"/>
        <w:jc w:val="left"/>
        <w:rPr>
          <w:b w:val="0"/>
          <w:bCs w:val="0"/>
        </w:rPr>
      </w:pPr>
      <w:bookmarkStart w:name="2、或有事项" w:id="433"/>
      <w:bookmarkEnd w:id="43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5192"/>
        <w:jc w:val="left"/>
        <w:rPr>
          <w:b w:val="0"/>
          <w:bCs w:val="0"/>
        </w:rPr>
      </w:pPr>
      <w:bookmarkStart w:name="（1）资产负债表日存在的重要或有事项" w:id="434"/>
      <w:bookmarkEnd w:id="43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5192"/>
        <w:jc w:val="left"/>
        <w:rPr>
          <w:b w:val="0"/>
          <w:bCs w:val="0"/>
        </w:rPr>
      </w:pPr>
      <w:r>
        <w:rPr>
          <w:rFonts w:ascii="Times New Roman" w:hAnsi="Times New Roman" w:cs="Times New Roman" w:eastAsia="Times New Roman" w:hint="default"/>
        </w:rPr>
        <w:t>1.</w:t>
      </w:r>
      <w:r>
        <w:rPr/>
        <w:t>未决诉讼或仲裁形成的或有事项及其财务影响</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3" w:right="93" w:firstLine="270"/>
        <w:jc w:val="left"/>
      </w:pPr>
      <w:r>
        <w:rPr/>
        <w:t>（</w:t>
      </w:r>
      <w:r>
        <w:rPr>
          <w:rFonts w:ascii="Times New Roman" w:hAnsi="Times New Roman" w:cs="Times New Roman" w:eastAsia="Times New Roman" w:hint="default"/>
        </w:rPr>
        <w:t>1</w:t>
      </w:r>
      <w:r>
        <w:rPr/>
        <w:t>）德阳恒达灯具制造有限公司起诉本公司违反合同，要求退回货款</w:t>
      </w:r>
      <w:r>
        <w:rPr>
          <w:rFonts w:ascii="Times New Roman" w:hAnsi="Times New Roman" w:cs="Times New Roman" w:eastAsia="Times New Roman" w:hint="default"/>
        </w:rPr>
        <w:t>38.90</w:t>
      </w:r>
      <w:r>
        <w:rPr/>
        <w:t>万元并赔偿其损失</w:t>
      </w:r>
      <w:r>
        <w:rPr>
          <w:rFonts w:ascii="Times New Roman" w:hAnsi="Times New Roman" w:cs="Times New Roman" w:eastAsia="Times New Roman" w:hint="default"/>
        </w:rPr>
        <w:t>15.56</w:t>
      </w:r>
      <w:r>
        <w:rPr/>
        <w:t>万元，一审中原告撤 </w:t>
      </w:r>
      <w:r>
        <w:rPr>
          <w:spacing w:val="-3"/>
        </w:rPr>
        <w:t>回赔偿损失的请求，四川省中江县人民法院判决本公司退回货款</w:t>
      </w:r>
      <w:r>
        <w:rPr>
          <w:rFonts w:ascii="Times New Roman" w:hAnsi="Times New Roman" w:cs="Times New Roman" w:eastAsia="Times New Roman" w:hint="default"/>
          <w:spacing w:val="-3"/>
        </w:rPr>
        <w:t>38.90</w:t>
      </w:r>
      <w:r>
        <w:rPr>
          <w:spacing w:val="-3"/>
        </w:rPr>
        <w:t>万元，本公司已提起反诉，二审于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日开庭，</w:t>
      </w:r>
      <w:r>
        <w:rPr>
          <w:spacing w:val="-35"/>
        </w:rPr>
        <w:t> </w:t>
      </w:r>
      <w:r>
        <w:rPr>
          <w:spacing w:val="-2"/>
        </w:rPr>
        <w:t>主审法官积极主持双方进行调解，初步达成原告再出资</w:t>
      </w:r>
      <w:r>
        <w:rPr>
          <w:rFonts w:ascii="Times New Roman" w:hAnsi="Times New Roman" w:cs="Times New Roman" w:eastAsia="Times New Roman" w:hint="default"/>
          <w:spacing w:val="-2"/>
        </w:rPr>
        <w:t>40</w:t>
      </w:r>
      <w:r>
        <w:rPr>
          <w:spacing w:val="-2"/>
        </w:rPr>
        <w:t>万元换购其他设备的方案，截止本财务报表批准报出日，双方正在</w:t>
      </w:r>
      <w:r>
        <w:rPr>
          <w:spacing w:val="-64"/>
        </w:rPr>
        <w:t> </w:t>
      </w:r>
      <w:r>
        <w:rPr>
          <w:spacing w:val="-64"/>
        </w:rPr>
      </w:r>
      <w:r>
        <w:rPr/>
        <w:t>就合同条款进行磋商调解。</w:t>
      </w:r>
    </w:p>
    <w:p>
      <w:pPr>
        <w:pStyle w:val="BodyText"/>
        <w:spacing w:line="307" w:lineRule="auto" w:before="151"/>
        <w:ind w:left="153" w:right="93" w:firstLine="270"/>
        <w:jc w:val="left"/>
      </w:pPr>
      <w:r>
        <w:rPr/>
        <w:t>（</w:t>
      </w:r>
      <w:r>
        <w:rPr>
          <w:rFonts w:ascii="Times New Roman" w:hAnsi="Times New Roman" w:cs="Times New Roman" w:eastAsia="Times New Roman" w:hint="default"/>
        </w:rPr>
        <w:t>2</w:t>
      </w:r>
      <w:r>
        <w:rPr/>
        <w:t>）卢智勇</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月起诉本公司违反与其于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月签订的购销合同中未提供约定的产品，要求本公司退回货款</w:t>
      </w:r>
      <w:r>
        <w:rPr>
          <w:rFonts w:ascii="Times New Roman" w:hAnsi="Times New Roman" w:cs="Times New Roman" w:eastAsia="Times New Roman" w:hint="default"/>
        </w:rPr>
        <w:t>42 </w:t>
      </w:r>
      <w:r>
        <w:rPr>
          <w:spacing w:val="-2"/>
        </w:rPr>
        <w:t>万元及赔偿其损失</w:t>
      </w:r>
      <w:r>
        <w:rPr>
          <w:rFonts w:ascii="Times New Roman" w:hAnsi="Times New Roman" w:cs="Times New Roman" w:eastAsia="Times New Roman" w:hint="default"/>
          <w:spacing w:val="-2"/>
        </w:rPr>
        <w:t>8</w:t>
      </w:r>
      <w:r>
        <w:rPr>
          <w:spacing w:val="-2"/>
        </w:rPr>
        <w:t>万元，庭审中双方提供的《购销合同》并未约定原告所述本公司承诺提供的的产品，且合同履行已超过</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9"/>
        </w:rPr>
        <w:t> </w:t>
      </w:r>
      <w:r>
        <w:rPr>
          <w:spacing w:val="-2"/>
        </w:rPr>
        <w:t>年，已超过法律规定的质量异议期。本案一审已驳回原告起诉，原告不服提起上诉，</w:t>
      </w:r>
      <w:r>
        <w:rPr>
          <w:color w:val="333333"/>
          <w:spacing w:val="-2"/>
        </w:rPr>
        <w:t>截止本财务报表批准报出日，正待二审</w:t>
      </w:r>
      <w:r>
        <w:rPr>
          <w:color w:val="333333"/>
          <w:spacing w:val="-66"/>
        </w:rPr>
        <w:t> </w:t>
      </w:r>
      <w:r>
        <w:rPr>
          <w:color w:val="333333"/>
          <w:spacing w:val="-66"/>
        </w:rPr>
      </w:r>
      <w:r>
        <w:rPr>
          <w:color w:val="333333"/>
        </w:rPr>
        <w:t>开庭。</w:t>
      </w:r>
      <w:r>
        <w:rPr/>
      </w:r>
    </w:p>
    <w:p>
      <w:pPr>
        <w:pStyle w:val="BodyText"/>
        <w:spacing w:line="309" w:lineRule="auto" w:before="146"/>
        <w:ind w:left="153" w:right="93" w:firstLine="270"/>
        <w:jc w:val="left"/>
      </w:pPr>
      <w:r>
        <w:rPr>
          <w:color w:val="333333"/>
        </w:rPr>
        <w:t>（</w:t>
      </w:r>
      <w:r>
        <w:rPr>
          <w:rFonts w:ascii="Times New Roman" w:hAnsi="Times New Roman" w:cs="Times New Roman" w:eastAsia="Times New Roman" w:hint="default"/>
          <w:color w:val="333333"/>
        </w:rPr>
        <w:t>3</w:t>
      </w:r>
      <w:r>
        <w:rPr>
          <w:color w:val="333333"/>
        </w:rPr>
        <w:t>）刘森西</w:t>
      </w:r>
      <w:r>
        <w:rPr>
          <w:rFonts w:ascii="Times New Roman" w:hAnsi="Times New Roman" w:cs="Times New Roman" w:eastAsia="Times New Roman" w:hint="default"/>
          <w:color w:val="333333"/>
        </w:rPr>
        <w:t>2014</w:t>
      </w:r>
      <w:r>
        <w:rPr>
          <w:color w:val="333333"/>
        </w:rPr>
        <w:t>年</w:t>
      </w:r>
      <w:r>
        <w:rPr>
          <w:rFonts w:ascii="Times New Roman" w:hAnsi="Times New Roman" w:cs="Times New Roman" w:eastAsia="Times New Roman" w:hint="default"/>
          <w:color w:val="333333"/>
        </w:rPr>
        <w:t>11</w:t>
      </w:r>
      <w:r>
        <w:rPr>
          <w:color w:val="333333"/>
        </w:rPr>
        <w:t>月起诉本公司违反与其</w:t>
      </w:r>
      <w:r>
        <w:rPr>
          <w:rFonts w:ascii="Times New Roman" w:hAnsi="Times New Roman" w:cs="Times New Roman" w:eastAsia="Times New Roman" w:hint="default"/>
          <w:color w:val="333333"/>
        </w:rPr>
        <w:t>2011</w:t>
      </w:r>
      <w:r>
        <w:rPr>
          <w:color w:val="333333"/>
        </w:rPr>
        <w:t>年</w:t>
      </w:r>
      <w:r>
        <w:rPr>
          <w:rFonts w:ascii="Times New Roman" w:hAnsi="Times New Roman" w:cs="Times New Roman" w:eastAsia="Times New Roman" w:hint="default"/>
          <w:color w:val="333333"/>
        </w:rPr>
        <w:t>11</w:t>
      </w:r>
      <w:r>
        <w:rPr>
          <w:color w:val="333333"/>
        </w:rPr>
        <w:t>月签订的购销合同中未提供约定的产品，要求本公司退回货款</w:t>
      </w:r>
      <w:r>
        <w:rPr>
          <w:rFonts w:ascii="Times New Roman" w:hAnsi="Times New Roman" w:cs="Times New Roman" w:eastAsia="Times New Roman" w:hint="default"/>
          <w:color w:val="333333"/>
        </w:rPr>
        <w:t>50 </w:t>
      </w:r>
      <w:r>
        <w:rPr>
          <w:color w:val="333333"/>
        </w:rPr>
        <w:t>万元及赔偿其诉讼费</w:t>
      </w:r>
      <w:r>
        <w:rPr>
          <w:rFonts w:ascii="Times New Roman" w:hAnsi="Times New Roman" w:cs="Times New Roman" w:eastAsia="Times New Roman" w:hint="default"/>
          <w:color w:val="333333"/>
        </w:rPr>
        <w:t>8,820.00</w:t>
      </w:r>
      <w:r>
        <w:rPr>
          <w:color w:val="333333"/>
        </w:rPr>
        <w:t>元，原告主张公司销售给其的设备承诺激光管为进口射频激光管证据不足，且使用已经超过</w:t>
      </w:r>
      <w:r>
        <w:rPr>
          <w:rFonts w:ascii="Times New Roman" w:hAnsi="Times New Roman" w:cs="Times New Roman" w:eastAsia="Times New Roman" w:hint="default"/>
          <w:color w:val="333333"/>
        </w:rPr>
        <w:t>3 </w:t>
      </w:r>
      <w:r>
        <w:rPr>
          <w:color w:val="333333"/>
          <w:spacing w:val="-2"/>
        </w:rPr>
        <w:t>年多主张撤销，超过法律规定的一年除斥期间。但是双方合同约定产品质量以产品说明书为准，而原告提交的产品说明书中</w:t>
      </w:r>
      <w:r>
        <w:rPr>
          <w:color w:val="333333"/>
          <w:spacing w:val="-66"/>
        </w:rPr>
        <w:t> </w:t>
      </w:r>
      <w:r>
        <w:rPr>
          <w:color w:val="333333"/>
          <w:spacing w:val="-66"/>
        </w:rPr>
      </w:r>
      <w:r>
        <w:rPr>
          <w:color w:val="333333"/>
          <w:spacing w:val="-2"/>
        </w:rPr>
        <w:t>只载明了进口射频激光管一种型号，未载明国产射频激光管，对此公司解释说明书只能作为使用参考。本案一审已经判决武</w:t>
      </w:r>
      <w:r>
        <w:rPr>
          <w:color w:val="333333"/>
          <w:spacing w:val="-66"/>
        </w:rPr>
        <w:t> </w:t>
      </w:r>
      <w:r>
        <w:rPr>
          <w:color w:val="333333"/>
          <w:spacing w:val="-66"/>
        </w:rPr>
      </w:r>
      <w:r>
        <w:rPr>
          <w:color w:val="333333"/>
        </w:rPr>
        <w:t>汉金运胜诉，原告不服提出上诉，截止本财务报表批准报出日，二审正在审理中。</w:t>
      </w:r>
      <w:r>
        <w:rPr/>
      </w:r>
    </w:p>
    <w:p>
      <w:pPr>
        <w:pStyle w:val="BodyText"/>
        <w:spacing w:line="307" w:lineRule="auto" w:before="144"/>
        <w:ind w:left="153" w:right="93" w:firstLine="270"/>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日，河北南皮利达金属制品有限公司起诉本公司之控股子公司武汉唯拓产品质量存在问题，诉请武汉唯</w:t>
      </w:r>
      <w:r>
        <w:rPr/>
        <w:t> </w:t>
      </w:r>
      <w:r>
        <w:rPr>
          <w:spacing w:val="-2"/>
        </w:rPr>
        <w:t>拓退回其预付款</w:t>
      </w:r>
      <w:r>
        <w:rPr>
          <w:rFonts w:ascii="Times New Roman" w:hAnsi="Times New Roman" w:cs="Times New Roman" w:eastAsia="Times New Roman" w:hint="default"/>
          <w:spacing w:val="-2"/>
        </w:rPr>
        <w:t>64.5</w:t>
      </w:r>
      <w:r>
        <w:rPr>
          <w:spacing w:val="-2"/>
        </w:rPr>
        <w:t>万元并赔偿损失</w:t>
      </w:r>
      <w:r>
        <w:rPr>
          <w:rFonts w:ascii="Times New Roman" w:hAnsi="Times New Roman" w:cs="Times New Roman" w:eastAsia="Times New Roman" w:hint="default"/>
          <w:spacing w:val="-2"/>
        </w:rPr>
        <w:t>25.36</w:t>
      </w:r>
      <w:r>
        <w:rPr>
          <w:spacing w:val="-2"/>
        </w:rPr>
        <w:t>万元，庭审中变更为赔偿损失</w:t>
      </w:r>
      <w:r>
        <w:rPr>
          <w:rFonts w:ascii="Times New Roman" w:hAnsi="Times New Roman" w:cs="Times New Roman" w:eastAsia="Times New Roman" w:hint="default"/>
          <w:spacing w:val="-2"/>
        </w:rPr>
        <w:t>35</w:t>
      </w:r>
      <w:r>
        <w:rPr>
          <w:spacing w:val="-2"/>
        </w:rPr>
        <w:t>万元，庭审中武汉唯拓提供了调试完毕成功打样的</w:t>
      </w:r>
      <w:r>
        <w:rPr>
          <w:spacing w:val="-56"/>
        </w:rPr>
        <w:t> </w:t>
      </w:r>
      <w:r>
        <w:rPr>
          <w:spacing w:val="-56"/>
        </w:rPr>
      </w:r>
      <w:r>
        <w:rPr/>
        <w:t>视频及相片，证明产品符合合同约定并无质量问题。武汉唯拓反诉要求原告支付剩余货款并支付逾期付款违约金共 </w:t>
      </w:r>
      <w:r>
        <w:rPr>
          <w:rFonts w:ascii="Times New Roman" w:hAnsi="Times New Roman" w:cs="Times New Roman" w:eastAsia="Times New Roman" w:hint="default"/>
          <w:spacing w:val="-1"/>
        </w:rPr>
        <w:t>1,599,815.00</w:t>
      </w:r>
      <w:r>
        <w:rPr>
          <w:spacing w:val="-1"/>
        </w:rPr>
        <w:t>元。原告已申请质量鉴定，目前法院正在征询鉴定机构的意见。截止本财务报表批准报出日，案件尚在审理中。</w:t>
      </w:r>
    </w:p>
    <w:p>
      <w:pPr>
        <w:pStyle w:val="BodyText"/>
        <w:spacing w:line="240" w:lineRule="auto" w:before="7"/>
        <w:ind w:left="573" w:right="93"/>
        <w:jc w:val="left"/>
      </w:pPr>
      <w:r>
        <w:rPr/>
        <w:t>经对上述诉讼事项进行分析，公司不需对其可能发生的损失确认预计负债。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line="300" w:lineRule="auto" w:before="0"/>
        <w:ind w:left="573" w:right="4173"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对外提供债务担保形成的或有事项及其财务影响</w:t>
      </w:r>
      <w:r>
        <w:rPr>
          <w:rFonts w:ascii="宋体" w:hAnsi="宋体" w:cs="宋体" w:eastAsia="宋体" w:hint="default"/>
          <w:b/>
          <w:bCs/>
          <w:w w:val="99"/>
          <w:sz w:val="18"/>
          <w:szCs w:val="18"/>
        </w:rPr>
        <w:t> </w:t>
      </w:r>
      <w:r>
        <w:rPr>
          <w:rFonts w:ascii="宋体" w:hAnsi="宋体" w:cs="宋体" w:eastAsia="宋体" w:hint="default"/>
          <w:sz w:val="18"/>
          <w:szCs w:val="18"/>
        </w:rPr>
        <w:t>为关联方提供提保详见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附注九、关联方交易之关联担保情况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日，本公司为非关联方单位提供保证情况如下：</w:t>
      </w:r>
    </w:p>
    <w:tbl>
      <w:tblPr>
        <w:tblW w:w="0" w:type="auto"/>
        <w:jc w:val="left"/>
        <w:tblInd w:w="130" w:type="dxa"/>
        <w:tblLayout w:type="fixed"/>
        <w:tblCellMar>
          <w:top w:w="0" w:type="dxa"/>
          <w:left w:w="0" w:type="dxa"/>
          <w:bottom w:w="0" w:type="dxa"/>
          <w:right w:w="0" w:type="dxa"/>
        </w:tblCellMar>
        <w:tblLook w:val="01E0"/>
      </w:tblPr>
      <w:tblGrid>
        <w:gridCol w:w="3093"/>
        <w:gridCol w:w="1238"/>
        <w:gridCol w:w="1548"/>
        <w:gridCol w:w="2447"/>
        <w:gridCol w:w="1348"/>
      </w:tblGrid>
      <w:tr>
        <w:trPr>
          <w:trHeight w:val="343" w:hRule="exact"/>
        </w:trPr>
        <w:tc>
          <w:tcPr>
            <w:tcW w:w="3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23"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3"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940"/>
        </w:sectPr>
      </w:pPr>
    </w:p>
    <w:p>
      <w:pPr>
        <w:spacing w:line="240" w:lineRule="auto" w:before="6"/>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093"/>
        <w:gridCol w:w="1238"/>
        <w:gridCol w:w="1548"/>
        <w:gridCol w:w="2447"/>
        <w:gridCol w:w="1348"/>
      </w:tblGrid>
      <w:tr>
        <w:trPr>
          <w:trHeight w:val="342" w:hRule="exact"/>
        </w:trPr>
        <w:tc>
          <w:tcPr>
            <w:tcW w:w="3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东莞光谷茂和激光技术有限公司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信用担保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2,100,000.00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2013.11.14/2017.11.14</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3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广州市奥众风机设备有限公司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信用担保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250,600.00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2014.6.26/2017.5.26</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*2</w:t>
            </w:r>
          </w:p>
        </w:tc>
      </w:tr>
      <w:tr>
        <w:trPr>
          <w:trHeight w:val="342" w:hRule="exact"/>
        </w:trPr>
        <w:tc>
          <w:tcPr>
            <w:tcW w:w="3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苏州合田刺绣有限公司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信用担保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581,000.00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2014.11.27/2017.11.27</w:t>
            </w:r>
          </w:p>
        </w:tc>
        <w:tc>
          <w:tcPr>
            <w:tcW w:w="1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*3</w:t>
            </w:r>
          </w:p>
        </w:tc>
      </w:tr>
      <w:tr>
        <w:trPr>
          <w:trHeight w:val="342" w:hRule="exact"/>
        </w:trPr>
        <w:tc>
          <w:tcPr>
            <w:tcW w:w="3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2,931,600.00</w:t>
            </w:r>
            <w:r>
              <w:rPr>
                <w:rFonts w:ascii="Times New Roman"/>
                <w:spacing w:val="-1"/>
                <w:sz w:val="18"/>
              </w:rPr>
            </w:r>
          </w:p>
        </w:tc>
        <w:tc>
          <w:tcPr>
            <w:tcW w:w="2447"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300" w:lineRule="auto" w:before="44"/>
        <w:ind w:left="153" w:right="143" w:firstLine="420"/>
        <w:jc w:val="left"/>
      </w:pPr>
      <w:r>
        <w:rPr>
          <w:rFonts w:ascii="Times New Roman" w:hAnsi="Times New Roman" w:cs="Times New Roman" w:eastAsia="Times New Roman" w:hint="default"/>
        </w:rPr>
        <w:t>*1 </w:t>
      </w:r>
      <w:r>
        <w:rPr/>
        <w:t>为扩大公司产品销售，金运激光向招商银行申请买方信贷授信额度</w:t>
      </w:r>
      <w:r>
        <w:rPr>
          <w:rFonts w:ascii="Times New Roman" w:hAnsi="Times New Roman" w:cs="Times New Roman" w:eastAsia="Times New Roman" w:hint="default"/>
        </w:rPr>
        <w:t>2,700</w:t>
      </w:r>
      <w:r>
        <w:rPr>
          <w:rFonts w:ascii="Times New Roman" w:hAnsi="Times New Roman" w:cs="Times New Roman" w:eastAsia="Times New Roman" w:hint="default"/>
          <w:spacing w:val="43"/>
        </w:rPr>
        <w:t> </w:t>
      </w:r>
      <w:r>
        <w:rPr/>
        <w:t>万元以开展买方信贷销售业务。</w:t>
      </w:r>
      <w:r>
        <w:rPr>
          <w:rFonts w:ascii="Times New Roman" w:hAnsi="Times New Roman" w:cs="Times New Roman" w:eastAsia="Times New Roman" w:hint="default"/>
        </w:rPr>
        <w:t>2013</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日，东莞光谷茂和激光技术有限公司与招商银行股份有限公司武汉循礼支行签订了</w:t>
      </w:r>
      <w:r>
        <w:rPr>
          <w:rFonts w:ascii="Times New Roman" w:hAnsi="Times New Roman" w:cs="Times New Roman" w:eastAsia="Times New Roman" w:hint="default"/>
        </w:rPr>
        <w:t>210</w:t>
      </w:r>
      <w:r>
        <w:rPr/>
        <w:t>万元整的借款合同，借款期限 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日，年利率为</w:t>
      </w:r>
      <w:r>
        <w:rPr>
          <w:rFonts w:ascii="Times New Roman" w:hAnsi="Times New Roman" w:cs="Times New Roman" w:eastAsia="Times New Roman" w:hint="default"/>
        </w:rPr>
        <w:t>7.995%</w:t>
      </w:r>
      <w:r>
        <w:rPr/>
        <w:t>，此项贷款为买方信贷贷款，只能用于向本公司购买设备产品及服 </w:t>
      </w:r>
      <w:r>
        <w:rPr>
          <w:spacing w:val="-2"/>
        </w:rPr>
        <w:t>务。本借款由本公司提供不可撤销连带责任保证，并提供</w:t>
      </w:r>
      <w:r>
        <w:rPr>
          <w:rFonts w:ascii="Times New Roman" w:hAnsi="Times New Roman" w:cs="Times New Roman" w:eastAsia="Times New Roman" w:hint="default"/>
          <w:spacing w:val="-2"/>
        </w:rPr>
        <w:t>42</w:t>
      </w:r>
      <w:r>
        <w:rPr>
          <w:spacing w:val="-2"/>
        </w:rPr>
        <w:t>万元的保证金作为质押担保，担保期限自本合同签订之日起至债</w:t>
      </w:r>
      <w:r>
        <w:rPr>
          <w:spacing w:val="-64"/>
        </w:rPr>
        <w:t> </w:t>
      </w:r>
      <w:r>
        <w:rPr>
          <w:spacing w:val="-64"/>
        </w:rPr>
      </w:r>
      <w:r>
        <w:rPr/>
        <w:t>务履行期届满之日起另加两年。</w:t>
      </w:r>
    </w:p>
    <w:p>
      <w:pPr>
        <w:pStyle w:val="BodyText"/>
        <w:spacing w:line="300" w:lineRule="auto" w:before="151"/>
        <w:ind w:left="153"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日，广州市奥众风机设备有限公司和与招商银行股份有限公司武汉循礼支行签订了</w:t>
      </w:r>
      <w:r>
        <w:rPr>
          <w:rFonts w:ascii="Times New Roman" w:hAnsi="Times New Roman" w:cs="Times New Roman" w:eastAsia="Times New Roman" w:hint="default"/>
        </w:rPr>
        <w:t>25.06</w:t>
      </w:r>
      <w:r>
        <w:rPr/>
        <w:t>万元的借款 </w:t>
      </w:r>
      <w:r>
        <w:rPr>
          <w:spacing w:val="-2"/>
        </w:rPr>
        <w:t>合同，借款期限为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日，此项贷款为买方信贷贷款，只能用于向本公司购买设备产品及服务。本</w:t>
      </w:r>
      <w:r>
        <w:rPr>
          <w:spacing w:val="-52"/>
        </w:rPr>
        <w:t> </w:t>
      </w:r>
      <w:r>
        <w:rPr>
          <w:spacing w:val="-52"/>
        </w:rPr>
      </w:r>
      <w:r>
        <w:rPr/>
        <w:t>借款由本公司提供不可撤销连带责任保证，并提供</w:t>
      </w:r>
      <w:r>
        <w:rPr>
          <w:rFonts w:ascii="Times New Roman" w:hAnsi="Times New Roman" w:cs="Times New Roman" w:eastAsia="Times New Roman" w:hint="default"/>
        </w:rPr>
        <w:t>5.012</w:t>
      </w:r>
      <w:r>
        <w:rPr/>
        <w:t>万元的保证金作为质押担保，担保期限自本合同签订之日起至债务 履行期届满之日起另加两年。</w:t>
      </w:r>
    </w:p>
    <w:p>
      <w:pPr>
        <w:pStyle w:val="BodyText"/>
        <w:spacing w:line="300" w:lineRule="auto" w:before="151"/>
        <w:ind w:left="153" w:right="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日，苏州合田刺绣有限公司与招商银行股份有限公司武汉循礼支行签订了</w:t>
      </w:r>
      <w:r>
        <w:rPr>
          <w:rFonts w:ascii="Times New Roman" w:hAnsi="Times New Roman" w:cs="Times New Roman" w:eastAsia="Times New Roman" w:hint="default"/>
        </w:rPr>
        <w:t>58.1</w:t>
      </w:r>
      <w:r>
        <w:rPr/>
        <w:t>万元的借款合同，借 </w:t>
      </w:r>
      <w:r>
        <w:rPr>
          <w:spacing w:val="-2"/>
        </w:rPr>
        <w:t>款期限为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日，此项贷款为买方信贷贷款，只能用于向本公司购买设备产品及服务。本借款由</w:t>
      </w:r>
      <w:r>
        <w:rPr>
          <w:spacing w:val="-50"/>
        </w:rPr>
        <w:t> </w:t>
      </w:r>
      <w:r>
        <w:rPr>
          <w:spacing w:val="-50"/>
        </w:rPr>
      </w:r>
      <w:r>
        <w:rPr/>
        <w:t>本公司提供不可撤销连带责任保证，并提供</w:t>
      </w:r>
      <w:r>
        <w:rPr>
          <w:rFonts w:ascii="Times New Roman" w:hAnsi="Times New Roman" w:cs="Times New Roman" w:eastAsia="Times New Roman" w:hint="default"/>
        </w:rPr>
        <w:t>11.62</w:t>
      </w:r>
      <w:r>
        <w:rPr/>
        <w:t>万元的保证金作为质押担保，担保期限自本合同签订之日起至债务履行期 届满之日起另加两年。</w:t>
      </w:r>
    </w:p>
    <w:p>
      <w:pPr>
        <w:spacing w:line="240" w:lineRule="auto" w:before="3"/>
        <w:rPr>
          <w:rFonts w:ascii="宋体" w:hAnsi="宋体" w:cs="宋体" w:eastAsia="宋体" w:hint="default"/>
          <w:sz w:val="26"/>
          <w:szCs w:val="26"/>
        </w:rPr>
      </w:pPr>
    </w:p>
    <w:p>
      <w:pPr>
        <w:pStyle w:val="BodyText"/>
        <w:spacing w:line="300" w:lineRule="auto"/>
        <w:ind w:left="604" w:right="142" w:hanging="180"/>
        <w:jc w:val="left"/>
      </w:pPr>
      <w:r>
        <w:rPr>
          <w:rFonts w:ascii="Times New Roman" w:hAnsi="Times New Roman" w:cs="Times New Roman" w:eastAsia="Times New Roman" w:hint="default"/>
        </w:rPr>
        <w:t>3.</w:t>
      </w:r>
      <w:r>
        <w:rPr/>
        <w:t>其他或有负债 公司在特定情况下对关联公司高投基金清算时尚未退出的项目股权承担回购责任，截止审计报告批准日，高投基金尚</w:t>
      </w:r>
    </w:p>
    <w:p>
      <w:pPr>
        <w:pStyle w:val="BodyText"/>
        <w:spacing w:line="240" w:lineRule="auto" w:before="31"/>
        <w:ind w:right="0"/>
        <w:jc w:val="left"/>
      </w:pPr>
      <w:r>
        <w:rPr/>
        <w:t>未对外募集资金。</w:t>
      </w:r>
    </w:p>
    <w:p>
      <w:pPr>
        <w:pStyle w:val="BodyText"/>
        <w:spacing w:line="240" w:lineRule="auto" w:before="77"/>
        <w:ind w:left="664" w:right="0"/>
        <w:jc w:val="left"/>
      </w:pPr>
      <w:r>
        <w:rPr/>
        <w:t>除存在上述或有事项外，截止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日，本公司无其他应披露未披露的重大或有事项。</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公司没有需要披露的重要或有事项，也应予以说明" w:id="435"/>
      <w:bookmarkEnd w:id="43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6413" w:firstLine="0"/>
        <w:jc w:val="left"/>
        <w:rPr>
          <w:rFonts w:ascii="宋体" w:hAnsi="宋体" w:cs="宋体" w:eastAsia="宋体" w:hint="default"/>
          <w:sz w:val="21"/>
          <w:szCs w:val="21"/>
        </w:rPr>
      </w:pPr>
      <w:bookmarkStart w:name="3、其他" w:id="436"/>
      <w:bookmarkEnd w:id="4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37"/>
      <w:bookmarkEnd w:id="43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8"/>
      <w:bookmarkEnd w:id="4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732"/>
        <w:gridCol w:w="7280"/>
        <w:gridCol w:w="952"/>
        <w:gridCol w:w="731"/>
      </w:tblGrid>
      <w:tr>
        <w:trPr>
          <w:trHeight w:val="1338" w:hRule="exact"/>
        </w:trPr>
        <w:tc>
          <w:tcPr>
            <w:tcW w:w="7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08"/>
              <w:jc w:val="center"/>
              <w:rPr>
                <w:rFonts w:ascii="宋体" w:hAnsi="宋体" w:cs="宋体" w:eastAsia="宋体" w:hint="default"/>
                <w:sz w:val="18"/>
                <w:szCs w:val="18"/>
              </w:rPr>
            </w:pPr>
            <w:r>
              <w:rPr>
                <w:rFonts w:ascii="宋体" w:hAnsi="宋体" w:cs="宋体" w:eastAsia="宋体" w:hint="default"/>
                <w:sz w:val="18"/>
                <w:szCs w:val="18"/>
              </w:rPr>
              <w:t>对财务状 况和经营 成果的影 响数</w:t>
            </w:r>
          </w:p>
        </w:tc>
        <w:tc>
          <w:tcPr>
            <w:tcW w:w="73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90" w:right="95"/>
              <w:jc w:val="center"/>
              <w:rPr>
                <w:rFonts w:ascii="宋体" w:hAnsi="宋体" w:cs="宋体" w:eastAsia="宋体" w:hint="default"/>
                <w:sz w:val="18"/>
                <w:szCs w:val="18"/>
              </w:rPr>
            </w:pPr>
            <w:r>
              <w:rPr>
                <w:rFonts w:ascii="宋体" w:hAnsi="宋体" w:cs="宋体" w:eastAsia="宋体" w:hint="default"/>
                <w:sz w:val="18"/>
                <w:szCs w:val="18"/>
              </w:rPr>
              <w:t>无法估 计影响 数的原 因</w:t>
            </w:r>
          </w:p>
        </w:tc>
      </w:tr>
      <w:tr>
        <w:trPr>
          <w:trHeight w:val="1338" w:hRule="exact"/>
        </w:trPr>
        <w:tc>
          <w:tcPr>
            <w:tcW w:w="73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59"/>
              <w:jc w:val="both"/>
              <w:rPr>
                <w:rFonts w:ascii="宋体" w:hAnsi="宋体" w:cs="宋体" w:eastAsia="宋体" w:hint="default"/>
                <w:sz w:val="18"/>
                <w:szCs w:val="18"/>
              </w:rPr>
            </w:pPr>
            <w:r>
              <w:rPr>
                <w:rFonts w:ascii="宋体" w:hAnsi="宋体" w:cs="宋体" w:eastAsia="宋体" w:hint="default"/>
                <w:sz w:val="18"/>
                <w:szCs w:val="18"/>
              </w:rPr>
              <w:t>高投基 金财产 份额转 让</w:t>
            </w:r>
          </w:p>
        </w:tc>
        <w:tc>
          <w:tcPr>
            <w:tcW w:w="7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为了公司更好地发展，公司控股股东及实际控制人梁伟先生将高投基金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56.604%</w:t>
            </w:r>
            <w:r>
              <w:rPr>
                <w:rFonts w:ascii="宋体" w:hAnsi="宋体" w:cs="宋体" w:eastAsia="宋体" w:hint="default"/>
                <w:sz w:val="18"/>
                <w:szCs w:val="18"/>
              </w:rPr>
              <w:t>的财产份额</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（认缴出资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万元人民币，实缴出资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元人民币）以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元人民币的价格转让给公司。董 事会同意公司受让并作为合伙人将使用自有资金出资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万元，占高投基金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56.604%</w:t>
            </w:r>
            <w:r>
              <w:rPr>
                <w:rFonts w:ascii="宋体" w:hAnsi="宋体" w:cs="宋体" w:eastAsia="宋体" w:hint="default"/>
                <w:sz w:val="18"/>
                <w:szCs w:val="18"/>
              </w:rPr>
              <w:t>的财产 份额。</w:t>
            </w:r>
          </w:p>
        </w:tc>
        <w:tc>
          <w:tcPr>
            <w:tcW w:w="952"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2、利润分配情况" w:id="439"/>
      <w:bookmarkEnd w:id="43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3"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1,260,000.00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40"/>
      <w:bookmarkEnd w:id="440"/>
      <w:r>
        <w:rPr>
          <w:b w:val="0"/>
          <w:bCs w:val="0"/>
        </w:rPr>
      </w:r>
      <w:r>
        <w:rPr>
          <w:rFonts w:ascii="Times New Roman" w:hAnsi="Times New Roman" w:cs="Times New Roman" w:eastAsia="Times New Roman" w:hint="default"/>
        </w:rPr>
        <w:t>3</w:t>
      </w:r>
      <w:r>
        <w:rPr/>
        <w:t>、销售退回</w:t>
      </w:r>
      <w:r>
        <w:rPr>
          <w:b w:val="0"/>
          <w:bCs w:val="0"/>
        </w:rPr>
      </w:r>
    </w:p>
    <w:p>
      <w:pPr>
        <w:spacing w:line="590" w:lineRule="atLeast" w:before="23"/>
        <w:ind w:left="574" w:right="0" w:hanging="420"/>
        <w:jc w:val="left"/>
        <w:rPr>
          <w:rFonts w:ascii="宋体" w:hAnsi="宋体" w:cs="宋体" w:eastAsia="宋体" w:hint="default"/>
          <w:sz w:val="21"/>
          <w:szCs w:val="21"/>
        </w:rPr>
      </w:pPr>
      <w:bookmarkStart w:name="4、其他资产负债表日后事项说明" w:id="441"/>
      <w:bookmarkEnd w:id="4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pacing w:val="-1"/>
          <w:sz w:val="21"/>
          <w:szCs w:val="21"/>
        </w:rPr>
        <w:t>除存在上述资产负债表日后事项外，截止财务报告日，本公司无其他应披露未披露的重大资产负债表</w:t>
      </w:r>
    </w:p>
    <w:p>
      <w:pPr>
        <w:pStyle w:val="Heading4"/>
        <w:spacing w:line="240" w:lineRule="auto" w:before="37"/>
        <w:ind w:left="154" w:right="0"/>
        <w:jc w:val="left"/>
      </w:pPr>
      <w:r>
        <w:rPr/>
        <w:t>日后事项的。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十六、其他重要事项" w:id="442"/>
      <w:bookmarkEnd w:id="44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43"/>
      <w:bookmarkEnd w:id="44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44"/>
      <w:bookmarkEnd w:id="44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45"/>
      <w:bookmarkEnd w:id="44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85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46"/>
      <w:bookmarkEnd w:id="44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47"/>
      <w:bookmarkEnd w:id="44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48"/>
      <w:bookmarkEnd w:id="44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49"/>
      <w:bookmarkEnd w:id="44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50"/>
      <w:bookmarkEnd w:id="45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51"/>
      <w:bookmarkEnd w:id="45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47" w:right="53"/>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452"/>
      <w:bookmarkEnd w:id="45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53"/>
      <w:bookmarkEnd w:id="45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54"/>
      <w:bookmarkEnd w:id="45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上能披露各报告分部的资产总额和负债总额的，应说明原因" w:id="455"/>
      <w:bookmarkEnd w:id="45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56"/>
      <w:bookmarkEnd w:id="45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57"/>
      <w:bookmarkEnd w:id="45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573" w:firstLine="0"/>
        <w:jc w:val="left"/>
        <w:rPr>
          <w:rFonts w:ascii="宋体" w:hAnsi="宋体" w:cs="宋体" w:eastAsia="宋体" w:hint="default"/>
          <w:sz w:val="21"/>
          <w:szCs w:val="21"/>
        </w:rPr>
      </w:pPr>
      <w:bookmarkStart w:name="8、其他" w:id="458"/>
      <w:bookmarkEnd w:id="4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60"/>
      <w:bookmarkEnd w:id="46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61"/>
      <w:bookmarkEnd w:id="46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767"/>
        <w:gridCol w:w="1091"/>
        <w:gridCol w:w="701"/>
        <w:gridCol w:w="996"/>
        <w:gridCol w:w="562"/>
        <w:gridCol w:w="1091"/>
        <w:gridCol w:w="1091"/>
        <w:gridCol w:w="701"/>
        <w:gridCol w:w="1002"/>
        <w:gridCol w:w="562"/>
        <w:gridCol w:w="1077"/>
      </w:tblGrid>
      <w:tr>
        <w:trPr>
          <w:trHeight w:val="397" w:hRule="exact"/>
        </w:trPr>
        <w:tc>
          <w:tcPr>
            <w:tcW w:w="767" w:type="dxa"/>
            <w:vMerge w:val="restart"/>
            <w:tcBorders>
              <w:top w:val="single" w:sz="4" w:space="0" w:color="000000"/>
              <w:left w:val="nil" w:sz="6" w:space="0" w:color="auto"/>
              <w:right w:val="single" w:sz="4" w:space="0" w:color="000000"/>
            </w:tcBorders>
            <w:shd w:val="clear" w:color="auto" w:fill="D2D2D2"/>
          </w:tcPr>
          <w:p>
            <w:pPr/>
          </w:p>
        </w:tc>
        <w:tc>
          <w:tcPr>
            <w:tcW w:w="44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3"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767" w:type="dxa"/>
            <w:vMerge/>
            <w:tcBorders>
              <w:left w:val="nil" w:sz="6" w:space="0" w:color="auto"/>
              <w:bottom w:val="nil" w:sz="6" w:space="0" w:color="auto"/>
              <w:right w:val="single" w:sz="4" w:space="0" w:color="000000"/>
            </w:tcBorders>
            <w:shd w:val="clear" w:color="auto" w:fill="D2D2D2"/>
          </w:tcPr>
          <w:p>
            <w:pP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7"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76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92" w:type="dxa"/>
            <w:gridSpan w:val="2"/>
            <w:vMerge/>
            <w:tcBorders>
              <w:left w:val="single" w:sz="4" w:space="0" w:color="000000"/>
              <w:bottom w:val="single" w:sz="4" w:space="0" w:color="000000"/>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792" w:type="dxa"/>
            <w:gridSpan w:val="2"/>
            <w:vMerge/>
            <w:tcBorders>
              <w:left w:val="single" w:sz="4" w:space="0" w:color="000000"/>
              <w:bottom w:val="single" w:sz="4" w:space="0" w:color="000000"/>
              <w:right w:val="single" w:sz="4" w:space="0" w:color="000000"/>
            </w:tcBorders>
            <w:shd w:val="clear" w:color="auto" w:fill="D2D2D2"/>
          </w:tcPr>
          <w:p>
            <w:pPr/>
          </w:p>
        </w:tc>
        <w:tc>
          <w:tcPr>
            <w:tcW w:w="1564" w:type="dxa"/>
            <w:gridSpan w:val="2"/>
            <w:vMerge/>
            <w:tcBorders>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767" w:type="dxa"/>
            <w:vMerge/>
            <w:tcBorders>
              <w:left w:val="nil" w:sz="6" w:space="0" w:color="auto"/>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5" w:right="9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7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767" w:type="dxa"/>
            <w:vMerge w:val="restart"/>
            <w:tcBorders>
              <w:top w:val="nil" w:sz="6" w:space="0" w:color="auto"/>
              <w:left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vMerge/>
            <w:tcBorders>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767" w:type="dxa"/>
            <w:vMerge/>
            <w:tcBorders>
              <w:left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99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077"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767" w:type="dxa"/>
            <w:vMerge/>
            <w:tcBorders>
              <w:left w:val="nil" w:sz="6" w:space="0" w:color="auto"/>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nil" w:sz="6" w:space="0" w:color="auto"/>
            </w:tcBorders>
            <w:shd w:val="clear" w:color="auto" w:fill="D2D2D2"/>
          </w:tcPr>
          <w:p>
            <w:pPr/>
          </w:p>
        </w:tc>
      </w:tr>
      <w:tr>
        <w:trPr>
          <w:trHeight w:val="1650" w:hRule="exact"/>
        </w:trPr>
        <w:tc>
          <w:tcPr>
            <w:tcW w:w="7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27"/>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应收账款</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z w:val="18"/>
              </w:rPr>
              <w:t>43,129,188.02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3,317,117.19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7.69%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39,812,070.83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29,830,951.44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2,136,280.27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w:t>
            </w:r>
          </w:p>
        </w:tc>
        <w:tc>
          <w:tcPr>
            <w:tcW w:w="10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27,694,671.17</w:t>
            </w:r>
          </w:p>
        </w:tc>
      </w:tr>
      <w:tr>
        <w:trPr>
          <w:trHeight w:val="402" w:hRule="exact"/>
        </w:trPr>
        <w:tc>
          <w:tcPr>
            <w:tcW w:w="7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43,129,188.02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3,317,117.19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7.69%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39,812,070.83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29,830,951.44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2,136,280.27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c>
          <w:tcPr>
            <w:tcW w:w="1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27,694,671.17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2474"/>
        <w:gridCol w:w="2301"/>
        <w:gridCol w:w="2390"/>
        <w:gridCol w:w="2376"/>
      </w:tblGrid>
      <w:tr>
        <w:trPr>
          <w:trHeight w:val="206" w:hRule="exact"/>
        </w:trPr>
        <w:tc>
          <w:tcPr>
            <w:tcW w:w="2474" w:type="dxa"/>
            <w:tcBorders>
              <w:top w:val="single" w:sz="4" w:space="0" w:color="000000"/>
              <w:left w:val="nil" w:sz="6" w:space="0" w:color="auto"/>
              <w:bottom w:val="nil" w:sz="6" w:space="0" w:color="auto"/>
              <w:right w:val="single" w:sz="4" w:space="0" w:color="000000"/>
            </w:tcBorders>
            <w:shd w:val="clear" w:color="auto" w:fill="D2D2D2"/>
          </w:tcPr>
          <w:p>
            <w:pPr/>
          </w:p>
        </w:tc>
        <w:tc>
          <w:tcPr>
            <w:tcW w:w="7067"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67"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474" w:type="dxa"/>
            <w:vMerge/>
            <w:tcBorders>
              <w:left w:val="nil" w:sz="6" w:space="0" w:color="auto"/>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4" w:type="dxa"/>
            <w:tcBorders>
              <w:top w:val="nil" w:sz="6" w:space="0" w:color="auto"/>
              <w:left w:val="nil" w:sz="6" w:space="0" w:color="auto"/>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24,728,129.55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741,843.89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6,606,580.03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990,987.00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1,289,952.60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644,976.30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939,310.00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939,310.00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33,563,972.18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3,317,117.19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9.88%</w:t>
            </w:r>
          </w:p>
        </w:tc>
      </w:tr>
    </w:tbl>
    <w:p>
      <w:pPr>
        <w:pStyle w:val="BodyText"/>
        <w:spacing w:line="240" w:lineRule="auto" w:before="51"/>
        <w:ind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  </w:t>
      </w:r>
      <w:r>
        <w:rPr/>
        <w:t>组合中，采用无风险及关联方法计提坏账准备的应收账款</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300"/>
        <w:gridCol w:w="1750"/>
        <w:gridCol w:w="1429"/>
        <w:gridCol w:w="1271"/>
        <w:gridCol w:w="1908"/>
      </w:tblGrid>
      <w:tr>
        <w:trPr>
          <w:trHeight w:val="342" w:hRule="exact"/>
        </w:trPr>
        <w:tc>
          <w:tcPr>
            <w:tcW w:w="3300" w:type="dxa"/>
            <w:vMerge w:val="restart"/>
            <w:tcBorders>
              <w:top w:val="single" w:sz="4" w:space="0" w:color="000000"/>
              <w:left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300"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5,690,495.98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1,859,526.00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1,865,000.00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150,193.86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9,565,215.84</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组合中，采用余额百分比法计提坏账准备的应收账款：</w:t>
      </w:r>
    </w:p>
    <w:p>
      <w:pPr>
        <w:pStyle w:val="BodyText"/>
        <w:spacing w:line="338" w:lineRule="auto" w:before="117"/>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462"/>
      <w:bookmarkEnd w:id="4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338" w:lineRule="auto" w:before="44"/>
        <w:ind w:right="-17"/>
        <w:jc w:val="left"/>
      </w:pPr>
      <w:r>
        <w:rPr/>
        <w:t>本期计提坏账准备金额</w:t>
      </w:r>
      <w:r>
        <w:rPr>
          <w:spacing w:val="-47"/>
        </w:rPr>
        <w:t> </w:t>
      </w:r>
      <w:r>
        <w:rPr>
          <w:rFonts w:ascii="Times New Roman" w:hAnsi="Times New Roman" w:cs="Times New Roman" w:eastAsia="Times New Roman" w:hint="default"/>
        </w:rPr>
        <w:t>1,180,836.92</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6049" w:space="2780"/>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63"/>
      <w:bookmarkEnd w:id="46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436,294.99</w:t>
            </w:r>
          </w:p>
        </w:tc>
      </w:tr>
    </w:tbl>
    <w:p>
      <w:pPr>
        <w:pStyle w:val="BodyText"/>
        <w:spacing w:line="240" w:lineRule="auto" w:before="51"/>
        <w:ind w:right="0"/>
        <w:jc w:val="left"/>
      </w:pPr>
      <w:r>
        <w:rPr/>
        <w:t>其中重要的应收账款核销情况：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532" w:right="85"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按欠款方归集的期末余额前五吊的应收账款情况" w:id="464"/>
      <w:bookmarkEnd w:id="46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5,690,495.98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80" w:right="0"/>
              <w:jc w:val="left"/>
              <w:rPr>
                <w:rFonts w:ascii="Times New Roman" w:hAnsi="Times New Roman" w:cs="Times New Roman" w:eastAsia="Times New Roman" w:hint="default"/>
                <w:sz w:val="18"/>
                <w:szCs w:val="18"/>
              </w:rPr>
            </w:pPr>
            <w:r>
              <w:rPr>
                <w:rFonts w:ascii="Times New Roman"/>
                <w:sz w:val="18"/>
              </w:rPr>
              <w:t>13.19</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3,950,000.00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9.16</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118,500.00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2,202,000.00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5.11</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126,300.00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4.68</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287,880.00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1,865,000.00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4.32</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15,727,495.98</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80" w:right="0"/>
              <w:jc w:val="left"/>
              <w:rPr>
                <w:rFonts w:ascii="Times New Roman" w:hAnsi="Times New Roman" w:cs="Times New Roman" w:eastAsia="Times New Roman" w:hint="default"/>
                <w:sz w:val="18"/>
                <w:szCs w:val="18"/>
              </w:rPr>
            </w:pPr>
            <w:r>
              <w:rPr>
                <w:rFonts w:ascii="Times New Roman"/>
                <w:b/>
                <w:sz w:val="18"/>
              </w:rPr>
              <w:t>36.46</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z w:val="18"/>
              </w:rPr>
              <w:t>532,680.00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465"/>
      <w:bookmarkEnd w:id="46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66"/>
      <w:bookmarkEnd w:id="46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应收款" w:id="467"/>
      <w:bookmarkEnd w:id="46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68"/>
      <w:bookmarkEnd w:id="46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161"/>
        <w:gridCol w:w="1091"/>
        <w:gridCol w:w="701"/>
        <w:gridCol w:w="866"/>
        <w:gridCol w:w="588"/>
        <w:gridCol w:w="1091"/>
        <w:gridCol w:w="1001"/>
        <w:gridCol w:w="701"/>
        <w:gridCol w:w="866"/>
        <w:gridCol w:w="587"/>
        <w:gridCol w:w="987"/>
      </w:tblGrid>
      <w:tr>
        <w:trPr>
          <w:trHeight w:val="397" w:hRule="exact"/>
        </w:trPr>
        <w:tc>
          <w:tcPr>
            <w:tcW w:w="1161" w:type="dxa"/>
            <w:vMerge w:val="restart"/>
            <w:tcBorders>
              <w:top w:val="single" w:sz="4" w:space="0" w:color="000000"/>
              <w:left w:val="nil" w:sz="6" w:space="0" w:color="auto"/>
              <w:right w:val="single" w:sz="4" w:space="0" w:color="000000"/>
            </w:tcBorders>
            <w:shd w:val="clear" w:color="auto" w:fill="D2D2D2"/>
          </w:tcPr>
          <w:p>
            <w:pPr/>
          </w:p>
        </w:tc>
        <w:tc>
          <w:tcPr>
            <w:tcW w:w="43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42"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161" w:type="dxa"/>
            <w:vMerge/>
            <w:tcBorders>
              <w:left w:val="nil" w:sz="6" w:space="0" w:color="auto"/>
              <w:bottom w:val="nil" w:sz="6" w:space="0" w:color="auto"/>
              <w:right w:val="single" w:sz="4" w:space="0" w:color="000000"/>
            </w:tcBorders>
            <w:shd w:val="clear" w:color="auto" w:fill="D2D2D2"/>
          </w:tcPr>
          <w:p>
            <w:pPr/>
          </w:p>
        </w:tc>
        <w:tc>
          <w:tcPr>
            <w:tcW w:w="1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7"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16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792" w:type="dxa"/>
            <w:gridSpan w:val="2"/>
            <w:vMerge/>
            <w:tcBorders>
              <w:left w:val="single" w:sz="4" w:space="0" w:color="000000"/>
              <w:bottom w:val="single" w:sz="4" w:space="0" w:color="000000"/>
              <w:right w:val="single" w:sz="4" w:space="0" w:color="000000"/>
            </w:tcBorders>
            <w:shd w:val="clear" w:color="auto" w:fill="D2D2D2"/>
          </w:tcPr>
          <w:p>
            <w:pPr/>
          </w:p>
        </w:tc>
        <w:tc>
          <w:tcPr>
            <w:tcW w:w="1454" w:type="dxa"/>
            <w:gridSpan w:val="2"/>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453" w:type="dxa"/>
            <w:gridSpan w:val="2"/>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1161" w:type="dxa"/>
            <w:vMerge/>
            <w:tcBorders>
              <w:left w:val="nil" w:sz="6" w:space="0" w:color="auto"/>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7"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87"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161" w:type="dxa"/>
            <w:vMerge w:val="restart"/>
            <w:tcBorders>
              <w:top w:val="nil" w:sz="6" w:space="0" w:color="auto"/>
              <w:left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7" w:type="dxa"/>
            <w:vMerge/>
            <w:tcBorders>
              <w:left w:val="single" w:sz="4" w:space="0" w:color="000000"/>
              <w:right w:val="single" w:sz="4" w:space="0" w:color="000000"/>
            </w:tcBorders>
            <w:shd w:val="clear" w:color="auto" w:fill="D2D2D2"/>
          </w:tcPr>
          <w:p>
            <w:pPr/>
          </w:p>
        </w:tc>
        <w:tc>
          <w:tcPr>
            <w:tcW w:w="987"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161" w:type="dxa"/>
            <w:vMerge/>
            <w:tcBorders>
              <w:left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587" w:type="dxa"/>
            <w:vMerge/>
            <w:tcBorders>
              <w:left w:val="single" w:sz="4" w:space="0" w:color="000000"/>
              <w:right w:val="single" w:sz="4" w:space="0" w:color="000000"/>
            </w:tcBorders>
            <w:shd w:val="clear" w:color="auto" w:fill="D2D2D2"/>
          </w:tcPr>
          <w:p>
            <w:pPr/>
          </w:p>
        </w:tc>
        <w:tc>
          <w:tcPr>
            <w:tcW w:w="987"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161" w:type="dxa"/>
            <w:vMerge/>
            <w:tcBorders>
              <w:left w:val="nil" w:sz="6" w:space="0" w:color="auto"/>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7"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nil" w:sz="6" w:space="0" w:color="auto"/>
            </w:tcBorders>
            <w:shd w:val="clear" w:color="auto" w:fill="D2D2D2"/>
          </w:tcPr>
          <w:p>
            <w:pPr/>
          </w:p>
        </w:tc>
      </w:tr>
      <w:tr>
        <w:trPr>
          <w:trHeight w:val="1338" w:hRule="exact"/>
        </w:trPr>
        <w:tc>
          <w:tcPr>
            <w:tcW w:w="11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60"/>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10,858,827.99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189,868.29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10,668,959.70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9,773,630.50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133,414.43</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1.37%</w:t>
            </w:r>
          </w:p>
        </w:tc>
        <w:tc>
          <w:tcPr>
            <w:tcW w:w="9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9,640,216.07</w:t>
            </w:r>
          </w:p>
        </w:tc>
      </w:tr>
      <w:tr>
        <w:trPr>
          <w:trHeight w:val="402" w:hRule="exact"/>
        </w:trPr>
        <w:tc>
          <w:tcPr>
            <w:tcW w:w="11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10,858,827.99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189,868.29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10,668,959.70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9,773,630.50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133,414.43</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1.37%</w:t>
            </w:r>
          </w:p>
        </w:tc>
        <w:tc>
          <w:tcPr>
            <w:tcW w:w="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9,640,216.07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nil" w:sz="6" w:space="0" w:color="auto"/>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2474"/>
        <w:gridCol w:w="2301"/>
        <w:gridCol w:w="2390"/>
        <w:gridCol w:w="2376"/>
      </w:tblGrid>
      <w:tr>
        <w:trPr>
          <w:trHeight w:val="206" w:hRule="exact"/>
        </w:trPr>
        <w:tc>
          <w:tcPr>
            <w:tcW w:w="2474" w:type="dxa"/>
            <w:tcBorders>
              <w:top w:val="single" w:sz="4" w:space="0" w:color="000000"/>
              <w:left w:val="nil" w:sz="6" w:space="0" w:color="auto"/>
              <w:bottom w:val="nil" w:sz="6" w:space="0" w:color="auto"/>
              <w:right w:val="single" w:sz="4" w:space="0" w:color="000000"/>
            </w:tcBorders>
            <w:shd w:val="clear" w:color="auto" w:fill="D2D2D2"/>
          </w:tcPr>
          <w:p>
            <w:pPr/>
          </w:p>
        </w:tc>
        <w:tc>
          <w:tcPr>
            <w:tcW w:w="7067"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67"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474" w:type="dxa"/>
            <w:vMerge/>
            <w:tcBorders>
              <w:left w:val="nil" w:sz="6" w:space="0" w:color="auto"/>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4" w:type="dxa"/>
            <w:tcBorders>
              <w:top w:val="nil" w:sz="6" w:space="0" w:color="auto"/>
              <w:left w:val="nil" w:sz="6" w:space="0" w:color="auto"/>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2,035,150.86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61,054.53</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691,871.78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103,780.77</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25,033.00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2,752,055.64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189,868.29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7.56%</w:t>
            </w:r>
          </w:p>
        </w:tc>
      </w:tr>
    </w:tbl>
    <w:p>
      <w:pPr>
        <w:pStyle w:val="BodyText"/>
        <w:spacing w:line="240" w:lineRule="auto" w:before="51"/>
        <w:ind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  </w:t>
      </w:r>
      <w:r>
        <w:rPr/>
        <w:t>组合中，采用无风险及关联方法计提坏账准备的其他应收款</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300"/>
        <w:gridCol w:w="1906"/>
        <w:gridCol w:w="1115"/>
        <w:gridCol w:w="1432"/>
        <w:gridCol w:w="1906"/>
      </w:tblGrid>
      <w:tr>
        <w:trPr>
          <w:trHeight w:val="342" w:hRule="exact"/>
        </w:trPr>
        <w:tc>
          <w:tcPr>
            <w:tcW w:w="3300" w:type="dxa"/>
            <w:vMerge w:val="restart"/>
            <w:tcBorders>
              <w:top w:val="single" w:sz="4" w:space="0" w:color="000000"/>
              <w:left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300" w:type="dxa"/>
            <w:vMerge/>
            <w:tcBorders>
              <w:left w:val="nil" w:sz="6" w:space="0" w:color="auto"/>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7,238,500.00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150,000.00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12,002.44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706,269.91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342"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8,106,772.35</w:t>
            </w:r>
            <w:r>
              <w:rPr>
                <w:rFonts w:ascii="Times New Roman"/>
                <w:spacing w:val="-1"/>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组合中，采用余额百分比法计提坏账准备的其他应收款：</w:t>
      </w:r>
    </w:p>
    <w:p>
      <w:pPr>
        <w:pStyle w:val="BodyText"/>
        <w:spacing w:line="338" w:lineRule="auto" w:before="117"/>
        <w:ind w:left="15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69"/>
      <w:bookmarkEnd w:id="4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980"/>
        </w:sectPr>
      </w:pPr>
    </w:p>
    <w:p>
      <w:pPr>
        <w:pStyle w:val="BodyText"/>
        <w:spacing w:line="340" w:lineRule="auto" w:before="44"/>
        <w:ind w:left="153" w:right="-17"/>
        <w:jc w:val="left"/>
      </w:pPr>
      <w:r>
        <w:rPr/>
        <w:t>本期计提坏账准备金额</w:t>
      </w:r>
      <w:r>
        <w:rPr>
          <w:spacing w:val="-46"/>
        </w:rPr>
        <w:t> </w:t>
      </w:r>
      <w:r>
        <w:rPr>
          <w:rFonts w:ascii="Times New Roman" w:hAnsi="Times New Roman" w:cs="Times New Roman" w:eastAsia="Times New Roman" w:hint="default"/>
        </w:rPr>
        <w:t>56,453.86</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5825" w:space="300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470"/>
      <w:bookmarkEnd w:id="47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532" w:right="85"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其他应收款核销说明：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153" w:right="0"/>
        <w:jc w:val="left"/>
        <w:rPr>
          <w:b w:val="0"/>
          <w:bCs w:val="0"/>
        </w:rPr>
      </w:pPr>
      <w:bookmarkStart w:name="（4）其他应收款按款项性质分类情况" w:id="471"/>
      <w:bookmarkEnd w:id="47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7,400,502.44</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6,430,000.00</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1,887,659.00</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1,192,909.69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696,105.92</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706,269.91</w:t>
            </w:r>
          </w:p>
        </w:tc>
        <w:tc>
          <w:tcPr>
            <w:tcW w:w="31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156,766.28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171,842.72</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差旅费借支</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291,471.67</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475,833.37</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110,908.00</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112,189.49</w:t>
            </w:r>
          </w:p>
        </w:tc>
      </w:tr>
      <w:tr>
        <w:trPr>
          <w:trHeight w:val="403"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10,858,827.99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9,773,630.50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72"/>
      <w:bookmarkEnd w:id="47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706,269.91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张春杰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15,000.00</w:t>
            </w:r>
          </w:p>
        </w:tc>
      </w:tr>
      <w:tr>
        <w:trPr>
          <w:trHeight w:val="71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上海市国际贸易促进 委员会</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399,334.00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11,980.02</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9,344,103.91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86.05%</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41,980.02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73"/>
      <w:bookmarkEnd w:id="47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696" w:right="71"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474"/>
      <w:bookmarkEnd w:id="47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75"/>
      <w:bookmarkEnd w:id="47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t>其他说明：</w:t>
      </w:r>
    </w:p>
    <w:p>
      <w:pPr>
        <w:spacing w:after="0" w:line="240" w:lineRule="auto"/>
        <w:jc w:val="left"/>
        <w:sectPr>
          <w:pgSz w:w="11910" w:h="16840"/>
          <w:pgMar w:header="877" w:footer="979" w:top="1100" w:bottom="116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left"/>
        <w:rPr>
          <w:b w:val="0"/>
          <w:bCs w:val="0"/>
        </w:rPr>
      </w:pPr>
      <w:bookmarkStart w:name="3、长期股权投资" w:id="476"/>
      <w:bookmarkEnd w:id="47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343"/>
        <w:gridCol w:w="1379"/>
        <w:gridCol w:w="1367"/>
        <w:gridCol w:w="1367"/>
        <w:gridCol w:w="1368"/>
        <w:gridCol w:w="1367"/>
        <w:gridCol w:w="1367"/>
      </w:tblGrid>
      <w:tr>
        <w:trPr>
          <w:trHeight w:val="206" w:hRule="exact"/>
        </w:trPr>
        <w:tc>
          <w:tcPr>
            <w:tcW w:w="1343" w:type="dxa"/>
            <w:tcBorders>
              <w:top w:val="single" w:sz="4" w:space="0" w:color="000000"/>
              <w:left w:val="nil" w:sz="6" w:space="0" w:color="auto"/>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343"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3"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38,445,727.00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38,445,727.00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714"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2,977,310.20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2,977,310.20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13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41,423,037.20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41,423,037.20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77"/>
      <w:bookmarkEnd w:id="47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598" w:right="65"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盛兴业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鞍山万隆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555,727.00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1,065,727.00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诸暨金运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扬州环宇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武汉赛凡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东莞金运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辽宁金之运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武汉落地</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武汉良拓</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15,005,727.00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38,445,727.00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78"/>
      <w:bookmarkEnd w:id="47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7"/>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nil" w:sz="6" w:space="0" w:color="auto"/>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nil" w:sz="6" w:space="0" w:color="auto"/>
            </w:tcBorders>
            <w:shd w:val="clear" w:color="auto" w:fill="D2D2D2"/>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精易迅</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-22,689.8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-22,689.8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7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-22,689.8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2,977,310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79"/>
      <w:bookmarkEnd w:id="47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80"/>
      <w:bookmarkEnd w:id="48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981"/>
        <w:gridCol w:w="1838"/>
        <w:gridCol w:w="1913"/>
        <w:gridCol w:w="1913"/>
        <w:gridCol w:w="1899"/>
      </w:tblGrid>
      <w:tr>
        <w:trPr>
          <w:trHeight w:val="206" w:hRule="exact"/>
        </w:trPr>
        <w:tc>
          <w:tcPr>
            <w:tcW w:w="1981" w:type="dxa"/>
            <w:tcBorders>
              <w:top w:val="single" w:sz="4" w:space="0" w:color="000000"/>
              <w:left w:val="nil" w:sz="6" w:space="0" w:color="auto"/>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1" w:type="dxa"/>
            <w:vMerge/>
            <w:tcBorders>
              <w:left w:val="nil" w:sz="6" w:space="0" w:color="auto"/>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1" w:type="dxa"/>
            <w:tcBorders>
              <w:top w:val="nil" w:sz="6" w:space="0" w:color="auto"/>
              <w:left w:val="nil" w:sz="6" w:space="0" w:color="auto"/>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149,315,268.26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95,768,070.86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149,506,242.93</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87,908,154.74</w:t>
            </w: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17,013,091.85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11,595,816.41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7,539,503.49</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5,698,567.19</w:t>
            </w: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166,328,360.11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107,363,887.27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157,045,746.42</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93,606,721.93</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主营业务（分产品）</w:t>
      </w:r>
      <w:r>
        <w:rPr>
          <w:b w:val="0"/>
          <w:bCs w:val="0"/>
        </w:rPr>
      </w:r>
    </w:p>
    <w:p>
      <w:pPr>
        <w:spacing w:line="240" w:lineRule="auto" w:before="12"/>
        <w:rPr>
          <w:rFonts w:ascii="宋体" w:hAnsi="宋体" w:cs="宋体" w:eastAsia="宋体" w:hint="default"/>
          <w:b/>
          <w:bCs/>
          <w:sz w:val="3"/>
          <w:szCs w:val="3"/>
        </w:rPr>
      </w:pPr>
    </w:p>
    <w:tbl>
      <w:tblPr>
        <w:tblW w:w="0" w:type="auto"/>
        <w:jc w:val="left"/>
        <w:tblInd w:w="139" w:type="dxa"/>
        <w:tblLayout w:type="fixed"/>
        <w:tblCellMar>
          <w:top w:w="0" w:type="dxa"/>
          <w:left w:w="0" w:type="dxa"/>
          <w:bottom w:w="0" w:type="dxa"/>
          <w:right w:w="0" w:type="dxa"/>
        </w:tblCellMar>
        <w:tblLook w:val="01E0"/>
      </w:tblPr>
      <w:tblGrid>
        <w:gridCol w:w="1931"/>
        <w:gridCol w:w="1931"/>
        <w:gridCol w:w="1932"/>
        <w:gridCol w:w="1932"/>
        <w:gridCol w:w="1932"/>
      </w:tblGrid>
      <w:tr>
        <w:trPr>
          <w:trHeight w:val="342" w:hRule="exact"/>
        </w:trPr>
        <w:tc>
          <w:tcPr>
            <w:tcW w:w="1931" w:type="dxa"/>
            <w:vMerge w:val="restart"/>
            <w:tcBorders>
              <w:top w:val="single" w:sz="4" w:space="0" w:color="000000"/>
              <w:left w:val="nil" w:sz="6" w:space="0" w:color="auto"/>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1931" w:type="dxa"/>
            <w:vMerge/>
            <w:tcBorders>
              <w:left w:val="nil" w:sz="6" w:space="0" w:color="auto"/>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宋体" w:hAnsi="宋体" w:cs="宋体" w:eastAsia="宋体" w:hint="default"/>
                <w:sz w:val="18"/>
                <w:szCs w:val="18"/>
              </w:rPr>
              <w:t>轴系列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43,657,901.96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30,387,287.55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64,058,360.96</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39,682,512.79</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55,837,632.50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35,601,706.88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41,514,480.39</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23,757,034.23</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18,210,650.56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8,580,409.18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12,535,574.60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5,587,140.23</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28,926,947.33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19,213,274.19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16,323,405.00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8,495,414.68</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2,682,135.91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1,985,393.06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15,074,421.98</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10,386,052.81</w:t>
            </w:r>
          </w:p>
        </w:tc>
      </w:tr>
      <w:tr>
        <w:trPr>
          <w:trHeight w:val="343"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149,315,268.26</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95,768,070.86</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149,506,242.93</w:t>
            </w:r>
            <w:r>
              <w:rPr>
                <w:rFonts w:ascii="Times New Roman"/>
                <w:spacing w:val="-1"/>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87,908,154.74</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Heading5"/>
        <w:spacing w:line="240" w:lineRule="auto" w:before="44"/>
        <w:ind w:left="154" w:right="0"/>
        <w:jc w:val="left"/>
        <w:rPr>
          <w:b w:val="0"/>
          <w:bCs w:val="0"/>
        </w:rPr>
      </w:pPr>
      <w:r>
        <w:rPr>
          <w:rFonts w:ascii="Times New Roman" w:hAnsi="Times New Roman" w:cs="Times New Roman" w:eastAsia="Times New Roman" w:hint="default"/>
        </w:rPr>
        <w:t>2.</w:t>
      </w:r>
      <w:r>
        <w:rPr/>
        <w:t>主营业务（分地区）</w:t>
      </w:r>
      <w:r>
        <w:rPr>
          <w:b w:val="0"/>
          <w:bCs w:val="0"/>
        </w:rPr>
      </w:r>
    </w:p>
    <w:p>
      <w:pPr>
        <w:spacing w:line="240" w:lineRule="auto" w:before="13"/>
        <w:rPr>
          <w:rFonts w:ascii="宋体" w:hAnsi="宋体" w:cs="宋体" w:eastAsia="宋体" w:hint="default"/>
          <w:b/>
          <w:bCs/>
          <w:sz w:val="3"/>
          <w:szCs w:val="3"/>
        </w:rPr>
      </w:pPr>
    </w:p>
    <w:tbl>
      <w:tblPr>
        <w:tblW w:w="0" w:type="auto"/>
        <w:jc w:val="left"/>
        <w:tblInd w:w="139" w:type="dxa"/>
        <w:tblLayout w:type="fixed"/>
        <w:tblCellMar>
          <w:top w:w="0" w:type="dxa"/>
          <w:left w:w="0" w:type="dxa"/>
          <w:bottom w:w="0" w:type="dxa"/>
          <w:right w:w="0" w:type="dxa"/>
        </w:tblCellMar>
        <w:tblLook w:val="01E0"/>
      </w:tblPr>
      <w:tblGrid>
        <w:gridCol w:w="1931"/>
        <w:gridCol w:w="1931"/>
        <w:gridCol w:w="1932"/>
        <w:gridCol w:w="1932"/>
        <w:gridCol w:w="1932"/>
      </w:tblGrid>
      <w:tr>
        <w:trPr>
          <w:trHeight w:val="342" w:hRule="exact"/>
        </w:trPr>
        <w:tc>
          <w:tcPr>
            <w:tcW w:w="1931" w:type="dxa"/>
            <w:vMerge w:val="restart"/>
            <w:tcBorders>
              <w:top w:val="single" w:sz="4" w:space="0" w:color="000000"/>
              <w:left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1931" w:type="dxa"/>
            <w:vMerge/>
            <w:tcBorders>
              <w:left w:val="nil" w:sz="6" w:space="0" w:color="auto"/>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24,836,040.16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18,463,691.55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50,932,738.90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34,137,726.51</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34,895,470.11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23,394,654.78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14,007,848.40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8,739,963.02</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7,601,432.22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5,583,015.63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6,610,159.78</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4,459,115.79</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1,170,427.37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963,915.25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1,093,354.74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863,362.47</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808,632.48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511,206.45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1,013,999.87</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683,480.01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1931"/>
        <w:gridCol w:w="1931"/>
        <w:gridCol w:w="1932"/>
        <w:gridCol w:w="1932"/>
        <w:gridCol w:w="1932"/>
      </w:tblGrid>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1,402,037.37</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951,832.84</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3,336,752.17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2,479,483.72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9,405,498.87</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6,780,391.29</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76,666,513.75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44,372,103.48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65,040,605.00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31,292,282.81</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149,315,268.26</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95,768,070.86</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149,506,242.93</w:t>
            </w:r>
            <w:r>
              <w:rPr>
                <w:rFonts w:ascii="Times New Roman"/>
                <w:spacing w:val="-1"/>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87,908,154.74</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Heading5"/>
        <w:spacing w:line="240" w:lineRule="auto" w:before="44"/>
        <w:ind w:left="154" w:right="0"/>
        <w:jc w:val="left"/>
        <w:rPr>
          <w:b w:val="0"/>
          <w:bCs w:val="0"/>
        </w:rPr>
      </w:pPr>
      <w:r>
        <w:rPr>
          <w:rFonts w:ascii="Times New Roman" w:hAnsi="Times New Roman" w:cs="Times New Roman" w:eastAsia="Times New Roman" w:hint="default"/>
        </w:rPr>
        <w:t>3.</w:t>
      </w:r>
      <w:r>
        <w:rPr/>
        <w:t>公司前五名客户的营业收入情况</w:t>
      </w:r>
      <w:r>
        <w:rPr>
          <w:b w:val="0"/>
          <w:bCs w:val="0"/>
        </w:rPr>
      </w:r>
    </w:p>
    <w:p>
      <w:pPr>
        <w:spacing w:line="240" w:lineRule="auto" w:before="13"/>
        <w:rPr>
          <w:rFonts w:ascii="宋体" w:hAnsi="宋体" w:cs="宋体" w:eastAsia="宋体" w:hint="default"/>
          <w:b/>
          <w:bCs/>
          <w:sz w:val="3"/>
          <w:szCs w:val="3"/>
        </w:rPr>
      </w:pPr>
    </w:p>
    <w:tbl>
      <w:tblPr>
        <w:tblW w:w="0" w:type="auto"/>
        <w:jc w:val="left"/>
        <w:tblInd w:w="125" w:type="dxa"/>
        <w:tblLayout w:type="fixed"/>
        <w:tblCellMar>
          <w:top w:w="0" w:type="dxa"/>
          <w:left w:w="0" w:type="dxa"/>
          <w:bottom w:w="0" w:type="dxa"/>
          <w:right w:w="0" w:type="dxa"/>
        </w:tblCellMar>
        <w:tblLook w:val="01E0"/>
      </w:tblPr>
      <w:tblGrid>
        <w:gridCol w:w="3232"/>
        <w:gridCol w:w="3221"/>
        <w:gridCol w:w="3220"/>
      </w:tblGrid>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6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5,302,364.96</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3.19</w:t>
            </w:r>
          </w:p>
        </w:tc>
      </w:tr>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4,307,692.31</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2.59</w:t>
            </w:r>
          </w:p>
        </w:tc>
      </w:tr>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4,008,754.86</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2.41</w:t>
            </w:r>
          </w:p>
        </w:tc>
      </w:tr>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3,913,390.72</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2.35</w:t>
            </w:r>
          </w:p>
        </w:tc>
      </w:tr>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3,576,640.30</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2.15</w:t>
            </w:r>
          </w:p>
        </w:tc>
      </w:tr>
      <w:tr>
        <w:trPr>
          <w:trHeight w:val="343"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21,108,843.15</w:t>
            </w:r>
            <w:r>
              <w:rPr>
                <w:rFonts w:ascii="Times New Roman"/>
                <w:spacing w:val="-1"/>
                <w:sz w:val="18"/>
              </w:rPr>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12.69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投资收益" w:id="481"/>
      <w:bookmarkEnd w:id="48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3318"/>
        <w:gridCol w:w="3059"/>
        <w:gridCol w:w="3173"/>
      </w:tblGrid>
      <w:tr>
        <w:trPr>
          <w:trHeight w:val="402"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548,535.68</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-22,689.80</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1,518,534.37</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1,126,996.85</w:t>
            </w:r>
          </w:p>
        </w:tc>
      </w:tr>
      <w:tr>
        <w:trPr>
          <w:trHeight w:val="402"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2,044,380.25</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16,126,996.85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82"/>
      <w:bookmarkEnd w:id="48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3"/>
      <w:bookmarkEnd w:id="48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84"/>
      <w:bookmarkEnd w:id="48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-81,780.79</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162" w:hRule="exact"/>
        </w:trPr>
        <w:tc>
          <w:tcPr>
            <w:tcW w:w="3299" w:type="dxa"/>
            <w:tcBorders>
              <w:top w:val="single" w:sz="4" w:space="0" w:color="000000"/>
              <w:left w:val="nil" w:sz="6" w:space="0" w:color="auto"/>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4,007,667.16</w:t>
            </w:r>
          </w:p>
        </w:tc>
        <w:tc>
          <w:tcPr>
            <w:tcW w:w="3173" w:type="dxa"/>
            <w:vMerge w:val="restart"/>
            <w:tcBorders>
              <w:top w:val="single" w:sz="4" w:space="0" w:color="000000"/>
              <w:left w:val="single" w:sz="4" w:space="0" w:color="000000"/>
              <w:right w:val="nil" w:sz="6" w:space="0" w:color="auto"/>
            </w:tcBorders>
          </w:tcPr>
          <w:p>
            <w:pPr>
              <w:pStyle w:val="TableParagraph"/>
              <w:spacing w:line="312" w:lineRule="auto" w:before="52"/>
              <w:ind w:left="2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量享受的政府补助除外）详见注释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 营业外收入。</w:t>
            </w:r>
          </w:p>
        </w:tc>
      </w:tr>
      <w:tr>
        <w:trPr>
          <w:trHeight w:val="1016" w:hRule="exact"/>
        </w:trPr>
        <w:tc>
          <w:tcPr>
            <w:tcW w:w="329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13"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vMerge/>
            <w:tcBorders>
              <w:left w:val="single" w:sz="9" w:space="0" w:color="D2D2D2"/>
              <w:right w:val="single" w:sz="4" w:space="0" w:color="000000"/>
            </w:tcBorders>
          </w:tcPr>
          <w:p>
            <w:pPr/>
          </w:p>
        </w:tc>
        <w:tc>
          <w:tcPr>
            <w:tcW w:w="3173" w:type="dxa"/>
            <w:vMerge/>
            <w:tcBorders>
              <w:left w:val="single" w:sz="4" w:space="0" w:color="000000"/>
              <w:right w:val="nil" w:sz="6" w:space="0" w:color="auto"/>
            </w:tcBorders>
          </w:tcPr>
          <w:p>
            <w:pPr/>
          </w:p>
        </w:tc>
      </w:tr>
      <w:tr>
        <w:trPr>
          <w:trHeight w:val="161" w:hRule="exact"/>
        </w:trPr>
        <w:tc>
          <w:tcPr>
            <w:tcW w:w="3299" w:type="dxa"/>
            <w:tcBorders>
              <w:top w:val="nil" w:sz="6" w:space="0" w:color="auto"/>
              <w:left w:val="nil" w:sz="6" w:space="0" w:color="auto"/>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73" w:type="dxa"/>
            <w:vMerge/>
            <w:tcBorders>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1,518,534.37</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516,107.84</w:t>
            </w:r>
          </w:p>
        </w:tc>
        <w:tc>
          <w:tcPr>
            <w:tcW w:w="317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893,475.10</w:t>
            </w:r>
          </w:p>
        </w:tc>
        <w:tc>
          <w:tcPr>
            <w:tcW w:w="318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-11,789.90</w:t>
            </w:r>
          </w:p>
        </w:tc>
        <w:tc>
          <w:tcPr>
            <w:tcW w:w="318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5,078,843.38</w:t>
            </w:r>
          </w:p>
        </w:tc>
        <w:tc>
          <w:tcPr>
            <w:tcW w:w="31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3" w:right="14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85"/>
      <w:bookmarkEnd w:id="48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2648"/>
        <w:gridCol w:w="3081"/>
        <w:gridCol w:w="1913"/>
        <w:gridCol w:w="1899"/>
      </w:tblGrid>
      <w:tr>
        <w:trPr>
          <w:trHeight w:val="206" w:hRule="exact"/>
        </w:trPr>
        <w:tc>
          <w:tcPr>
            <w:tcW w:w="2648" w:type="dxa"/>
            <w:tcBorders>
              <w:top w:val="single" w:sz="4" w:space="0" w:color="000000"/>
              <w:left w:val="nil" w:sz="6" w:space="0" w:color="auto"/>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4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648" w:type="dxa"/>
            <w:vMerge/>
            <w:tcBorders>
              <w:left w:val="nil" w:sz="6" w:space="0" w:color="auto"/>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48" w:type="dxa"/>
            <w:tcBorders>
              <w:top w:val="nil" w:sz="6" w:space="0" w:color="auto"/>
              <w:left w:val="nil" w:sz="6" w:space="0" w:color="auto"/>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0.0856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0.0856</w:t>
            </w:r>
          </w:p>
        </w:tc>
      </w:tr>
      <w:tr>
        <w:trPr>
          <w:trHeight w:val="714"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0.0216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0.0216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86"/>
      <w:bookmarkEnd w:id="48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88"/>
      <w:bookmarkEnd w:id="48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489"/>
      <w:bookmarkEnd w:id="48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会计政策变更相关补充资料" w:id="490"/>
      <w:bookmarkEnd w:id="490"/>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3"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181"/>
        <w:gridCol w:w="2466"/>
        <w:gridCol w:w="2454"/>
        <w:gridCol w:w="2439"/>
      </w:tblGrid>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3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172,012,987.70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108,523,688.51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77,216,045.00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290,000.00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2,034,200.00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12,244,755.44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26,762,277.19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39,065,113.07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181"/>
        <w:gridCol w:w="2466"/>
        <w:gridCol w:w="2454"/>
        <w:gridCol w:w="2439"/>
      </w:tblGrid>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9,141,939.41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10,931,888.51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5,194,214.52</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3,018,914.40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5,160,722.32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4,882,850.96</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96,878,173.82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125,821,168.86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120,400,401.65</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3,351,844.25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25,917,718.55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45,993,552.46</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297,548,615.02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303,407,463.94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294,786,377.66</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2,977,310.20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81,765,038.10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82,446,109.77</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95,124,769.45</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1,685,615.31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2,529,195.98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6,684,316.20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5,356,732.22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10,341,740.17</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5,834,760.95</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3,921,788.34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3,454,154.60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3,764,086.21</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331,887.77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426,459.75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2,241,737.77</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24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87,704,329.52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106,212,652.32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127,068,720.95</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385,252,944.54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409,620,116.26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421,855,098.61</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4,716,982.55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1,907,271.00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6,116,931.15</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14,779,586.78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23,757,259.19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28,443,610.29</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13,347,675.17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20,578,170.84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14,120,206.74</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4,229,974.44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8,233,510.58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8,234,373.70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1,810,958.21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1,654,812.99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529,374.48</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325,000.00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1,173,000.99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598,029.24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2,723,832.14</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42,070,345.90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57,054,053.84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60,493,328.50</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58,545,320.83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58,579,431.73</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58,616,595.19</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380,226.54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326,098.38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271,970.22</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58,925,547.37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58,905,530.11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58,888,565.41</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100,995,893.27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115,959,583.95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119,381,893.91</w:t>
            </w: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3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174,042,478.76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139,042,478.76</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82,817,482.47</w:t>
            </w:r>
          </w:p>
        </w:tc>
      </w:tr>
      <w:tr>
        <w:trPr>
          <w:trHeight w:val="402"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5,856,124.30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8,321,318.16</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9,474,435.10</w:t>
            </w:r>
          </w:p>
        </w:tc>
      </w:tr>
      <w:tr>
        <w:trPr>
          <w:trHeight w:val="402"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66,131,966.23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70,759,240.24</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74,995,894.59</w:t>
            </w:r>
          </w:p>
        </w:tc>
      </w:tr>
      <w:tr>
        <w:trPr>
          <w:trHeight w:val="714"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281,030,569.29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288,123,037.16</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293,287,812.16</w:t>
            </w:r>
          </w:p>
        </w:tc>
      </w:tr>
      <w:tr>
        <w:trPr>
          <w:trHeight w:val="402"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3,226,481.98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5,537,495.15</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9,185,392.54</w:t>
            </w:r>
          </w:p>
        </w:tc>
      </w:tr>
      <w:tr>
        <w:trPr>
          <w:trHeight w:val="402"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284,257,051.27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293,660,532.31</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302,473,204.70</w:t>
            </w:r>
          </w:p>
        </w:tc>
      </w:tr>
      <w:tr>
        <w:trPr>
          <w:trHeight w:val="402"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385,252,944.54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409,620,116.26</w:t>
            </w:r>
          </w:p>
        </w:tc>
        <w:tc>
          <w:tcPr>
            <w:tcW w:w="2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421,855,098.61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其他" w:id="491"/>
      <w:bookmarkEnd w:id="491"/>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right="312"/>
        <w:jc w:val="center"/>
        <w:rPr>
          <w:b w:val="0"/>
          <w:bCs w:val="0"/>
        </w:rPr>
      </w:pPr>
      <w:bookmarkStart w:name="第十节 备查文件目录" w:id="492"/>
      <w:bookmarkEnd w:id="492"/>
      <w:r>
        <w:rPr>
          <w:b w:val="0"/>
          <w:bCs w:val="0"/>
        </w:rPr>
      </w:r>
      <w:bookmarkStart w:name="_bookmark9" w:id="493"/>
      <w:bookmarkEnd w:id="493"/>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Heading4"/>
        <w:spacing w:line="408" w:lineRule="auto"/>
        <w:ind w:right="1583"/>
        <w:jc w:val="left"/>
      </w:pPr>
      <w:r>
        <w:rPr/>
        <w:t>一、载有公司法定代表人、主管会计工作负责人、会计机构负责人名并盖章的财务报表。 二、载有会计师事务所盖章、注册会计师签名并盖章的审计报告原件。 三、报告期内在中国证监会指定网站上公开披露过的所有公司文件的正本及公告的原稿。 四、其他相关文件。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408" w:lineRule="auto"/>
        <w:ind w:left="7081" w:right="832" w:hanging="507"/>
        <w:jc w:val="left"/>
      </w:pPr>
      <w:r>
        <w:rPr/>
        <w:t>武汉金运激光股份有限公司 法定代表人：梁伟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9246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924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924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3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923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23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23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924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24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7998pt;margin-top:535.357971pt;width:13pt;height:11pt;mso-position-horizontal-relative:page;mso-position-vertical-relative:page;z-index:-924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24664"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240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24016"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2456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71pt;margin-top:71.236572pt;width:91.55pt;height:13.1pt;mso-position-horizontal-relative:page;mso-position-vertical-relative:page;z-index:-92454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）投资状况分析</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24496"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244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2444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2432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242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24256"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2420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241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24136"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92408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1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Heading5" w:type="paragraph">
    <w:name w:val="Heading 5"/>
    <w:basedOn w:val="Normal"/>
    <w:uiPriority w:val="1"/>
    <w:qFormat/>
    <w:pPr>
      <w:ind w:left="1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dm2015@163.com" TargetMode="External"/><Relationship Id="rId11" Type="http://schemas.openxmlformats.org/officeDocument/2006/relationships/hyperlink" Target="mailto:smh1399@163.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header" Target="header2.xml"/><Relationship Id="rId34" Type="http://schemas.openxmlformats.org/officeDocument/2006/relationships/footer" Target="footer4.xml"/><Relationship Id="rId35" Type="http://schemas.openxmlformats.org/officeDocument/2006/relationships/header" Target="header3.xml"/><Relationship Id="rId36" Type="http://schemas.openxmlformats.org/officeDocument/2006/relationships/header" Target="header4.xml"/><Relationship Id="rId37" Type="http://schemas.openxmlformats.org/officeDocument/2006/relationships/footer" Target="footer5.xml"/><Relationship Id="rId38" Type="http://schemas.openxmlformats.org/officeDocument/2006/relationships/footer" Target="footer6.xml"/><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footer" Target="footer7.xml"/><Relationship Id="rId46" Type="http://schemas.openxmlformats.org/officeDocument/2006/relationships/footer" Target="footer8.xml"/><Relationship Id="rId47" Type="http://schemas.openxmlformats.org/officeDocument/2006/relationships/header" Target="header5.xml"/><Relationship Id="rId48" Type="http://schemas.openxmlformats.org/officeDocument/2006/relationships/footer" Target="footer9.xml"/><Relationship Id="rId49" Type="http://schemas.openxmlformats.org/officeDocument/2006/relationships/header" Target="header6.xml"/><Relationship Id="rId50" Type="http://schemas.openxmlformats.org/officeDocument/2006/relationships/footer" Target="footer10.xml"/><Relationship Id="rId51" Type="http://schemas.openxmlformats.org/officeDocument/2006/relationships/image" Target="media/image27.jpeg"/><Relationship Id="rId52" Type="http://schemas.openxmlformats.org/officeDocument/2006/relationships/header" Target="header7.xml"/><Relationship Id="rId53" Type="http://schemas.openxmlformats.org/officeDocument/2006/relationships/footer" Target="footer11.xml"/><Relationship Id="rId54" Type="http://schemas.openxmlformats.org/officeDocument/2006/relationships/header" Target="header8.xml"/><Relationship Id="rId55" Type="http://schemas.openxmlformats.org/officeDocument/2006/relationships/footer" Target="footer12.xml"/><Relationship Id="rId56" Type="http://schemas.openxmlformats.org/officeDocument/2006/relationships/header" Target="header9.xml"/><Relationship Id="rId57" Type="http://schemas.openxmlformats.org/officeDocument/2006/relationships/footer" Target="footer13.xml"/><Relationship Id="rId58" Type="http://schemas.openxmlformats.org/officeDocument/2006/relationships/header" Target="header10.xml"/><Relationship Id="rId59" Type="http://schemas.openxmlformats.org/officeDocument/2006/relationships/footer" Target="footer14.xml"/><Relationship Id="rId60" Type="http://schemas.openxmlformats.org/officeDocument/2006/relationships/footer" Target="footer15.xml"/><Relationship Id="rId61" Type="http://schemas.openxmlformats.org/officeDocument/2006/relationships/footer" Target="footer16.xml"/><Relationship Id="rId62"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2020-05-06T19:11:20Z</dcterms:created>
  <dcterms:modified xsi:type="dcterms:W3CDTF">2020-05-06T19:11:20Z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Microsoft® Office Word 2007</vt:lpwstr>
  </property>
  <property fmtid="{D5CDD505-2E9C-101B-9397-08002B2CF9AE}" pid="4" name="LastSaved">
    <vt:filetime>2020-05-06T00:00:00Z</vt:filetime>
  </property>
</Properties>
</file>