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3061" w:lineRule="exact"/>
        <w:ind w:left="43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0"/>
          <w:sz w:val="20"/>
          <w:szCs w:val="20"/>
        </w:rPr>
        <w:drawing>
          <wp:inline distT="0" distB="0" distL="0" distR="0">
            <wp:extent cx="2044333" cy="194405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44333" cy="1944052"/>
                    </a:xfrm>
                    <a:prstGeom prst="rect">
                      <a:avLst/>
                    </a:prstGeom>
                  </pic:spPr>
                </pic:pic>
              </a:graphicData>
            </a:graphic>
          </wp:inline>
        </w:drawing>
      </w:r>
      <w:r>
        <w:rPr>
          <w:rFonts w:ascii="Times New Roman" w:hAnsi="Times New Roman" w:cs="Times New Roman" w:eastAsia="Times New Roman" w:hint="default"/>
          <w:position w:val="-6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460" w:lineRule="exact" w:before="0"/>
        <w:ind w:left="1535" w:right="1535"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35" w:right="15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535"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公司负责人梁萍、主管会计工作负责人陈维斯及会计机构负责人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陈维斯声明：保证年度报告中财务报告的真实、准确、完整。</w:t>
      </w:r>
      <w:r>
        <w:rPr>
          <w:rFonts w:ascii="宋体" w:hAnsi="宋体" w:cs="宋体" w:eastAsia="宋体" w:hint="default"/>
          <w:sz w:val="28"/>
          <w:szCs w:val="28"/>
        </w:rPr>
      </w:r>
    </w:p>
    <w:p>
      <w:pPr>
        <w:spacing w:before="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98" w:lineRule="auto" w:before="0"/>
        <w:ind w:left="1133" w:right="1140"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1</w:t>
      </w:r>
      <w:r>
        <w:rPr>
          <w:rFonts w:ascii="宋体" w:hAnsi="宋体" w:cs="宋体" w:eastAsia="宋体" w:hint="default"/>
          <w:b/>
          <w:bCs/>
          <w:spacing w:val="-2"/>
          <w:w w:val="95"/>
          <w:sz w:val="28"/>
          <w:szCs w:val="28"/>
        </w:rPr>
        <w:t>、宏观经济的不确定性</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公司主要产品的下游行业与宏观经济景气度关</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联度高，且受近年产业结构调整的影响，公司客户在规模不大的情况下，抵御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经济周期波动的能力较弱，故公司业务存在着订单下降及退货的风险。</w:t>
      </w:r>
      <w:r>
        <w:rPr>
          <w:rFonts w:ascii="宋体" w:hAnsi="宋体" w:cs="宋体" w:eastAsia="宋体" w:hint="default"/>
          <w:sz w:val="28"/>
          <w:szCs w:val="28"/>
        </w:rPr>
      </w:r>
    </w:p>
    <w:p>
      <w:pPr>
        <w:spacing w:line="400" w:lineRule="auto" w:before="73"/>
        <w:ind w:left="1133" w:right="1137"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、高端数字激光装备制造业务进展的不确定性</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为满足客户对产业提档</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升级的需求，公司加快和加大激光产品的研发力度，通过不断改良、创新满足</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市场需求，但由于市场不确定性的存在，可能出现意外情况或进展不如计划理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想等情况。</w:t>
      </w:r>
      <w:r>
        <w:rPr>
          <w:rFonts w:ascii="宋体" w:hAnsi="宋体" w:cs="宋体" w:eastAsia="宋体" w:hint="default"/>
          <w:sz w:val="28"/>
          <w:szCs w:val="28"/>
        </w:rPr>
      </w:r>
    </w:p>
    <w:p>
      <w:pPr>
        <w:spacing w:line="400" w:lineRule="auto" w:before="70"/>
        <w:ind w:left="1133" w:right="1134"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、三维数字技术商业化应用的拓展存在不确定性</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3D</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打印服务及</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AR/VR</w:t>
      </w:r>
      <w:r>
        <w:rPr>
          <w:rFonts w:ascii="Times New Roman" w:hAnsi="Times New Roman" w:cs="Times New Roman" w:eastAsia="Times New Roman" w:hint="default"/>
          <w:b/>
          <w:bCs/>
          <w:spacing w:val="-43"/>
          <w:sz w:val="28"/>
          <w:szCs w:val="28"/>
        </w:rPr>
        <w:t> </w:t>
      </w:r>
      <w:r>
        <w:rPr>
          <w:rFonts w:ascii="宋体" w:hAnsi="宋体" w:cs="宋体" w:eastAsia="宋体" w:hint="default"/>
          <w:b/>
          <w:bCs/>
          <w:sz w:val="28"/>
          <w:szCs w:val="28"/>
        </w:rPr>
        <w:t>新业务仍在持续投入，逐步在通过市场验证以确立该板块的核心业务和</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典型行业案例。基于新技术应用与市场接受程度、行业发展速度等均有关，则</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短期内迅速扩大收入和实现较大盈利仍有一定难度。对此，公司主要采取谨慎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的态度，密切关注外部环境的变化，结合自身实际情况，建立风险识别、分析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和评估体系，提高应急水平，增强抗风险能力，最大限度地控制风险。</w:t>
      </w:r>
      <w:r>
        <w:rPr>
          <w:rFonts w:ascii="宋体" w:hAnsi="宋体" w:cs="宋体" w:eastAsia="宋体" w:hint="default"/>
          <w:sz w:val="28"/>
          <w:szCs w:val="28"/>
        </w:rPr>
      </w:r>
    </w:p>
    <w:p>
      <w:pPr>
        <w:spacing w:before="7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35"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146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535" w:right="15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522"/>
        <w:gridCol w:w="598"/>
        <w:gridCol w:w="5422"/>
      </w:tblGrid>
      <w:tr>
        <w:trPr>
          <w:trHeight w:val="402" w:hRule="exact"/>
        </w:trPr>
        <w:tc>
          <w:tcPr>
            <w:tcW w:w="35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2" w:hRule="exact"/>
        </w:trPr>
        <w:tc>
          <w:tcPr>
            <w:tcW w:w="3522"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473"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1"/>
              <w:jc w:val="both"/>
              <w:rPr>
                <w:rFonts w:ascii="宋体" w:hAnsi="宋体" w:cs="宋体" w:eastAsia="宋体" w:hint="default"/>
                <w:sz w:val="18"/>
                <w:szCs w:val="18"/>
              </w:rPr>
            </w:pPr>
            <w:r>
              <w:rPr>
                <w:rFonts w:ascii="宋体" w:hAnsi="宋体" w:cs="宋体" w:eastAsia="宋体" w:hint="default"/>
                <w:spacing w:val="-2"/>
                <w:sz w:val="18"/>
                <w:szCs w:val="18"/>
              </w:rPr>
              <w:t>激光切割是指将高功率密度的激光束聚焦后照射到被切割工件上，在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极短时间内将材料加热到极高温度，使材料熔化或气化，再用高压气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体将熔化或气化物质从切缝中吹走，以达到切割材料目的的一种激光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加工方式。</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473"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785"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04" w:lineRule="auto" w:before="51"/>
              <w:ind w:left="27"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打印技术亦被称为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增材制造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Additive Manufacturing), </w:t>
            </w:r>
            <w:r>
              <w:rPr>
                <w:rFonts w:ascii="宋体" w:hAnsi="宋体" w:cs="宋体" w:eastAsia="宋体" w:hint="default"/>
                <w:sz w:val="18"/>
                <w:szCs w:val="18"/>
              </w:rPr>
              <w:t>是在现代 </w:t>
            </w:r>
            <w:r>
              <w:rPr>
                <w:rFonts w:ascii="Times New Roman" w:hAnsi="Times New Roman" w:cs="Times New Roman" w:eastAsia="Times New Roman" w:hint="default"/>
                <w:sz w:val="18"/>
                <w:szCs w:val="18"/>
              </w:rPr>
              <w:t>CAD/CAM</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技术、激光技术、计算机数控技术、精密伺服驱动技术以 </w:t>
            </w:r>
            <w:r>
              <w:rPr>
                <w:rFonts w:ascii="宋体" w:hAnsi="宋体" w:cs="宋体" w:eastAsia="宋体" w:hint="default"/>
                <w:spacing w:val="-2"/>
                <w:sz w:val="18"/>
                <w:szCs w:val="18"/>
              </w:rPr>
              <w:t>及新材料等技术的基础上集成发展起来的一项数字化制造技术，其采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分层制造，逐层叠加</w:t>
            </w:r>
            <w:r>
              <w:rPr>
                <w:rFonts w:ascii="Times New Roman" w:hAnsi="Times New Roman" w:cs="Times New Roman" w:eastAsia="Times New Roman" w:hint="default"/>
                <w:sz w:val="18"/>
                <w:szCs w:val="18"/>
              </w:rPr>
              <w:t>"</w:t>
            </w:r>
            <w:r>
              <w:rPr>
                <w:rFonts w:ascii="宋体" w:hAnsi="宋体" w:cs="宋体" w:eastAsia="宋体" w:hint="default"/>
                <w:sz w:val="18"/>
                <w:szCs w:val="18"/>
              </w:rPr>
              <w:t>的原理直接将设计模型转化为三维实体，由 传统制造的</w:t>
            </w:r>
            <w:r>
              <w:rPr>
                <w:rFonts w:ascii="Times New Roman" w:hAnsi="Times New Roman" w:cs="Times New Roman" w:eastAsia="Times New Roman" w:hint="default"/>
                <w:sz w:val="18"/>
                <w:szCs w:val="18"/>
              </w:rPr>
              <w:t>"</w:t>
            </w:r>
            <w:r>
              <w:rPr>
                <w:rFonts w:ascii="宋体" w:hAnsi="宋体" w:cs="宋体" w:eastAsia="宋体" w:hint="default"/>
                <w:sz w:val="18"/>
                <w:szCs w:val="18"/>
              </w:rPr>
              <w:t>去除法</w:t>
            </w:r>
            <w:r>
              <w:rPr>
                <w:rFonts w:ascii="Times New Roman" w:hAnsi="Times New Roman" w:cs="Times New Roman" w:eastAsia="Times New Roman" w:hint="default"/>
                <w:sz w:val="18"/>
                <w:szCs w:val="18"/>
              </w:rPr>
              <w:t>"</w:t>
            </w:r>
            <w:r>
              <w:rPr>
                <w:rFonts w:ascii="宋体" w:hAnsi="宋体" w:cs="宋体" w:eastAsia="宋体" w:hint="default"/>
                <w:sz w:val="18"/>
                <w:szCs w:val="18"/>
              </w:rPr>
              <w:t>转变为</w:t>
            </w:r>
            <w:r>
              <w:rPr>
                <w:rFonts w:ascii="Times New Roman" w:hAnsi="Times New Roman" w:cs="Times New Roman" w:eastAsia="Times New Roman" w:hint="default"/>
                <w:sz w:val="18"/>
                <w:szCs w:val="18"/>
              </w:rPr>
              <w:t>"</w:t>
            </w:r>
            <w:r>
              <w:rPr>
                <w:rFonts w:ascii="宋体" w:hAnsi="宋体" w:cs="宋体" w:eastAsia="宋体" w:hint="default"/>
                <w:sz w:val="18"/>
                <w:szCs w:val="18"/>
              </w:rPr>
              <w:t>增长法</w:t>
            </w:r>
            <w:r>
              <w:rPr>
                <w:rFonts w:ascii="Times New Roman" w:hAnsi="Times New Roman" w:cs="Times New Roman" w:eastAsia="Times New Roman" w:hint="default"/>
                <w:sz w:val="18"/>
                <w:szCs w:val="18"/>
              </w:rPr>
              <w:t>"</w:t>
            </w:r>
            <w:r>
              <w:rPr>
                <w:rFonts w:ascii="宋体" w:hAnsi="宋体" w:cs="宋体" w:eastAsia="宋体" w:hint="default"/>
                <w:sz w:val="18"/>
                <w:szCs w:val="18"/>
              </w:rPr>
              <w:t>，使产品设计、制造的周期大大 缩短，产品开发的成本大大降低，给制造业带来了颠覆性的变化。</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785"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317"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AR</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09" w:lineRule="auto" w:before="51"/>
              <w:ind w:left="27" w:right="13"/>
              <w:jc w:val="left"/>
              <w:rPr>
                <w:rFonts w:ascii="宋体" w:hAnsi="宋体" w:cs="宋体" w:eastAsia="宋体" w:hint="default"/>
                <w:sz w:val="18"/>
                <w:szCs w:val="18"/>
              </w:rPr>
            </w:pPr>
            <w:r>
              <w:rPr>
                <w:rFonts w:ascii="宋体" w:hAnsi="宋体" w:cs="宋体" w:eastAsia="宋体" w:hint="default"/>
                <w:spacing w:val="-2"/>
                <w:sz w:val="18"/>
                <w:szCs w:val="18"/>
              </w:rPr>
              <w:t>增强现实技术，是一种实时地计算摄影机影像的位置及角度并加上相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应图像、视频、</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模型的技术，这种技术的目标是在屏幕上把虚拟 世界套在现实世界并进行互动。</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317"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r>
        <w:trPr>
          <w:trHeight w:val="317" w:hRule="exact"/>
        </w:trPr>
        <w:tc>
          <w:tcPr>
            <w:tcW w:w="3522"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VR</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2" w:type="dxa"/>
            <w:vMerge w:val="restart"/>
            <w:tcBorders>
              <w:top w:val="single" w:sz="4" w:space="0" w:color="000000"/>
              <w:left w:val="single" w:sz="9" w:space="0" w:color="D2D2D2"/>
              <w:right w:val="nil" w:sz="6" w:space="0" w:color="auto"/>
            </w:tcBorders>
          </w:tcPr>
          <w:p>
            <w:pPr>
              <w:pStyle w:val="TableParagraph"/>
              <w:spacing w:line="316" w:lineRule="auto" w:before="51"/>
              <w:ind w:left="27" w:right="-18"/>
              <w:jc w:val="both"/>
              <w:rPr>
                <w:rFonts w:ascii="宋体" w:hAnsi="宋体" w:cs="宋体" w:eastAsia="宋体" w:hint="default"/>
                <w:sz w:val="18"/>
                <w:szCs w:val="18"/>
              </w:rPr>
            </w:pPr>
            <w:r>
              <w:rPr>
                <w:rFonts w:ascii="宋体" w:hAnsi="宋体" w:cs="宋体" w:eastAsia="宋体" w:hint="default"/>
                <w:sz w:val="18"/>
                <w:szCs w:val="18"/>
              </w:rPr>
              <w:t>虚拟现实技术，是一种可以创建和体验虚拟世界的计算机仿真系统， </w:t>
            </w:r>
            <w:r>
              <w:rPr>
                <w:rFonts w:ascii="宋体" w:hAnsi="宋体" w:cs="宋体" w:eastAsia="宋体" w:hint="default"/>
                <w:spacing w:val="-2"/>
                <w:sz w:val="18"/>
                <w:szCs w:val="18"/>
              </w:rPr>
              <w:t>它利用计算机生成一种模拟环境，是一种多源信息融合的、交互式的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三维动态视景和实体行为的系统仿真，使用户沉浸到该环境中。</w:t>
            </w:r>
          </w:p>
        </w:tc>
      </w:tr>
      <w:tr>
        <w:trPr>
          <w:trHeight w:val="392" w:hRule="exact"/>
        </w:trPr>
        <w:tc>
          <w:tcPr>
            <w:tcW w:w="3522" w:type="dxa"/>
            <w:vMerge/>
            <w:tcBorders>
              <w:left w:val="nil" w:sz="6" w:space="0" w:color="auto"/>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2" w:type="dxa"/>
            <w:vMerge/>
            <w:tcBorders>
              <w:left w:val="single" w:sz="9" w:space="0" w:color="D2D2D2"/>
              <w:right w:val="nil" w:sz="6" w:space="0" w:color="auto"/>
            </w:tcBorders>
          </w:tcPr>
          <w:p>
            <w:pPr/>
          </w:p>
        </w:tc>
      </w:tr>
      <w:tr>
        <w:trPr>
          <w:trHeight w:val="317" w:hRule="exact"/>
        </w:trPr>
        <w:tc>
          <w:tcPr>
            <w:tcW w:w="3522" w:type="dxa"/>
            <w:vMerge/>
            <w:tcBorders>
              <w:left w:val="nil" w:sz="6" w:space="0" w:color="auto"/>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2" w:type="dxa"/>
            <w:vMerge/>
            <w:tcBorders>
              <w:left w:val="single" w:sz="9" w:space="0" w:color="D2D2D2"/>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72632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300220</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2"/>
                <w:sz w:val="18"/>
              </w:rPr>
              <w:t> </w:t>
            </w:r>
            <w:r>
              <w:rPr>
                <w:rFonts w:ascii="Times New Roman"/>
                <w:sz w:val="18"/>
              </w:rPr>
              <w:t>Ltd</w:t>
            </w:r>
          </w:p>
        </w:tc>
      </w:tr>
      <w:tr>
        <w:trPr>
          <w:trHeight w:val="402" w:hRule="exact"/>
        </w:trPr>
        <w:tc>
          <w:tcPr>
            <w:tcW w:w="2273"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2"/>
              <w:ind w:left="27"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nil" w:sz="6" w:space="0" w:color="auto"/>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2"/>
                <w:sz w:val="18"/>
              </w:rPr>
              <w:t> </w:t>
            </w:r>
            <w:r>
              <w:rPr>
                <w:rFonts w:ascii="Times New Roman"/>
                <w:sz w:val="18"/>
              </w:rPr>
              <w:t>Laser</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栋金运激光大厦</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176"/>
        <w:gridCol w:w="3190"/>
        <w:gridCol w:w="3176"/>
      </w:tblGrid>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161" w:hRule="exact"/>
        </w:trPr>
        <w:tc>
          <w:tcPr>
            <w:tcW w:w="3176" w:type="dxa"/>
            <w:tcBorders>
              <w:top w:val="single" w:sz="4" w:space="0" w:color="000000"/>
              <w:left w:val="nil" w:sz="6" w:space="0" w:color="auto"/>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c>
          <w:tcPr>
            <w:tcW w:w="3176" w:type="dxa"/>
            <w:vMerge w:val="restart"/>
            <w:tcBorders>
              <w:top w:val="single" w:sz="4" w:space="0" w:color="000000"/>
              <w:left w:val="single" w:sz="4" w:space="0" w:color="000000"/>
              <w:right w:val="nil" w:sz="6" w:space="0" w:color="auto"/>
            </w:tcBorders>
          </w:tcPr>
          <w:p>
            <w:pPr>
              <w:pStyle w:val="TableParagraph"/>
              <w:spacing w:line="300"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r>
      <w:tr>
        <w:trPr>
          <w:trHeight w:val="392" w:hRule="exact"/>
        </w:trPr>
        <w:tc>
          <w:tcPr>
            <w:tcW w:w="317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76" w:type="dxa"/>
            <w:vMerge/>
            <w:tcBorders>
              <w:left w:val="single" w:sz="4" w:space="0" w:color="000000"/>
              <w:right w:val="nil" w:sz="6" w:space="0" w:color="auto"/>
            </w:tcBorders>
          </w:tcPr>
          <w:p>
            <w:pPr/>
          </w:p>
        </w:tc>
      </w:tr>
      <w:tr>
        <w:trPr>
          <w:trHeight w:val="161" w:hRule="exact"/>
        </w:trPr>
        <w:tc>
          <w:tcPr>
            <w:tcW w:w="3176" w:type="dxa"/>
            <w:tcBorders>
              <w:top w:val="nil" w:sz="6" w:space="0" w:color="auto"/>
              <w:left w:val="nil" w:sz="6" w:space="0" w:color="auto"/>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76" w:type="dxa"/>
            <w:vMerge/>
            <w:tcBorders>
              <w:left w:val="single" w:sz="4" w:space="0" w:color="000000"/>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smh1399@163.com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方建新、李轶芳</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2596"/>
        <w:gridCol w:w="1751"/>
        <w:gridCol w:w="1736"/>
        <w:gridCol w:w="1738"/>
        <w:gridCol w:w="1721"/>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184,949,471.36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187,330,676.17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182,904,504.75</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-42,345,109.04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6,734,039.01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-728.82%</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-14,868,001.40</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-58,826,776.99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1,084,174.20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-5,525.95%</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-18,136,306.17</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385,421.82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20,072,096.97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-98.08%</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-13,888,728.78</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-729.40%</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2"/>
                <w:sz w:val="18"/>
              </w:rPr>
              <w:t>-0.1180</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-729.40%</w:t>
            </w:r>
            <w:r>
              <w:rPr>
                <w:rFonts w:ascii="Times New Roman"/>
                <w:sz w:val="18"/>
              </w:rPr>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2"/>
                <w:sz w:val="18"/>
              </w:rPr>
              <w:t>-0.1180</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-18.42%</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351,232,710.55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465,573,632.18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470,440,605.83</w:t>
            </w:r>
          </w:p>
        </w:tc>
      </w:tr>
      <w:tr>
        <w:trPr>
          <w:trHeight w:val="715"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243,458,965.51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284,969,454.35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277,776,345.15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596"/>
        <w:gridCol w:w="1752"/>
        <w:gridCol w:w="1739"/>
        <w:gridCol w:w="1740"/>
        <w:gridCol w:w="1715"/>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52,811,097.73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44,775,496.66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46,861,437.21</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40,501,439.76</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3,901,070.85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2,722,295.95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7,504,979.59</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-56,473,455.43</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3,676,000.68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2,442,301.14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1,427,113.96</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-66,372,192.77</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-5,189,859.48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-22,035,492.45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7,028,189.89</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20,582,583.86</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271"/>
        <w:gridCol w:w="1532"/>
        <w:gridCol w:w="1520"/>
        <w:gridCol w:w="1522"/>
        <w:gridCol w:w="1710"/>
      </w:tblGrid>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17,665,610.73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4,029,192.86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-609.37</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1,515,779.32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3,025,345.24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3,148,748.09</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597,872.25</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211,256.19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-1,287,106.73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166,939.70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2,908,893.15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457,087.91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586,819.73</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-339,521.35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57,826.17</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16,481,667.95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5,649,864.81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3,268,304.77</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4"/>
        <w:spacing w:line="410" w:lineRule="auto" w:before="77"/>
        <w:ind w:left="1134" w:right="1110" w:firstLine="420"/>
        <w:jc w:val="both"/>
      </w:pPr>
      <w:r>
        <w:rPr/>
        <w:t>本公司属计算机、通信和其它电子设备制造行业。目前公司主要产品为金属材料数字激光加工设备、 柔性非金属材料数字激光加工设备以及为各行业提供三维数字技术商业化应用解决方案。</w:t>
      </w:r>
    </w:p>
    <w:p>
      <w:pPr>
        <w:pStyle w:val="Heading4"/>
        <w:spacing w:line="386" w:lineRule="auto" w:before="82"/>
        <w:ind w:left="1133" w:right="1126" w:firstLine="420"/>
        <w:jc w:val="both"/>
      </w:pPr>
      <w:r>
        <w:rPr>
          <w:spacing w:val="-7"/>
        </w:rPr>
        <w:t>报告期内，公司根据全球智能制造、数字化产业发展的趋势，在立足</w:t>
      </w:r>
      <w:r>
        <w:rPr>
          <w:rFonts w:ascii="Times New Roman" w:hAnsi="Times New Roman" w:cs="Times New Roman" w:eastAsia="Times New Roman" w:hint="default"/>
          <w:spacing w:val="-7"/>
        </w:rPr>
        <w:t>“</w:t>
      </w:r>
      <w:r>
        <w:rPr>
          <w:spacing w:val="-7"/>
        </w:rPr>
        <w:t>数字技术商业化</w:t>
      </w:r>
      <w:r>
        <w:rPr>
          <w:rFonts w:ascii="Times New Roman" w:hAnsi="Times New Roman" w:cs="Times New Roman" w:eastAsia="Times New Roman" w:hint="default"/>
          <w:spacing w:val="-7"/>
        </w:rPr>
        <w:t>”</w:t>
      </w:r>
      <w:r>
        <w:rPr>
          <w:spacing w:val="-7"/>
        </w:rPr>
        <w:t>方向上，依托</w:t>
      </w:r>
      <w:r>
        <w:rPr>
          <w:rFonts w:ascii="Times New Roman" w:hAnsi="Times New Roman" w:cs="Times New Roman" w:eastAsia="Times New Roman" w:hint="default"/>
          <w:spacing w:val="-7"/>
        </w:rPr>
        <w:t>“</w:t>
      </w:r>
      <w:r>
        <w:rPr>
          <w:spacing w:val="-7"/>
        </w:rPr>
        <w:t>提</w:t>
      </w:r>
      <w:r>
        <w:rPr/>
        <w:t> 供解决方案</w:t>
      </w:r>
      <w:r>
        <w:rPr>
          <w:rFonts w:ascii="Times New Roman" w:hAnsi="Times New Roman" w:cs="Times New Roman" w:eastAsia="Times New Roman" w:hint="default"/>
        </w:rPr>
        <w:t>”</w:t>
      </w:r>
      <w:r>
        <w:rPr/>
        <w:t>业务主线，进一步梳理了内部组织架构和业务体系，拟通过高端数字装备制造技术、三维数</w:t>
      </w:r>
      <w:r>
        <w:rPr>
          <w:spacing w:val="-25"/>
        </w:rPr>
        <w:t> </w:t>
      </w:r>
      <w:r>
        <w:rPr>
          <w:spacing w:val="-25"/>
        </w:rPr>
      </w:r>
      <w:r>
        <w:rPr/>
        <w:t>字化技术能力的培育和运营机制的创新，形成</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机制</w:t>
      </w:r>
      <w:r>
        <w:rPr>
          <w:rFonts w:ascii="Times New Roman" w:hAnsi="Times New Roman" w:cs="Times New Roman" w:eastAsia="Times New Roman" w:hint="default"/>
        </w:rPr>
        <w:t>”</w:t>
      </w:r>
      <w:r>
        <w:rPr/>
        <w:t>的核心竞争力，并发挥</w:t>
      </w:r>
      <w:r>
        <w:rPr>
          <w:rFonts w:ascii="Times New Roman" w:hAnsi="Times New Roman" w:cs="Times New Roman" w:eastAsia="Times New Roman" w:hint="default"/>
        </w:rPr>
        <w:t>“</w:t>
      </w:r>
      <w:r>
        <w:rPr/>
        <w:t>资本</w:t>
      </w:r>
      <w:r>
        <w:rPr>
          <w:rFonts w:ascii="Times New Roman" w:hAnsi="Times New Roman" w:cs="Times New Roman" w:eastAsia="Times New Roman" w:hint="default"/>
        </w:rPr>
        <w:t>+</w:t>
      </w:r>
      <w:r>
        <w:rPr/>
        <w:t>制度</w:t>
      </w:r>
      <w:r>
        <w:rPr>
          <w:rFonts w:ascii="Times New Roman" w:hAnsi="Times New Roman" w:cs="Times New Roman" w:eastAsia="Times New Roman" w:hint="default"/>
        </w:rPr>
        <w:t>”</w:t>
      </w:r>
      <w:r>
        <w:rPr/>
        <w:t>的竞争优势 </w:t>
      </w:r>
      <w:r>
        <w:rPr>
          <w:spacing w:val="2"/>
        </w:rPr>
        <w:t>迅速整合行业及市场资源从而针对性提供行业应用解决方案，以期构建快速增长的经营态势，推动</w:t>
      </w:r>
      <w:r>
        <w:rPr>
          <w:rFonts w:ascii="Times New Roman" w:hAnsi="Times New Roman" w:cs="Times New Roman" w:eastAsia="Times New Roman" w:hint="default"/>
          <w:spacing w:val="2"/>
        </w:rPr>
        <w:t>“</w:t>
      </w:r>
      <w:r>
        <w:rPr>
          <w:spacing w:val="2"/>
        </w:rPr>
        <w:t>数字</w:t>
      </w:r>
      <w:r>
        <w:rPr>
          <w:spacing w:val="-102"/>
        </w:rPr>
        <w:t> </w:t>
      </w:r>
      <w:r>
        <w:rPr/>
        <w:t>技术商业化应用解决方案云平台</w:t>
      </w:r>
      <w:r>
        <w:rPr>
          <w:rFonts w:ascii="Times New Roman" w:hAnsi="Times New Roman" w:cs="Times New Roman" w:eastAsia="Times New Roman" w:hint="default"/>
        </w:rPr>
        <w:t>”</w:t>
      </w:r>
      <w:r>
        <w:rPr/>
        <w:t>的打造。</w:t>
      </w:r>
    </w:p>
    <w:p>
      <w:pPr>
        <w:pStyle w:val="Heading4"/>
        <w:spacing w:line="386" w:lineRule="auto" w:before="75"/>
        <w:ind w:left="1133" w:right="1132" w:firstLine="420"/>
        <w:jc w:val="both"/>
      </w:pPr>
      <w:r>
        <w:rPr/>
        <w:t>在云平台中，经过不断研究和市场验证，公司各项业务的行业应用逐步聚焦：</w:t>
      </w:r>
      <w:r>
        <w:rPr>
          <w:rFonts w:ascii="Times New Roman" w:hAnsi="Times New Roman" w:cs="Times New Roman" w:eastAsia="Times New Roman" w:hint="default"/>
        </w:rPr>
        <w:t>1</w:t>
      </w:r>
      <w:r>
        <w:rPr/>
        <w:t>、高端数字激光装备 </w:t>
      </w:r>
      <w:r>
        <w:rPr>
          <w:spacing w:val="-3"/>
        </w:rPr>
        <w:t>制造业务板块，强力推进激光加工行业应用解决方案，并再次聚焦发展：（</w:t>
      </w:r>
      <w:r>
        <w:rPr>
          <w:rFonts w:ascii="Times New Roman" w:hAnsi="Times New Roman" w:cs="Times New Roman" w:eastAsia="Times New Roman" w:hint="default"/>
          <w:spacing w:val="-3"/>
        </w:rPr>
        <w:t>1</w:t>
      </w:r>
      <w:r>
        <w:rPr>
          <w:spacing w:val="-3"/>
        </w:rPr>
        <w:t>）柔性材料激光深耕在纺织服</w:t>
      </w:r>
      <w:r>
        <w:rPr>
          <w:spacing w:val="-96"/>
        </w:rPr>
        <w:t> </w:t>
      </w:r>
      <w:r>
        <w:rPr>
          <w:spacing w:val="-96"/>
        </w:rPr>
      </w:r>
      <w:r>
        <w:rPr>
          <w:spacing w:val="-3"/>
        </w:rPr>
        <w:t>装、鞋材及工业滤布、汽车内饰行业的应用；（</w:t>
      </w:r>
      <w:r>
        <w:rPr>
          <w:rFonts w:ascii="Times New Roman" w:hAnsi="Times New Roman" w:cs="Times New Roman" w:eastAsia="Times New Roman" w:hint="default"/>
          <w:spacing w:val="-3"/>
        </w:rPr>
        <w:t>2</w:t>
      </w:r>
      <w:r>
        <w:rPr>
          <w:spacing w:val="-3"/>
        </w:rPr>
        <w:t>）金属材料激光加工领域聚焦拓展切管机在各行业中的应</w:t>
      </w:r>
      <w:r>
        <w:rPr>
          <w:spacing w:val="-95"/>
        </w:rPr>
        <w:t> </w:t>
      </w:r>
      <w:r>
        <w:rPr>
          <w:spacing w:val="-95"/>
        </w:rPr>
      </w:r>
      <w:r>
        <w:rPr/>
        <w:t>用，并积极推广智能车间解决方案。</w:t>
      </w:r>
      <w:r>
        <w:rPr>
          <w:rFonts w:ascii="Times New Roman" w:hAnsi="Times New Roman" w:cs="Times New Roman" w:eastAsia="Times New Roman" w:hint="default"/>
        </w:rPr>
        <w:t>2</w:t>
      </w:r>
      <w:r>
        <w:rPr/>
        <w:t>、三维数字化技术应用新业务板块：公司利用长期构建的三维数字</w:t>
      </w:r>
      <w:r>
        <w:rPr>
          <w:spacing w:val="-31"/>
        </w:rPr>
        <w:t> </w:t>
      </w:r>
      <w:r>
        <w:rPr>
          <w:spacing w:val="-31"/>
        </w:rPr>
      </w:r>
      <w:r>
        <w:rPr/>
        <w:t>互动、三维全息、</w:t>
      </w:r>
      <w:r>
        <w:rPr>
          <w:rFonts w:ascii="Times New Roman" w:hAnsi="Times New Roman" w:cs="Times New Roman" w:eastAsia="Times New Roman" w:hint="default"/>
        </w:rPr>
        <w:t>AR/VR</w:t>
      </w:r>
      <w:r>
        <w:rPr/>
        <w:t>、</w:t>
      </w:r>
      <w:r>
        <w:rPr>
          <w:rFonts w:ascii="Times New Roman" w:hAnsi="Times New Roman" w:cs="Times New Roman" w:eastAsia="Times New Roman" w:hint="default"/>
        </w:rPr>
        <w:t>3D</w:t>
      </w:r>
      <w:r>
        <w:rPr>
          <w:rFonts w:ascii="Times New Roman" w:hAnsi="Times New Roman" w:cs="Times New Roman" w:eastAsia="Times New Roman" w:hint="default"/>
          <w:spacing w:val="14"/>
        </w:rPr>
        <w:t> </w:t>
      </w:r>
      <w:r>
        <w:rPr/>
        <w:t>打印、人工智能、大数据等技术，进一步聚焦应用方向，至目前已在前期</w:t>
      </w:r>
      <w:r>
        <w:rPr>
          <w:spacing w:val="-103"/>
        </w:rPr>
        <w:t> </w:t>
      </w:r>
      <w:r>
        <w:rPr>
          <w:spacing w:val="-103"/>
        </w:rPr>
      </w:r>
      <w:r>
        <w:rPr/>
        <w:t>探索的</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及衍生品行业，总结出了一套较为完善的为</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及衍生品提供商业化变现的解决方案，逐步开始 为影视、动漫、游戏行业的</w:t>
      </w:r>
      <w:r>
        <w:rPr>
          <w:spacing w:val="-53"/>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方或发行推广方提供相应的服务。</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038"/>
        <w:gridCol w:w="6503"/>
      </w:tblGrid>
      <w:tr>
        <w:trPr>
          <w:trHeight w:val="186" w:hRule="exact"/>
        </w:trPr>
        <w:tc>
          <w:tcPr>
            <w:tcW w:w="3038" w:type="dxa"/>
            <w:tcBorders>
              <w:top w:val="single" w:sz="4" w:space="0" w:color="000000"/>
              <w:left w:val="nil" w:sz="6" w:space="0" w:color="auto"/>
              <w:bottom w:val="nil" w:sz="6" w:space="0" w:color="auto"/>
              <w:right w:val="single" w:sz="4" w:space="0" w:color="000000"/>
            </w:tcBorders>
            <w:shd w:val="clear" w:color="auto" w:fill="D2D2D2"/>
          </w:tcPr>
          <w:p>
            <w:pPr/>
          </w:p>
        </w:tc>
        <w:tc>
          <w:tcPr>
            <w:tcW w:w="650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30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38" w:type="dxa"/>
            <w:tcBorders>
              <w:top w:val="nil" w:sz="6" w:space="0" w:color="auto"/>
              <w:left w:val="nil" w:sz="6" w:space="0" w:color="auto"/>
              <w:bottom w:val="single" w:sz="4" w:space="0" w:color="000000"/>
              <w:right w:val="single" w:sz="4" w:space="0" w:color="000000"/>
            </w:tcBorders>
            <w:shd w:val="clear" w:color="auto" w:fill="D2D2D2"/>
          </w:tcPr>
          <w:p>
            <w:pPr/>
          </w:p>
        </w:tc>
        <w:tc>
          <w:tcPr>
            <w:tcW w:w="650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162" w:hRule="exact"/>
        </w:trPr>
        <w:tc>
          <w:tcPr>
            <w:tcW w:w="3038" w:type="dxa"/>
            <w:tcBorders>
              <w:top w:val="single" w:sz="4" w:space="0" w:color="000000"/>
              <w:left w:val="nil" w:sz="6" w:space="0" w:color="auto"/>
              <w:bottom w:val="nil" w:sz="6" w:space="0" w:color="auto"/>
              <w:right w:val="single" w:sz="4" w:space="0" w:color="000000"/>
            </w:tcBorders>
            <w:shd w:val="clear" w:color="auto" w:fill="D2D2D2"/>
          </w:tcPr>
          <w:p>
            <w:pPr/>
          </w:p>
        </w:tc>
        <w:tc>
          <w:tcPr>
            <w:tcW w:w="6503" w:type="dxa"/>
            <w:vMerge w:val="restart"/>
            <w:tcBorders>
              <w:top w:val="single" w:sz="4" w:space="0" w:color="000000"/>
              <w:left w:val="single" w:sz="9" w:space="0" w:color="D2D2D2"/>
              <w:right w:val="nil" w:sz="6" w:space="0" w:color="auto"/>
            </w:tcBorders>
          </w:tcPr>
          <w:p>
            <w:pPr>
              <w:pStyle w:val="TableParagraph"/>
              <w:spacing w:line="316" w:lineRule="auto" w:before="52"/>
              <w:ind w:left="16" w:right="173"/>
              <w:jc w:val="left"/>
              <w:rPr>
                <w:rFonts w:ascii="宋体" w:hAnsi="宋体" w:cs="宋体" w:eastAsia="宋体" w:hint="default"/>
                <w:sz w:val="18"/>
                <w:szCs w:val="18"/>
              </w:rPr>
            </w:pPr>
            <w:r>
              <w:rPr>
                <w:rFonts w:ascii="宋体" w:hAnsi="宋体" w:cs="宋体" w:eastAsia="宋体" w:hint="default"/>
                <w:sz w:val="18"/>
                <w:szCs w:val="18"/>
              </w:rPr>
              <w:t>报告期内审计调整将长期股权投资科目重分类至其他非流动资产，故期末余额降 低。</w:t>
            </w:r>
          </w:p>
        </w:tc>
      </w:tr>
      <w:tr>
        <w:trPr>
          <w:trHeight w:val="391" w:hRule="exact"/>
        </w:trPr>
        <w:tc>
          <w:tcPr>
            <w:tcW w:w="30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03" w:type="dxa"/>
            <w:vMerge/>
            <w:tcBorders>
              <w:left w:val="single" w:sz="9" w:space="0" w:color="D2D2D2"/>
              <w:right w:val="nil" w:sz="6" w:space="0" w:color="auto"/>
            </w:tcBorders>
          </w:tcPr>
          <w:p>
            <w:pPr/>
          </w:p>
        </w:tc>
      </w:tr>
      <w:tr>
        <w:trPr>
          <w:trHeight w:val="161" w:hRule="exact"/>
        </w:trPr>
        <w:tc>
          <w:tcPr>
            <w:tcW w:w="3038" w:type="dxa"/>
            <w:tcBorders>
              <w:top w:val="nil" w:sz="6" w:space="0" w:color="auto"/>
              <w:left w:val="nil" w:sz="6" w:space="0" w:color="auto"/>
              <w:bottom w:val="single" w:sz="4" w:space="0" w:color="000000"/>
              <w:right w:val="single" w:sz="4" w:space="0" w:color="000000"/>
            </w:tcBorders>
            <w:shd w:val="clear" w:color="auto" w:fill="D2D2D2"/>
          </w:tcPr>
          <w:p>
            <w:pPr/>
          </w:p>
        </w:tc>
        <w:tc>
          <w:tcPr>
            <w:tcW w:w="6503" w:type="dxa"/>
            <w:vMerge/>
            <w:tcBorders>
              <w:left w:val="single" w:sz="9" w:space="0" w:color="D2D2D2"/>
              <w:bottom w:val="single" w:sz="4" w:space="0" w:color="000000"/>
              <w:right w:val="nil" w:sz="6" w:space="0" w:color="auto"/>
            </w:tcBorders>
          </w:tcPr>
          <w:p>
            <w:pPr/>
          </w:p>
        </w:tc>
      </w:tr>
      <w:tr>
        <w:trPr>
          <w:trHeight w:val="162" w:hRule="exact"/>
        </w:trPr>
        <w:tc>
          <w:tcPr>
            <w:tcW w:w="3038" w:type="dxa"/>
            <w:tcBorders>
              <w:top w:val="single" w:sz="4" w:space="0" w:color="000000"/>
              <w:left w:val="nil" w:sz="6" w:space="0" w:color="auto"/>
              <w:bottom w:val="nil" w:sz="6" w:space="0" w:color="auto"/>
              <w:right w:val="single" w:sz="4" w:space="0" w:color="000000"/>
            </w:tcBorders>
            <w:shd w:val="clear" w:color="auto" w:fill="D2D2D2"/>
          </w:tcPr>
          <w:p>
            <w:pPr/>
          </w:p>
        </w:tc>
        <w:tc>
          <w:tcPr>
            <w:tcW w:w="6503" w:type="dxa"/>
            <w:vMerge w:val="restart"/>
            <w:tcBorders>
              <w:top w:val="single" w:sz="4" w:space="0" w:color="000000"/>
              <w:left w:val="single" w:sz="9" w:space="0" w:color="D2D2D2"/>
              <w:right w:val="nil" w:sz="6" w:space="0" w:color="auto"/>
            </w:tcBorders>
          </w:tcPr>
          <w:p>
            <w:pPr>
              <w:pStyle w:val="TableParagraph"/>
              <w:spacing w:line="316" w:lineRule="auto" w:before="53"/>
              <w:ind w:left="16" w:right="12"/>
              <w:jc w:val="left"/>
              <w:rPr>
                <w:rFonts w:ascii="宋体" w:hAnsi="宋体" w:cs="宋体" w:eastAsia="宋体" w:hint="default"/>
                <w:sz w:val="18"/>
                <w:szCs w:val="18"/>
              </w:rPr>
            </w:pPr>
            <w:r>
              <w:rPr>
                <w:rFonts w:ascii="宋体" w:hAnsi="宋体" w:cs="宋体" w:eastAsia="宋体" w:hint="default"/>
                <w:spacing w:val="-1"/>
                <w:sz w:val="18"/>
                <w:szCs w:val="18"/>
              </w:rPr>
              <w:t>报告期末根据项目未来市场情况和方向计提减值准备，故期末余额较期初余额有所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下降。</w:t>
            </w:r>
          </w:p>
        </w:tc>
      </w:tr>
      <w:tr>
        <w:trPr>
          <w:trHeight w:val="392" w:hRule="exact"/>
        </w:trPr>
        <w:tc>
          <w:tcPr>
            <w:tcW w:w="30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3" w:type="dxa"/>
            <w:vMerge/>
            <w:tcBorders>
              <w:left w:val="single" w:sz="9" w:space="0" w:color="D2D2D2"/>
              <w:right w:val="nil" w:sz="6" w:space="0" w:color="auto"/>
            </w:tcBorders>
          </w:tcPr>
          <w:p>
            <w:pPr/>
          </w:p>
        </w:tc>
      </w:tr>
      <w:tr>
        <w:trPr>
          <w:trHeight w:val="161" w:hRule="exact"/>
        </w:trPr>
        <w:tc>
          <w:tcPr>
            <w:tcW w:w="3038" w:type="dxa"/>
            <w:tcBorders>
              <w:top w:val="nil" w:sz="6" w:space="0" w:color="auto"/>
              <w:left w:val="nil" w:sz="6" w:space="0" w:color="auto"/>
              <w:bottom w:val="single" w:sz="4" w:space="0" w:color="000000"/>
              <w:right w:val="single" w:sz="4" w:space="0" w:color="000000"/>
            </w:tcBorders>
            <w:shd w:val="clear" w:color="auto" w:fill="D2D2D2"/>
          </w:tcPr>
          <w:p>
            <w:pPr/>
          </w:p>
        </w:tc>
        <w:tc>
          <w:tcPr>
            <w:tcW w:w="6503" w:type="dxa"/>
            <w:vMerge/>
            <w:tcBorders>
              <w:left w:val="single" w:sz="9" w:space="0" w:color="D2D2D2"/>
              <w:bottom w:val="single" w:sz="4" w:space="0" w:color="000000"/>
              <w:right w:val="nil" w:sz="6" w:space="0" w:color="auto"/>
            </w:tcBorders>
          </w:tcPr>
          <w:p>
            <w:pPr/>
          </w:p>
        </w:tc>
      </w:tr>
      <w:tr>
        <w:trPr>
          <w:trHeight w:val="715"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0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报告期内由于归还股东借款、基金公司投资活动及公司银行借款均较上年同期减 少，故该资产期末余额降低。</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4" w:type="dxa"/>
        <w:tblLayout w:type="fixed"/>
        <w:tblCellMar>
          <w:top w:w="0" w:type="dxa"/>
          <w:left w:w="0" w:type="dxa"/>
          <w:bottom w:w="0" w:type="dxa"/>
          <w:right w:w="0" w:type="dxa"/>
        </w:tblCellMar>
        <w:tblLook w:val="01E0"/>
      </w:tblPr>
      <w:tblGrid>
        <w:gridCol w:w="3066"/>
        <w:gridCol w:w="6517"/>
      </w:tblGrid>
      <w:tr>
        <w:trPr>
          <w:trHeight w:val="402"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报告期末由于票据尚未到期，故期末余额较期初余额有所增加。</w:t>
            </w:r>
          </w:p>
        </w:tc>
      </w:tr>
      <w:tr>
        <w:trPr>
          <w:trHeight w:val="402"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报告期内公司丧失控股子公司高投基金控制权所致。</w:t>
            </w:r>
          </w:p>
        </w:tc>
      </w:tr>
      <w:tr>
        <w:trPr>
          <w:trHeight w:val="714"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报告期内审计调整将长期股权投资科目重分类至其他非流动资产，故期末余额增 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6"/>
        <w:ind w:left="1494" w:right="0"/>
        <w:jc w:val="left"/>
      </w:pPr>
      <w:r>
        <w:rPr/>
        <w:t>（一</w:t>
      </w:r>
      <w:r>
        <w:rPr>
          <w:spacing w:val="-90"/>
        </w:rPr>
        <w:t>）</w:t>
      </w:r>
      <w:r>
        <w:rPr/>
        <w:t>、专利技术方面</w:t>
      </w:r>
    </w:p>
    <w:p>
      <w:pPr>
        <w:pStyle w:val="BodyText"/>
        <w:spacing w:line="240" w:lineRule="auto" w:before="115"/>
        <w:ind w:left="1494" w:right="0"/>
        <w:jc w:val="left"/>
      </w:pPr>
      <w:r>
        <w:rPr/>
        <w:t>报告期内，公司共新增专利数量</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件；新增软件著作权</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6"/>
        </w:rPr>
        <w:t>件；截止</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日，公司及其全资子公司共拥有专</w:t>
      </w:r>
    </w:p>
    <w:p>
      <w:pPr>
        <w:pStyle w:val="BodyText"/>
        <w:spacing w:line="240" w:lineRule="auto" w:before="63"/>
        <w:ind w:left="1134" w:right="0"/>
        <w:jc w:val="left"/>
      </w:pPr>
      <w:r>
        <w:rPr/>
        <w:t>利的总数为</w:t>
      </w:r>
      <w:r>
        <w:rPr>
          <w:spacing w:val="-51"/>
        </w:rPr>
        <w:t> </w:t>
      </w:r>
      <w:r>
        <w:rPr>
          <w:rFonts w:ascii="Times New Roman" w:hAnsi="Times New Roman" w:cs="Times New Roman" w:eastAsia="Times New Roman" w:hint="default"/>
        </w:rPr>
        <w:t>108</w:t>
      </w:r>
      <w:r>
        <w:rPr>
          <w:rFonts w:ascii="Times New Roman" w:hAnsi="Times New Roman" w:cs="Times New Roman" w:eastAsia="Times New Roman" w:hint="default"/>
          <w:spacing w:val="-6"/>
        </w:rPr>
        <w:t> </w:t>
      </w:r>
      <w:r>
        <w:rPr/>
        <w:t>件，其中发明</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件，实用新型</w:t>
      </w:r>
      <w:r>
        <w:rPr>
          <w:spacing w:val="-51"/>
        </w:rPr>
        <w:t> </w:t>
      </w:r>
      <w:r>
        <w:rPr>
          <w:rFonts w:ascii="Times New Roman" w:hAnsi="Times New Roman" w:cs="Times New Roman" w:eastAsia="Times New Roman" w:hint="default"/>
        </w:rPr>
        <w:t>67</w:t>
      </w:r>
      <w:r>
        <w:rPr>
          <w:rFonts w:ascii="Times New Roman" w:hAnsi="Times New Roman" w:cs="Times New Roman" w:eastAsia="Times New Roman" w:hint="default"/>
          <w:spacing w:val="-6"/>
        </w:rPr>
        <w:t> </w:t>
      </w:r>
      <w:r>
        <w:rPr/>
        <w:t>件，外观专利</w:t>
      </w:r>
      <w:r>
        <w:rPr>
          <w:spacing w:val="-51"/>
        </w:rPr>
        <w:t> </w:t>
      </w:r>
      <w:r>
        <w:rPr>
          <w:rFonts w:ascii="Times New Roman" w:hAnsi="Times New Roman" w:cs="Times New Roman" w:eastAsia="Times New Roman" w:hint="default"/>
        </w:rPr>
        <w:t>32</w:t>
      </w:r>
      <w:r>
        <w:rPr>
          <w:rFonts w:ascii="Times New Roman" w:hAnsi="Times New Roman" w:cs="Times New Roman" w:eastAsia="Times New Roman" w:hint="default"/>
          <w:spacing w:val="-6"/>
        </w:rPr>
        <w:t> </w:t>
      </w:r>
      <w:r>
        <w:rPr/>
        <w:t>件；拥有注册商标</w:t>
      </w:r>
      <w:r>
        <w:rPr>
          <w:spacing w:val="-51"/>
        </w:rPr>
        <w:t> </w:t>
      </w:r>
      <w:r>
        <w:rPr>
          <w:rFonts w:ascii="Times New Roman" w:hAnsi="Times New Roman" w:cs="Times New Roman" w:eastAsia="Times New Roman" w:hint="default"/>
        </w:rPr>
        <w:t>99</w:t>
      </w:r>
      <w:r>
        <w:rPr>
          <w:rFonts w:ascii="Times New Roman" w:hAnsi="Times New Roman" w:cs="Times New Roman" w:eastAsia="Times New Roman" w:hint="default"/>
          <w:spacing w:val="-6"/>
        </w:rPr>
        <w:t> </w:t>
      </w:r>
      <w:r>
        <w:rPr/>
        <w:t>件，其中国内</w:t>
      </w:r>
      <w:r>
        <w:rPr>
          <w:spacing w:val="-51"/>
        </w:rPr>
        <w:t> </w:t>
      </w:r>
      <w:r>
        <w:rPr>
          <w:rFonts w:ascii="Times New Roman" w:hAnsi="Times New Roman" w:cs="Times New Roman" w:eastAsia="Times New Roman" w:hint="default"/>
        </w:rPr>
        <w:t>93</w:t>
      </w:r>
      <w:r>
        <w:rPr>
          <w:rFonts w:ascii="Times New Roman" w:hAnsi="Times New Roman" w:cs="Times New Roman" w:eastAsia="Times New Roman" w:hint="default"/>
          <w:spacing w:val="-6"/>
        </w:rPr>
        <w:t> </w:t>
      </w:r>
      <w:r>
        <w:rPr>
          <w:spacing w:val="-3"/>
        </w:rPr>
        <w:t>件，国外</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5"/>
        </w:rPr>
        <w:t>件；拥</w:t>
      </w:r>
    </w:p>
    <w:p>
      <w:pPr>
        <w:pStyle w:val="BodyText"/>
        <w:spacing w:line="240" w:lineRule="auto" w:before="64"/>
        <w:ind w:left="1134" w:right="0"/>
        <w:jc w:val="left"/>
      </w:pPr>
      <w:r>
        <w:rPr/>
        <w:t>有著作权总数</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件。</w:t>
      </w:r>
    </w:p>
    <w:p>
      <w:pPr>
        <w:pStyle w:val="BodyText"/>
        <w:spacing w:line="240" w:lineRule="auto" w:before="103"/>
        <w:ind w:left="1494" w:right="0"/>
        <w:jc w:val="left"/>
      </w:pPr>
      <w:r>
        <w:rPr/>
        <w:t>（</w:t>
      </w:r>
      <w:r>
        <w:rPr>
          <w:rFonts w:ascii="Times New Roman" w:hAnsi="Times New Roman" w:cs="Times New Roman" w:eastAsia="Times New Roman" w:hint="default"/>
        </w:rPr>
        <w:t>1</w:t>
      </w:r>
      <w:r>
        <w:rPr/>
        <w:t>）专利：</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年已授权专利数量总数为</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件：实用新型</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件，外观设计</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件，详细情况如下：</w:t>
      </w:r>
    </w:p>
    <w:p>
      <w:pPr>
        <w:spacing w:line="240" w:lineRule="auto" w:before="12"/>
        <w:rPr>
          <w:rFonts w:ascii="宋体" w:hAnsi="宋体" w:cs="宋体" w:eastAsia="宋体" w:hint="default"/>
          <w:sz w:val="6"/>
          <w:szCs w:val="6"/>
        </w:rPr>
      </w:pPr>
    </w:p>
    <w:tbl>
      <w:tblPr>
        <w:tblW w:w="0" w:type="auto"/>
        <w:jc w:val="left"/>
        <w:tblInd w:w="1119" w:type="dxa"/>
        <w:tblLayout w:type="fixed"/>
        <w:tblCellMar>
          <w:top w:w="0" w:type="dxa"/>
          <w:left w:w="0" w:type="dxa"/>
          <w:bottom w:w="0" w:type="dxa"/>
          <w:right w:w="0" w:type="dxa"/>
        </w:tblCellMar>
        <w:tblLook w:val="01E0"/>
      </w:tblPr>
      <w:tblGrid>
        <w:gridCol w:w="4069"/>
        <w:gridCol w:w="1369"/>
        <w:gridCol w:w="1540"/>
        <w:gridCol w:w="1029"/>
        <w:gridCol w:w="1652"/>
      </w:tblGrid>
      <w:tr>
        <w:trPr>
          <w:trHeight w:val="422" w:hRule="exact"/>
        </w:trPr>
        <w:tc>
          <w:tcPr>
            <w:tcW w:w="4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总计</w:t>
            </w:r>
          </w:p>
        </w:tc>
      </w:tr>
      <w:tr>
        <w:trPr>
          <w:trHeight w:val="421"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4</w:t>
            </w:r>
          </w:p>
        </w:tc>
      </w:tr>
      <w:tr>
        <w:trPr>
          <w:trHeight w:val="423" w:hRule="exact"/>
        </w:trPr>
        <w:tc>
          <w:tcPr>
            <w:tcW w:w="4069" w:type="dxa"/>
            <w:vMerge/>
            <w:tcBorders>
              <w:left w:val="nil" w:sz="6" w:space="0" w:color="auto"/>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vMerge/>
            <w:tcBorders>
              <w:left w:val="single" w:sz="4" w:space="0" w:color="000000"/>
              <w:bottom w:val="single" w:sz="4" w:space="0" w:color="000000"/>
              <w:right w:val="nil" w:sz="6" w:space="0" w:color="auto"/>
            </w:tcBorders>
          </w:tcPr>
          <w:p>
            <w:pPr/>
          </w:p>
        </w:tc>
      </w:tr>
      <w:tr>
        <w:trPr>
          <w:trHeight w:val="422" w:hRule="exact"/>
        </w:trPr>
        <w:tc>
          <w:tcPr>
            <w:tcW w:w="4069" w:type="dxa"/>
            <w:vMerge/>
            <w:tcBorders>
              <w:left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15</w:t>
            </w:r>
          </w:p>
        </w:tc>
      </w:tr>
      <w:tr>
        <w:trPr>
          <w:trHeight w:val="421"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7</w:t>
            </w:r>
          </w:p>
        </w:tc>
        <w:tc>
          <w:tcPr>
            <w:tcW w:w="1652" w:type="dxa"/>
            <w:vMerge/>
            <w:tcBorders>
              <w:left w:val="single" w:sz="4" w:space="0" w:color="000000"/>
              <w:right w:val="nil" w:sz="6" w:space="0" w:color="auto"/>
            </w:tcBorders>
          </w:tcPr>
          <w:p>
            <w:pPr/>
          </w:p>
        </w:tc>
      </w:tr>
      <w:tr>
        <w:trPr>
          <w:trHeight w:val="422"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6</w:t>
            </w:r>
          </w:p>
        </w:tc>
        <w:tc>
          <w:tcPr>
            <w:tcW w:w="1652" w:type="dxa"/>
            <w:vMerge/>
            <w:tcBorders>
              <w:left w:val="single" w:sz="4" w:space="0" w:color="000000"/>
              <w:bottom w:val="single" w:sz="4" w:space="0" w:color="000000"/>
              <w:right w:val="nil" w:sz="6" w:space="0" w:color="auto"/>
            </w:tcBorders>
          </w:tcPr>
          <w:p>
            <w:pPr/>
          </w:p>
        </w:tc>
      </w:tr>
      <w:tr>
        <w:trPr>
          <w:trHeight w:val="422"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武汉金运激光产业发展有限公司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2</w:t>
            </w:r>
          </w:p>
        </w:tc>
      </w:tr>
      <w:tr>
        <w:trPr>
          <w:trHeight w:val="421" w:hRule="exact"/>
        </w:trPr>
        <w:tc>
          <w:tcPr>
            <w:tcW w:w="4069" w:type="dxa"/>
            <w:vMerge/>
            <w:tcBorders>
              <w:left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4</w:t>
            </w:r>
          </w:p>
        </w:tc>
      </w:tr>
      <w:tr>
        <w:trPr>
          <w:trHeight w:val="422"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vMerge/>
            <w:tcBorders>
              <w:left w:val="single" w:sz="4" w:space="0" w:color="000000"/>
              <w:bottom w:val="single" w:sz="4" w:space="0" w:color="000000"/>
              <w:right w:val="nil" w:sz="6" w:space="0" w:color="auto"/>
            </w:tcBorders>
          </w:tcPr>
          <w:p>
            <w:pPr/>
          </w:p>
        </w:tc>
      </w:tr>
      <w:tr>
        <w:trPr>
          <w:trHeight w:val="422" w:hRule="exact"/>
        </w:trPr>
        <w:tc>
          <w:tcPr>
            <w:tcW w:w="4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武汉斯利沃激光器技术有限公司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2</w:t>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2</w:t>
            </w:r>
          </w:p>
        </w:tc>
      </w:tr>
      <w:tr>
        <w:trPr>
          <w:trHeight w:val="421"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6"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1</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8</w:t>
            </w:r>
          </w:p>
        </w:tc>
      </w:tr>
      <w:tr>
        <w:trPr>
          <w:trHeight w:val="422"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4</w:t>
            </w:r>
          </w:p>
        </w:tc>
        <w:tc>
          <w:tcPr>
            <w:tcW w:w="1652" w:type="dxa"/>
            <w:vMerge/>
            <w:tcBorders>
              <w:left w:val="single" w:sz="4" w:space="0" w:color="000000"/>
              <w:right w:val="nil" w:sz="6" w:space="0" w:color="auto"/>
            </w:tcBorders>
          </w:tcPr>
          <w:p>
            <w:pPr/>
          </w:p>
        </w:tc>
      </w:tr>
      <w:tr>
        <w:trPr>
          <w:trHeight w:val="422"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3</w:t>
            </w:r>
          </w:p>
        </w:tc>
        <w:tc>
          <w:tcPr>
            <w:tcW w:w="1652" w:type="dxa"/>
            <w:vMerge/>
            <w:tcBorders>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494" w:right="0"/>
        <w:jc w:val="left"/>
      </w:pPr>
      <w:r>
        <w:rPr/>
        <w:t>（</w:t>
      </w:r>
      <w:r>
        <w:rPr>
          <w:rFonts w:ascii="Times New Roman" w:hAnsi="Times New Roman" w:cs="Times New Roman" w:eastAsia="Times New Roman" w:hint="default"/>
        </w:rPr>
        <w:t>2</w:t>
      </w:r>
      <w:r>
        <w:rPr>
          <w:spacing w:val="-90"/>
        </w:rPr>
        <w:t>）</w:t>
      </w:r>
      <w:r>
        <w:rPr/>
        <w:t>、商标：截止至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1"/>
        </w:rPr>
        <w:t>公</w:t>
      </w:r>
      <w:r>
        <w:rPr/>
        <w:t>司及其全资子公司商标情况如下：</w:t>
      </w:r>
    </w:p>
    <w:p>
      <w:pPr>
        <w:spacing w:line="240" w:lineRule="auto" w:before="12"/>
        <w:rPr>
          <w:rFonts w:ascii="宋体" w:hAnsi="宋体" w:cs="宋体" w:eastAsia="宋体" w:hint="default"/>
          <w:sz w:val="6"/>
          <w:szCs w:val="6"/>
        </w:rPr>
      </w:pPr>
    </w:p>
    <w:tbl>
      <w:tblPr>
        <w:tblW w:w="0" w:type="auto"/>
        <w:jc w:val="left"/>
        <w:tblInd w:w="1119" w:type="dxa"/>
        <w:tblLayout w:type="fixed"/>
        <w:tblCellMar>
          <w:top w:w="0" w:type="dxa"/>
          <w:left w:w="0" w:type="dxa"/>
          <w:bottom w:w="0" w:type="dxa"/>
          <w:right w:w="0" w:type="dxa"/>
        </w:tblCellMar>
        <w:tblLook w:val="01E0"/>
      </w:tblPr>
      <w:tblGrid>
        <w:gridCol w:w="4045"/>
        <w:gridCol w:w="1530"/>
        <w:gridCol w:w="2042"/>
        <w:gridCol w:w="2042"/>
      </w:tblGrid>
      <w:tr>
        <w:trPr>
          <w:trHeight w:val="423"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65" w:right="0"/>
              <w:jc w:val="left"/>
              <w:rPr>
                <w:rFonts w:ascii="宋体" w:hAnsi="宋体" w:cs="宋体" w:eastAsia="宋体" w:hint="default"/>
                <w:sz w:val="18"/>
                <w:szCs w:val="18"/>
              </w:rPr>
            </w:pPr>
            <w:r>
              <w:rPr>
                <w:rFonts w:ascii="宋体" w:hAnsi="宋体" w:cs="宋体" w:eastAsia="宋体" w:hint="default"/>
                <w:sz w:val="18"/>
                <w:szCs w:val="18"/>
              </w:rPr>
              <w:t>总计</w:t>
            </w:r>
          </w:p>
        </w:tc>
      </w:tr>
      <w:tr>
        <w:trPr>
          <w:trHeight w:val="421" w:hRule="exact"/>
        </w:trPr>
        <w:tc>
          <w:tcPr>
            <w:tcW w:w="4045" w:type="dxa"/>
            <w:vMerge w:val="restart"/>
            <w:tcBorders>
              <w:top w:val="single" w:sz="4" w:space="0" w:color="000000"/>
              <w:left w:val="nil" w:sz="6" w:space="0" w:color="auto"/>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已获批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96</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104</w:t>
            </w:r>
          </w:p>
        </w:tc>
      </w:tr>
      <w:tr>
        <w:trPr>
          <w:trHeight w:val="422" w:hRule="exact"/>
        </w:trPr>
        <w:tc>
          <w:tcPr>
            <w:tcW w:w="4045" w:type="dxa"/>
            <w:vMerge/>
            <w:tcBorders>
              <w:left w:val="nil" w:sz="6" w:space="0" w:color="auto"/>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8</w:t>
            </w:r>
          </w:p>
        </w:tc>
        <w:tc>
          <w:tcPr>
            <w:tcW w:w="2042" w:type="dxa"/>
            <w:vMerge/>
            <w:tcBorders>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4" w:type="dxa"/>
        <w:tblLayout w:type="fixed"/>
        <w:tblCellMar>
          <w:top w:w="0" w:type="dxa"/>
          <w:left w:w="0" w:type="dxa"/>
          <w:bottom w:w="0" w:type="dxa"/>
          <w:right w:w="0" w:type="dxa"/>
        </w:tblCellMar>
        <w:tblLook w:val="01E0"/>
      </w:tblPr>
      <w:tblGrid>
        <w:gridCol w:w="4045"/>
        <w:gridCol w:w="1530"/>
        <w:gridCol w:w="2042"/>
        <w:gridCol w:w="2042"/>
      </w:tblGrid>
      <w:tr>
        <w:trPr>
          <w:trHeight w:val="422"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已获批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3</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6"/>
        <w:rPr>
          <w:rFonts w:ascii="宋体" w:hAnsi="宋体" w:cs="宋体" w:eastAsia="宋体" w:hint="default"/>
          <w:sz w:val="27"/>
          <w:szCs w:val="27"/>
        </w:rPr>
      </w:pPr>
    </w:p>
    <w:p>
      <w:pPr>
        <w:pStyle w:val="BodyText"/>
        <w:spacing w:line="240" w:lineRule="auto" w:before="44"/>
        <w:ind w:left="1494" w:right="0"/>
        <w:jc w:val="left"/>
      </w:pPr>
      <w:r>
        <w:rPr/>
        <w:t>（</w:t>
      </w:r>
      <w:r>
        <w:rPr>
          <w:rFonts w:ascii="Times New Roman" w:hAnsi="Times New Roman" w:cs="Times New Roman" w:eastAsia="Times New Roman" w:hint="default"/>
        </w:rPr>
        <w:t>3</w:t>
      </w:r>
      <w:r>
        <w:rPr>
          <w:spacing w:val="-90"/>
        </w:rPr>
        <w:t>）</w:t>
      </w:r>
      <w:r>
        <w:rPr/>
        <w:t>、软件著作权：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年全年，公司及其全资子公司已登记软件著作权情况如下：</w:t>
      </w:r>
    </w:p>
    <w:p>
      <w:pPr>
        <w:spacing w:line="240" w:lineRule="auto" w:before="12"/>
        <w:rPr>
          <w:rFonts w:ascii="宋体" w:hAnsi="宋体" w:cs="宋体" w:eastAsia="宋体" w:hint="default"/>
          <w:sz w:val="6"/>
          <w:szCs w:val="6"/>
        </w:rPr>
      </w:pPr>
    </w:p>
    <w:tbl>
      <w:tblPr>
        <w:tblW w:w="0" w:type="auto"/>
        <w:jc w:val="left"/>
        <w:tblInd w:w="1119" w:type="dxa"/>
        <w:tblLayout w:type="fixed"/>
        <w:tblCellMar>
          <w:top w:w="0" w:type="dxa"/>
          <w:left w:w="0" w:type="dxa"/>
          <w:bottom w:w="0" w:type="dxa"/>
          <w:right w:w="0" w:type="dxa"/>
        </w:tblCellMar>
        <w:tblLook w:val="01E0"/>
      </w:tblPr>
      <w:tblGrid>
        <w:gridCol w:w="4045"/>
        <w:gridCol w:w="1530"/>
        <w:gridCol w:w="2042"/>
        <w:gridCol w:w="2042"/>
      </w:tblGrid>
      <w:tr>
        <w:trPr>
          <w:trHeight w:val="423"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65" w:right="0"/>
              <w:jc w:val="left"/>
              <w:rPr>
                <w:rFonts w:ascii="宋体" w:hAnsi="宋体" w:cs="宋体" w:eastAsia="宋体" w:hint="default"/>
                <w:sz w:val="18"/>
                <w:szCs w:val="18"/>
              </w:rPr>
            </w:pPr>
            <w:r>
              <w:rPr>
                <w:rFonts w:ascii="宋体" w:hAnsi="宋体" w:cs="宋体" w:eastAsia="宋体" w:hint="default"/>
                <w:sz w:val="18"/>
                <w:szCs w:val="18"/>
              </w:rPr>
              <w:t>总计</w:t>
            </w:r>
          </w:p>
        </w:tc>
      </w:tr>
      <w:tr>
        <w:trPr>
          <w:trHeight w:val="421"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Times New Roman" w:hAnsi="Times New Roman" w:cs="Times New Roman" w:eastAsia="Times New Roman" w:hint="default"/>
                <w:sz w:val="18"/>
                <w:szCs w:val="18"/>
              </w:rPr>
            </w:pPr>
            <w:r>
              <w:rPr>
                <w:rFonts w:ascii="Times New Roman"/>
                <w:sz w:val="18"/>
              </w:rPr>
              <w:t>9</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00"/>
              <w:ind w:left="365" w:right="0"/>
              <w:jc w:val="left"/>
              <w:rPr>
                <w:rFonts w:ascii="Times New Roman" w:hAnsi="Times New Roman" w:cs="Times New Roman" w:eastAsia="Times New Roman" w:hint="default"/>
                <w:sz w:val="18"/>
                <w:szCs w:val="18"/>
              </w:rPr>
            </w:pPr>
            <w:r>
              <w:rPr>
                <w:rFonts w:ascii="Times New Roman"/>
                <w:sz w:val="18"/>
              </w:rPr>
              <w:t>21</w:t>
            </w:r>
          </w:p>
        </w:tc>
      </w:tr>
      <w:tr>
        <w:trPr>
          <w:trHeight w:val="422"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金运数字技术（武汉）有限公司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6</w:t>
            </w:r>
          </w:p>
        </w:tc>
        <w:tc>
          <w:tcPr>
            <w:tcW w:w="2042" w:type="dxa"/>
            <w:vMerge/>
            <w:tcBorders>
              <w:left w:val="single" w:sz="4" w:space="0" w:color="000000"/>
              <w:right w:val="nil" w:sz="6" w:space="0" w:color="auto"/>
            </w:tcBorders>
          </w:tcPr>
          <w:p>
            <w:pPr/>
          </w:p>
        </w:tc>
      </w:tr>
      <w:tr>
        <w:trPr>
          <w:trHeight w:val="422"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武汉金运互动传媒有限公司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6</w:t>
            </w:r>
          </w:p>
        </w:tc>
        <w:tc>
          <w:tcPr>
            <w:tcW w:w="2042" w:type="dxa"/>
            <w:vMerge/>
            <w:tcBorders>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7"/>
          <w:szCs w:val="27"/>
        </w:rPr>
      </w:pPr>
    </w:p>
    <w:p>
      <w:pPr>
        <w:pStyle w:val="BodyText"/>
        <w:spacing w:line="357" w:lineRule="auto" w:before="44"/>
        <w:ind w:left="1494" w:right="1072"/>
        <w:jc w:val="left"/>
      </w:pPr>
      <w:r>
        <w:rPr/>
        <w:t>（二）人力资源方面 在人才队伍建设方面</w:t>
      </w:r>
      <w:r>
        <w:rPr>
          <w:rFonts w:ascii="Times New Roman" w:hAnsi="Times New Roman" w:cs="Times New Roman" w:eastAsia="Times New Roman" w:hint="default"/>
        </w:rPr>
        <w:t>:1</w:t>
      </w:r>
      <w:r>
        <w:rPr/>
        <w:t>、通过新产品研发、技术营销和质量控制工作的开展，培养了一批复合型的技术和管理带头人；</w:t>
      </w:r>
    </w:p>
    <w:p>
      <w:pPr>
        <w:pStyle w:val="BodyText"/>
        <w:spacing w:line="214" w:lineRule="exact"/>
        <w:ind w:left="1134" w:right="0"/>
        <w:jc w:val="left"/>
      </w:pPr>
      <w:r>
        <w:rPr>
          <w:rFonts w:ascii="Times New Roman" w:hAnsi="Times New Roman" w:cs="Times New Roman" w:eastAsia="Times New Roman" w:hint="default"/>
        </w:rPr>
        <w:t>2</w:t>
      </w:r>
      <w:r>
        <w:rPr/>
        <w:t>、关键岗位引进高端人才，同时，实行工作考核淘汰低能低效员工；结合公司阶段性发展特征制定适当的激励约束机制以</w:t>
      </w:r>
    </w:p>
    <w:p>
      <w:pPr>
        <w:pStyle w:val="BodyText"/>
        <w:spacing w:line="312" w:lineRule="auto" w:before="63"/>
        <w:ind w:left="1134" w:right="1028"/>
        <w:jc w:val="left"/>
      </w:pPr>
      <w:r>
        <w:rPr>
          <w:spacing w:val="-3"/>
        </w:rPr>
        <w:t>逐步建立一支高素质、精干、高效的员工队伍。现有科研人员 </w:t>
      </w:r>
      <w:r>
        <w:rPr>
          <w:rFonts w:ascii="Times New Roman" w:hAnsi="Times New Roman" w:cs="Times New Roman" w:eastAsia="Times New Roman" w:hint="default"/>
        </w:rPr>
        <w:t>60 </w:t>
      </w:r>
      <w:r>
        <w:rPr>
          <w:spacing w:val="-3"/>
        </w:rPr>
        <w:t>人，占职工总数的</w:t>
      </w:r>
      <w:r>
        <w:rPr>
          <w:spacing w:val="-65"/>
        </w:rPr>
        <w:t> </w:t>
      </w:r>
      <w:r>
        <w:rPr>
          <w:rFonts w:ascii="Times New Roman" w:hAnsi="Times New Roman" w:cs="Times New Roman" w:eastAsia="Times New Roman" w:hint="default"/>
          <w:spacing w:val="-3"/>
        </w:rPr>
        <w:t>21.12%</w:t>
      </w:r>
      <w:r>
        <w:rPr>
          <w:spacing w:val="-3"/>
        </w:rPr>
        <w:t>，研发人员专业涉及机械、电气、</w:t>
      </w:r>
      <w:r>
        <w:rPr/>
        <w:t> </w:t>
      </w:r>
      <w:r>
        <w:rPr>
          <w:spacing w:val="-2"/>
        </w:rPr>
        <w:t>数控、机器人、自动化控制等多个学科，能够严格执行公司的质量方针和质量目标，能满足数控智能装备、工业机器人产品</w:t>
      </w:r>
      <w:r>
        <w:rPr>
          <w:spacing w:val="-66"/>
        </w:rPr>
        <w:t> </w:t>
      </w:r>
      <w:r>
        <w:rPr>
          <w:spacing w:val="-66"/>
        </w:rPr>
      </w:r>
      <w:r>
        <w:rPr>
          <w:spacing w:val="-2"/>
        </w:rPr>
        <w:t>的开发、零件设计、试制、实验等各种需要，坚实的理论基础，丰富的实践经验、严谨的工作作风、良好的团队精神，使公</w:t>
      </w:r>
      <w:r>
        <w:rPr>
          <w:spacing w:val="-66"/>
        </w:rPr>
        <w:t> </w:t>
      </w:r>
      <w:r>
        <w:rPr>
          <w:spacing w:val="-66"/>
        </w:rPr>
      </w:r>
      <w:r>
        <w:rPr/>
        <w:t>司研发团队具备强大的科研开发能力。</w:t>
      </w:r>
    </w:p>
    <w:p>
      <w:pPr>
        <w:spacing w:after="0" w:line="31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391" w:lineRule="auto"/>
        <w:ind w:left="1133" w:right="1130"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2"/>
        </w:rPr>
        <w:t>年，在国家宏观经济持续结构性调整、传统产业亟待转型升级、构建核心技术推进智能制造、推</w:t>
      </w:r>
      <w:r>
        <w:rPr/>
        <w:t> </w:t>
      </w:r>
      <w:r>
        <w:rPr>
          <w:spacing w:val="-4"/>
          <w:w w:val="100"/>
        </w:rPr>
        <w:t>动</w:t>
      </w:r>
      <w:r>
        <w:rPr>
          <w:rFonts w:ascii="Times New Roman" w:hAnsi="Times New Roman" w:cs="Times New Roman" w:eastAsia="Times New Roman" w:hint="default"/>
          <w:spacing w:val="-4"/>
          <w:w w:val="100"/>
        </w:rPr>
        <w:t>“</w:t>
      </w:r>
      <w:r>
        <w:rPr>
          <w:spacing w:val="-4"/>
          <w:w w:val="100"/>
        </w:rPr>
        <w:t>四新</w:t>
      </w:r>
      <w:r>
        <w:rPr>
          <w:rFonts w:ascii="Times New Roman" w:hAnsi="Times New Roman" w:cs="Times New Roman" w:eastAsia="Times New Roman" w:hint="default"/>
          <w:spacing w:val="-4"/>
          <w:w w:val="100"/>
        </w:rPr>
        <w:t>”</w:t>
      </w:r>
      <w:r>
        <w:rPr>
          <w:spacing w:val="-4"/>
          <w:w w:val="100"/>
        </w:rPr>
        <w:t>领域探索和发展、金融去杠杆等外部环境下，公司坚定围绕</w:t>
      </w:r>
      <w:r>
        <w:rPr>
          <w:rFonts w:ascii="Times New Roman" w:hAnsi="Times New Roman" w:cs="Times New Roman" w:eastAsia="Times New Roman" w:hint="default"/>
          <w:spacing w:val="-4"/>
          <w:w w:val="100"/>
        </w:rPr>
        <w:t>“</w:t>
      </w:r>
      <w:r>
        <w:rPr>
          <w:spacing w:val="-4"/>
          <w:w w:val="100"/>
        </w:rPr>
        <w:t>数字技术商业化应用解决方案云平台</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4"/>
          <w:w w:val="100"/>
        </w:rPr>
        <w:t> </w:t>
      </w:r>
      <w:r>
        <w:rPr/>
        <w:t>的战略发展规划，潜心打造</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机制</w:t>
      </w:r>
      <w:r>
        <w:rPr>
          <w:rFonts w:ascii="Times New Roman" w:hAnsi="Times New Roman" w:cs="Times New Roman" w:eastAsia="Times New Roman" w:hint="default"/>
        </w:rPr>
        <w:t>”</w:t>
      </w:r>
      <w:r>
        <w:rPr/>
        <w:t>的核心竞争力，加大研发投入，持续探索并通过相关项目市场试</w:t>
      </w:r>
      <w:r>
        <w:rPr>
          <w:spacing w:val="-26"/>
        </w:rPr>
        <w:t> </w:t>
      </w:r>
      <w:r>
        <w:rPr>
          <w:spacing w:val="-26"/>
        </w:rPr>
      </w:r>
      <w:r>
        <w:rPr>
          <w:spacing w:val="-1"/>
        </w:rPr>
        <w:t>水的方式，不断探寻市场需求以调整业务发展的可行盈利模式；同时，将原投资和效率不足资产进行客观</w:t>
      </w:r>
      <w:r>
        <w:rPr>
          <w:spacing w:val="-83"/>
        </w:rPr>
        <w:t> </w:t>
      </w:r>
      <w:r>
        <w:rPr>
          <w:spacing w:val="-83"/>
        </w:rPr>
      </w:r>
      <w:r>
        <w:rPr/>
        <w:t>必要的清理和处置，为后续优化资产配置、提高资产质量打下了基础。截至目前，公司</w:t>
      </w:r>
      <w:r>
        <w:rPr>
          <w:rFonts w:ascii="Times New Roman" w:hAnsi="Times New Roman" w:cs="Times New Roman" w:eastAsia="Times New Roman" w:hint="default"/>
        </w:rPr>
        <w:t>“</w:t>
      </w:r>
      <w:r>
        <w:rPr/>
        <w:t>高端数字激光装</w:t>
      </w:r>
      <w:r>
        <w:rPr>
          <w:spacing w:val="-14"/>
        </w:rPr>
        <w:t> </w:t>
      </w:r>
      <w:r>
        <w:rPr>
          <w:spacing w:val="-14"/>
        </w:rPr>
      </w:r>
      <w:r>
        <w:rPr>
          <w:spacing w:val="-2"/>
        </w:rPr>
        <w:t>备制造</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三维数字技术商业化应用</w:t>
      </w:r>
      <w:r>
        <w:rPr>
          <w:rFonts w:ascii="Times New Roman" w:hAnsi="Times New Roman" w:cs="Times New Roman" w:eastAsia="Times New Roman" w:hint="default"/>
          <w:spacing w:val="-2"/>
        </w:rPr>
        <w:t>”</w:t>
      </w:r>
      <w:r>
        <w:rPr>
          <w:spacing w:val="-2"/>
        </w:rPr>
        <w:t>两大板块的业务，其业务方向明确、资产精简有效，为加强内生快速</w:t>
      </w:r>
      <w:r>
        <w:rPr>
          <w:spacing w:val="-103"/>
        </w:rPr>
        <w:t> </w:t>
      </w:r>
      <w:r>
        <w:rPr>
          <w:spacing w:val="-103"/>
        </w:rPr>
      </w:r>
      <w:r>
        <w:rPr/>
        <w:t>发展做了较为全面和充分的布局准备，并有利于围绕业务主线针对性地做有协同效应的外延并购扩展。</w:t>
      </w:r>
    </w:p>
    <w:p>
      <w:pPr>
        <w:pStyle w:val="Heading4"/>
        <w:spacing w:line="391" w:lineRule="auto" w:before="99"/>
        <w:ind w:left="1133" w:right="1110" w:firstLine="420"/>
        <w:jc w:val="both"/>
      </w:pPr>
      <w:r>
        <w:rPr>
          <w:spacing w:val="-3"/>
        </w:rPr>
        <w:t>报告期内，公司营业收入</w:t>
      </w:r>
      <w:r>
        <w:rPr>
          <w:spacing w:val="-48"/>
        </w:rPr>
        <w:t> </w:t>
      </w:r>
      <w:r>
        <w:rPr>
          <w:rFonts w:ascii="Times New Roman" w:hAnsi="Times New Roman" w:cs="Times New Roman" w:eastAsia="Times New Roman" w:hint="default"/>
        </w:rPr>
        <w:t>18494.95</w:t>
      </w:r>
      <w:r>
        <w:rPr>
          <w:rFonts w:ascii="Times New Roman" w:hAnsi="Times New Roman" w:cs="Times New Roman" w:eastAsia="Times New Roman" w:hint="default"/>
          <w:spacing w:val="4"/>
        </w:rPr>
        <w:t> </w:t>
      </w:r>
      <w:r>
        <w:rPr>
          <w:spacing w:val="-3"/>
        </w:rPr>
        <w:t>万元，较上年同期减少</w:t>
      </w:r>
      <w:r>
        <w:rPr>
          <w:spacing w:val="-48"/>
        </w:rPr>
        <w:t> </w:t>
      </w:r>
      <w:r>
        <w:rPr>
          <w:rFonts w:ascii="Times New Roman" w:hAnsi="Times New Roman" w:cs="Times New Roman" w:eastAsia="Times New Roman" w:hint="default"/>
          <w:spacing w:val="-3"/>
        </w:rPr>
        <w:t>1.27%</w:t>
      </w:r>
      <w:r>
        <w:rPr>
          <w:spacing w:val="-3"/>
        </w:rPr>
        <w:t>；营业成本</w:t>
      </w:r>
      <w:r>
        <w:rPr>
          <w:spacing w:val="-48"/>
        </w:rPr>
        <w:t> </w:t>
      </w:r>
      <w:r>
        <w:rPr>
          <w:rFonts w:ascii="Times New Roman" w:hAnsi="Times New Roman" w:cs="Times New Roman" w:eastAsia="Times New Roman" w:hint="default"/>
        </w:rPr>
        <w:t>12995.88</w:t>
      </w:r>
      <w:r>
        <w:rPr>
          <w:rFonts w:ascii="Times New Roman" w:hAnsi="Times New Roman" w:cs="Times New Roman" w:eastAsia="Times New Roman" w:hint="default"/>
          <w:spacing w:val="4"/>
        </w:rPr>
        <w:t> </w:t>
      </w:r>
      <w:r>
        <w:rPr>
          <w:spacing w:val="-4"/>
        </w:rPr>
        <w:t>万元，较上年同</w:t>
      </w:r>
      <w:r>
        <w:rPr/>
        <w:t> 期增长</w:t>
      </w:r>
      <w:r>
        <w:rPr>
          <w:spacing w:val="-46"/>
        </w:rPr>
        <w:t> </w:t>
      </w:r>
      <w:r>
        <w:rPr>
          <w:rFonts w:ascii="Times New Roman" w:hAnsi="Times New Roman" w:cs="Times New Roman" w:eastAsia="Times New Roman" w:hint="default"/>
        </w:rPr>
        <w:t>9.78%</w:t>
      </w:r>
      <w:r>
        <w:rPr/>
        <w:t>；</w:t>
      </w:r>
      <w:r>
        <w:rPr>
          <w:spacing w:val="-2"/>
        </w:rPr>
        <w:t> </w:t>
      </w:r>
      <w:r>
        <w:rPr/>
        <w:t>公司销售费用</w:t>
      </w:r>
      <w:r>
        <w:rPr>
          <w:spacing w:val="-46"/>
        </w:rPr>
        <w:t> </w:t>
      </w:r>
      <w:r>
        <w:rPr>
          <w:rFonts w:ascii="Times New Roman" w:hAnsi="Times New Roman" w:cs="Times New Roman" w:eastAsia="Times New Roman" w:hint="default"/>
        </w:rPr>
        <w:t>3122.48</w:t>
      </w:r>
      <w:r>
        <w:rPr>
          <w:rFonts w:ascii="Times New Roman" w:hAnsi="Times New Roman" w:cs="Times New Roman" w:eastAsia="Times New Roman" w:hint="default"/>
          <w:spacing w:val="7"/>
        </w:rPr>
        <w:t> </w:t>
      </w:r>
      <w:r>
        <w:rPr/>
        <w:t>万元，较上年同期减少</w:t>
      </w:r>
      <w:r>
        <w:rPr>
          <w:spacing w:val="-46"/>
        </w:rPr>
        <w:t> </w:t>
      </w:r>
      <w:r>
        <w:rPr>
          <w:rFonts w:ascii="Times New Roman" w:hAnsi="Times New Roman" w:cs="Times New Roman" w:eastAsia="Times New Roman" w:hint="default"/>
        </w:rPr>
        <w:t>6.79%</w:t>
      </w:r>
      <w:r>
        <w:rPr/>
        <w:t>；管理费用</w:t>
      </w:r>
      <w:r>
        <w:rPr>
          <w:spacing w:val="-46"/>
        </w:rPr>
        <w:t> </w:t>
      </w:r>
      <w:r>
        <w:rPr>
          <w:rFonts w:ascii="Times New Roman" w:hAnsi="Times New Roman" w:cs="Times New Roman" w:eastAsia="Times New Roman" w:hint="default"/>
        </w:rPr>
        <w:t>3771.82</w:t>
      </w:r>
      <w:r>
        <w:rPr>
          <w:rFonts w:ascii="Times New Roman" w:hAnsi="Times New Roman" w:cs="Times New Roman" w:eastAsia="Times New Roman" w:hint="default"/>
          <w:spacing w:val="7"/>
        </w:rPr>
        <w:t> </w:t>
      </w:r>
      <w:r>
        <w:rPr/>
        <w:t>万元，较上年同 期增加</w:t>
      </w:r>
      <w:r>
        <w:rPr>
          <w:spacing w:val="-60"/>
        </w:rPr>
        <w:t> </w:t>
      </w:r>
      <w:r>
        <w:rPr>
          <w:rFonts w:ascii="Times New Roman" w:hAnsi="Times New Roman" w:cs="Times New Roman" w:eastAsia="Times New Roman" w:hint="default"/>
        </w:rPr>
        <w:t>60.28%</w:t>
      </w:r>
      <w:r>
        <w:rPr/>
        <w:t>；归属于母公司所有者的净利润</w:t>
      </w:r>
      <w:r>
        <w:rPr>
          <w:rFonts w:ascii="Times New Roman" w:hAnsi="Times New Roman" w:cs="Times New Roman" w:eastAsia="Times New Roman" w:hint="default"/>
        </w:rPr>
        <w:t>-4234.51</w:t>
      </w:r>
      <w:r>
        <w:rPr>
          <w:rFonts w:ascii="Times New Roman" w:hAnsi="Times New Roman" w:cs="Times New Roman" w:eastAsia="Times New Roman" w:hint="default"/>
          <w:spacing w:val="-8"/>
        </w:rPr>
        <w:t> </w:t>
      </w:r>
      <w:r>
        <w:rPr/>
        <w:t>万元，较上年同期减少</w:t>
      </w:r>
      <w:r>
        <w:rPr>
          <w:spacing w:val="-60"/>
        </w:rPr>
        <w:t> </w:t>
      </w:r>
      <w:r>
        <w:rPr>
          <w:rFonts w:ascii="Times New Roman" w:hAnsi="Times New Roman" w:cs="Times New Roman" w:eastAsia="Times New Roman" w:hint="default"/>
        </w:rPr>
        <w:t>728.82%</w:t>
      </w:r>
      <w:r>
        <w:rPr/>
        <w:t>。本期业绩亏损的 主要原因系：报告期内，公司对可能出现减值迹象的存货、无形资产、长期股权投资等进行了减值测试， 经过全面梳理和分析后对其相应计提了大额减值准备。</w:t>
      </w:r>
    </w:p>
    <w:p>
      <w:pPr>
        <w:pStyle w:val="Heading4"/>
        <w:spacing w:line="240" w:lineRule="auto" w:before="99"/>
        <w:ind w:left="1554" w:right="0"/>
        <w:jc w:val="left"/>
      </w:pPr>
      <w:r>
        <w:rPr/>
        <w:t>截至本报告期末，公司总资产 </w:t>
      </w:r>
      <w:r>
        <w:rPr>
          <w:rFonts w:ascii="Times New Roman" w:hAnsi="Times New Roman" w:cs="Times New Roman" w:eastAsia="Times New Roman" w:hint="default"/>
        </w:rPr>
        <w:t>35123.27  </w:t>
      </w:r>
      <w:r>
        <w:rPr/>
        <w:t>万元，归属于母公司所有者权益 </w:t>
      </w:r>
      <w:r>
        <w:rPr>
          <w:rFonts w:ascii="Times New Roman" w:hAnsi="Times New Roman" w:cs="Times New Roman" w:eastAsia="Times New Roman" w:hint="default"/>
        </w:rPr>
        <w:t>24345.90  </w:t>
      </w:r>
      <w:r>
        <w:rPr>
          <w:rFonts w:ascii="Times New Roman" w:hAnsi="Times New Roman" w:cs="Times New Roman" w:eastAsia="Times New Roman" w:hint="default"/>
          <w:spacing w:val="21"/>
        </w:rPr>
        <w:t> </w:t>
      </w:r>
      <w:r>
        <w:rPr/>
        <w:t>万元，负债合计</w:t>
      </w:r>
    </w:p>
    <w:p>
      <w:pPr>
        <w:pStyle w:val="Heading4"/>
        <w:spacing w:line="240" w:lineRule="auto" w:before="178"/>
        <w:ind w:left="1134" w:right="0"/>
        <w:jc w:val="left"/>
      </w:pPr>
      <w:r>
        <w:rPr>
          <w:rFonts w:ascii="Times New Roman" w:hAnsi="Times New Roman" w:cs="Times New Roman" w:eastAsia="Times New Roman" w:hint="default"/>
        </w:rPr>
        <w:t>10086.50 </w:t>
      </w:r>
      <w:r>
        <w:rPr/>
        <w:t>万元，资产负债率</w:t>
      </w:r>
      <w:r>
        <w:rPr>
          <w:spacing w:val="-56"/>
        </w:rPr>
        <w:t> </w:t>
      </w:r>
      <w:r>
        <w:rPr>
          <w:rFonts w:ascii="Times New Roman" w:hAnsi="Times New Roman" w:cs="Times New Roman" w:eastAsia="Times New Roman" w:hint="default"/>
        </w:rPr>
        <w:t>28.72%</w:t>
      </w:r>
      <w:r>
        <w:rPr/>
        <w:t>。</w:t>
      </w:r>
    </w:p>
    <w:p>
      <w:pPr>
        <w:spacing w:line="240" w:lineRule="auto" w:before="8"/>
        <w:rPr>
          <w:rFonts w:ascii="宋体" w:hAnsi="宋体" w:cs="宋体" w:eastAsia="宋体" w:hint="default"/>
          <w:sz w:val="16"/>
          <w:szCs w:val="16"/>
        </w:rPr>
      </w:pPr>
    </w:p>
    <w:p>
      <w:pPr>
        <w:pStyle w:val="Heading4"/>
        <w:spacing w:line="444" w:lineRule="auto"/>
        <w:ind w:right="3403" w:hanging="420"/>
        <w:jc w:val="left"/>
      </w:pPr>
      <w:r>
        <w:rPr>
          <w:rFonts w:ascii="宋体" w:hAnsi="宋体" w:cs="宋体" w:eastAsia="宋体" w:hint="default"/>
          <w:b/>
          <w:bCs/>
        </w:rPr>
        <w:t>（一）主营业务介绍</w:t>
      </w:r>
      <w:r>
        <w:rPr>
          <w:rFonts w:ascii="宋体" w:hAnsi="宋体" w:cs="宋体" w:eastAsia="宋体" w:hint="default"/>
          <w:b/>
          <w:bCs/>
          <w:w w:val="99"/>
        </w:rPr>
        <w:t> </w:t>
      </w:r>
      <w:r>
        <w:rPr/>
        <w:t>报告期内，公司根据确立的数字技术商业化发展战略，继续细化执行方案。 </w:t>
      </w:r>
      <w:r>
        <w:rPr>
          <w:rFonts w:ascii="Times New Roman" w:hAnsi="Times New Roman" w:cs="Times New Roman" w:eastAsia="Times New Roman" w:hint="default"/>
        </w:rPr>
        <w:t>1</w:t>
      </w:r>
      <w:r>
        <w:rPr/>
        <w:t>、高端数字激光装备制造业务板块</w:t>
      </w:r>
    </w:p>
    <w:p>
      <w:pPr>
        <w:pStyle w:val="Heading4"/>
        <w:spacing w:line="398" w:lineRule="auto" w:before="18"/>
        <w:ind w:left="1133" w:right="1024" w:firstLine="420"/>
        <w:jc w:val="left"/>
      </w:pPr>
      <w:r>
        <w:rPr>
          <w:spacing w:val="-3"/>
        </w:rPr>
        <w:t>强力推进激光加工行业应用解决方案，并再次聚焦发展。（</w:t>
      </w:r>
      <w:r>
        <w:rPr>
          <w:rFonts w:ascii="Times New Roman" w:hAnsi="Times New Roman" w:cs="Times New Roman" w:eastAsia="Times New Roman" w:hint="default"/>
          <w:spacing w:val="-3"/>
        </w:rPr>
        <w:t>1</w:t>
      </w:r>
      <w:r>
        <w:rPr>
          <w:spacing w:val="-3"/>
        </w:rPr>
        <w:t>）柔性材料激光深耕于纺织服装、鞋材及</w:t>
      </w:r>
      <w:r>
        <w:rPr/>
        <w:t> 工业滤布、汽车内饰行业的应用。力争通过多年的沉淀后，成为行业应用的绝对领导品牌，提升传统行业 </w:t>
      </w:r>
      <w:r>
        <w:rPr>
          <w:spacing w:val="-3"/>
        </w:rPr>
        <w:t>的效率，推进数字化技术在传统行业中的应用。（</w:t>
      </w:r>
      <w:r>
        <w:rPr>
          <w:rFonts w:ascii="Times New Roman" w:hAnsi="Times New Roman" w:cs="Times New Roman" w:eastAsia="Times New Roman" w:hint="default"/>
          <w:spacing w:val="-3"/>
        </w:rPr>
        <w:t>2</w:t>
      </w:r>
      <w:r>
        <w:rPr>
          <w:spacing w:val="-3"/>
        </w:rPr>
        <w:t>）金属材料激光加工领域聚焦拓展切管机在各行业中的</w:t>
      </w:r>
      <w:r>
        <w:rPr>
          <w:spacing w:val="-95"/>
        </w:rPr>
        <w:t> </w:t>
      </w:r>
      <w:r>
        <w:rPr>
          <w:spacing w:val="-95"/>
        </w:rPr>
      </w:r>
      <w:r>
        <w:rPr>
          <w:spacing w:val="-3"/>
        </w:rPr>
        <w:t>应用，并积极推广智能车间解决方案，帮助传统产业升级改造、减人增效，最终成为以激光切管机为基础，</w:t>
      </w:r>
      <w:r>
        <w:rPr>
          <w:spacing w:val="-95"/>
        </w:rPr>
        <w:t> </w:t>
      </w:r>
      <w:r>
        <w:rPr>
          <w:spacing w:val="-95"/>
        </w:rPr>
      </w:r>
      <w:r>
        <w:rPr/>
        <w:t>智能车间管理软件为重要抓手的激光切管行业领先品牌。</w:t>
      </w:r>
    </w:p>
    <w:p>
      <w:pPr>
        <w:pStyle w:val="Heading4"/>
        <w:spacing w:line="240" w:lineRule="auto" w:before="95"/>
        <w:ind w:left="1554" w:right="0"/>
        <w:jc w:val="left"/>
      </w:pPr>
      <w:r>
        <w:rPr>
          <w:rFonts w:ascii="Times New Roman" w:hAnsi="Times New Roman" w:cs="Times New Roman" w:eastAsia="Times New Roman" w:hint="default"/>
        </w:rPr>
        <w:t>2</w:t>
      </w:r>
      <w:r>
        <w:rPr/>
        <w:t>、三维数字化技术应用新业务板块</w:t>
      </w:r>
    </w:p>
    <w:p>
      <w:pPr>
        <w:spacing w:line="240" w:lineRule="auto" w:before="6"/>
        <w:rPr>
          <w:rFonts w:ascii="宋体" w:hAnsi="宋体" w:cs="宋体" w:eastAsia="宋体" w:hint="default"/>
          <w:sz w:val="16"/>
          <w:szCs w:val="16"/>
        </w:rPr>
      </w:pPr>
    </w:p>
    <w:p>
      <w:pPr>
        <w:pStyle w:val="Heading4"/>
        <w:spacing w:line="386" w:lineRule="auto"/>
        <w:ind w:left="1133" w:right="1130" w:firstLine="420"/>
        <w:jc w:val="both"/>
      </w:pPr>
      <w:r>
        <w:rPr/>
        <w:t>公司利用长期构建的三维数字互动、三维全息、</w:t>
      </w:r>
      <w:r>
        <w:rPr>
          <w:rFonts w:ascii="Times New Roman" w:hAnsi="Times New Roman" w:cs="Times New Roman" w:eastAsia="Times New Roman" w:hint="default"/>
        </w:rPr>
        <w:t>AR/VR</w:t>
      </w:r>
      <w:r>
        <w:rPr/>
        <w:t>、</w:t>
      </w:r>
      <w:r>
        <w:rPr>
          <w:rFonts w:ascii="Times New Roman" w:hAnsi="Times New Roman" w:cs="Times New Roman" w:eastAsia="Times New Roman" w:hint="default"/>
        </w:rPr>
        <w:t>3D</w:t>
      </w:r>
      <w:r>
        <w:rPr>
          <w:rFonts w:ascii="Times New Roman" w:hAnsi="Times New Roman" w:cs="Times New Roman" w:eastAsia="Times New Roman" w:hint="default"/>
          <w:spacing w:val="21"/>
        </w:rPr>
        <w:t> </w:t>
      </w:r>
      <w:r>
        <w:rPr/>
        <w:t>打印、人工智能、大数据等技术，进一 步聚焦应用行业，在前期探索的</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及衍生品行业，总结出一套较为完善的为</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及衍生品提供商业化变现</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5"/>
        <w:ind w:left="1133" w:right="0"/>
        <w:jc w:val="left"/>
      </w:pPr>
      <w:r>
        <w:rPr/>
        <w:t>解决方案，逐步开始为影视、动漫、游戏行业的</w:t>
      </w:r>
      <w:r>
        <w:rPr>
          <w:spacing w:val="-53"/>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方或发行推广方提供相应的服务。</w:t>
      </w:r>
    </w:p>
    <w:p>
      <w:pPr>
        <w:spacing w:line="240" w:lineRule="auto" w:before="8"/>
        <w:rPr>
          <w:rFonts w:ascii="宋体" w:hAnsi="宋体" w:cs="宋体" w:eastAsia="宋体" w:hint="default"/>
          <w:sz w:val="16"/>
          <w:szCs w:val="16"/>
        </w:rPr>
      </w:pPr>
    </w:p>
    <w:p>
      <w:pPr>
        <w:pStyle w:val="Heading4"/>
        <w:spacing w:line="240" w:lineRule="auto"/>
        <w:ind w:right="0"/>
        <w:jc w:val="left"/>
      </w:pPr>
      <w:r>
        <w:rPr/>
        <w:t>（</w:t>
      </w:r>
      <w:r>
        <w:rPr>
          <w:rFonts w:ascii="Times New Roman" w:hAnsi="Times New Roman" w:cs="Times New Roman" w:eastAsia="Times New Roman" w:hint="default"/>
        </w:rPr>
        <w:t>1</w:t>
      </w:r>
      <w:r>
        <w:rPr/>
        <w:t>）继续聚焦</w:t>
      </w:r>
      <w:r>
        <w:rPr>
          <w:spacing w:val="-55"/>
        </w:rPr>
        <w:t> </w:t>
      </w:r>
      <w:r>
        <w:rPr>
          <w:rFonts w:ascii="Times New Roman" w:hAnsi="Times New Roman" w:cs="Times New Roman" w:eastAsia="Times New Roman" w:hint="default"/>
        </w:rPr>
        <w:t>IP</w:t>
      </w:r>
      <w:r>
        <w:rPr>
          <w:rFonts w:ascii="Times New Roman" w:hAnsi="Times New Roman" w:cs="Times New Roman" w:eastAsia="Times New Roman" w:hint="default"/>
          <w:spacing w:val="-3"/>
        </w:rPr>
        <w:t> </w:t>
      </w:r>
      <w:r>
        <w:rPr/>
        <w:t>商业化变现解决方案</w:t>
      </w:r>
    </w:p>
    <w:p>
      <w:pPr>
        <w:spacing w:line="240" w:lineRule="auto" w:before="8"/>
        <w:rPr>
          <w:rFonts w:ascii="宋体" w:hAnsi="宋体" w:cs="宋体" w:eastAsia="宋体" w:hint="default"/>
          <w:sz w:val="16"/>
          <w:szCs w:val="16"/>
        </w:rPr>
      </w:pPr>
    </w:p>
    <w:p>
      <w:pPr>
        <w:pStyle w:val="Heading4"/>
        <w:spacing w:line="386" w:lineRule="auto"/>
        <w:ind w:left="1133" w:right="1013" w:firstLine="420"/>
        <w:jc w:val="left"/>
      </w:pPr>
      <w:r>
        <w:rPr>
          <w:spacing w:val="-5"/>
        </w:rPr>
        <w:t>报告期内，公司继续在为</w:t>
      </w:r>
      <w:r>
        <w:rPr>
          <w:spacing w:val="-65"/>
        </w:rPr>
        <w:t> </w:t>
      </w:r>
      <w:r>
        <w:rPr>
          <w:rFonts w:ascii="Times New Roman" w:hAnsi="Times New Roman" w:cs="Times New Roman" w:eastAsia="Times New Roman" w:hint="default"/>
        </w:rPr>
        <w:t>IP</w:t>
      </w:r>
      <w:r>
        <w:rPr>
          <w:rFonts w:ascii="Times New Roman" w:hAnsi="Times New Roman" w:cs="Times New Roman" w:eastAsia="Times New Roman" w:hint="default"/>
          <w:spacing w:val="-13"/>
        </w:rPr>
        <w:t> </w:t>
      </w:r>
      <w:r>
        <w:rPr/>
        <w:t>方提供商业化变现的服务方向上聚焦发展：充分利用公司多年来在三维数 字化方向上构建的技术团队，在商业推广方面沉淀的经验，将三维全息互动展示、</w:t>
      </w:r>
      <w:r>
        <w:rPr>
          <w:rFonts w:ascii="Times New Roman" w:hAnsi="Times New Roman" w:cs="Times New Roman" w:eastAsia="Times New Roman" w:hint="default"/>
        </w:rPr>
        <w:t>AR/VR</w:t>
      </w:r>
      <w:r>
        <w:rPr/>
        <w:t>、人工智能、大 数据人物画像、</w:t>
      </w:r>
      <w:r>
        <w:rPr>
          <w:rFonts w:ascii="Times New Roman" w:hAnsi="Times New Roman" w:cs="Times New Roman" w:eastAsia="Times New Roman" w:hint="default"/>
        </w:rPr>
        <w:t>3D</w:t>
      </w:r>
      <w:r>
        <w:rPr>
          <w:rFonts w:ascii="Times New Roman" w:hAnsi="Times New Roman" w:cs="Times New Roman" w:eastAsia="Times New Roman" w:hint="default"/>
          <w:spacing w:val="-4"/>
        </w:rPr>
        <w:t> </w:t>
      </w:r>
      <w:r>
        <w:rPr/>
        <w:t>打印等先进技术和文化行业的</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进行有效结合，为</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spacing w:val="-4"/>
        </w:rPr>
        <w:t>方在商圈、院线、景区、学校周</w:t>
      </w:r>
      <w:r>
        <w:rPr/>
        <w:t> 边等场景提供硬件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服务的</w:t>
      </w:r>
      <w:r>
        <w:rPr>
          <w:spacing w:val="-64"/>
        </w:rPr>
        <w:t> </w:t>
      </w:r>
      <w:r>
        <w:rPr>
          <w:rFonts w:ascii="Times New Roman" w:hAnsi="Times New Roman" w:cs="Times New Roman" w:eastAsia="Times New Roman" w:hint="default"/>
        </w:rPr>
        <w:t>IP</w:t>
      </w:r>
      <w:r>
        <w:rPr>
          <w:rFonts w:ascii="Times New Roman" w:hAnsi="Times New Roman" w:cs="Times New Roman" w:eastAsia="Times New Roman" w:hint="default"/>
          <w:spacing w:val="-11"/>
        </w:rPr>
        <w:t> </w:t>
      </w:r>
      <w:r>
        <w:rPr/>
        <w:t>内容及衍生品的推广解决方案。在硬件方面，集合公司多年设备 制造的经验和团队，快速开发了几代适合</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衍生品销售的体验式智能无人零售终端，为</w:t>
      </w:r>
      <w:r>
        <w:rPr>
          <w:spacing w:val="-47"/>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衍生品的线下 </w:t>
      </w:r>
      <w:r>
        <w:rPr>
          <w:spacing w:val="-3"/>
        </w:rPr>
        <w:t>销售提供了一种新的渠道方案；在软件方面，结合新零售的应用模式，开发了多套适合</w:t>
      </w:r>
      <w:r>
        <w:rPr>
          <w:spacing w:val="-50"/>
        </w:rPr>
        <w:t> </w:t>
      </w:r>
      <w:r>
        <w:rPr>
          <w:rFonts w:ascii="Times New Roman" w:hAnsi="Times New Roman" w:cs="Times New Roman" w:eastAsia="Times New Roman" w:hint="default"/>
        </w:rPr>
        <w:t>IP </w:t>
      </w:r>
      <w:r>
        <w:rPr/>
        <w:t>方前端推广和后</w:t>
      </w:r>
      <w:r>
        <w:rPr>
          <w:spacing w:val="-101"/>
        </w:rPr>
        <w:t> </w:t>
      </w:r>
      <w:r>
        <w:rPr/>
        <w:t>端管理的应用软件，打通线上线下来融合销售衍生品；在内容方面，分析当今 </w:t>
      </w:r>
      <w:r>
        <w:rPr>
          <w:rFonts w:ascii="Times New Roman" w:hAnsi="Times New Roman" w:cs="Times New Roman" w:eastAsia="Times New Roman" w:hint="default"/>
        </w:rPr>
        <w:t>90 </w:t>
      </w:r>
      <w:r>
        <w:rPr/>
        <w:t>后、</w:t>
      </w:r>
      <w:r>
        <w:rPr>
          <w:rFonts w:ascii="Times New Roman" w:hAnsi="Times New Roman" w:cs="Times New Roman" w:eastAsia="Times New Roman" w:hint="default"/>
        </w:rPr>
        <w:t>00</w:t>
      </w:r>
      <w:r>
        <w:rPr>
          <w:rFonts w:ascii="Times New Roman" w:hAnsi="Times New Roman" w:cs="Times New Roman" w:eastAsia="Times New Roman" w:hint="default"/>
          <w:spacing w:val="-25"/>
        </w:rPr>
        <w:t> </w:t>
      </w:r>
      <w:r>
        <w:rPr/>
        <w:t>后年轻群体的消 费习惯以及</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5"/>
        </w:rPr>
        <w:t> </w:t>
      </w:r>
      <w:r>
        <w:rPr>
          <w:spacing w:val="-3"/>
        </w:rPr>
        <w:t>衍生品的销售特性，应用</w:t>
      </w:r>
      <w:r>
        <w:rPr>
          <w:spacing w:val="-57"/>
        </w:rPr>
        <w:t> </w:t>
      </w:r>
      <w:r>
        <w:rPr>
          <w:rFonts w:ascii="Times New Roman" w:hAnsi="Times New Roman" w:cs="Times New Roman" w:eastAsia="Times New Roman" w:hint="default"/>
        </w:rPr>
        <w:t>AR/VR</w:t>
      </w:r>
      <w:r>
        <w:rPr>
          <w:rFonts w:ascii="Times New Roman" w:hAnsi="Times New Roman" w:cs="Times New Roman" w:eastAsia="Times New Roman" w:hint="default"/>
          <w:spacing w:val="-4"/>
        </w:rPr>
        <w:t> </w:t>
      </w:r>
      <w:r>
        <w:rPr/>
        <w:t>三维全息互动展示等技术，开发了多个</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5"/>
        </w:rPr>
        <w:t> </w:t>
      </w:r>
      <w:r>
        <w:rPr>
          <w:spacing w:val="-5"/>
        </w:rPr>
        <w:t>的体验项目，并</w:t>
      </w:r>
      <w:r>
        <w:rPr/>
        <w:t> 复合在体验式智能无人零售终端上，打通了用户在</w:t>
      </w:r>
      <w:r>
        <w:rPr>
          <w:spacing w:val="-59"/>
        </w:rPr>
        <w:t> </w:t>
      </w:r>
      <w:r>
        <w:rPr>
          <w:rFonts w:ascii="Times New Roman" w:hAnsi="Times New Roman" w:cs="Times New Roman" w:eastAsia="Times New Roman" w:hint="default"/>
        </w:rPr>
        <w:t>IP</w:t>
      </w:r>
      <w:r>
        <w:rPr>
          <w:rFonts w:ascii="Times New Roman" w:hAnsi="Times New Roman" w:cs="Times New Roman" w:eastAsia="Times New Roman" w:hint="default"/>
          <w:spacing w:val="-8"/>
        </w:rPr>
        <w:t> </w:t>
      </w:r>
      <w:r>
        <w:rPr/>
        <w:t>内容和</w:t>
      </w:r>
      <w:r>
        <w:rPr>
          <w:spacing w:val="-60"/>
        </w:rPr>
        <w:t> </w:t>
      </w:r>
      <w:r>
        <w:rPr>
          <w:rFonts w:ascii="Times New Roman" w:hAnsi="Times New Roman" w:cs="Times New Roman" w:eastAsia="Times New Roman" w:hint="default"/>
        </w:rPr>
        <w:t>IP</w:t>
      </w:r>
      <w:r>
        <w:rPr>
          <w:rFonts w:ascii="Times New Roman" w:hAnsi="Times New Roman" w:cs="Times New Roman" w:eastAsia="Times New Roman" w:hint="default"/>
          <w:spacing w:val="-8"/>
        </w:rPr>
        <w:t> </w:t>
      </w:r>
      <w:r>
        <w:rPr>
          <w:spacing w:val="-3"/>
        </w:rPr>
        <w:t>衍生品方面的隔阻，提升了用户的体验感，</w:t>
      </w:r>
      <w:r>
        <w:rPr/>
        <w:t> 促进了</w:t>
      </w:r>
      <w:r>
        <w:rPr>
          <w:spacing w:val="-40"/>
        </w:rPr>
        <w:t> </w:t>
      </w:r>
      <w:r>
        <w:rPr>
          <w:rFonts w:ascii="Times New Roman" w:hAnsi="Times New Roman" w:cs="Times New Roman" w:eastAsia="Times New Roman" w:hint="default"/>
        </w:rPr>
        <w:t>IP</w:t>
      </w:r>
      <w:r>
        <w:rPr>
          <w:rFonts w:ascii="Times New Roman" w:hAnsi="Times New Roman" w:cs="Times New Roman" w:eastAsia="Times New Roman" w:hint="default"/>
          <w:spacing w:val="12"/>
        </w:rPr>
        <w:t> </w:t>
      </w:r>
      <w:r>
        <w:rPr/>
        <w:t>衍生品的消费；在服务方面，公司为</w:t>
      </w:r>
      <w:r>
        <w:rPr>
          <w:spacing w:val="-40"/>
        </w:rPr>
        <w:t> </w:t>
      </w:r>
      <w:r>
        <w:rPr>
          <w:rFonts w:ascii="Times New Roman" w:hAnsi="Times New Roman" w:cs="Times New Roman" w:eastAsia="Times New Roman" w:hint="default"/>
        </w:rPr>
        <w:t>IP</w:t>
      </w:r>
      <w:r>
        <w:rPr>
          <w:rFonts w:ascii="Times New Roman" w:hAnsi="Times New Roman" w:cs="Times New Roman" w:eastAsia="Times New Roman" w:hint="default"/>
          <w:spacing w:val="12"/>
        </w:rPr>
        <w:t> </w:t>
      </w:r>
      <w:r>
        <w:rPr/>
        <w:t>方和应用场景方，提供了设备销售、租赁、</w:t>
      </w:r>
      <w:r>
        <w:rPr>
          <w:rFonts w:ascii="Times New Roman" w:hAnsi="Times New Roman" w:cs="Times New Roman" w:eastAsia="Times New Roman" w:hint="default"/>
        </w:rPr>
        <w:t>SAAS</w:t>
      </w:r>
      <w:r>
        <w:rPr>
          <w:rFonts w:ascii="Times New Roman" w:hAnsi="Times New Roman" w:cs="Times New Roman" w:eastAsia="Times New Roman" w:hint="default"/>
          <w:spacing w:val="12"/>
        </w:rPr>
        <w:t> </w:t>
      </w:r>
      <w:r>
        <w:rPr/>
        <w:t>软件 </w:t>
      </w:r>
      <w:r>
        <w:rPr>
          <w:spacing w:val="-9"/>
        </w:rPr>
        <w:t>的销售，内容的创意制作等多种灵活服务手段，创新性的为</w:t>
      </w:r>
      <w:r>
        <w:rPr/>
        <w:t> </w:t>
      </w:r>
      <w:r>
        <w:rPr>
          <w:rFonts w:ascii="Times New Roman" w:hAnsi="Times New Roman" w:cs="Times New Roman" w:eastAsia="Times New Roman" w:hint="default"/>
          <w:spacing w:val="-1"/>
          <w:w w:val="99"/>
        </w:rPr>
        <w:t>IP</w:t>
      </w:r>
      <w:r>
        <w:rPr>
          <w:rFonts w:ascii="Times New Roman" w:hAnsi="Times New Roman" w:cs="Times New Roman" w:eastAsia="Times New Roman" w:hint="default"/>
          <w:spacing w:val="-28"/>
          <w:w w:val="99"/>
        </w:rPr>
        <w:t> </w:t>
      </w:r>
      <w:r>
        <w:rPr/>
        <w:t>方及相关方开拓了一种全新的整合营销策略。</w:t>
      </w:r>
    </w:p>
    <w:p>
      <w:pPr>
        <w:pStyle w:val="Heading4"/>
        <w:spacing w:line="240" w:lineRule="auto" w:before="75"/>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3D</w:t>
      </w:r>
      <w:r>
        <w:rPr>
          <w:rFonts w:ascii="Times New Roman" w:hAnsi="Times New Roman" w:cs="Times New Roman" w:eastAsia="Times New Roman" w:hint="default"/>
          <w:spacing w:val="-4"/>
        </w:rPr>
        <w:t> </w:t>
      </w:r>
      <w:r>
        <w:rPr/>
        <w:t>打印应用</w:t>
      </w:r>
    </w:p>
    <w:p>
      <w:pPr>
        <w:spacing w:line="240" w:lineRule="auto" w:before="7"/>
        <w:rPr>
          <w:rFonts w:ascii="宋体" w:hAnsi="宋体" w:cs="宋体" w:eastAsia="宋体" w:hint="default"/>
          <w:sz w:val="16"/>
          <w:szCs w:val="16"/>
        </w:rPr>
      </w:pPr>
    </w:p>
    <w:p>
      <w:pPr>
        <w:pStyle w:val="Heading4"/>
        <w:spacing w:line="386" w:lineRule="auto"/>
        <w:ind w:left="1134" w:right="1128" w:firstLine="420"/>
        <w:jc w:val="both"/>
      </w:pPr>
      <w:r>
        <w:rPr/>
        <w:t>在 </w:t>
      </w:r>
      <w:r>
        <w:rPr>
          <w:rFonts w:ascii="Times New Roman" w:hAnsi="Times New Roman" w:cs="Times New Roman" w:eastAsia="Times New Roman" w:hint="default"/>
        </w:rPr>
        <w:t>3D </w:t>
      </w:r>
      <w:r>
        <w:rPr/>
        <w:t>打印应用领域，进一步聚焦 </w:t>
      </w:r>
      <w:r>
        <w:rPr>
          <w:rFonts w:ascii="Times New Roman" w:hAnsi="Times New Roman" w:cs="Times New Roman" w:eastAsia="Times New Roman" w:hint="default"/>
        </w:rPr>
        <w:t>3D</w:t>
      </w:r>
      <w:r>
        <w:rPr>
          <w:rFonts w:ascii="Times New Roman" w:hAnsi="Times New Roman" w:cs="Times New Roman" w:eastAsia="Times New Roman" w:hint="default"/>
          <w:spacing w:val="-14"/>
        </w:rPr>
        <w:t> </w:t>
      </w:r>
      <w:r>
        <w:rPr/>
        <w:t>打印人偶的发展方向，通过原创设计和整合开发，已开发出系 列可动换脸、换头发、换衣服、换配饰的时尚潮流的</w:t>
      </w:r>
      <w:r>
        <w:rPr>
          <w:spacing w:val="38"/>
        </w:rPr>
        <w:t> </w:t>
      </w:r>
      <w:r>
        <w:rPr>
          <w:rFonts w:ascii="Times New Roman" w:hAnsi="Times New Roman" w:cs="Times New Roman" w:eastAsia="Times New Roman" w:hint="default"/>
        </w:rPr>
        <w:t>Sa&amp;Mo</w:t>
      </w:r>
      <w:r>
        <w:rPr/>
        <w:t>（砂糖小姐、摩卡先生）系列人偶，今后将</w:t>
      </w:r>
      <w:r>
        <w:rPr>
          <w:spacing w:val="-100"/>
        </w:rPr>
        <w:t> </w:t>
      </w:r>
      <w:r>
        <w:rPr>
          <w:spacing w:val="-100"/>
        </w:rPr>
      </w:r>
      <w:r>
        <w:rPr/>
        <w:t>通过线上云平台和线下合作的无人零售终端实现销售。</w:t>
      </w:r>
    </w:p>
    <w:p>
      <w:pPr>
        <w:pStyle w:val="Heading4"/>
        <w:spacing w:line="386" w:lineRule="auto" w:before="104"/>
        <w:ind w:left="1134" w:right="1013" w:firstLine="420"/>
        <w:jc w:val="left"/>
      </w:pPr>
      <w:r>
        <w:rPr>
          <w:rFonts w:ascii="Times New Roman" w:hAnsi="Times New Roman" w:cs="Times New Roman" w:eastAsia="Times New Roman" w:hint="default"/>
          <w:w w:val="99"/>
        </w:rPr>
        <w:t>3D</w:t>
      </w:r>
      <w:r>
        <w:rPr>
          <w:rFonts w:ascii="Times New Roman" w:hAnsi="Times New Roman" w:cs="Times New Roman" w:eastAsia="Times New Roman" w:hint="default"/>
          <w:spacing w:val="3"/>
          <w:w w:val="99"/>
        </w:rPr>
        <w:t> </w:t>
      </w:r>
      <w:r>
        <w:rPr>
          <w:spacing w:val="-4"/>
        </w:rPr>
        <w:t>打印云工厂团队通过人偶的开发和生产，逐步总结出一套能为</w:t>
      </w:r>
      <w:r>
        <w:rPr>
          <w:spacing w:val="-49"/>
        </w:rPr>
        <w:t> </w:t>
      </w:r>
      <w:r>
        <w:rPr>
          <w:rFonts w:ascii="Times New Roman" w:hAnsi="Times New Roman" w:cs="Times New Roman" w:eastAsia="Times New Roman" w:hint="default"/>
          <w:spacing w:val="-1"/>
          <w:w w:val="99"/>
        </w:rPr>
        <w:t>IP</w:t>
      </w:r>
      <w:r>
        <w:rPr>
          <w:rFonts w:ascii="Times New Roman" w:hAnsi="Times New Roman" w:cs="Times New Roman" w:eastAsia="Times New Roman" w:hint="default"/>
          <w:spacing w:val="2"/>
          <w:w w:val="99"/>
        </w:rPr>
        <w:t> </w:t>
      </w:r>
      <w:r>
        <w:rPr/>
        <w:t>方提供快速生产的柔性化生产线， 为</w:t>
      </w:r>
      <w:r>
        <w:rPr>
          <w:spacing w:val="-54"/>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打印在</w:t>
      </w:r>
      <w:r>
        <w:rPr>
          <w:spacing w:val="-54"/>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衍生品的生产应用打开一条通路。</w:t>
      </w:r>
    </w:p>
    <w:p>
      <w:pPr>
        <w:pStyle w:val="Heading4"/>
        <w:spacing w:line="240" w:lineRule="auto" w:before="75"/>
        <w:ind w:left="1554" w:right="0"/>
        <w:jc w:val="left"/>
      </w:pPr>
      <w:r>
        <w:rPr/>
        <w:t>教育行业的</w:t>
      </w:r>
      <w:r>
        <w:rPr>
          <w:spacing w:val="-53"/>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打印创客教室的解决方案在稳步的推进中，报告期内中标了部分学校建造项目。</w:t>
      </w:r>
    </w:p>
    <w:p>
      <w:pPr>
        <w:spacing w:line="240" w:lineRule="auto" w:before="8"/>
        <w:rPr>
          <w:rFonts w:ascii="宋体" w:hAnsi="宋体" w:cs="宋体" w:eastAsia="宋体" w:hint="default"/>
          <w:sz w:val="16"/>
          <w:szCs w:val="16"/>
        </w:rPr>
      </w:pPr>
    </w:p>
    <w:p>
      <w:pPr>
        <w:pStyle w:val="Heading3"/>
        <w:spacing w:line="240" w:lineRule="auto"/>
        <w:ind w:left="1134" w:right="0"/>
        <w:jc w:val="left"/>
        <w:rPr>
          <w:b w:val="0"/>
          <w:bCs w:val="0"/>
        </w:rPr>
      </w:pPr>
      <w:r>
        <w:rPr/>
        <w:t>（二）公司治理与</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运行</w:t>
      </w:r>
      <w:r>
        <w:rPr>
          <w:b w:val="0"/>
          <w:bCs w:val="0"/>
        </w:rPr>
      </w:r>
    </w:p>
    <w:p>
      <w:pPr>
        <w:spacing w:line="240" w:lineRule="auto" w:before="8"/>
        <w:rPr>
          <w:rFonts w:ascii="宋体" w:hAnsi="宋体" w:cs="宋体" w:eastAsia="宋体" w:hint="default"/>
          <w:b/>
          <w:bCs/>
          <w:sz w:val="16"/>
          <w:szCs w:val="16"/>
        </w:rPr>
      </w:pPr>
    </w:p>
    <w:p>
      <w:pPr>
        <w:pStyle w:val="Heading4"/>
        <w:spacing w:line="240" w:lineRule="auto"/>
        <w:ind w:left="1554" w:right="0"/>
        <w:jc w:val="left"/>
      </w:pPr>
      <w:r>
        <w:rPr>
          <w:spacing w:val="-3"/>
        </w:rPr>
        <w:t>报告期内，公司共召开董事会会议</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5"/>
        </w:rPr>
        <w:t>次，监事会会议</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6"/>
        </w:rPr>
        <w:t>次，股东大会</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次，审议了员工持股计划展期、</w:t>
      </w:r>
    </w:p>
    <w:p>
      <w:pPr>
        <w:pStyle w:val="Heading4"/>
        <w:spacing w:line="386" w:lineRule="auto" w:before="177"/>
        <w:ind w:left="1134" w:right="1014"/>
        <w:jc w:val="left"/>
      </w:pPr>
      <w:r>
        <w:rPr/>
        <w:t>关联交易、投资基金变更、定期报告在内的多个重大事项，共完成定期报告披露</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次，临时报告</w:t>
      </w:r>
      <w:r>
        <w:rPr>
          <w:spacing w:val="-60"/>
        </w:rPr>
        <w:t> </w:t>
      </w:r>
      <w:r>
        <w:rPr>
          <w:rFonts w:ascii="Times New Roman" w:hAnsi="Times New Roman" w:cs="Times New Roman" w:eastAsia="Times New Roman" w:hint="default"/>
        </w:rPr>
        <w:t>70</w:t>
      </w:r>
      <w:r>
        <w:rPr>
          <w:rFonts w:ascii="Times New Roman" w:hAnsi="Times New Roman" w:cs="Times New Roman" w:eastAsia="Times New Roman" w:hint="default"/>
          <w:spacing w:val="-7"/>
        </w:rPr>
        <w:t> </w:t>
      </w:r>
      <w:r>
        <w:rPr/>
        <w:t>余项， 按相关规定履行信息披露义务。</w:t>
      </w:r>
    </w:p>
    <w:p>
      <w:pPr>
        <w:pStyle w:val="Heading4"/>
        <w:spacing w:line="403" w:lineRule="auto" w:before="103"/>
        <w:ind w:left="1134" w:right="1131" w:firstLine="420"/>
        <w:jc w:val="both"/>
      </w:pPr>
      <w:r>
        <w:rPr>
          <w:spacing w:val="-1"/>
        </w:rPr>
        <w:t>报告期内，公司严格按照深交所《上市规则》和《规范运作指引》中规定的公司治理机制运作，加强</w:t>
      </w:r>
      <w:r>
        <w:rPr/>
        <w:t> </w:t>
      </w:r>
      <w:r>
        <w:rPr>
          <w:spacing w:val="-1"/>
        </w:rPr>
        <w:t>标准体系建设，全面提升规范化管理水平，进一步加强上市公司规范化管理，强化股东大会、董事会、监</w:t>
      </w:r>
      <w:r>
        <w:rPr>
          <w:spacing w:val="-82"/>
        </w:rPr>
        <w:t> </w:t>
      </w:r>
      <w:r>
        <w:rPr>
          <w:spacing w:val="-82"/>
        </w:rPr>
      </w:r>
      <w:r>
        <w:rPr/>
        <w:t>事会</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运行，及时、准确、完整的地履行上市公司的信息披露义务。公司董事、监事、高管均勤勉尽 </w:t>
      </w:r>
      <w:r>
        <w:rPr>
          <w:spacing w:val="-1"/>
        </w:rPr>
        <w:t>责，充分履行了权利和义务，充分尊重和保障了投资者尤其是中小投资者的合法权益，公司整体治理水平</w:t>
      </w:r>
      <w:r>
        <w:rPr>
          <w:spacing w:val="-83"/>
        </w:rPr>
        <w:t> </w:t>
      </w:r>
      <w:r>
        <w:rPr>
          <w:spacing w:val="-83"/>
        </w:rPr>
      </w:r>
      <w:r>
        <w:rPr/>
        <w:t>较上一个报告期有所提升。</w:t>
      </w:r>
    </w:p>
    <w:p>
      <w:pPr>
        <w:spacing w:after="0" w:line="403"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41" w:lineRule="auto" w:before="175"/>
        <w:ind w:right="1018" w:hanging="420"/>
        <w:jc w:val="left"/>
      </w:pPr>
      <w:r>
        <w:rPr>
          <w:rFonts w:ascii="宋体" w:hAnsi="宋体" w:cs="宋体" w:eastAsia="宋体" w:hint="default"/>
          <w:b/>
          <w:bCs/>
        </w:rPr>
        <w:t>（三）知识产权工作</w:t>
      </w:r>
      <w:r>
        <w:rPr>
          <w:rFonts w:ascii="宋体" w:hAnsi="宋体" w:cs="宋体" w:eastAsia="宋体" w:hint="default"/>
          <w:b/>
          <w:bCs/>
          <w:w w:val="99"/>
        </w:rPr>
        <w:t> </w:t>
      </w:r>
      <w:r>
        <w:rPr>
          <w:spacing w:val="-3"/>
        </w:rPr>
        <w:t>知识产权工作是构建公司核心竞争力，实现战略目标和跨越式发展的有效保障，是增强企业技术创新、</w:t>
      </w:r>
    </w:p>
    <w:p>
      <w:pPr>
        <w:pStyle w:val="Heading4"/>
        <w:spacing w:line="444" w:lineRule="auto" w:before="18"/>
        <w:ind w:right="4453" w:hanging="420"/>
        <w:jc w:val="left"/>
      </w:pPr>
      <w:r>
        <w:rPr/>
        <w:t>研发能力及加强高新技术产业化、构筑企业核心竞争力的有效途径。 报告期内，公司共新增专利数量</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件；新增软件著作权</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件；</w:t>
      </w:r>
    </w:p>
    <w:p>
      <w:pPr>
        <w:pStyle w:val="Heading4"/>
        <w:spacing w:line="240" w:lineRule="auto" w:before="18"/>
        <w:ind w:right="0"/>
        <w:jc w:val="left"/>
      </w:pPr>
      <w:r>
        <w:rPr/>
        <w:t>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日，公司及其全资子公司共拥有专利的总数为</w:t>
      </w:r>
      <w:r>
        <w:rPr>
          <w:spacing w:val="-45"/>
        </w:rPr>
        <w:t> </w:t>
      </w:r>
      <w:r>
        <w:rPr>
          <w:rFonts w:ascii="Times New Roman" w:hAnsi="Times New Roman" w:cs="Times New Roman" w:eastAsia="Times New Roman" w:hint="default"/>
        </w:rPr>
        <w:t>108</w:t>
      </w:r>
      <w:r>
        <w:rPr>
          <w:rFonts w:ascii="Times New Roman" w:hAnsi="Times New Roman" w:cs="Times New Roman" w:eastAsia="Times New Roman" w:hint="default"/>
          <w:spacing w:val="8"/>
        </w:rPr>
        <w:t> </w:t>
      </w:r>
      <w:r>
        <w:rPr/>
        <w:t>件，其中发明</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件，实用新</w:t>
      </w:r>
    </w:p>
    <w:p>
      <w:pPr>
        <w:pStyle w:val="Heading4"/>
        <w:spacing w:line="240" w:lineRule="auto" w:before="178"/>
        <w:ind w:left="1133" w:right="0"/>
        <w:jc w:val="left"/>
      </w:pPr>
      <w:r>
        <w:rPr/>
        <w:t>型</w:t>
      </w:r>
      <w:r>
        <w:rPr>
          <w:spacing w:val="-54"/>
        </w:rPr>
        <w:t> </w:t>
      </w:r>
      <w:r>
        <w:rPr>
          <w:rFonts w:ascii="Times New Roman" w:hAnsi="Times New Roman" w:cs="Times New Roman" w:eastAsia="Times New Roman" w:hint="default"/>
        </w:rPr>
        <w:t>67 </w:t>
      </w:r>
      <w:r>
        <w:rPr/>
        <w:t>件，外观专利</w:t>
      </w:r>
      <w:r>
        <w:rPr>
          <w:spacing w:val="-54"/>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件；拥有注册商标</w:t>
      </w:r>
      <w:r>
        <w:rPr>
          <w:spacing w:val="-53"/>
        </w:rPr>
        <w:t> </w:t>
      </w:r>
      <w:r>
        <w:rPr>
          <w:rFonts w:ascii="Times New Roman" w:hAnsi="Times New Roman" w:cs="Times New Roman" w:eastAsia="Times New Roman" w:hint="default"/>
        </w:rPr>
        <w:t>99</w:t>
      </w:r>
      <w:r>
        <w:rPr>
          <w:rFonts w:ascii="Times New Roman" w:hAnsi="Times New Roman" w:cs="Times New Roman" w:eastAsia="Times New Roman" w:hint="default"/>
          <w:spacing w:val="-1"/>
        </w:rPr>
        <w:t> </w:t>
      </w:r>
      <w:r>
        <w:rPr/>
        <w:t>件，其中国内</w:t>
      </w:r>
      <w:r>
        <w:rPr>
          <w:spacing w:val="-54"/>
        </w:rPr>
        <w:t> </w:t>
      </w:r>
      <w:r>
        <w:rPr>
          <w:rFonts w:ascii="Times New Roman" w:hAnsi="Times New Roman" w:cs="Times New Roman" w:eastAsia="Times New Roman" w:hint="default"/>
        </w:rPr>
        <w:t>93</w:t>
      </w:r>
      <w:r>
        <w:rPr>
          <w:rFonts w:ascii="Times New Roman" w:hAnsi="Times New Roman" w:cs="Times New Roman" w:eastAsia="Times New Roman" w:hint="default"/>
          <w:spacing w:val="-2"/>
        </w:rPr>
        <w:t> </w:t>
      </w:r>
      <w:r>
        <w:rPr/>
        <w:t>件，国外</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件；拥有著作权总数</w:t>
      </w:r>
      <w:r>
        <w:rPr>
          <w:spacing w:val="-53"/>
        </w:rPr>
        <w:t> </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t>件。</w:t>
      </w:r>
    </w:p>
    <w:p>
      <w:pPr>
        <w:spacing w:line="240" w:lineRule="auto" w:before="8"/>
        <w:rPr>
          <w:rFonts w:ascii="宋体" w:hAnsi="宋体" w:cs="宋体" w:eastAsia="宋体" w:hint="default"/>
          <w:sz w:val="16"/>
          <w:szCs w:val="16"/>
        </w:rPr>
      </w:pPr>
    </w:p>
    <w:p>
      <w:pPr>
        <w:spacing w:line="444" w:lineRule="auto" w:before="0"/>
        <w:ind w:left="1553" w:right="0" w:hanging="420"/>
        <w:jc w:val="left"/>
        <w:rPr>
          <w:rFonts w:ascii="宋体" w:hAnsi="宋体" w:cs="宋体" w:eastAsia="宋体" w:hint="default"/>
          <w:sz w:val="21"/>
          <w:szCs w:val="21"/>
        </w:rPr>
      </w:pPr>
      <w:r>
        <w:rPr>
          <w:rFonts w:ascii="宋体" w:hAnsi="宋体" w:cs="宋体" w:eastAsia="宋体" w:hint="default"/>
          <w:b/>
          <w:bCs/>
          <w:sz w:val="21"/>
          <w:szCs w:val="21"/>
        </w:rPr>
        <w:t>（四）人力资源与企业文化建设</w:t>
      </w:r>
      <w:r>
        <w:rPr>
          <w:rFonts w:ascii="宋体" w:hAnsi="宋体" w:cs="宋体" w:eastAsia="宋体" w:hint="default"/>
          <w:b/>
          <w:bCs/>
          <w:w w:val="99"/>
          <w:sz w:val="21"/>
          <w:szCs w:val="21"/>
        </w:rPr>
        <w:t> </w:t>
      </w:r>
      <w:r>
        <w:rPr>
          <w:rFonts w:ascii="宋体" w:hAnsi="宋体" w:cs="宋体" w:eastAsia="宋体" w:hint="default"/>
          <w:spacing w:val="-1"/>
          <w:sz w:val="21"/>
          <w:szCs w:val="21"/>
        </w:rPr>
        <w:t>人才是公司核心竞争力的重要方面，公司坚持实施有利于企业可持续发展的人力资源政策。公司注重</w:t>
      </w:r>
    </w:p>
    <w:p>
      <w:pPr>
        <w:pStyle w:val="Heading4"/>
        <w:spacing w:line="408" w:lineRule="auto" w:before="14"/>
        <w:ind w:left="1133" w:right="1109"/>
        <w:jc w:val="both"/>
      </w:pPr>
      <w:r>
        <w:rPr/>
        <w:t>人才的引进和培养，通过建设科学的招聘体系，坚持与全国各重点高校进行对接，培养挖掘高潜力人才； </w:t>
      </w:r>
      <w:r>
        <w:rPr>
          <w:spacing w:val="-1"/>
        </w:rPr>
        <w:t>统一指导制定各分子公司年度人力资源规划；通过同行业薪酬调研，建立有行业竞争力的薪酬体系；出台</w:t>
      </w:r>
      <w:r>
        <w:rPr>
          <w:spacing w:val="-83"/>
        </w:rPr>
        <w:t> </w:t>
      </w:r>
      <w:r>
        <w:rPr>
          <w:spacing w:val="-83"/>
        </w:rPr>
      </w:r>
      <w:r>
        <w:rPr>
          <w:spacing w:val="-1"/>
        </w:rPr>
        <w:t>各种激励方案，如实施员工持股计划等，吸引和留住人才与公司一道着眼于长远发展。同时，组织丰富的</w:t>
      </w:r>
      <w:r>
        <w:rPr>
          <w:spacing w:val="-86"/>
        </w:rPr>
        <w:t> </w:t>
      </w:r>
      <w:r>
        <w:rPr>
          <w:spacing w:val="-86"/>
        </w:rPr>
      </w:r>
      <w:r>
        <w:rPr/>
        <w:t>文娱活动加强团队的凝聚力，为骨干员工创造生机勃勃的工作环境。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338" w:lineRule="auto" w:before="29"/>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left="1134"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3" w:type="dxa"/>
        <w:tblLayout w:type="fixed"/>
        <w:tblCellMar>
          <w:top w:w="0" w:type="dxa"/>
          <w:left w:w="0" w:type="dxa"/>
          <w:bottom w:w="0" w:type="dxa"/>
          <w:right w:w="0" w:type="dxa"/>
        </w:tblCellMar>
        <w:tblLook w:val="01E0"/>
      </w:tblPr>
      <w:tblGrid>
        <w:gridCol w:w="1592"/>
        <w:gridCol w:w="1597"/>
        <w:gridCol w:w="1589"/>
        <w:gridCol w:w="1599"/>
        <w:gridCol w:w="1588"/>
        <w:gridCol w:w="1594"/>
      </w:tblGrid>
      <w:tr>
        <w:trPr>
          <w:trHeight w:val="402" w:hRule="exact"/>
        </w:trPr>
        <w:tc>
          <w:tcPr>
            <w:tcW w:w="1592"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7" w:hRule="exact"/>
        </w:trPr>
        <w:tc>
          <w:tcPr>
            <w:tcW w:w="15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184,949,471.36</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187,330,676.17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r>
        <w:trPr>
          <w:trHeight w:val="397" w:hRule="exact"/>
        </w:trPr>
        <w:tc>
          <w:tcPr>
            <w:tcW w:w="9559"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159,223,736.19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135,534,152.85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72.35%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25,725,735.17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51,796,523.32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-50.33%</w:t>
            </w:r>
          </w:p>
        </w:tc>
      </w:tr>
      <w:tr>
        <w:trPr>
          <w:trHeight w:val="402" w:hRule="exact"/>
        </w:trPr>
        <w:tc>
          <w:tcPr>
            <w:tcW w:w="9559"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轴系列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37,507,541.50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30,309,281.90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4,347,356.89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8,369,598.86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4.47%</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-48.06%</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20,361,624.26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18,126,886.45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97,007,213.54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78,728,385.64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23.22%</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25,725,735.17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51,796,523.32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-50.33%</w:t>
            </w:r>
          </w:p>
        </w:tc>
      </w:tr>
      <w:tr>
        <w:trPr>
          <w:trHeight w:val="402" w:hRule="exact"/>
        </w:trPr>
        <w:tc>
          <w:tcPr>
            <w:tcW w:w="9559"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50,401,016.16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57,558,656.15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30.73%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6,869,398.09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11,301,241.66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-39.22%</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31,208,068.68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31,599,439.05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16.87%</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1,529,018.45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862,411.84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77.30%</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2,395,555.52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1,191,583.13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101.04%</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2,015,952.02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4,070,855.96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9,042,503.22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88,475,558.50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73,758,889.10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39.37%</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411" w:right="5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159,223,736.19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115,350,267.55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25,725,735.17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14,608,487.39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轴系列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37,507,541.50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26,421,663.00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21.90%</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20,361,624.26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9,718,929.42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固体激光产品系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97,007,213.54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76,377,024.69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25,725,735.17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14,608,487.39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50,401,016.16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42,560,923.70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-11.77%</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31,208,068.68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19,914,807.45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88,475,558.50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54,372,868.12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25.98%</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-2.95%</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594"/>
        <w:gridCol w:w="1571"/>
        <w:gridCol w:w="1607"/>
        <w:gridCol w:w="1594"/>
        <w:gridCol w:w="1594"/>
        <w:gridCol w:w="1580"/>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4" w:type="dxa"/>
            <w:vMerge w:val="restart"/>
            <w:tcBorders>
              <w:top w:val="single" w:sz="4" w:space="0" w:color="000000"/>
              <w:left w:val="nil" w:sz="6" w:space="0" w:color="auto"/>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-16.51%</w:t>
            </w:r>
          </w:p>
        </w:tc>
      </w:tr>
      <w:tr>
        <w:trPr>
          <w:trHeight w:val="402" w:hRule="exact"/>
        </w:trPr>
        <w:tc>
          <w:tcPr>
            <w:tcW w:w="1594" w:type="dxa"/>
            <w:vMerge/>
            <w:tcBorders>
              <w:left w:val="nil" w:sz="6" w:space="0" w:color="auto"/>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594" w:type="dxa"/>
            <w:vMerge/>
            <w:tcBorders>
              <w:left w:val="nil" w:sz="6" w:space="0" w:color="auto"/>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-14.68%</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left="113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93,136,455.17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72,593,782.56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28.30%</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22,213,812.38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17,236,879.88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28.87%</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11,010,137.19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21,356,683.58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-48.45%</w:t>
            </w:r>
          </w:p>
        </w:tc>
      </w:tr>
      <w:tr>
        <w:trPr>
          <w:trHeight w:val="403"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3,598,350.20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7,197,817.97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-50.01%</w:t>
            </w:r>
          </w:p>
        </w:tc>
      </w:tr>
    </w:tbl>
    <w:p>
      <w:pPr>
        <w:pStyle w:val="BodyText"/>
        <w:spacing w:line="240" w:lineRule="auto" w:before="51"/>
        <w:ind w:left="1134"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04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日，公司召开三届董事会二十五次会议，同意调整高投基金《关于共同设立武汉高投金运激光产业投资 </w:t>
      </w:r>
      <w:r>
        <w:rPr>
          <w:spacing w:val="-2"/>
        </w:rPr>
        <w:t>基金合伙企业（有限合伙）及湖北高投金运激光产业投资管理有限公司的发起人协议》及《武汉高投金运激光产业投资基金</w:t>
      </w:r>
      <w:r>
        <w:rPr>
          <w:spacing w:val="-66"/>
        </w:rPr>
        <w:t> </w:t>
      </w:r>
      <w:r>
        <w:rPr>
          <w:spacing w:val="-66"/>
        </w:rPr>
      </w:r>
      <w:r>
        <w:rPr>
          <w:spacing w:val="-4"/>
        </w:rPr>
        <w:t>合伙企业（有限合伙）合伙协议》的变更，变更的主要内容为：（</w:t>
      </w:r>
      <w:r>
        <w:rPr>
          <w:rFonts w:ascii="Times New Roman" w:hAnsi="Times New Roman" w:cs="Times New Roman" w:eastAsia="Times New Roman" w:hint="default"/>
          <w:spacing w:val="-4"/>
        </w:rPr>
        <w:t>1</w:t>
      </w:r>
      <w:r>
        <w:rPr>
          <w:spacing w:val="-4"/>
        </w:rPr>
        <w:t>）取消如高投基金拟投资的项目是由本公司选定，且对单</w:t>
      </w:r>
      <w:r>
        <w:rPr>
          <w:spacing w:val="-49"/>
        </w:rPr>
        <w:t> </w:t>
      </w:r>
      <w:r>
        <w:rPr>
          <w:spacing w:val="-49"/>
        </w:rPr>
      </w:r>
      <w:r>
        <w:rPr/>
        <w:t>个项目的合计投资金额不超过人民币</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万元时，投委会委托本公司对该项目进行决策并且为最终决策，投资决策结果报 </w:t>
      </w:r>
      <w:r>
        <w:rPr>
          <w:spacing w:val="-1"/>
        </w:rPr>
        <w:t>投委会备案的条款；（</w:t>
      </w:r>
      <w:r>
        <w:rPr>
          <w:rFonts w:ascii="Times New Roman" w:hAnsi="Times New Roman" w:cs="Times New Roman" w:eastAsia="Times New Roman" w:hint="default"/>
          <w:spacing w:val="-1"/>
        </w:rPr>
        <w:t>2</w:t>
      </w:r>
      <w:r>
        <w:rPr>
          <w:spacing w:val="-1"/>
        </w:rPr>
        <w:t>）取消本公司对高投基金所投项目承担回购责任，并保证项目回购年化收益率不低于</w:t>
      </w:r>
      <w:r>
        <w:rPr>
          <w:spacing w:val="32"/>
        </w:rPr>
        <w:t> </w:t>
      </w:r>
      <w:r>
        <w:rPr>
          <w:rFonts w:ascii="Times New Roman" w:hAnsi="Times New Roman" w:cs="Times New Roman" w:eastAsia="Times New Roman" w:hint="default"/>
        </w:rPr>
        <w:t>8.5%</w:t>
      </w:r>
      <w:r>
        <w:rPr/>
        <w:t>的承诺；</w:t>
      </w:r>
    </w:p>
    <w:p>
      <w:pPr>
        <w:pStyle w:val="BodyText"/>
        <w:spacing w:line="240" w:lineRule="auto" w:before="9"/>
        <w:ind w:right="0"/>
        <w:jc w:val="left"/>
      </w:pPr>
      <w:r>
        <w:rPr/>
        <w:t>（</w:t>
      </w:r>
      <w:r>
        <w:rPr>
          <w:rFonts w:ascii="Times New Roman" w:hAnsi="Times New Roman" w:cs="Times New Roman" w:eastAsia="Times New Roman" w:hint="default"/>
        </w:rPr>
        <w:t>3</w:t>
      </w:r>
      <w:r>
        <w:rPr/>
        <w:t>）基金各出资人的出资额调整为：湖北省高新技术产业投资有限公司（下称湖北高投）的出资额人民币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万元、湖</w:t>
      </w:r>
    </w:p>
    <w:p>
      <w:pPr>
        <w:pStyle w:val="BodyText"/>
        <w:spacing w:line="240" w:lineRule="auto" w:before="63"/>
        <w:ind w:right="0"/>
        <w:jc w:val="left"/>
      </w:pPr>
      <w:r>
        <w:rPr/>
        <w:t>北高投资本经营有限公司出资额人民币</w:t>
      </w:r>
      <w:r>
        <w:rPr>
          <w:spacing w:val="-45"/>
        </w:rPr>
        <w:t> </w:t>
      </w:r>
      <w:r>
        <w:rPr>
          <w:rFonts w:ascii="Times New Roman" w:hAnsi="Times New Roman" w:cs="Times New Roman" w:eastAsia="Times New Roman" w:hint="default"/>
        </w:rPr>
        <w:t>500 </w:t>
      </w:r>
      <w:r>
        <w:rPr/>
        <w:t>万元、本公司出资额由人民币</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万元调整为</w:t>
      </w:r>
      <w:r>
        <w:rPr>
          <w:spacing w:val="-44"/>
        </w:rPr>
        <w:t> </w:t>
      </w:r>
      <w:r>
        <w:rPr>
          <w:rFonts w:ascii="Times New Roman" w:hAnsi="Times New Roman" w:cs="Times New Roman" w:eastAsia="Times New Roman" w:hint="default"/>
        </w:rPr>
        <w:t>2,550</w:t>
      </w:r>
      <w:r>
        <w:rPr>
          <w:rFonts w:ascii="Times New Roman" w:hAnsi="Times New Roman" w:cs="Times New Roman" w:eastAsia="Times New Roman" w:hint="default"/>
          <w:spacing w:val="1"/>
        </w:rPr>
        <w:t> </w:t>
      </w:r>
      <w:r>
        <w:rPr/>
        <w:t>万元、高投金运出资额由</w:t>
      </w:r>
    </w:p>
    <w:p>
      <w:pPr>
        <w:pStyle w:val="BodyText"/>
        <w:spacing w:line="338" w:lineRule="auto" w:before="64"/>
        <w:ind w:left="1494" w:right="0" w:hanging="360"/>
        <w:jc w:val="left"/>
      </w:pPr>
      <w:r>
        <w:rPr/>
        <w:t>人民币</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万元调整为</w:t>
      </w:r>
      <w:r>
        <w:rPr>
          <w:spacing w:val="-46"/>
        </w:rPr>
        <w:t> </w:t>
      </w:r>
      <w:r>
        <w:rPr>
          <w:rFonts w:ascii="Times New Roman" w:hAnsi="Times New Roman" w:cs="Times New Roman" w:eastAsia="Times New Roman" w:hint="default"/>
        </w:rPr>
        <w:t>180 </w:t>
      </w:r>
      <w:r>
        <w:rPr/>
        <w:t>万元。 上述条款变更后，本公司不承担投资的主要风险及最大的回报可变性；基于《发起人协议》</w:t>
      </w:r>
      <w:r>
        <w:rPr>
          <w:rFonts w:ascii="Times New Roman" w:hAnsi="Times New Roman" w:cs="Times New Roman" w:eastAsia="Times New Roman" w:hint="default"/>
        </w:rPr>
        <w:t>“</w:t>
      </w:r>
      <w:r>
        <w:rPr/>
        <w:t>高投基金的投资事务由投</w:t>
      </w:r>
    </w:p>
    <w:p>
      <w:pPr>
        <w:pStyle w:val="BodyText"/>
        <w:spacing w:line="230" w:lineRule="exact"/>
        <w:ind w:right="0"/>
        <w:jc w:val="left"/>
      </w:pPr>
      <w:r>
        <w:rPr/>
        <w:t>委会决策，投委会由</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名成员组成，其中本公司推荐</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3"/>
        </w:rPr>
        <w:t>名、湖北高投推荐</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名，得到全体投委会三分之二赞成票的，投资决</w:t>
      </w:r>
    </w:p>
    <w:p>
      <w:pPr>
        <w:pStyle w:val="BodyText"/>
        <w:spacing w:line="302" w:lineRule="auto" w:before="63"/>
        <w:ind w:right="1118"/>
        <w:jc w:val="left"/>
      </w:pPr>
      <w:r>
        <w:rPr/>
        <w:t>策有效</w:t>
      </w:r>
      <w:r>
        <w:rPr>
          <w:rFonts w:ascii="Times New Roman" w:hAnsi="Times New Roman" w:cs="Times New Roman" w:eastAsia="Times New Roman" w:hint="default"/>
        </w:rPr>
        <w:t>”</w:t>
      </w:r>
      <w:r>
        <w:rPr/>
        <w:t>约定，本公司不能对投资事务进行决策，故不再享有对高投基金的控制权，在合并财务报表中不再将其纳入合并范</w:t>
      </w:r>
      <w:r>
        <w:rPr>
          <w:spacing w:val="-77"/>
        </w:rPr>
        <w:t> </w:t>
      </w:r>
      <w:r>
        <w:rPr>
          <w:spacing w:val="-77"/>
        </w:rPr>
      </w:r>
      <w:r>
        <w:rPr/>
        <w:t>围。</w:t>
      </w:r>
    </w:p>
    <w:p>
      <w:pPr>
        <w:pStyle w:val="BodyText"/>
        <w:spacing w:line="240" w:lineRule="auto" w:before="69"/>
        <w:ind w:left="149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日，高投基金完成出资额调整后，本公司实际出资额由</w:t>
      </w:r>
      <w:r>
        <w:rPr>
          <w:spacing w:val="-40"/>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万元变更为</w:t>
      </w:r>
      <w:r>
        <w:rPr>
          <w:spacing w:val="-39"/>
        </w:rPr>
        <w:t> </w:t>
      </w:r>
      <w:r>
        <w:rPr>
          <w:rFonts w:ascii="Times New Roman" w:hAnsi="Times New Roman" w:cs="Times New Roman" w:eastAsia="Times New Roman" w:hint="default"/>
        </w:rPr>
        <w:t>2,550</w:t>
      </w:r>
      <w:r>
        <w:rPr>
          <w:rFonts w:ascii="Times New Roman" w:hAnsi="Times New Roman" w:cs="Times New Roman" w:eastAsia="Times New Roman" w:hint="default"/>
          <w:spacing w:val="5"/>
        </w:rPr>
        <w:t> </w:t>
      </w:r>
      <w:r>
        <w:rPr/>
        <w:t>万元，占合伙企业份额</w:t>
      </w:r>
    </w:p>
    <w:p>
      <w:pPr>
        <w:pStyle w:val="BodyText"/>
        <w:spacing w:line="240" w:lineRule="auto" w:before="63"/>
        <w:ind w:left="1134" w:right="0"/>
        <w:jc w:val="left"/>
      </w:pPr>
      <w:r>
        <w:rPr>
          <w:rFonts w:ascii="Times New Roman" w:hAnsi="Times New Roman" w:cs="Times New Roman" w:eastAsia="Times New Roman" w:hint="default"/>
        </w:rPr>
        <w:t>50.5%</w:t>
      </w:r>
      <w:r>
        <w:rPr/>
        <w:t>，湖北高投出资额由</w:t>
      </w:r>
      <w:r>
        <w:rPr>
          <w:spacing w:val="-6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6"/>
        </w:rPr>
        <w:t> </w:t>
      </w:r>
      <w:r>
        <w:rPr/>
        <w:t>万元变更为</w:t>
      </w:r>
      <w:r>
        <w:rPr>
          <w:spacing w:val="-60"/>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5"/>
        </w:rPr>
        <w:t> </w:t>
      </w:r>
      <w:r>
        <w:rPr/>
        <w:t>万元，占合伙企业份额</w:t>
      </w:r>
      <w:r>
        <w:rPr>
          <w:spacing w:val="-61"/>
        </w:rPr>
        <w:t> </w:t>
      </w:r>
      <w:r>
        <w:rPr>
          <w:rFonts w:ascii="Times New Roman" w:hAnsi="Times New Roman" w:cs="Times New Roman" w:eastAsia="Times New Roman" w:hint="default"/>
        </w:rPr>
        <w:t>49.5%</w:t>
      </w:r>
      <w:r>
        <w:rPr/>
        <w:t>，丧失控制权之日，本公司在高投基金所占</w:t>
      </w:r>
    </w:p>
    <w:p>
      <w:pPr>
        <w:pStyle w:val="BodyText"/>
        <w:spacing w:line="240" w:lineRule="auto" w:before="64"/>
        <w:ind w:left="1134" w:right="0"/>
        <w:jc w:val="left"/>
      </w:pPr>
      <w:r>
        <w:rPr/>
        <w:t>份额的公允价值为</w:t>
      </w:r>
      <w:r>
        <w:rPr>
          <w:spacing w:val="-47"/>
        </w:rPr>
        <w:t> </w:t>
      </w:r>
      <w:r>
        <w:rPr>
          <w:rFonts w:ascii="Times New Roman" w:hAnsi="Times New Roman" w:cs="Times New Roman" w:eastAsia="Times New Roman" w:hint="default"/>
        </w:rPr>
        <w:t>24,837,214.79</w:t>
      </w:r>
      <w:r>
        <w:rPr>
          <w:rFonts w:ascii="Times New Roman" w:hAnsi="Times New Roman" w:cs="Times New Roman" w:eastAsia="Times New Roman" w:hint="default"/>
          <w:spacing w:val="-1"/>
        </w:rPr>
        <w:t> </w:t>
      </w:r>
      <w:r>
        <w:rPr/>
        <w:t>元，合并财务报表确认投资损失</w:t>
      </w:r>
      <w:r>
        <w:rPr>
          <w:spacing w:val="-47"/>
        </w:rPr>
        <w:t> </w:t>
      </w:r>
      <w:r>
        <w:rPr>
          <w:rFonts w:ascii="Times New Roman" w:hAnsi="Times New Roman" w:cs="Times New Roman" w:eastAsia="Times New Roman" w:hint="default"/>
        </w:rPr>
        <w:t>6,586.98</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24,985,206.51</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13.51%</w:t>
            </w:r>
          </w:p>
        </w:tc>
      </w:tr>
      <w:tr>
        <w:trPr>
          <w:trHeight w:val="714"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6,389,149.63</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5,287,642.14</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4,653,659.53</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4,653,045.81</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4,001,709.40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24,985,206.51</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13.51%</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50,065,004.85</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41.57%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910"/>
        <w:gridCol w:w="3180"/>
        <w:gridCol w:w="2322"/>
        <w:gridCol w:w="3129"/>
      </w:tblGrid>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2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19,629,606.84</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13,865,161.05</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5,958,589.75</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5,416,501.47</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5,195,145.74</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50,065,004.85</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41.57%</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90"/>
        <w:gridCol w:w="1649"/>
        <w:gridCol w:w="1637"/>
        <w:gridCol w:w="1462"/>
        <w:gridCol w:w="2904"/>
      </w:tblGrid>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31,224,790.28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33,498,722.66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37,718,204.25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23,532,383.49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60.28%</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报告期内公司加大研发投入所致</w:t>
            </w: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3,310,370.52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1,733,438.85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90.97%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报告期内汇兑损益增加所致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报告期内，根据公司的发展战略，公司继续加大在高端数字激光加工装备制造板块和三维数字技术应用板块的项目研发</w:t>
      </w:r>
    </w:p>
    <w:p>
      <w:pPr>
        <w:pStyle w:val="BodyText"/>
        <w:spacing w:line="319" w:lineRule="auto" w:before="2"/>
        <w:ind w:right="0"/>
        <w:jc w:val="left"/>
      </w:pPr>
      <w:r>
        <w:rPr>
          <w:spacing w:val="-2"/>
        </w:rPr>
        <w:t>投入。希望通过加大研发投入，为公司的持续发展提供相应的技术支撑和产品支撑，并通过加强新板块新项目的投入，培育</w:t>
      </w:r>
      <w:r>
        <w:rPr>
          <w:spacing w:val="-66"/>
        </w:rPr>
        <w:t> </w:t>
      </w:r>
      <w:r>
        <w:rPr>
          <w:spacing w:val="-66"/>
        </w:rPr>
      </w:r>
      <w:r>
        <w:rPr/>
        <w:t>公司新的增长点。</w:t>
      </w:r>
    </w:p>
    <w:p>
      <w:pPr>
        <w:pStyle w:val="BodyText"/>
        <w:spacing w:line="300" w:lineRule="auto" w:before="55"/>
        <w:ind w:right="1128" w:firstLine="360"/>
        <w:jc w:val="both"/>
      </w:pPr>
      <w:r>
        <w:rPr/>
        <w:t>在高端数字激光加工装备制造板块，本年度共对</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个激光加工装备项目进行了研发，研发预期均已达到，对应的相关 </w:t>
      </w:r>
      <w:r>
        <w:rPr>
          <w:spacing w:val="-1"/>
        </w:rPr>
        <w:t>产品市场竞争力有所加强。其中</w:t>
      </w:r>
      <w:r>
        <w:rPr>
          <w:rFonts w:ascii="Times New Roman" w:hAnsi="Times New Roman" w:cs="Times New Roman" w:eastAsia="Times New Roman" w:hint="default"/>
          <w:spacing w:val="-1"/>
        </w:rPr>
        <w:t>“</w:t>
      </w:r>
      <w:r>
        <w:rPr>
          <w:spacing w:val="-1"/>
        </w:rPr>
        <w:t>激光加工第二代视觉定位切割</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小幅面双头异步切割</w:t>
      </w:r>
      <w:r>
        <w:rPr>
          <w:rFonts w:ascii="Times New Roman" w:hAnsi="Times New Roman" w:cs="Times New Roman" w:eastAsia="Times New Roman" w:hint="default"/>
          <w:spacing w:val="-1"/>
        </w:rPr>
        <w:t>”</w:t>
      </w:r>
      <w:r>
        <w:rPr>
          <w:spacing w:val="-1"/>
        </w:rPr>
        <w:t>项目的技术研发为柔性材料激光加</w:t>
      </w:r>
      <w:r>
        <w:rPr>
          <w:spacing w:val="-77"/>
        </w:rPr>
        <w:t> </w:t>
      </w:r>
      <w:r>
        <w:rPr/>
        <w:t>工设备在鞋材加工的市场竞争提供了有力的技术支撑，取得了较大的竞争优势。而</w:t>
      </w:r>
      <w:r>
        <w:rPr>
          <w:rFonts w:ascii="Times New Roman" w:hAnsi="Times New Roman" w:cs="Times New Roman" w:eastAsia="Times New Roman" w:hint="default"/>
        </w:rPr>
        <w:t>“</w:t>
      </w:r>
      <w:r>
        <w:rPr/>
        <w:t>三维多点定位机器人切割机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全自动</w:t>
      </w:r>
      <w:r>
        <w:rPr>
          <w:spacing w:val="-54"/>
        </w:rPr>
        <w:t> </w:t>
      </w:r>
      <w:r>
        <w:rPr/>
        <w:t>化上下料多用途切管系统</w:t>
      </w:r>
      <w:r>
        <w:rPr>
          <w:rFonts w:ascii="Times New Roman" w:hAnsi="Times New Roman" w:cs="Times New Roman" w:eastAsia="Times New Roman" w:hint="default"/>
        </w:rPr>
        <w:t>”</w:t>
      </w:r>
      <w:r>
        <w:rPr/>
        <w:t>项目的研发成功，也为公司金属激光加工聚焦切管行业应用提供了发展基础，使武汉唯拓子公司</w:t>
      </w:r>
      <w:r>
        <w:rPr>
          <w:spacing w:val="-76"/>
        </w:rPr>
        <w:t> </w:t>
      </w:r>
      <w:r>
        <w:rPr>
          <w:spacing w:val="-76"/>
        </w:rPr>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年的业绩增长有了保障。</w:t>
      </w:r>
    </w:p>
    <w:p>
      <w:pPr>
        <w:pStyle w:val="BodyText"/>
        <w:spacing w:line="300" w:lineRule="auto" w:before="52"/>
        <w:ind w:right="1129" w:firstLine="360"/>
        <w:jc w:val="both"/>
      </w:pPr>
      <w:r>
        <w:rPr/>
        <w:t>在三维数字技术应用板块，结合公司聚焦为</w:t>
      </w:r>
      <w:r>
        <w:rPr>
          <w:spacing w:val="-37"/>
        </w:rPr>
        <w:t> </w:t>
      </w:r>
      <w:r>
        <w:rPr>
          <w:rFonts w:ascii="Times New Roman" w:hAnsi="Times New Roman" w:cs="Times New Roman" w:eastAsia="Times New Roman" w:hint="default"/>
        </w:rPr>
        <w:t>IP</w:t>
      </w:r>
      <w:r>
        <w:rPr>
          <w:rFonts w:ascii="Times New Roman" w:hAnsi="Times New Roman" w:cs="Times New Roman" w:eastAsia="Times New Roman" w:hint="default"/>
          <w:spacing w:val="8"/>
        </w:rPr>
        <w:t> </w:t>
      </w:r>
      <w:r>
        <w:rPr/>
        <w:t>及</w:t>
      </w:r>
      <w:r>
        <w:rPr>
          <w:spacing w:val="-38"/>
        </w:rPr>
        <w:t> </w:t>
      </w:r>
      <w:r>
        <w:rPr>
          <w:rFonts w:ascii="Times New Roman" w:hAnsi="Times New Roman" w:cs="Times New Roman" w:eastAsia="Times New Roman" w:hint="default"/>
        </w:rPr>
        <w:t>IP</w:t>
      </w:r>
      <w:r>
        <w:rPr>
          <w:rFonts w:ascii="Times New Roman" w:hAnsi="Times New Roman" w:cs="Times New Roman" w:eastAsia="Times New Roman" w:hint="default"/>
          <w:spacing w:val="7"/>
        </w:rPr>
        <w:t> </w:t>
      </w:r>
      <w:r>
        <w:rPr/>
        <w:t>运营方提供</w:t>
      </w:r>
      <w:r>
        <w:rPr>
          <w:rFonts w:ascii="Times New Roman" w:hAnsi="Times New Roman" w:cs="Times New Roman" w:eastAsia="Times New Roman" w:hint="default"/>
        </w:rPr>
        <w:t>“</w:t>
      </w:r>
      <w:r>
        <w:rPr/>
        <w:t>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的推广解决方案，本年度公司 共对</w:t>
      </w:r>
      <w:r>
        <w:rPr>
          <w:spacing w:val="-3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个项目进行了研发，研发进展正常，预期也均已达到。其中</w:t>
      </w:r>
      <w:r>
        <w:rPr>
          <w:rFonts w:ascii="Times New Roman" w:hAnsi="Times New Roman" w:cs="Times New Roman" w:eastAsia="Times New Roman" w:hint="default"/>
        </w:rPr>
        <w:t>“</w:t>
      </w:r>
      <w:r>
        <w:rPr/>
        <w:t>新零售行业解决方案、人偶</w:t>
      </w:r>
      <w:r>
        <w:rPr>
          <w:spacing w:val="-35"/>
        </w:rPr>
        <w:t> </w:t>
      </w:r>
      <w:r>
        <w:rPr>
          <w:rFonts w:ascii="Times New Roman" w:hAnsi="Times New Roman" w:cs="Times New Roman" w:eastAsia="Times New Roman" w:hint="default"/>
        </w:rPr>
        <w:t>AR</w:t>
      </w:r>
      <w:r>
        <w:rPr>
          <w:rFonts w:ascii="Times New Roman" w:hAnsi="Times New Roman" w:cs="Times New Roman" w:eastAsia="Times New Roman" w:hint="default"/>
          <w:spacing w:val="10"/>
        </w:rPr>
        <w:t> </w:t>
      </w:r>
      <w:r>
        <w:rPr/>
        <w:t>互动</w:t>
      </w:r>
      <w:r>
        <w:rPr>
          <w:rFonts w:ascii="Times New Roman" w:hAnsi="Times New Roman" w:cs="Times New Roman" w:eastAsia="Times New Roman" w:hint="default"/>
        </w:rPr>
        <w:t>”</w:t>
      </w:r>
      <w:r>
        <w:rPr/>
        <w:t>项目在</w:t>
      </w:r>
      <w:r>
        <w:rPr>
          <w:spacing w:val="-35"/>
        </w:rPr>
        <w:t> </w:t>
      </w:r>
      <w:r>
        <w:rPr>
          <w:rFonts w:ascii="Times New Roman" w:hAnsi="Times New Roman" w:cs="Times New Roman" w:eastAsia="Times New Roman" w:hint="default"/>
        </w:rPr>
        <w:t>IP</w:t>
      </w:r>
      <w:r>
        <w:rPr>
          <w:rFonts w:ascii="Times New Roman" w:hAnsi="Times New Roman" w:cs="Times New Roman" w:eastAsia="Times New Roman" w:hint="default"/>
          <w:spacing w:val="9"/>
        </w:rPr>
        <w:t> </w:t>
      </w:r>
      <w:r>
        <w:rPr/>
        <w:t>衍生品 线下推广渠道中的载体</w:t>
      </w:r>
      <w:r>
        <w:rPr>
          <w:rFonts w:ascii="Times New Roman" w:hAnsi="Times New Roman" w:cs="Times New Roman" w:eastAsia="Times New Roman" w:hint="default"/>
        </w:rPr>
        <w:t>——</w:t>
      </w:r>
      <w:r>
        <w:rPr/>
        <w:t>体验式智能无人零售终端得以很好的应用，而 </w:t>
      </w:r>
      <w:r>
        <w:rPr>
          <w:rFonts w:ascii="Times New Roman" w:hAnsi="Times New Roman" w:cs="Times New Roman" w:eastAsia="Times New Roman" w:hint="default"/>
        </w:rPr>
        <w:t>IP</w:t>
      </w:r>
      <w:r>
        <w:rPr>
          <w:rFonts w:ascii="Times New Roman" w:hAnsi="Times New Roman" w:cs="Times New Roman" w:eastAsia="Times New Roman" w:hint="default"/>
          <w:spacing w:val="-19"/>
        </w:rPr>
        <w:t> </w:t>
      </w:r>
      <w:r>
        <w:rPr/>
        <w:t>新零售前端推广和后台管理软件也相继开发成 </w:t>
      </w:r>
      <w:r>
        <w:rPr>
          <w:spacing w:val="-7"/>
        </w:rPr>
        <w:t>功。</w:t>
      </w:r>
      <w:r>
        <w:rPr>
          <w:rFonts w:ascii="Times New Roman" w:hAnsi="Times New Roman" w:cs="Times New Roman" w:eastAsia="Times New Roman" w:hint="default"/>
          <w:spacing w:val="-7"/>
        </w:rPr>
        <w:t>AR/VR</w:t>
      </w:r>
      <w:r>
        <w:rPr>
          <w:rFonts w:ascii="Times New Roman" w:hAnsi="Times New Roman" w:cs="Times New Roman" w:eastAsia="Times New Roman" w:hint="default"/>
          <w:spacing w:val="-13"/>
        </w:rPr>
        <w:t> </w:t>
      </w:r>
      <w:r>
        <w:rPr/>
        <w:t>项目及</w:t>
      </w:r>
      <w:r>
        <w:rPr>
          <w:spacing w:val="-58"/>
        </w:rPr>
        <w:t> </w:t>
      </w:r>
      <w:r>
        <w:rPr>
          <w:rFonts w:ascii="Times New Roman" w:hAnsi="Times New Roman" w:cs="Times New Roman" w:eastAsia="Times New Roman" w:hint="default"/>
        </w:rPr>
        <w:t>3D</w:t>
      </w:r>
      <w:r>
        <w:rPr>
          <w:rFonts w:ascii="Times New Roman" w:hAnsi="Times New Roman" w:cs="Times New Roman" w:eastAsia="Times New Roman" w:hint="default"/>
          <w:spacing w:val="-13"/>
        </w:rPr>
        <w:t> </w:t>
      </w:r>
      <w:r>
        <w:rPr/>
        <w:t>人像项目为体验式智能零售终端的互动内容制作提供了强有力的技术支撑。通过报告期全年的研发投 入，同期公司已形成了为 </w:t>
      </w:r>
      <w:r>
        <w:rPr>
          <w:rFonts w:ascii="Times New Roman" w:hAnsi="Times New Roman" w:cs="Times New Roman" w:eastAsia="Times New Roman" w:hint="default"/>
        </w:rPr>
        <w:t>IP</w:t>
      </w:r>
      <w:r>
        <w:rPr>
          <w:rFonts w:ascii="Times New Roman" w:hAnsi="Times New Roman" w:cs="Times New Roman" w:eastAsia="Times New Roman" w:hint="default"/>
          <w:spacing w:val="-18"/>
        </w:rPr>
        <w:t> </w:t>
      </w:r>
      <w:r>
        <w:rPr/>
        <w:t>衍生品推广变现提供全套解决方案的系统服务能力，并结合公司设备制造优势和三维数字技术 优势，创新性地聚焦在</w:t>
      </w:r>
      <w:r>
        <w:rPr>
          <w:spacing w:val="-46"/>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衍生推广渠道市场，为公司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年新的增长打下基础。</w:t>
      </w:r>
    </w:p>
    <w:p>
      <w:pPr>
        <w:pStyle w:val="BodyText"/>
        <w:spacing w:line="302" w:lineRule="auto" w:before="51"/>
        <w:ind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年度，公司研发支出总额</w:t>
      </w:r>
      <w:r>
        <w:rPr>
          <w:spacing w:val="-59"/>
        </w:rPr>
        <w:t> </w:t>
      </w:r>
      <w:r>
        <w:rPr>
          <w:rFonts w:ascii="Times New Roman" w:hAnsi="Times New Roman" w:cs="Times New Roman" w:eastAsia="Times New Roman" w:hint="default"/>
        </w:rPr>
        <w:t>1766.36</w:t>
      </w:r>
      <w:r>
        <w:rPr>
          <w:rFonts w:ascii="Times New Roman" w:hAnsi="Times New Roman" w:cs="Times New Roman" w:eastAsia="Times New Roman" w:hint="default"/>
          <w:spacing w:val="-14"/>
        </w:rPr>
        <w:t> </w:t>
      </w:r>
      <w:r>
        <w:rPr/>
        <w:t>万元，占公司营业收入的比例为</w:t>
      </w:r>
      <w:r>
        <w:rPr>
          <w:spacing w:val="-59"/>
        </w:rPr>
        <w:t> </w:t>
      </w:r>
      <w:r>
        <w:rPr>
          <w:rFonts w:ascii="Times New Roman" w:hAnsi="Times New Roman" w:cs="Times New Roman" w:eastAsia="Times New Roman" w:hint="default"/>
        </w:rPr>
        <w:t>9.55%</w:t>
      </w:r>
      <w:r>
        <w:rPr/>
        <w:t>，占公司归属于上市公司所有者权益的比 例为</w:t>
      </w:r>
      <w:r>
        <w:rPr>
          <w:spacing w:val="-46"/>
        </w:rPr>
        <w:t> </w:t>
      </w:r>
      <w:r>
        <w:rPr>
          <w:rFonts w:ascii="Times New Roman" w:hAnsi="Times New Roman" w:cs="Times New Roman" w:eastAsia="Times New Roman" w:hint="default"/>
        </w:rPr>
        <w:t>7.26%</w:t>
      </w:r>
      <w:r>
        <w:rPr/>
        <w:t>，较去年同期增长</w:t>
      </w:r>
      <w:r>
        <w:rPr>
          <w:spacing w:val="-46"/>
        </w:rPr>
        <w:t> </w:t>
      </w:r>
      <w:r>
        <w:rPr>
          <w:rFonts w:ascii="Times New Roman" w:hAnsi="Times New Roman" w:cs="Times New Roman" w:eastAsia="Times New Roman" w:hint="default"/>
        </w:rPr>
        <w:t>809.34</w:t>
      </w:r>
      <w:r>
        <w:rPr>
          <w:rFonts w:ascii="Times New Roman" w:hAnsi="Times New Roman" w:cs="Times New Roman" w:eastAsia="Times New Roman" w:hint="default"/>
          <w:spacing w:val="-1"/>
        </w:rPr>
        <w:t> </w:t>
      </w:r>
      <w:r>
        <w:rPr/>
        <w:t>万元，增幅</w:t>
      </w:r>
      <w:r>
        <w:rPr>
          <w:spacing w:val="-46"/>
        </w:rPr>
        <w:t> </w:t>
      </w:r>
      <w:r>
        <w:rPr>
          <w:rFonts w:ascii="Times New Roman" w:hAnsi="Times New Roman" w:cs="Times New Roman" w:eastAsia="Times New Roman" w:hint="default"/>
        </w:rPr>
        <w:t>84.57%</w:t>
      </w:r>
      <w:r>
        <w:rPr/>
        <w:t>。</w:t>
      </w:r>
    </w:p>
    <w:p>
      <w:pPr>
        <w:spacing w:after="0" w:line="302"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17,663,611.80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9,570,237.68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10,743,815.59</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506,709.62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1,029,873.04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1,596,101.33</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35.68%</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-10.10%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2"/>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报告期研发投入资本化率变动的主要原因是：公司报告期内发生的研发投入尚未满足资本化条件。</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217,266,086.50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232,280,631.81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216,880,664.68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212,208,534.84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2.20%</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385,421.82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20,072,096.97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-98.08%</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13,008,967.18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67,840,163.16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-80.82%</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46,026,051.05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26,396,115.12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74.37%</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-33,017,083.87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41,444,048.04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-179.67%</w:t>
            </w:r>
            <w:r>
              <w:rPr>
                <w:rFonts w:ascii="Times New Roman"/>
                <w:sz w:val="18"/>
              </w:rPr>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22,555,918.70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61,237,499.70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-63.17%</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57,341,519.20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72,494,760.36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-20.90%</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-34,785,600.50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-11,257,260.66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-209.01%</w:t>
            </w:r>
            <w:r>
              <w:rPr>
                <w:rFonts w:ascii="Times New Roman"/>
                <w:sz w:val="18"/>
              </w:rPr>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-65,614,053.18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50,175,001.65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-230.77%</w:t>
            </w:r>
            <w:r>
              <w:rPr>
                <w:rFonts w:ascii="Times New Roman"/>
                <w:sz w:val="18"/>
              </w:rPr>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0" w:firstLine="360"/>
        <w:jc w:val="left"/>
      </w:pPr>
      <w:r>
        <w:rPr>
          <w:rFonts w:ascii="Times New Roman" w:hAnsi="Times New Roman" w:cs="Times New Roman" w:eastAsia="Times New Roman" w:hint="default"/>
          <w:spacing w:val="-1"/>
        </w:rPr>
        <w:t>1</w:t>
      </w:r>
      <w:r>
        <w:rPr>
          <w:spacing w:val="-1"/>
        </w:rPr>
        <w:t>、经营活动产生的现金流量净额</w:t>
      </w:r>
      <w:r>
        <w:rPr>
          <w:rFonts w:ascii="Times New Roman" w:hAnsi="Times New Roman" w:cs="Times New Roman" w:eastAsia="Times New Roman" w:hint="default"/>
          <w:spacing w:val="-1"/>
        </w:rPr>
        <w:t>2017</w:t>
      </w:r>
      <w:r>
        <w:rPr>
          <w:spacing w:val="-1"/>
        </w:rPr>
        <w:t>年比</w:t>
      </w:r>
      <w:r>
        <w:rPr>
          <w:rFonts w:ascii="Times New Roman" w:hAnsi="Times New Roman" w:cs="Times New Roman" w:eastAsia="Times New Roman" w:hint="default"/>
          <w:spacing w:val="-1"/>
        </w:rPr>
        <w:t>2016</w:t>
      </w:r>
      <w:r>
        <w:rPr>
          <w:spacing w:val="-1"/>
        </w:rPr>
        <w:t>年同比减少</w:t>
      </w:r>
      <w:r>
        <w:rPr>
          <w:rFonts w:ascii="Times New Roman" w:hAnsi="Times New Roman" w:cs="Times New Roman" w:eastAsia="Times New Roman" w:hint="default"/>
          <w:spacing w:val="-1"/>
        </w:rPr>
        <w:t>98.08%</w:t>
      </w:r>
      <w:r>
        <w:rPr>
          <w:spacing w:val="-1"/>
        </w:rPr>
        <w:t>，主要系本年销售商品、提供劳务收到的现金较上年</w:t>
      </w:r>
      <w:r>
        <w:rPr/>
        <w:t> 同期减少约</w:t>
      </w:r>
      <w:r>
        <w:rPr>
          <w:rFonts w:ascii="Times New Roman" w:hAnsi="Times New Roman" w:cs="Times New Roman" w:eastAsia="Times New Roman" w:hint="default"/>
        </w:rPr>
        <w:t>1911</w:t>
      </w:r>
      <w:r>
        <w:rPr/>
        <w:t>万元，详细明细对比数据见附注二</w:t>
      </w:r>
      <w:r>
        <w:rPr>
          <w:rFonts w:ascii="Times New Roman" w:hAnsi="Times New Roman" w:cs="Times New Roman" w:eastAsia="Times New Roman" w:hint="default"/>
        </w:rPr>
        <w:t>.</w:t>
      </w:r>
      <w:r>
        <w:rPr/>
        <w:t>财务报表之第</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w:t>
      </w:r>
      <w:r>
        <w:rPr/>
        <w:t>合并现金流量表</w:t>
      </w:r>
      <w:r>
        <w:rPr>
          <w:rFonts w:ascii="Times New Roman" w:hAnsi="Times New Roman" w:cs="Times New Roman" w:eastAsia="Times New Roman" w:hint="default"/>
        </w:rPr>
        <w:t>”</w:t>
      </w:r>
      <w:r>
        <w:rPr/>
        <w:t>。</w:t>
      </w:r>
    </w:p>
    <w:p>
      <w:pPr>
        <w:pStyle w:val="BodyText"/>
        <w:spacing w:line="300" w:lineRule="auto" w:before="49"/>
        <w:ind w:right="1198" w:firstLine="360"/>
        <w:jc w:val="left"/>
      </w:pPr>
      <w:r>
        <w:rPr>
          <w:rFonts w:ascii="Times New Roman" w:hAnsi="Times New Roman" w:cs="Times New Roman" w:eastAsia="Times New Roman" w:hint="default"/>
        </w:rPr>
        <w:t>2</w:t>
      </w:r>
      <w:r>
        <w:rPr/>
        <w:t>、投资活动产生的现金流量净额</w:t>
      </w:r>
      <w:r>
        <w:rPr>
          <w:rFonts w:ascii="Times New Roman" w:hAnsi="Times New Roman" w:cs="Times New Roman" w:eastAsia="Times New Roman" w:hint="default"/>
        </w:rPr>
        <w:t>2017</w:t>
      </w:r>
      <w:r>
        <w:rPr/>
        <w:t>年比</w:t>
      </w:r>
      <w:r>
        <w:rPr>
          <w:rFonts w:ascii="Times New Roman" w:hAnsi="Times New Roman" w:cs="Times New Roman" w:eastAsia="Times New Roman" w:hint="default"/>
        </w:rPr>
        <w:t>2016</w:t>
      </w:r>
      <w:r>
        <w:rPr/>
        <w:t>年同比减少</w:t>
      </w:r>
      <w:r>
        <w:rPr>
          <w:rFonts w:ascii="Times New Roman" w:hAnsi="Times New Roman" w:cs="Times New Roman" w:eastAsia="Times New Roman" w:hint="default"/>
        </w:rPr>
        <w:t>179.67%</w:t>
      </w:r>
      <w:r>
        <w:rPr/>
        <w:t>，主要系本年基金公司投资活动减少，公司收到其 他与投资活动有关的现金较上年同期减少</w:t>
      </w:r>
      <w:r>
        <w:rPr>
          <w:rFonts w:ascii="Times New Roman" w:hAnsi="Times New Roman" w:cs="Times New Roman" w:eastAsia="Times New Roman" w:hint="default"/>
        </w:rPr>
        <w:t>6000</w:t>
      </w:r>
      <w:r>
        <w:rPr/>
        <w:t>万元所致，具体详情见附注七</w:t>
      </w:r>
      <w:r>
        <w:rPr>
          <w:rFonts w:ascii="Times New Roman" w:hAnsi="Times New Roman" w:cs="Times New Roman" w:eastAsia="Times New Roman" w:hint="default"/>
        </w:rPr>
        <w:t>.</w:t>
      </w:r>
      <w:r>
        <w:rPr/>
        <w:t>合并财务报表项目注释第</w:t>
      </w:r>
      <w:r>
        <w:rPr>
          <w:rFonts w:ascii="Times New Roman" w:hAnsi="Times New Roman" w:cs="Times New Roman" w:eastAsia="Times New Roman" w:hint="default"/>
        </w:rPr>
        <w:t>75</w:t>
      </w:r>
      <w:r>
        <w:rPr/>
        <w:t>项</w:t>
      </w:r>
      <w:r>
        <w:rPr>
          <w:rFonts w:ascii="Times New Roman" w:hAnsi="Times New Roman" w:cs="Times New Roman" w:eastAsia="Times New Roman" w:hint="default"/>
        </w:rPr>
        <w:t>“</w:t>
      </w:r>
      <w:r>
        <w:rPr/>
        <w:t>现金流量表项 目</w:t>
      </w:r>
      <w:r>
        <w:rPr>
          <w:rFonts w:ascii="Times New Roman" w:hAnsi="Times New Roman" w:cs="Times New Roman" w:eastAsia="Times New Roman" w:hint="default"/>
        </w:rPr>
        <w:t>”</w:t>
      </w:r>
      <w:r>
        <w:rPr/>
        <w:t>。</w:t>
      </w:r>
    </w:p>
    <w:p>
      <w:pPr>
        <w:pStyle w:val="BodyText"/>
        <w:spacing w:line="240" w:lineRule="auto" w:before="53"/>
        <w:ind w:left="1494" w:right="0"/>
        <w:jc w:val="left"/>
      </w:pPr>
      <w:r>
        <w:rPr>
          <w:rFonts w:ascii="Times New Roman" w:hAnsi="Times New Roman" w:cs="Times New Roman" w:eastAsia="Times New Roman" w:hint="default"/>
        </w:rPr>
        <w:t>3</w:t>
      </w:r>
      <w:r>
        <w:rPr/>
        <w:t>、筹资活动产生的现金流量净额</w:t>
      </w:r>
      <w:r>
        <w:rPr>
          <w:rFonts w:ascii="Times New Roman" w:hAnsi="Times New Roman" w:cs="Times New Roman" w:eastAsia="Times New Roman" w:hint="default"/>
        </w:rPr>
        <w:t>2017</w:t>
      </w:r>
      <w:r>
        <w:rPr/>
        <w:t>年比</w:t>
      </w:r>
      <w:r>
        <w:rPr>
          <w:rFonts w:ascii="Times New Roman" w:hAnsi="Times New Roman" w:cs="Times New Roman" w:eastAsia="Times New Roman" w:hint="default"/>
        </w:rPr>
        <w:t>2016</w:t>
      </w:r>
      <w:r>
        <w:rPr/>
        <w:t>年同比减少</w:t>
      </w:r>
      <w:r>
        <w:rPr>
          <w:rFonts w:ascii="Times New Roman" w:hAnsi="Times New Roman" w:cs="Times New Roman" w:eastAsia="Times New Roman" w:hint="default"/>
        </w:rPr>
        <w:t>209.01%</w:t>
      </w:r>
      <w:r>
        <w:rPr/>
        <w:t>，主要系本年取得借款收到的现金较上年同期减少</w:t>
      </w:r>
    </w:p>
    <w:p>
      <w:pPr>
        <w:pStyle w:val="BodyText"/>
        <w:spacing w:line="240" w:lineRule="auto" w:before="64"/>
        <w:ind w:left="1134" w:right="0"/>
        <w:jc w:val="left"/>
      </w:pPr>
      <w:r>
        <w:rPr>
          <w:rFonts w:ascii="Times New Roman" w:hAnsi="Times New Roman" w:cs="Times New Roman" w:eastAsia="Times New Roman" w:hint="default"/>
        </w:rPr>
        <w:t>3500</w:t>
      </w:r>
      <w:r>
        <w:rPr/>
        <w:t>万元，同时本年归还股东借款</w:t>
      </w:r>
      <w:r>
        <w:rPr>
          <w:rFonts w:ascii="Times New Roman" w:hAnsi="Times New Roman" w:cs="Times New Roman" w:eastAsia="Times New Roman" w:hint="default"/>
        </w:rPr>
        <w:t>2500</w:t>
      </w:r>
      <w:r>
        <w:rPr/>
        <w:t>万元所致，详细明细对比数据见附注二</w:t>
      </w:r>
      <w:r>
        <w:rPr>
          <w:rFonts w:ascii="Times New Roman" w:hAnsi="Times New Roman" w:cs="Times New Roman" w:eastAsia="Times New Roman" w:hint="default"/>
        </w:rPr>
        <w:t>.</w:t>
      </w:r>
      <w:r>
        <w:rPr/>
        <w:t>财务报表之第</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w:t>
      </w:r>
      <w:r>
        <w:rPr/>
        <w:t>合并现金流量表</w:t>
      </w:r>
      <w:r>
        <w:rPr>
          <w:rFonts w:ascii="Times New Roman" w:hAnsi="Times New Roman" w:cs="Times New Roman" w:eastAsia="Times New Roman" w:hint="default"/>
        </w:rPr>
        <w:t>”</w:t>
      </w:r>
      <w:r>
        <w:rPr/>
        <w:t>。</w:t>
      </w:r>
    </w:p>
    <w:p>
      <w:pPr>
        <w:pStyle w:val="BodyText"/>
        <w:spacing w:line="300" w:lineRule="auto" w:before="101"/>
        <w:ind w:right="1215" w:firstLine="360"/>
        <w:jc w:val="left"/>
      </w:pPr>
      <w:r>
        <w:rPr>
          <w:rFonts w:ascii="Times New Roman" w:hAnsi="Times New Roman" w:cs="Times New Roman" w:eastAsia="Times New Roman" w:hint="default"/>
        </w:rPr>
        <w:t>4</w:t>
      </w:r>
      <w:r>
        <w:rPr/>
        <w:t>、现金及现金等价物净增加额</w:t>
      </w:r>
      <w:r>
        <w:rPr>
          <w:rFonts w:ascii="Times New Roman" w:hAnsi="Times New Roman" w:cs="Times New Roman" w:eastAsia="Times New Roman" w:hint="default"/>
        </w:rPr>
        <w:t>2017</w:t>
      </w:r>
      <w:r>
        <w:rPr/>
        <w:t>年比</w:t>
      </w:r>
      <w:r>
        <w:rPr>
          <w:rFonts w:ascii="Times New Roman" w:hAnsi="Times New Roman" w:cs="Times New Roman" w:eastAsia="Times New Roman" w:hint="default"/>
        </w:rPr>
        <w:t>2016</w:t>
      </w:r>
      <w:r>
        <w:rPr/>
        <w:t>年同比减少</w:t>
      </w:r>
      <w:r>
        <w:rPr>
          <w:rFonts w:ascii="Times New Roman" w:hAnsi="Times New Roman" w:cs="Times New Roman" w:eastAsia="Times New Roman" w:hint="default"/>
        </w:rPr>
        <w:t>230.77%</w:t>
      </w:r>
      <w:r>
        <w:rPr/>
        <w:t>，主要系本年经营活动、投资活动、筹资活动产生的 现金流量净额较上年同期减少所致，详情见以上</w:t>
      </w:r>
      <w:r>
        <w:rPr>
          <w:rFonts w:ascii="Times New Roman" w:hAnsi="Times New Roman" w:cs="Times New Roman" w:eastAsia="Times New Roman" w:hint="default"/>
        </w:rPr>
        <w:t>1-3</w:t>
      </w:r>
      <w:r>
        <w:rPr/>
        <w:t>点列示。</w:t>
      </w:r>
    </w:p>
    <w:p>
      <w:pPr>
        <w:spacing w:line="240" w:lineRule="auto" w:before="0"/>
        <w:rPr>
          <w:rFonts w:ascii="宋体" w:hAnsi="宋体" w:cs="宋体" w:eastAsia="宋体" w:hint="default"/>
          <w:sz w:val="18"/>
          <w:szCs w:val="18"/>
        </w:rPr>
      </w:pPr>
    </w:p>
    <w:p>
      <w:pPr>
        <w:pStyle w:val="BodyText"/>
        <w:spacing w:line="240" w:lineRule="auto" w:before="130"/>
        <w:ind w:left="1134"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1009"/>
        <w:gridCol w:w="1415"/>
        <w:gridCol w:w="1560"/>
        <w:gridCol w:w="3971"/>
        <w:gridCol w:w="1712"/>
      </w:tblGrid>
      <w:tr>
        <w:trPr>
          <w:trHeight w:val="402" w:hRule="exact"/>
        </w:trPr>
        <w:tc>
          <w:tcPr>
            <w:tcW w:w="1009" w:type="dxa"/>
            <w:tcBorders>
              <w:top w:val="single" w:sz="4" w:space="0" w:color="000000"/>
              <w:left w:val="nil" w:sz="6" w:space="0" w:color="auto"/>
              <w:bottom w:val="single" w:sz="4" w:space="0" w:color="000000"/>
              <w:right w:val="single" w:sz="4" w:space="0" w:color="000000"/>
            </w:tcBorders>
            <w:shd w:val="clear" w:color="auto" w:fill="D2D2D2"/>
          </w:tcPr>
          <w:p>
            <w:pP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1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0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35" w:right="0"/>
              <w:jc w:val="left"/>
              <w:rPr>
                <w:rFonts w:ascii="Times New Roman" w:hAnsi="Times New Roman" w:cs="Times New Roman" w:eastAsia="Times New Roman" w:hint="default"/>
                <w:sz w:val="18"/>
                <w:szCs w:val="18"/>
              </w:rPr>
            </w:pPr>
            <w:r>
              <w:rPr>
                <w:rFonts w:ascii="Times New Roman"/>
                <w:sz w:val="18"/>
              </w:rPr>
              <w:t>15,048,872.50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1" w:right="0"/>
              <w:jc w:val="left"/>
              <w:rPr>
                <w:rFonts w:ascii="Times New Roman" w:hAnsi="Times New Roman" w:cs="Times New Roman" w:eastAsia="Times New Roman" w:hint="default"/>
                <w:sz w:val="18"/>
                <w:szCs w:val="18"/>
              </w:rPr>
            </w:pPr>
            <w:r>
              <w:rPr>
                <w:rFonts w:ascii="Times New Roman"/>
                <w:sz w:val="18"/>
              </w:rPr>
              <w:t>-29.01%</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参股公司专业投资机构所投资的项目带来收益</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009" w:type="dxa"/>
            <w:tcBorders>
              <w:top w:val="single" w:sz="4" w:space="0" w:color="000000"/>
              <w:left w:val="nil" w:sz="6" w:space="0" w:color="auto"/>
              <w:bottom w:val="nil" w:sz="6" w:space="0" w:color="auto"/>
              <w:right w:val="single" w:sz="4" w:space="0" w:color="000000"/>
            </w:tcBorders>
            <w:shd w:val="clear" w:color="auto" w:fill="D2D2D2"/>
          </w:tcPr>
          <w:p>
            <w:pPr/>
          </w:p>
        </w:tc>
        <w:tc>
          <w:tcPr>
            <w:tcW w:w="141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49,110,470.09</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1" w:right="0"/>
              <w:jc w:val="left"/>
              <w:rPr>
                <w:rFonts w:ascii="Times New Roman" w:hAnsi="Times New Roman" w:cs="Times New Roman" w:eastAsia="Times New Roman" w:hint="default"/>
                <w:sz w:val="18"/>
                <w:szCs w:val="18"/>
              </w:rPr>
            </w:pPr>
            <w:r>
              <w:rPr>
                <w:rFonts w:ascii="Times New Roman"/>
                <w:sz w:val="18"/>
              </w:rPr>
              <w:t>-94.67%</w:t>
            </w:r>
          </w:p>
        </w:tc>
        <w:tc>
          <w:tcPr>
            <w:tcW w:w="397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公司对应收款项、存货、无形资产、长期股权投资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计提减值准备</w:t>
            </w:r>
          </w:p>
        </w:tc>
        <w:tc>
          <w:tcPr>
            <w:tcW w:w="171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00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5"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971" w:type="dxa"/>
            <w:vMerge/>
            <w:tcBorders>
              <w:left w:val="single" w:sz="4" w:space="0" w:color="000000"/>
              <w:right w:val="single" w:sz="4" w:space="0" w:color="000000"/>
            </w:tcBorders>
          </w:tcPr>
          <w:p>
            <w:pPr/>
          </w:p>
        </w:tc>
        <w:tc>
          <w:tcPr>
            <w:tcW w:w="1712" w:type="dxa"/>
            <w:vMerge/>
            <w:tcBorders>
              <w:left w:val="single" w:sz="4" w:space="0" w:color="000000"/>
              <w:right w:val="nil" w:sz="6" w:space="0" w:color="auto"/>
            </w:tcBorders>
          </w:tcPr>
          <w:p>
            <w:pPr/>
          </w:p>
        </w:tc>
      </w:tr>
      <w:tr>
        <w:trPr>
          <w:trHeight w:val="162" w:hRule="exact"/>
        </w:trPr>
        <w:tc>
          <w:tcPr>
            <w:tcW w:w="1009" w:type="dxa"/>
            <w:tcBorders>
              <w:top w:val="nil" w:sz="6" w:space="0" w:color="auto"/>
              <w:left w:val="nil" w:sz="6" w:space="0" w:color="auto"/>
              <w:bottom w:val="single" w:sz="4" w:space="0" w:color="000000"/>
              <w:right w:val="single" w:sz="4" w:space="0" w:color="000000"/>
            </w:tcBorders>
            <w:shd w:val="clear" w:color="auto" w:fill="D2D2D2"/>
          </w:tcPr>
          <w:p>
            <w:pPr/>
          </w:p>
        </w:tc>
        <w:tc>
          <w:tcPr>
            <w:tcW w:w="1415"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971"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55"/>
        <w:gridCol w:w="1164"/>
        <w:gridCol w:w="1063"/>
        <w:gridCol w:w="1196"/>
        <w:gridCol w:w="1063"/>
        <w:gridCol w:w="798"/>
        <w:gridCol w:w="2904"/>
      </w:tblGrid>
      <w:tr>
        <w:trPr>
          <w:trHeight w:val="380" w:hRule="exact"/>
        </w:trPr>
        <w:tc>
          <w:tcPr>
            <w:tcW w:w="1355" w:type="dxa"/>
            <w:tcBorders>
              <w:top w:val="single" w:sz="4" w:space="0" w:color="000000"/>
              <w:left w:val="nil" w:sz="6" w:space="0" w:color="auto"/>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04" w:type="dxa"/>
            <w:tcBorders>
              <w:top w:val="single" w:sz="4" w:space="0" w:color="000000"/>
              <w:left w:val="single" w:sz="4" w:space="0" w:color="000000"/>
              <w:bottom w:val="single" w:sz="14" w:space="0" w:color="FFFFFF"/>
              <w:right w:val="nil" w:sz="6" w:space="0" w:color="auto"/>
            </w:tcBorders>
            <w:shd w:val="clear" w:color="auto" w:fill="D2D2D2"/>
          </w:tcPr>
          <w:p>
            <w:pPr/>
          </w:p>
        </w:tc>
      </w:tr>
      <w:tr>
        <w:trPr>
          <w:trHeight w:val="184" w:hRule="exact"/>
        </w:trPr>
        <w:tc>
          <w:tcPr>
            <w:tcW w:w="1355" w:type="dxa"/>
            <w:vMerge w:val="restart"/>
            <w:tcBorders>
              <w:top w:val="single" w:sz="14" w:space="0" w:color="FFFFFF"/>
              <w:left w:val="nil" w:sz="6" w:space="0" w:color="auto"/>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4" w:type="dxa"/>
            <w:vMerge w:val="restart"/>
            <w:tcBorders>
              <w:top w:val="single" w:sz="14" w:space="0" w:color="FFFFFF"/>
              <w:left w:val="single" w:sz="4" w:space="0" w:color="000000"/>
              <w:right w:val="nil" w:sz="6" w:space="0" w:color="auto"/>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5" w:type="dxa"/>
            <w:vMerge/>
            <w:tcBorders>
              <w:left w:val="nil" w:sz="6" w:space="0" w:color="auto"/>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04"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355" w:type="dxa"/>
            <w:vMerge w:val="restart"/>
            <w:tcBorders>
              <w:top w:val="nil" w:sz="6" w:space="0" w:color="auto"/>
              <w:left w:val="nil" w:sz="6" w:space="0" w:color="auto"/>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04"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355" w:type="dxa"/>
            <w:vMerge/>
            <w:tcBorders>
              <w:left w:val="nil" w:sz="6" w:space="0" w:color="auto"/>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04" w:type="dxa"/>
            <w:vMerge/>
            <w:tcBorders>
              <w:left w:val="single" w:sz="4" w:space="0" w:color="000000"/>
              <w:bottom w:val="single" w:sz="4" w:space="0" w:color="000000"/>
              <w:right w:val="nil" w:sz="6" w:space="0" w:color="auto"/>
            </w:tcBorders>
            <w:shd w:val="clear" w:color="auto" w:fill="D2D2D2"/>
          </w:tcPr>
          <w:p>
            <w:pPr/>
          </w:p>
        </w:tc>
      </w:tr>
      <w:tr>
        <w:trPr>
          <w:trHeight w:val="474" w:hRule="exact"/>
        </w:trPr>
        <w:tc>
          <w:tcPr>
            <w:tcW w:w="1355" w:type="dxa"/>
            <w:tcBorders>
              <w:top w:val="single" w:sz="4" w:space="0" w:color="000000"/>
              <w:left w:val="nil" w:sz="6" w:space="0" w:color="auto"/>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59,017,225.76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126,580,145.01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-10.39%</w:t>
            </w:r>
          </w:p>
        </w:tc>
        <w:tc>
          <w:tcPr>
            <w:tcW w:w="2904" w:type="dxa"/>
            <w:vMerge w:val="restart"/>
            <w:tcBorders>
              <w:top w:val="single" w:sz="4" w:space="0" w:color="000000"/>
              <w:left w:val="single" w:sz="4" w:space="0" w:color="000000"/>
              <w:right w:val="nil" w:sz="6" w:space="0" w:color="auto"/>
            </w:tcBorders>
          </w:tcPr>
          <w:p>
            <w:pPr>
              <w:pStyle w:val="TableParagraph"/>
              <w:spacing w:line="312"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货币资金占总资产比例较上年减少 </w:t>
            </w:r>
            <w:r>
              <w:rPr>
                <w:rFonts w:ascii="Times New Roman" w:hAnsi="Times New Roman" w:cs="Times New Roman" w:eastAsia="Times New Roman" w:hint="default"/>
                <w:sz w:val="18"/>
                <w:szCs w:val="18"/>
              </w:rPr>
              <w:t>10.39%</w:t>
            </w:r>
            <w:r>
              <w:rPr>
                <w:rFonts w:ascii="宋体" w:hAnsi="宋体" w:cs="宋体" w:eastAsia="宋体" w:hint="default"/>
                <w:sz w:val="18"/>
                <w:szCs w:val="18"/>
              </w:rPr>
              <w:t>，主要系报告期内销售商品、 提供劳务收到的货币资金减少、归还 借款所致。</w:t>
            </w:r>
          </w:p>
        </w:tc>
      </w:tr>
      <w:tr>
        <w:trPr>
          <w:trHeight w:val="391" w:hRule="exact"/>
        </w:trPr>
        <w:tc>
          <w:tcPr>
            <w:tcW w:w="135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04" w:type="dxa"/>
            <w:vMerge/>
            <w:tcBorders>
              <w:left w:val="single" w:sz="4" w:space="0" w:color="000000"/>
              <w:right w:val="nil" w:sz="6" w:space="0" w:color="auto"/>
            </w:tcBorders>
          </w:tcPr>
          <w:p>
            <w:pPr/>
          </w:p>
        </w:tc>
      </w:tr>
      <w:tr>
        <w:trPr>
          <w:trHeight w:val="473" w:hRule="exact"/>
        </w:trPr>
        <w:tc>
          <w:tcPr>
            <w:tcW w:w="1355" w:type="dxa"/>
            <w:tcBorders>
              <w:top w:val="nil" w:sz="6" w:space="0" w:color="auto"/>
              <w:left w:val="nil" w:sz="6" w:space="0" w:color="auto"/>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04" w:type="dxa"/>
            <w:vMerge/>
            <w:tcBorders>
              <w:left w:val="single" w:sz="4" w:space="0" w:color="000000"/>
              <w:bottom w:val="single" w:sz="4" w:space="0" w:color="000000"/>
              <w:right w:val="nil" w:sz="6" w:space="0" w:color="auto"/>
            </w:tcBorders>
          </w:tcPr>
          <w:p>
            <w:pP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25,873,239.67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37,433,895.69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98,449,634.95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115,367,529.73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1355" w:type="dxa"/>
            <w:tcBorders>
              <w:top w:val="single" w:sz="4" w:space="0" w:color="000000"/>
              <w:left w:val="nil" w:sz="6" w:space="0" w:color="auto"/>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170,040.26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14,475,549.37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-3.06%</w:t>
            </w:r>
          </w:p>
        </w:tc>
        <w:tc>
          <w:tcPr>
            <w:tcW w:w="2904" w:type="dxa"/>
            <w:vMerge w:val="restart"/>
            <w:tcBorders>
              <w:top w:val="single" w:sz="4" w:space="0" w:color="000000"/>
              <w:left w:val="single" w:sz="4" w:space="0" w:color="000000"/>
              <w:right w:val="nil" w:sz="6" w:space="0" w:color="auto"/>
            </w:tcBorders>
          </w:tcPr>
          <w:p>
            <w:pPr>
              <w:pStyle w:val="TableParagraph"/>
              <w:spacing w:line="312" w:lineRule="auto" w:before="52"/>
              <w:ind w:left="22" w:right="10"/>
              <w:jc w:val="both"/>
              <w:rPr>
                <w:rFonts w:ascii="宋体" w:hAnsi="宋体" w:cs="宋体" w:eastAsia="宋体" w:hint="default"/>
                <w:sz w:val="18"/>
                <w:szCs w:val="18"/>
              </w:rPr>
            </w:pPr>
            <w:r>
              <w:rPr>
                <w:rFonts w:ascii="宋体" w:hAnsi="宋体" w:cs="宋体" w:eastAsia="宋体" w:hint="default"/>
                <w:spacing w:val="10"/>
                <w:sz w:val="18"/>
                <w:szCs w:val="18"/>
              </w:rPr>
              <w:t>长期股权投资占总资产比例较上年</w:t>
            </w:r>
            <w:r>
              <w:rPr>
                <w:rFonts w:ascii="宋体" w:hAnsi="宋体" w:cs="宋体" w:eastAsia="宋体" w:hint="default"/>
                <w:sz w:val="18"/>
                <w:szCs w:val="18"/>
              </w:rPr>
              <w:t> 减少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3.06%</w:t>
            </w:r>
            <w:r>
              <w:rPr>
                <w:rFonts w:ascii="宋体" w:hAnsi="宋体" w:cs="宋体" w:eastAsia="宋体" w:hint="default"/>
                <w:sz w:val="18"/>
                <w:szCs w:val="18"/>
              </w:rPr>
              <w:t>，主要系报告期内审计重 </w:t>
            </w:r>
            <w:r>
              <w:rPr>
                <w:rFonts w:ascii="宋体" w:hAnsi="宋体" w:cs="宋体" w:eastAsia="宋体" w:hint="default"/>
                <w:spacing w:val="10"/>
                <w:sz w:val="18"/>
                <w:szCs w:val="18"/>
              </w:rPr>
              <w:t>分类调整该科目金额至其他非流动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资产所致。</w:t>
            </w:r>
          </w:p>
        </w:tc>
      </w:tr>
      <w:tr>
        <w:trPr>
          <w:trHeight w:val="392" w:hRule="exact"/>
        </w:trPr>
        <w:tc>
          <w:tcPr>
            <w:tcW w:w="135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04" w:type="dxa"/>
            <w:vMerge/>
            <w:tcBorders>
              <w:left w:val="single" w:sz="4" w:space="0" w:color="000000"/>
              <w:right w:val="nil" w:sz="6" w:space="0" w:color="auto"/>
            </w:tcBorders>
          </w:tcPr>
          <w:p>
            <w:pPr/>
          </w:p>
        </w:tc>
      </w:tr>
      <w:tr>
        <w:trPr>
          <w:trHeight w:val="473" w:hRule="exact"/>
        </w:trPr>
        <w:tc>
          <w:tcPr>
            <w:tcW w:w="1355" w:type="dxa"/>
            <w:tcBorders>
              <w:top w:val="nil" w:sz="6" w:space="0" w:color="auto"/>
              <w:left w:val="nil" w:sz="6" w:space="0" w:color="auto"/>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04" w:type="dxa"/>
            <w:vMerge/>
            <w:tcBorders>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82,240,821.55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87,921,551.61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37,599,540.77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312" w:lineRule="auto" w:before="51"/>
              <w:ind w:left="22" w:right="25"/>
              <w:jc w:val="both"/>
              <w:rPr>
                <w:rFonts w:ascii="宋体" w:hAnsi="宋体" w:cs="宋体" w:eastAsia="宋体" w:hint="default"/>
                <w:sz w:val="18"/>
                <w:szCs w:val="18"/>
              </w:rPr>
            </w:pPr>
            <w:r>
              <w:rPr>
                <w:rFonts w:ascii="宋体" w:hAnsi="宋体" w:cs="宋体" w:eastAsia="宋体" w:hint="default"/>
                <w:spacing w:val="10"/>
                <w:sz w:val="18"/>
                <w:szCs w:val="18"/>
              </w:rPr>
              <w:t>其他非流动资产占总资产比例较上</w:t>
            </w:r>
            <w:r>
              <w:rPr>
                <w:rFonts w:ascii="宋体" w:hAnsi="宋体" w:cs="宋体" w:eastAsia="宋体" w:hint="default"/>
                <w:sz w:val="18"/>
                <w:szCs w:val="18"/>
              </w:rPr>
              <w:t> 年增加</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，主要系报告期内审计 </w:t>
            </w:r>
            <w:r>
              <w:rPr>
                <w:rFonts w:ascii="宋体" w:hAnsi="宋体" w:cs="宋体" w:eastAsia="宋体" w:hint="default"/>
                <w:spacing w:val="10"/>
                <w:sz w:val="18"/>
                <w:szCs w:val="18"/>
              </w:rPr>
              <w:t>重分类调整长期股权投资科目金额</w:t>
            </w:r>
            <w:r>
              <w:rPr>
                <w:rFonts w:ascii="宋体" w:hAnsi="宋体" w:cs="宋体" w:eastAsia="宋体" w:hint="default"/>
                <w:sz w:val="18"/>
                <w:szCs w:val="18"/>
              </w:rPr>
              <w:t> 至本科目所致。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5" w:right="7631"/>
        <w:jc w:val="center"/>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105" w:type="dxa"/>
        <w:tblLayout w:type="fixed"/>
        <w:tblCellMar>
          <w:top w:w="0" w:type="dxa"/>
          <w:left w:w="0" w:type="dxa"/>
          <w:bottom w:w="0" w:type="dxa"/>
          <w:right w:w="0" w:type="dxa"/>
        </w:tblCellMar>
        <w:tblLook w:val="01E0"/>
      </w:tblPr>
      <w:tblGrid>
        <w:gridCol w:w="4152"/>
        <w:gridCol w:w="2761"/>
        <w:gridCol w:w="2760"/>
      </w:tblGrid>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2"/>
              <w:jc w:val="right"/>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2,465,834.00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5,021,752.70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受冻结的银行存款</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607,278.00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225.37</w:t>
            </w:r>
          </w:p>
        </w:tc>
      </w:tr>
      <w:tr>
        <w:trPr>
          <w:trHeight w:val="343"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3,073,112.00</w:t>
            </w:r>
            <w:r>
              <w:rPr>
                <w:rFonts w:ascii="Times New Roman"/>
                <w:spacing w:val="-1"/>
                <w:sz w:val="18"/>
              </w:rPr>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5,021,978.07</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
        </w:rPr>
        <w:t>月</w:t>
      </w:r>
      <w:r>
        <w:rPr>
          <w:spacing w:val="-9"/>
        </w:rPr>
        <w:t>，</w:t>
      </w:r>
      <w:r>
        <w:rPr/>
        <w:t>武汉高投金运激光产业投资基金合伙企</w:t>
      </w:r>
      <w:r>
        <w:rPr>
          <w:spacing w:val="-10"/>
        </w:rPr>
        <w:t>业</w:t>
      </w:r>
      <w:r>
        <w:rPr/>
        <w:t>（有限合伙</w:t>
      </w:r>
      <w:r>
        <w:rPr>
          <w:spacing w:val="-100"/>
        </w:rPr>
        <w:t>）</w:t>
      </w:r>
      <w:r>
        <w:rPr>
          <w:spacing w:val="-89"/>
        </w:rPr>
        <w:t>（</w:t>
      </w:r>
      <w:r>
        <w:rPr/>
        <w:t>“高投基金</w:t>
      </w:r>
      <w:r>
        <w:rPr>
          <w:spacing w:val="-90"/>
        </w:rPr>
        <w:t>”</w:t>
      </w:r>
      <w:r>
        <w:rPr>
          <w:spacing w:val="-10"/>
        </w:rPr>
        <w:t>）</w:t>
      </w:r>
      <w:r>
        <w:rPr/>
        <w:t>及北京梧桐金石投资管理有限公司</w:t>
      </w:r>
    </w:p>
    <w:p>
      <w:pPr>
        <w:pStyle w:val="BodyText"/>
        <w:spacing w:line="314" w:lineRule="auto" w:before="63"/>
        <w:ind w:right="1032"/>
        <w:jc w:val="left"/>
      </w:pPr>
      <w:r>
        <w:rPr>
          <w:spacing w:val="-5"/>
        </w:rPr>
        <w:t>（简称“金石投资”）与中安威士（北京）科技有限公司（简称“中安威士”）、中安威士创始人股东及北京数安天下科技合</w:t>
      </w:r>
      <w:r>
        <w:rPr>
          <w:spacing w:val="-85"/>
        </w:rPr>
        <w:t> </w:t>
      </w:r>
      <w:r>
        <w:rPr>
          <w:spacing w:val="-85"/>
        </w:rPr>
      </w:r>
      <w:r>
        <w:rPr>
          <w:spacing w:val="-2"/>
        </w:rPr>
        <w:t>伙企业（有限合伙）签订了《投资协议书》：中安威士向高投基金、金石投资定向增发，高投金运、金石投资通过增资方式</w:t>
      </w:r>
      <w:r>
        <w:rPr>
          <w:spacing w:val="-72"/>
        </w:rPr>
        <w:t> </w:t>
      </w:r>
      <w:r>
        <w:rPr>
          <w:spacing w:val="-72"/>
        </w:rPr>
      </w:r>
      <w:r>
        <w:rPr/>
        <w:t>共以现金</w:t>
      </w:r>
      <w:r>
        <w:rPr>
          <w:spacing w:val="-43"/>
        </w:rPr>
        <w:t> </w:t>
      </w:r>
      <w:r>
        <w:rPr>
          <w:rFonts w:ascii="Times New Roman" w:hAnsi="Times New Roman" w:cs="Times New Roman" w:eastAsia="Times New Roman" w:hint="default"/>
        </w:rPr>
        <w:t>1500</w:t>
      </w:r>
      <w:r>
        <w:rPr>
          <w:rFonts w:ascii="Times New Roman" w:hAnsi="Times New Roman" w:cs="Times New Roman" w:eastAsia="Times New Roman" w:hint="default"/>
          <w:spacing w:val="3"/>
        </w:rPr>
        <w:t> </w:t>
      </w:r>
      <w:r>
        <w:rPr/>
        <w:t>万元人民币获得增资完成后公司</w:t>
      </w:r>
      <w:r>
        <w:rPr>
          <w:spacing w:val="-43"/>
        </w:rPr>
        <w:t> </w:t>
      </w:r>
      <w:r>
        <w:rPr>
          <w:rFonts w:ascii="Times New Roman" w:hAnsi="Times New Roman" w:cs="Times New Roman" w:eastAsia="Times New Roman" w:hint="default"/>
          <w:spacing w:val="-4"/>
        </w:rPr>
        <w:t>9.09%</w:t>
      </w:r>
      <w:r>
        <w:rPr>
          <w:spacing w:val="-4"/>
        </w:rPr>
        <w:t>的股权，其中高投基金出资</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5"/>
        </w:rPr>
        <w:t>万元人民币，占公司总股本的</w:t>
      </w:r>
      <w:r>
        <w:rPr>
          <w:spacing w:val="-43"/>
        </w:rPr>
        <w:t> </w:t>
      </w:r>
      <w:r>
        <w:rPr>
          <w:rFonts w:ascii="Times New Roman" w:hAnsi="Times New Roman" w:cs="Times New Roman" w:eastAsia="Times New Roman" w:hint="default"/>
        </w:rPr>
        <w:t>6.06%</w:t>
      </w:r>
      <w:r>
        <w:rPr/>
        <w:t>。 </w:t>
      </w:r>
      <w:r>
        <w:rPr>
          <w:spacing w:val="-2"/>
        </w:rPr>
        <w:t>中安威士对本次募集款项仅用于企业主营业务发展资金等与公司主业相关用途，不得用于委托理财、委托贷款、股票交易和</w:t>
      </w:r>
      <w:r>
        <w:rPr>
          <w:spacing w:val="-66"/>
        </w:rPr>
        <w:t> </w:t>
      </w:r>
      <w:r>
        <w:rPr>
          <w:spacing w:val="-66"/>
        </w:rPr>
      </w:r>
      <w:r>
        <w:rPr/>
        <w:t>期货交易。</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74"/>
        <w:gridCol w:w="510"/>
        <w:gridCol w:w="511"/>
        <w:gridCol w:w="776"/>
        <w:gridCol w:w="1091"/>
        <w:gridCol w:w="1091"/>
        <w:gridCol w:w="511"/>
        <w:gridCol w:w="511"/>
        <w:gridCol w:w="1091"/>
      </w:tblGrid>
      <w:tr>
        <w:trPr>
          <w:trHeight w:val="714" w:hRule="exact"/>
        </w:trPr>
        <w:tc>
          <w:tcPr>
            <w:tcW w:w="35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9"/>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营业 利润</w:t>
            </w:r>
          </w:p>
        </w:tc>
        <w:tc>
          <w:tcPr>
            <w:tcW w:w="10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（曾用名</w:t>
            </w:r>
            <w:r>
              <w:rPr>
                <w:rFonts w:ascii="宋体" w:hAnsi="宋体" w:cs="宋体" w:eastAsia="宋体" w:hint="default"/>
                <w:sz w:val="18"/>
                <w:szCs w:val="18"/>
              </w:rPr>
              <w:t> 苏州云联投资合伙企业（有限合伙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23230000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36,424,905.30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36,424,905.30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44,659,087.08</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94"/>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 业（有限合伙）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丧失控制权</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-6586.98</w:t>
            </w:r>
          </w:p>
        </w:tc>
      </w:tr>
    </w:tbl>
    <w:p>
      <w:pPr>
        <w:pStyle w:val="BodyText"/>
        <w:spacing w:line="357" w:lineRule="auto" w:before="51"/>
        <w:ind w:left="1494" w:right="0" w:hanging="360"/>
        <w:jc w:val="left"/>
      </w:pPr>
      <w:r>
        <w:rPr/>
        <w:t>主要控股参股公司情况说明 </w:t>
      </w:r>
      <w:r>
        <w:rPr>
          <w:spacing w:val="-2"/>
        </w:rPr>
        <w:t>公司与参股的专业投资机构合作投资项目被福建浔兴拉链科技股份有限公司（下称</w:t>
      </w:r>
      <w:r>
        <w:rPr>
          <w:rFonts w:ascii="Times New Roman" w:hAnsi="Times New Roman" w:cs="Times New Roman" w:eastAsia="Times New Roman" w:hint="default"/>
          <w:spacing w:val="-2"/>
        </w:rPr>
        <w:t>“</w:t>
      </w:r>
      <w:r>
        <w:rPr>
          <w:spacing w:val="-2"/>
        </w:rPr>
        <w:t>浔兴股份</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002098</w:t>
      </w:r>
      <w:r>
        <w:rPr>
          <w:spacing w:val="-2"/>
        </w:rPr>
        <w:t>）收</w:t>
      </w:r>
      <w:r>
        <w:rPr/>
      </w:r>
    </w:p>
    <w:p>
      <w:pPr>
        <w:pStyle w:val="BodyText"/>
        <w:spacing w:line="214" w:lineRule="exact"/>
        <w:ind w:left="1134" w:right="0"/>
        <w:jc w:val="left"/>
      </w:pPr>
      <w:r>
        <w:rPr>
          <w:spacing w:val="-5"/>
        </w:rPr>
        <w:t>购，根据浔兴股份披露的相关公告，其重大资产重组已审议通过且实施完毕。公司于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日收到出售投资项目</w:t>
      </w:r>
      <w:r>
        <w:rPr>
          <w:rFonts w:ascii="Times New Roman" w:hAnsi="Times New Roman" w:cs="Times New Roman" w:eastAsia="Times New Roman" w:hint="default"/>
        </w:rPr>
        <w:t>“</w:t>
      </w:r>
      <w:r>
        <w:rPr/>
        <w:t>深</w:t>
      </w:r>
    </w:p>
    <w:p>
      <w:pPr>
        <w:pStyle w:val="BodyText"/>
        <w:spacing w:line="240" w:lineRule="auto" w:before="63"/>
        <w:ind w:left="1134" w:right="0"/>
        <w:jc w:val="left"/>
        <w:rPr>
          <w:rFonts w:ascii="Times New Roman" w:hAnsi="Times New Roman" w:cs="Times New Roman" w:eastAsia="Times New Roman" w:hint="default"/>
        </w:rPr>
      </w:pPr>
      <w:r>
        <w:rPr/>
        <w:t>圳价之链跨境电商股份有限公司股权</w:t>
      </w:r>
      <w:r>
        <w:rPr>
          <w:rFonts w:ascii="Times New Roman" w:hAnsi="Times New Roman" w:cs="Times New Roman" w:eastAsia="Times New Roman" w:hint="default"/>
          <w:w w:val="100"/>
        </w:rPr>
        <w:t>”</w:t>
      </w:r>
      <w:r>
        <w:rPr/>
        <w:t>的首笔款项人民币</w:t>
      </w:r>
      <w:r>
        <w:rPr>
          <w:spacing w:val="-6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2"/>
        </w:rPr>
        <w:t> </w:t>
      </w:r>
      <w:r>
        <w:rPr/>
        <w:t>万元</w:t>
      </w:r>
      <w:r>
        <w:rPr>
          <w:spacing w:val="-90"/>
        </w:rPr>
        <w:t>；</w:t>
      </w:r>
      <w:r>
        <w:rPr/>
        <w:t>于</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月</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日收到第二笔股权转让款人民币</w:t>
      </w:r>
      <w:r>
        <w:rPr>
          <w:spacing w:val="-67"/>
        </w:rPr>
        <w:t> </w:t>
      </w:r>
      <w:r>
        <w:rPr>
          <w:rFonts w:ascii="Times New Roman" w:hAnsi="Times New Roman" w:cs="Times New Roman" w:eastAsia="Times New Roman" w:hint="default"/>
        </w:rPr>
        <w:t>291.44</w:t>
      </w:r>
    </w:p>
    <w:p>
      <w:pPr>
        <w:pStyle w:val="BodyText"/>
        <w:spacing w:line="240" w:lineRule="auto" w:before="63"/>
        <w:ind w:left="1134" w:right="0"/>
        <w:jc w:val="left"/>
      </w:pPr>
      <w:r>
        <w:rPr/>
        <w:t>万元。报告期内，公司共累计收到股权转让款人民币</w:t>
      </w:r>
      <w:r>
        <w:rPr>
          <w:spacing w:val="-45"/>
        </w:rPr>
        <w:t> </w:t>
      </w:r>
      <w:r>
        <w:rPr>
          <w:rFonts w:ascii="Times New Roman" w:hAnsi="Times New Roman" w:cs="Times New Roman" w:eastAsia="Times New Roman" w:hint="default"/>
        </w:rPr>
        <w:t>1,291.44</w:t>
      </w:r>
      <w:r>
        <w:rPr>
          <w:rFonts w:ascii="Times New Roman" w:hAnsi="Times New Roman" w:cs="Times New Roman" w:eastAsia="Times New Roman" w:hint="default"/>
          <w:spacing w:val="-1"/>
        </w:rPr>
        <w:t> </w:t>
      </w:r>
      <w:r>
        <w:rPr/>
        <w:t>万元。相关事项详细内容请参见公司于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日及</w:t>
      </w:r>
    </w:p>
    <w:p>
      <w:pPr>
        <w:pStyle w:val="BodyText"/>
        <w:spacing w:line="240" w:lineRule="auto" w:before="63"/>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日披露于巨潮资讯网（</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1"/>
        </w:rPr>
        <w:t> </w:t>
      </w:r>
      <w:r>
        <w:rPr/>
        <w:t>）的《公司与专业投资机构合作投资项目的进展情况公告》</w:t>
      </w:r>
    </w:p>
    <w:p>
      <w:pPr>
        <w:pStyle w:val="BodyText"/>
        <w:spacing w:line="240" w:lineRule="auto" w:before="64"/>
        <w:ind w:left="1134" w:right="0"/>
        <w:jc w:val="left"/>
      </w:pPr>
      <w:r>
        <w:rPr/>
        <w:t>（</w:t>
      </w:r>
      <w:r>
        <w:rPr>
          <w:rFonts w:ascii="Times New Roman" w:hAnsi="Times New Roman" w:cs="Times New Roman" w:eastAsia="Times New Roman" w:hint="default"/>
        </w:rPr>
        <w:t>2017-044</w:t>
      </w:r>
      <w:r>
        <w:rPr>
          <w:spacing w:val="-90"/>
        </w:rPr>
        <w:t>）、</w:t>
      </w:r>
      <w:r>
        <w:rPr/>
        <w:t>（</w:t>
      </w:r>
      <w:r>
        <w:rPr>
          <w:rFonts w:ascii="Times New Roman" w:hAnsi="Times New Roman" w:cs="Times New Roman" w:eastAsia="Times New Roman" w:hint="default"/>
        </w:rPr>
        <w:t>2017-051</w:t>
      </w:r>
      <w:r>
        <w:rPr>
          <w:spacing w:val="-90"/>
        </w:rPr>
        <w:t>）。</w:t>
      </w:r>
      <w:r>
        <w:rPr/>
      </w:r>
    </w:p>
    <w:p>
      <w:pPr>
        <w:spacing w:line="240" w:lineRule="auto" w:before="1"/>
        <w:rPr>
          <w:rFonts w:ascii="宋体" w:hAnsi="宋体" w:cs="宋体" w:eastAsia="宋体" w:hint="default"/>
          <w:sz w:val="24"/>
          <w:szCs w:val="24"/>
        </w:rPr>
      </w:pPr>
    </w:p>
    <w:p>
      <w:pPr>
        <w:pStyle w:val="Heading2"/>
        <w:spacing w:line="240" w:lineRule="auto"/>
        <w:ind w:left="1134"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4" w:right="1126"/>
        <w:jc w:val="left"/>
      </w:pPr>
      <w:r>
        <w:rPr>
          <w:rFonts w:ascii="Times New Roman" w:hAnsi="Times New Roman" w:cs="Times New Roman" w:eastAsia="Times New Roman" w:hint="default"/>
        </w:rPr>
        <w:t>1</w:t>
      </w:r>
      <w:r>
        <w:rPr/>
        <w:t>、公司未来发展展望： </w:t>
      </w:r>
      <w:r>
        <w:rPr>
          <w:spacing w:val="-1"/>
        </w:rPr>
        <w:t>根据全球智能制造、数字化产业发展的趋势，在立足</w:t>
      </w:r>
      <w:r>
        <w:rPr>
          <w:rFonts w:ascii="Times New Roman" w:hAnsi="Times New Roman" w:cs="Times New Roman" w:eastAsia="Times New Roman" w:hint="default"/>
          <w:spacing w:val="-1"/>
        </w:rPr>
        <w:t>“</w:t>
      </w:r>
      <w:r>
        <w:rPr>
          <w:spacing w:val="-1"/>
        </w:rPr>
        <w:t>数字技术商业化</w:t>
      </w:r>
      <w:r>
        <w:rPr>
          <w:rFonts w:ascii="Times New Roman" w:hAnsi="Times New Roman" w:cs="Times New Roman" w:eastAsia="Times New Roman" w:hint="default"/>
          <w:spacing w:val="-1"/>
        </w:rPr>
        <w:t>”</w:t>
      </w:r>
      <w:r>
        <w:rPr>
          <w:spacing w:val="-1"/>
        </w:rPr>
        <w:t>方向上，依托</w:t>
      </w:r>
      <w:r>
        <w:rPr>
          <w:rFonts w:ascii="Times New Roman" w:hAnsi="Times New Roman" w:cs="Times New Roman" w:eastAsia="Times New Roman" w:hint="default"/>
          <w:spacing w:val="-1"/>
        </w:rPr>
        <w:t>“</w:t>
      </w:r>
      <w:r>
        <w:rPr>
          <w:spacing w:val="-1"/>
        </w:rPr>
        <w:t>提供解决方案</w:t>
      </w:r>
      <w:r>
        <w:rPr>
          <w:rFonts w:ascii="Times New Roman" w:hAnsi="Times New Roman" w:cs="Times New Roman" w:eastAsia="Times New Roman" w:hint="default"/>
          <w:spacing w:val="-1"/>
        </w:rPr>
        <w:t>”</w:t>
      </w:r>
      <w:r>
        <w:rPr>
          <w:spacing w:val="-1"/>
        </w:rPr>
        <w:t>业务主线，通过高</w:t>
      </w:r>
    </w:p>
    <w:p>
      <w:pPr>
        <w:pStyle w:val="BodyText"/>
        <w:spacing w:line="217" w:lineRule="exact"/>
        <w:ind w:right="0"/>
        <w:jc w:val="both"/>
      </w:pPr>
      <w:r>
        <w:rPr/>
        <w:t>端数字装备制造技术、三维数字化技术能力的培育和运营机制的创新，发挥公司在技术、资本、机制及制度方面的比较竞争</w:t>
      </w:r>
    </w:p>
    <w:p>
      <w:pPr>
        <w:pStyle w:val="BodyText"/>
        <w:spacing w:line="307" w:lineRule="auto" w:before="76"/>
        <w:ind w:right="1130"/>
        <w:jc w:val="both"/>
      </w:pPr>
      <w:r>
        <w:rPr/>
        <w:t>优势迅速整合行业及市场资源从而针对性提供行业应用解决方案，推动</w:t>
      </w:r>
      <w:r>
        <w:rPr>
          <w:rFonts w:ascii="Times New Roman" w:hAnsi="Times New Roman" w:cs="Times New Roman" w:eastAsia="Times New Roman" w:hint="default"/>
        </w:rPr>
        <w:t>“</w:t>
      </w:r>
      <w:r>
        <w:rPr/>
        <w:t>数字技术商业化应用解决方案云平台</w:t>
      </w:r>
      <w:r>
        <w:rPr>
          <w:rFonts w:ascii="Times New Roman" w:hAnsi="Times New Roman" w:cs="Times New Roman" w:eastAsia="Times New Roman" w:hint="default"/>
        </w:rPr>
        <w:t>”</w:t>
      </w:r>
      <w:r>
        <w:rPr/>
        <w:t>的打造：</w:t>
      </w:r>
      <w:r>
        <w:rPr>
          <w:rFonts w:ascii="Times New Roman" w:hAnsi="Times New Roman" w:cs="Times New Roman" w:eastAsia="Times New Roman" w:hint="default"/>
        </w:rPr>
        <w:t>1</w:t>
      </w:r>
      <w:r>
        <w:rPr/>
        <w:t>、</w:t>
      </w:r>
      <w:r>
        <w:rPr>
          <w:spacing w:val="-66"/>
        </w:rPr>
        <w:t> </w:t>
      </w:r>
      <w:r>
        <w:rPr>
          <w:spacing w:val="-2"/>
        </w:rPr>
        <w:t>高端数字激光装备制造业务板块，强力推进激光加工行业应用解决方案，并进一步聚焦业务细分领域：坚持柔性材料激光在</w:t>
      </w:r>
      <w:r>
        <w:rPr>
          <w:spacing w:val="-66"/>
        </w:rPr>
        <w:t> </w:t>
      </w:r>
      <w:r>
        <w:rPr>
          <w:spacing w:val="-66"/>
        </w:rPr>
      </w:r>
      <w:r>
        <w:rPr>
          <w:spacing w:val="-2"/>
        </w:rPr>
        <w:t>纺织服装、鞋材及工业滤布、汽车内饰行业的深耕应用；将金属材料激光加工领域聚焦拓展于切管机在各行业中的应用，并</w:t>
      </w:r>
      <w:r>
        <w:rPr>
          <w:spacing w:val="-66"/>
        </w:rPr>
        <w:t> </w:t>
      </w:r>
      <w:r>
        <w:rPr>
          <w:spacing w:val="-66"/>
        </w:rPr>
      </w:r>
      <w:r>
        <w:rPr>
          <w:spacing w:val="-1"/>
        </w:rPr>
        <w:t>积极推广智能车间解决方案。</w:t>
      </w:r>
      <w:r>
        <w:rPr>
          <w:rFonts w:ascii="Times New Roman" w:hAnsi="Times New Roman" w:cs="Times New Roman" w:eastAsia="Times New Roman" w:hint="default"/>
          <w:spacing w:val="-1"/>
        </w:rPr>
        <w:t>2</w:t>
      </w:r>
      <w:r>
        <w:rPr>
          <w:spacing w:val="-1"/>
        </w:rPr>
        <w:t>、三维数字化技术应用新业务板块：利用长期构建的三维数字互动、三维全息、</w:t>
      </w:r>
      <w:r>
        <w:rPr>
          <w:rFonts w:ascii="Times New Roman" w:hAnsi="Times New Roman" w:cs="Times New Roman" w:eastAsia="Times New Roman" w:hint="default"/>
          <w:spacing w:val="-1"/>
        </w:rPr>
        <w:t>AR/VR</w:t>
      </w:r>
      <w:r>
        <w:rPr>
          <w:spacing w:val="-1"/>
        </w:rPr>
        <w:t>、</w:t>
      </w:r>
      <w:r>
        <w:rPr>
          <w:rFonts w:ascii="Times New Roman" w:hAnsi="Times New Roman" w:cs="Times New Roman" w:eastAsia="Times New Roman" w:hint="default"/>
          <w:spacing w:val="-1"/>
        </w:rPr>
        <w:t>3D</w:t>
      </w:r>
      <w:r>
        <w:rPr>
          <w:rFonts w:ascii="Times New Roman" w:hAnsi="Times New Roman" w:cs="Times New Roman" w:eastAsia="Times New Roman" w:hint="default"/>
          <w:spacing w:val="-35"/>
        </w:rPr>
        <w:t> </w:t>
      </w:r>
      <w:r>
        <w:rPr/>
        <w:t>打印、人工智能、大数据等技术，在前期探索的</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12"/>
        </w:rPr>
        <w:t> </w:t>
      </w:r>
      <w:r>
        <w:rPr/>
        <w:t>及衍生品行业，总结出了一套较为完善的为</w:t>
      </w:r>
      <w:r>
        <w:rPr>
          <w:spacing w:val="-56"/>
        </w:rPr>
        <w:t> </w:t>
      </w:r>
      <w:r>
        <w:rPr>
          <w:rFonts w:ascii="Times New Roman" w:hAnsi="Times New Roman" w:cs="Times New Roman" w:eastAsia="Times New Roman" w:hint="default"/>
        </w:rPr>
        <w:t>IP</w:t>
      </w:r>
      <w:r>
        <w:rPr>
          <w:rFonts w:ascii="Times New Roman" w:hAnsi="Times New Roman" w:cs="Times New Roman" w:eastAsia="Times New Roman" w:hint="default"/>
          <w:spacing w:val="-11"/>
        </w:rPr>
        <w:t> </w:t>
      </w:r>
      <w:r>
        <w:rPr/>
        <w:t>及衍生品提供商业化变现 的解决方案，逐步聚焦为影视、动漫、游戏行业的</w:t>
      </w:r>
      <w:r>
        <w:rPr>
          <w:spacing w:val="-45"/>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方或发行推广方提供相应的服务。</w:t>
      </w:r>
    </w:p>
    <w:p>
      <w:pPr>
        <w:pStyle w:val="BodyText"/>
        <w:spacing w:line="240" w:lineRule="auto" w:before="48"/>
        <w:ind w:left="1493" w:right="0"/>
        <w:jc w:val="left"/>
      </w:pPr>
      <w:r>
        <w:rPr>
          <w:rFonts w:ascii="Times New Roman" w:hAnsi="Times New Roman" w:cs="Times New Roman" w:eastAsia="Times New Roman" w:hint="default"/>
        </w:rPr>
        <w:t>2</w:t>
      </w:r>
      <w:r>
        <w:rPr/>
        <w:t>、可能面临的风险：</w:t>
      </w:r>
    </w:p>
    <w:p>
      <w:pPr>
        <w:pStyle w:val="BodyText"/>
        <w:spacing w:line="338" w:lineRule="auto" w:before="102"/>
        <w:ind w:left="1493" w:right="0"/>
        <w:jc w:val="left"/>
      </w:pPr>
      <w:r>
        <w:rPr/>
        <w:t>（</w:t>
      </w:r>
      <w:r>
        <w:rPr>
          <w:rFonts w:ascii="Times New Roman" w:hAnsi="Times New Roman" w:cs="Times New Roman" w:eastAsia="Times New Roman" w:hint="default"/>
        </w:rPr>
        <w:t>1</w:t>
      </w:r>
      <w:r>
        <w:rPr/>
        <w:t>） 经营风险 </w:t>
      </w:r>
      <w:r>
        <w:rPr>
          <w:spacing w:val="-2"/>
        </w:rPr>
        <w:t>公司正在积极寻求</w:t>
      </w:r>
      <w:r>
        <w:rPr>
          <w:rFonts w:ascii="Times New Roman" w:hAnsi="Times New Roman" w:cs="Times New Roman" w:eastAsia="Times New Roman" w:hint="default"/>
          <w:spacing w:val="-2"/>
        </w:rPr>
        <w:t>“</w:t>
      </w:r>
      <w:r>
        <w:rPr>
          <w:spacing w:val="-2"/>
        </w:rPr>
        <w:t>三维数字技术商业化应用</w:t>
      </w:r>
      <w:r>
        <w:rPr>
          <w:rFonts w:ascii="Times New Roman" w:hAnsi="Times New Roman" w:cs="Times New Roman" w:eastAsia="Times New Roman" w:hint="default"/>
          <w:spacing w:val="-2"/>
        </w:rPr>
        <w:t>”</w:t>
      </w:r>
      <w:r>
        <w:rPr>
          <w:spacing w:val="-2"/>
        </w:rPr>
        <w:t>新业务的开拓，至目前，该新业务领域可能存在市场开拓不利的风险将是</w:t>
      </w:r>
    </w:p>
    <w:p>
      <w:pPr>
        <w:pStyle w:val="BodyText"/>
        <w:spacing w:line="217" w:lineRule="exact"/>
        <w:ind w:right="0"/>
        <w:jc w:val="both"/>
      </w:pPr>
      <w:r>
        <w:rPr/>
        <w:t>公司面临的主要经营风险</w:t>
      </w:r>
      <w:r>
        <w:rPr>
          <w:spacing w:val="-87"/>
        </w:rPr>
        <w:t>：</w:t>
      </w:r>
      <w:r>
        <w:rPr/>
        <w:t>一方面技术迭代更新随着应用的拓展呈现加速的态势</w:t>
      </w:r>
      <w:r>
        <w:rPr>
          <w:spacing w:val="-87"/>
        </w:rPr>
        <w:t>，</w:t>
      </w:r>
      <w:r>
        <w:rPr/>
        <w:t>则技术竞争力的保持和引领存在不确定性，</w:t>
      </w:r>
    </w:p>
    <w:p>
      <w:pPr>
        <w:pStyle w:val="BodyText"/>
        <w:spacing w:line="319" w:lineRule="auto" w:before="76"/>
        <w:ind w:right="1131"/>
        <w:jc w:val="both"/>
      </w:pPr>
      <w:r>
        <w:rPr>
          <w:spacing w:val="-2"/>
        </w:rPr>
        <w:t>对研发投入和人才储备提出了更高的要求；另一方面新技术的行业应用已从起步阶段逐步转入竞争阶段，虽然公司的先期投</w:t>
      </w:r>
      <w:r>
        <w:rPr>
          <w:spacing w:val="-64"/>
        </w:rPr>
        <w:t> </w:t>
      </w:r>
      <w:r>
        <w:rPr>
          <w:spacing w:val="-64"/>
        </w:rPr>
      </w:r>
      <w:r>
        <w:rPr>
          <w:spacing w:val="-2"/>
        </w:rPr>
        <w:t>入获得了战略先机，但面对不断涌入新市场的竞争者及更为丰富多变的竞争模式，先行者的成本可能因市场选择的失误、市</w:t>
      </w:r>
      <w:r>
        <w:rPr>
          <w:spacing w:val="-66"/>
        </w:rPr>
        <w:t> </w:t>
      </w:r>
      <w:r>
        <w:rPr>
          <w:spacing w:val="-66"/>
        </w:rPr>
      </w:r>
      <w:r>
        <w:rPr>
          <w:spacing w:val="-2"/>
        </w:rPr>
        <w:t>场的不确定性等承担失利的经营风险；再者是市场的相关业务协同方与公司同处于新行业新业务的发展及变化阶段，生态系</w:t>
      </w:r>
      <w:r>
        <w:rPr>
          <w:spacing w:val="-64"/>
        </w:rPr>
        <w:t> </w:t>
      </w:r>
      <w:r>
        <w:rPr>
          <w:spacing w:val="-64"/>
        </w:rPr>
      </w:r>
      <w:r>
        <w:rPr/>
        <w:t>统有待培育成熟，业务链整体发展水平和速度的不确性以及整合的有效性都将影响公司新业务的开展。</w:t>
      </w:r>
    </w:p>
    <w:p>
      <w:pPr>
        <w:pStyle w:val="BodyText"/>
        <w:spacing w:line="300" w:lineRule="auto" w:before="56"/>
        <w:ind w:right="1131" w:firstLine="360"/>
        <w:jc w:val="both"/>
      </w:pPr>
      <w:r>
        <w:rPr>
          <w:spacing w:val="-2"/>
        </w:rPr>
        <w:t>应对措施：</w:t>
      </w:r>
      <w:r>
        <w:rPr>
          <w:rFonts w:ascii="Times New Roman" w:hAnsi="Times New Roman" w:cs="Times New Roman" w:eastAsia="Times New Roman" w:hint="default"/>
          <w:spacing w:val="-2"/>
        </w:rPr>
        <w:t>1</w:t>
      </w:r>
      <w:r>
        <w:rPr>
          <w:spacing w:val="-2"/>
        </w:rPr>
        <w:t>、加大市场调研，确保公司研发的产品更加贴近市场，满足客户需求；</w:t>
      </w:r>
      <w:r>
        <w:rPr>
          <w:rFonts w:ascii="Times New Roman" w:hAnsi="Times New Roman" w:cs="Times New Roman" w:eastAsia="Times New Roman" w:hint="default"/>
          <w:spacing w:val="-2"/>
        </w:rPr>
        <w:t>2</w:t>
      </w:r>
      <w:r>
        <w:rPr>
          <w:spacing w:val="-2"/>
        </w:rPr>
        <w:t>、做好项目的可研，科学制定新业</w:t>
      </w:r>
      <w:r>
        <w:rPr/>
        <w:t> 务或新项目的经营、投资及筹资计划；</w:t>
      </w:r>
      <w:r>
        <w:rPr>
          <w:rFonts w:ascii="Times New Roman" w:hAnsi="Times New Roman" w:cs="Times New Roman" w:eastAsia="Times New Roman" w:hint="default"/>
        </w:rPr>
        <w:t>3</w:t>
      </w:r>
      <w:r>
        <w:rPr/>
        <w:t>、灵活整合外部资源，与资金、项目、业务方等资源开展多层次合作，共同开发新</w:t>
      </w:r>
      <w:r>
        <w:rPr>
          <w:spacing w:val="-83"/>
        </w:rPr>
        <w:t> </w:t>
      </w:r>
      <w:r>
        <w:rPr>
          <w:spacing w:val="-83"/>
        </w:rPr>
      </w:r>
      <w:r>
        <w:rPr/>
        <w:t>市场。</w:t>
      </w:r>
    </w:p>
    <w:p>
      <w:pPr>
        <w:pStyle w:val="BodyText"/>
        <w:spacing w:line="338" w:lineRule="auto" w:before="71"/>
        <w:ind w:left="149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财务风险</w:t>
      </w:r>
      <w:r>
        <w:rPr>
          <w:w w:val="99"/>
        </w:rPr>
        <w:t> </w:t>
      </w:r>
      <w:r>
        <w:rPr>
          <w:spacing w:val="-2"/>
        </w:rPr>
        <w:t>近年及未来一段时间，去杠杆的影响及流动资金偏紧的情况下，随着公司新业务的推进和市场扩张目标，公司需要继续</w:t>
      </w:r>
    </w:p>
    <w:p>
      <w:pPr>
        <w:pStyle w:val="BodyText"/>
        <w:spacing w:line="319" w:lineRule="auto" w:before="2"/>
        <w:ind w:right="1129"/>
        <w:jc w:val="both"/>
      </w:pPr>
      <w:r>
        <w:rPr>
          <w:spacing w:val="-2"/>
        </w:rPr>
        <w:t>投入较多的资金在科研及产品推广方面，存在较大的资金压力。此外，业务规模逐步扩大后，应收帐款将相应有所增加，可</w:t>
      </w:r>
      <w:r>
        <w:rPr>
          <w:spacing w:val="-66"/>
        </w:rPr>
        <w:t> </w:t>
      </w:r>
      <w:r>
        <w:rPr>
          <w:spacing w:val="-66"/>
        </w:rPr>
      </w:r>
      <w:r>
        <w:rPr>
          <w:spacing w:val="-2"/>
        </w:rPr>
        <w:t>能形成一定的坏帐风险和流动性压力。此外，由于国际环境中出现的中美贸易战，对中国制造业的出口、投资、收购、技术</w:t>
      </w:r>
      <w:r>
        <w:rPr>
          <w:spacing w:val="-66"/>
        </w:rPr>
        <w:t> </w:t>
      </w:r>
      <w:r>
        <w:rPr>
          <w:spacing w:val="-66"/>
        </w:rPr>
      </w:r>
      <w:r>
        <w:rPr/>
        <w:t>合作等形成一定壁垒，均对公司也有某种程度的影响，财务方面，公司汇兑损益不确定性增加。</w:t>
      </w:r>
    </w:p>
    <w:p>
      <w:pPr>
        <w:pStyle w:val="BodyText"/>
        <w:spacing w:line="302" w:lineRule="auto" w:before="56"/>
        <w:ind w:right="1130" w:firstLine="360"/>
        <w:jc w:val="both"/>
      </w:pPr>
      <w:r>
        <w:rPr>
          <w:spacing w:val="-2"/>
        </w:rPr>
        <w:t>应对措施：</w:t>
      </w:r>
      <w:r>
        <w:rPr>
          <w:rFonts w:ascii="Times New Roman" w:hAnsi="Times New Roman" w:cs="Times New Roman" w:eastAsia="Times New Roman" w:hint="default"/>
          <w:spacing w:val="-2"/>
        </w:rPr>
        <w:t>1</w:t>
      </w:r>
      <w:r>
        <w:rPr>
          <w:spacing w:val="-2"/>
        </w:rPr>
        <w:t>、公司将根据投资需求计划及业务经营的实际进度，合理安排融资结构、融资期限等；</w:t>
      </w:r>
      <w:r>
        <w:rPr>
          <w:rFonts w:ascii="Times New Roman" w:hAnsi="Times New Roman" w:cs="Times New Roman" w:eastAsia="Times New Roman" w:hint="default"/>
          <w:spacing w:val="-2"/>
        </w:rPr>
        <w:t>2</w:t>
      </w:r>
      <w:r>
        <w:rPr>
          <w:spacing w:val="-2"/>
        </w:rPr>
        <w:t>、在保证资金需求</w:t>
      </w:r>
      <w:r>
        <w:rPr/>
        <w:t> 的前提下，控制融资成本；</w:t>
      </w:r>
      <w:r>
        <w:rPr>
          <w:rFonts w:ascii="Times New Roman" w:hAnsi="Times New Roman" w:cs="Times New Roman" w:eastAsia="Times New Roman" w:hint="default"/>
        </w:rPr>
        <w:t>3</w:t>
      </w:r>
      <w:r>
        <w:rPr/>
        <w:t>、加强应收帐款回款、结汇管理。</w:t>
      </w:r>
    </w:p>
    <w:p>
      <w:pPr>
        <w:spacing w:line="240" w:lineRule="auto" w:before="13"/>
        <w:rPr>
          <w:rFonts w:ascii="宋体" w:hAnsi="宋体" w:cs="宋体" w:eastAsia="宋体" w:hint="default"/>
          <w:sz w:val="19"/>
          <w:szCs w:val="19"/>
        </w:rPr>
      </w:pPr>
    </w:p>
    <w:p>
      <w:pPr>
        <w:pStyle w:val="Heading2"/>
        <w:spacing w:line="240" w:lineRule="auto"/>
        <w:ind w:left="1134"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公司的基本情况及未来发展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公司的基本情况及未来发展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3" w:type="dxa"/>
        <w:tblLayout w:type="fixed"/>
        <w:tblCellMar>
          <w:top w:w="0" w:type="dxa"/>
          <w:left w:w="0" w:type="dxa"/>
          <w:bottom w:w="0" w:type="dxa"/>
          <w:right w:w="0" w:type="dxa"/>
        </w:tblCellMar>
        <w:tblLook w:val="01E0"/>
      </w:tblPr>
      <w:tblGrid>
        <w:gridCol w:w="3692"/>
        <w:gridCol w:w="5849"/>
      </w:tblGrid>
      <w:tr>
        <w:trPr>
          <w:trHeight w:val="403"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126,000,000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42,116,034.78</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240" w:lineRule="auto" w:before="76"/>
        <w:ind w:left="1521" w:right="0"/>
        <w:jc w:val="left"/>
        <w:rPr>
          <w:rFonts w:ascii="Times New Roman" w:hAnsi="Times New Roman" w:cs="Times New Roman" w:eastAsia="Times New Roman" w:hint="default"/>
        </w:rPr>
      </w:pPr>
      <w:r>
        <w:rPr>
          <w:spacing w:val="-3"/>
        </w:rPr>
        <w:t>经会计师事务所审计，母公司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年度实现净利润</w:t>
      </w:r>
      <w:r>
        <w:rPr>
          <w:rFonts w:ascii="Times New Roman" w:hAnsi="Times New Roman" w:cs="Times New Roman" w:eastAsia="Times New Roman" w:hint="default"/>
        </w:rPr>
        <w:t>-27651228.07</w:t>
      </w:r>
      <w:r>
        <w:rPr>
          <w:rFonts w:ascii="Times New Roman" w:hAnsi="Times New Roman" w:cs="Times New Roman" w:eastAsia="Times New Roman" w:hint="default"/>
          <w:spacing w:val="2"/>
        </w:rPr>
        <w:t> </w:t>
      </w:r>
      <w:r>
        <w:rPr>
          <w:spacing w:val="-3"/>
        </w:rPr>
        <w:t>元，加上年初未分配利润</w:t>
      </w:r>
      <w:r>
        <w:rPr>
          <w:spacing w:val="-43"/>
        </w:rPr>
        <w:t> </w:t>
      </w:r>
      <w:r>
        <w:rPr>
          <w:rFonts w:ascii="Times New Roman" w:hAnsi="Times New Roman" w:cs="Times New Roman" w:eastAsia="Times New Roman" w:hint="default"/>
        </w:rPr>
        <w:t>70523262.85</w:t>
      </w:r>
      <w:r>
        <w:rPr>
          <w:rFonts w:ascii="Times New Roman" w:hAnsi="Times New Roman" w:cs="Times New Roman" w:eastAsia="Times New Roman" w:hint="default"/>
          <w:spacing w:val="2"/>
        </w:rPr>
        <w:t> </w:t>
      </w:r>
      <w:r>
        <w:rPr>
          <w:spacing w:val="-8"/>
        </w:rPr>
        <w:t>元，减去</w:t>
      </w:r>
      <w:r>
        <w:rPr>
          <w:spacing w:val="-43"/>
        </w:rPr>
        <w:t> </w:t>
      </w:r>
      <w:r>
        <w:rPr>
          <w:rFonts w:ascii="Times New Roman" w:hAnsi="Times New Roman" w:cs="Times New Roman" w:eastAsia="Times New Roman" w:hint="default"/>
        </w:rPr>
        <w:t>2017</w:t>
      </w:r>
    </w:p>
    <w:p>
      <w:pPr>
        <w:pStyle w:val="BodyText"/>
        <w:spacing w:line="240" w:lineRule="auto" w:before="61"/>
        <w:ind w:left="1161" w:right="0"/>
        <w:jc w:val="left"/>
      </w:pPr>
      <w:r>
        <w:rPr/>
        <w:t>年上半年分配上年度现金分红</w:t>
      </w:r>
      <w:r>
        <w:rPr>
          <w:spacing w:val="-47"/>
        </w:rPr>
        <w:t> </w:t>
      </w:r>
      <w:r>
        <w:rPr>
          <w:rFonts w:ascii="Times New Roman" w:hAnsi="Times New Roman" w:cs="Times New Roman" w:eastAsia="Times New Roman" w:hint="default"/>
        </w:rPr>
        <w:t>756000</w:t>
      </w:r>
      <w:r>
        <w:rPr>
          <w:rFonts w:ascii="Times New Roman" w:hAnsi="Times New Roman" w:cs="Times New Roman" w:eastAsia="Times New Roman" w:hint="default"/>
          <w:spacing w:val="-2"/>
        </w:rPr>
        <w:t> </w:t>
      </w:r>
      <w:r>
        <w:rPr/>
        <w:t>元，截止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日，可供股东分配的利润为</w:t>
      </w:r>
      <w:r>
        <w:rPr>
          <w:spacing w:val="-47"/>
        </w:rPr>
        <w:t> </w:t>
      </w:r>
      <w:r>
        <w:rPr>
          <w:rFonts w:ascii="Times New Roman" w:hAnsi="Times New Roman" w:cs="Times New Roman" w:eastAsia="Times New Roman" w:hint="default"/>
        </w:rPr>
        <w:t>42116034.78</w:t>
      </w:r>
      <w:r>
        <w:rPr>
          <w:rFonts w:ascii="Times New Roman" w:hAnsi="Times New Roman" w:cs="Times New Roman" w:eastAsia="Times New Roman" w:hint="default"/>
          <w:spacing w:val="-2"/>
        </w:rPr>
        <w:t> </w:t>
      </w:r>
      <w:r>
        <w:rPr/>
        <w:t>元。根据《公司</w:t>
      </w:r>
    </w:p>
    <w:p>
      <w:pPr>
        <w:pStyle w:val="BodyText"/>
        <w:spacing w:line="240" w:lineRule="auto" w:before="63"/>
        <w:ind w:left="1161" w:right="0"/>
        <w:jc w:val="left"/>
      </w:pPr>
      <w:r>
        <w:rPr/>
        <w:t>章程》的相关规定，因公司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年度实现的利润为负值，为保证公司的可持续性发展，以更好地维护全体股东的长远利</w:t>
      </w:r>
    </w:p>
    <w:p>
      <w:pPr>
        <w:pStyle w:val="BodyText"/>
        <w:spacing w:line="240" w:lineRule="auto" w:before="64"/>
        <w:ind w:left="1161" w:right="0"/>
        <w:jc w:val="left"/>
      </w:pPr>
      <w:r>
        <w:rPr/>
        <w:t>益，特提出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年度不进行现金利润分配、不送红股，也不进行资本公积金转增股本。</w:t>
      </w:r>
    </w:p>
    <w:p>
      <w:pPr>
        <w:spacing w:line="240" w:lineRule="auto" w:before="0"/>
        <w:rPr>
          <w:rFonts w:ascii="宋体" w:hAnsi="宋体" w:cs="宋体" w:eastAsia="宋体" w:hint="default"/>
          <w:sz w:val="7"/>
          <w:szCs w:val="7"/>
        </w:rPr>
      </w:pPr>
    </w:p>
    <w:p>
      <w:pPr>
        <w:spacing w:line="20" w:lineRule="exact"/>
        <w:ind w:left="111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4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2" w:lineRule="auto" w:before="101"/>
        <w:ind w:right="112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年年度利润分配方案：已获</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日召开</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年年度股东大会审议通过，不进行现金利润分配，不 送红股，也不进行资本公积金转增股本。</w:t>
      </w:r>
    </w:p>
    <w:p>
      <w:pPr>
        <w:pStyle w:val="BodyText"/>
        <w:spacing w:line="240" w:lineRule="auto" w:before="69"/>
        <w:ind w:left="149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 </w:t>
      </w:r>
      <w:r>
        <w:rPr/>
        <w:t>年度利润分配预案：已获</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 </w:t>
      </w:r>
      <w:r>
        <w:rPr/>
        <w:t>日召开的</w:t>
      </w:r>
      <w:r>
        <w:rPr>
          <w:spacing w:val="-45"/>
        </w:rPr>
        <w:t> </w:t>
      </w:r>
      <w:r>
        <w:rPr>
          <w:rFonts w:ascii="Times New Roman" w:hAnsi="Times New Roman" w:cs="Times New Roman" w:eastAsia="Times New Roman" w:hint="default"/>
        </w:rPr>
        <w:t>2016 </w:t>
      </w:r>
      <w:r>
        <w:rPr/>
        <w:t>年年度股东大会以公司总股本</w:t>
      </w:r>
      <w:r>
        <w:rPr>
          <w:spacing w:val="-44"/>
        </w:rPr>
        <w:t> </w:t>
      </w:r>
      <w:r>
        <w:rPr>
          <w:rFonts w:ascii="Times New Roman" w:hAnsi="Times New Roman" w:cs="Times New Roman" w:eastAsia="Times New Roman" w:hint="default"/>
        </w:rPr>
        <w:t>12,600 </w:t>
      </w:r>
      <w:r>
        <w:rPr/>
        <w:t>万股为基数，向</w:t>
      </w:r>
    </w:p>
    <w:p>
      <w:pPr>
        <w:pStyle w:val="BodyText"/>
        <w:spacing w:line="302" w:lineRule="auto" w:before="63"/>
        <w:ind w:left="1134" w:right="1121"/>
        <w:jc w:val="left"/>
      </w:pPr>
      <w:r>
        <w:rPr/>
        <w:t>全体股东每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42"/>
        </w:rPr>
        <w:t> </w:t>
      </w:r>
      <w:r>
        <w:rPr>
          <w:rFonts w:ascii="Times New Roman" w:hAnsi="Times New Roman" w:cs="Times New Roman" w:eastAsia="Times New Roman" w:hint="default"/>
        </w:rPr>
        <w:t>0.06</w:t>
      </w:r>
      <w:r>
        <w:rPr>
          <w:rFonts w:ascii="Times New Roman" w:hAnsi="Times New Roman" w:cs="Times New Roman" w:eastAsia="Times New Roman" w:hint="default"/>
          <w:spacing w:val="4"/>
        </w:rPr>
        <w:t> </w:t>
      </w:r>
      <w:r>
        <w:rPr>
          <w:spacing w:val="-7"/>
        </w:rPr>
        <w:t>元（含税），共计派发现金人民币</w:t>
      </w:r>
      <w:r>
        <w:rPr>
          <w:spacing w:val="-41"/>
        </w:rPr>
        <w:t> </w:t>
      </w:r>
      <w:r>
        <w:rPr>
          <w:rFonts w:ascii="Times New Roman" w:hAnsi="Times New Roman" w:cs="Times New Roman" w:eastAsia="Times New Roman" w:hint="default"/>
          <w:spacing w:val="-1"/>
        </w:rPr>
        <w:t>75.6</w:t>
      </w:r>
      <w:r>
        <w:rPr>
          <w:rFonts w:ascii="Times New Roman" w:hAnsi="Times New Roman" w:cs="Times New Roman" w:eastAsia="Times New Roman" w:hint="default"/>
          <w:spacing w:val="3"/>
        </w:rPr>
        <w:t> </w:t>
      </w:r>
      <w:r>
        <w:rPr/>
        <w:t>万元。本年度不转增，不送红股，剩余未分配利 润结转以后年度进行分配。</w:t>
      </w:r>
    </w:p>
    <w:p>
      <w:pPr>
        <w:pStyle w:val="BodyText"/>
        <w:spacing w:line="302" w:lineRule="auto" w:before="68"/>
        <w:ind w:right="1113" w:firstLine="36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1"/>
        </w:rPr>
        <w:t> </w:t>
      </w:r>
      <w:r>
        <w:rPr/>
        <w:t>年年度利润分配方案：</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年度拟不进行现金利润分配、不送红股，也不进行资本公积金转增股本，相关事项 已经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日召开的第三届董事会第三十次会议审议通过，尚需提交</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年度股东大会审议。</w:t>
      </w:r>
    </w:p>
    <w:p>
      <w:pPr>
        <w:spacing w:line="240" w:lineRule="auto" w:before="6"/>
        <w:rPr>
          <w:rFonts w:ascii="宋体" w:hAnsi="宋体" w:cs="宋体" w:eastAsia="宋体" w:hint="default"/>
          <w:sz w:val="27"/>
          <w:szCs w:val="27"/>
        </w:rPr>
      </w:pPr>
    </w:p>
    <w:p>
      <w:pPr>
        <w:pStyle w:val="BodyText"/>
        <w:spacing w:line="240" w:lineRule="auto" w:before="44"/>
        <w:ind w:left="1134"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both"/>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433" w:right="74"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408.374023pt;margin-top:434.559998pt;width:71.850pt;height:124.8pt;mso-position-horizontal-relative:page;mso-position-vertical-relative:page;z-index:-7262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承诺：</w:t>
                  </w:r>
                </w:p>
              </w:txbxContent>
            </v:textbox>
            <w10:wrap type="none"/>
          </v:shape>
        </w:pict>
      </w:r>
      <w:r>
        <w:rPr/>
        <w:pict>
          <v:shape style="position:absolute;margin-left:246.382996pt;margin-top:594.519958pt;width:233.8pt;height:124.85pt;mso-position-horizontal-relative:page;mso-position-vertical-relative:page;z-index:-726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636" w:lineRule="auto"/>
                    <w:ind w:left="0" w:right="893" w:firstLine="360"/>
                    <w:jc w:val="left"/>
                  </w:pPr>
                  <w:r>
                    <w:rPr/>
                    <w:t>直接或间接从金运激光招聘专业技术人员、 宣传上贬损金运激光的产品形象与企业形象等。</w:t>
                  </w:r>
                </w:p>
              </w:txbxContent>
            </v:textbox>
            <w10:wrap type="none"/>
          </v:shape>
        </w:pict>
      </w:r>
      <w:r>
        <w:rPr/>
        <w:pict>
          <v:group style="position:absolute;margin-left:432.540009pt;margin-top:594.519958pt;width:47.65pt;height:124.85pt;mso-position-horizontal-relative:page;mso-position-vertical-relative:page;z-index:-726208" coordorigin="8651,11890" coordsize="953,2497">
            <v:shape style="position:absolute;left:8651;top:11890;width:953;height:2497" coordorigin="8651,11890" coordsize="953,2497" path="m8651,14387l9604,14387,9604,11890,8651,11890,8651,14387xe" filled="true" fillcolor="#ffffff" stroked="false">
              <v:path arrowok="t"/>
              <v:fill type="solid"/>
            </v:shape>
            <w10:wrap type="none"/>
          </v:group>
        </w:pict>
      </w:r>
    </w:p>
    <w:tbl>
      <w:tblPr>
        <w:tblW w:w="0" w:type="auto"/>
        <w:jc w:val="left"/>
        <w:tblInd w:w="1143" w:type="dxa"/>
        <w:tblLayout w:type="fixed"/>
        <w:tblCellMar>
          <w:top w:w="0" w:type="dxa"/>
          <w:left w:w="0" w:type="dxa"/>
          <w:bottom w:w="0" w:type="dxa"/>
          <w:right w:w="0" w:type="dxa"/>
        </w:tblCellMar>
        <w:tblLook w:val="01E0"/>
      </w:tblPr>
      <w:tblGrid>
        <w:gridCol w:w="1571"/>
        <w:gridCol w:w="1605"/>
        <w:gridCol w:w="1595"/>
        <w:gridCol w:w="1594"/>
        <w:gridCol w:w="1594"/>
        <w:gridCol w:w="1595"/>
      </w:tblGrid>
      <w:tr>
        <w:trPr>
          <w:trHeight w:val="362" w:hRule="exact"/>
        </w:trPr>
        <w:tc>
          <w:tcPr>
            <w:tcW w:w="1571" w:type="dxa"/>
            <w:tcBorders>
              <w:top w:val="single" w:sz="4" w:space="0" w:color="000000"/>
              <w:left w:val="nil" w:sz="6" w:space="0" w:color="auto"/>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15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-42,345,109.04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6,734,039.01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-14,868,001.40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062"/>
        <w:gridCol w:w="679"/>
        <w:gridCol w:w="943"/>
        <w:gridCol w:w="4814"/>
        <w:gridCol w:w="964"/>
        <w:gridCol w:w="415"/>
        <w:gridCol w:w="763"/>
      </w:tblGrid>
      <w:tr>
        <w:trPr>
          <w:trHeight w:val="161" w:hRule="exact"/>
        </w:trPr>
        <w:tc>
          <w:tcPr>
            <w:tcW w:w="1062" w:type="dxa"/>
            <w:tcBorders>
              <w:top w:val="single" w:sz="4" w:space="0" w:color="000000"/>
              <w:left w:val="nil" w:sz="6" w:space="0" w:color="auto"/>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4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76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10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415"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062" w:type="dxa"/>
            <w:tcBorders>
              <w:top w:val="nil" w:sz="6" w:space="0" w:color="auto"/>
              <w:left w:val="nil" w:sz="6" w:space="0" w:color="auto"/>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4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1338" w:hRule="exact"/>
        </w:trPr>
        <w:tc>
          <w:tcPr>
            <w:tcW w:w="10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4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679" w:type="dxa"/>
            <w:tcBorders>
              <w:top w:val="single" w:sz="4" w:space="0" w:color="000000"/>
              <w:left w:val="single" w:sz="10" w:space="0" w:color="D2D2D2"/>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481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0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2"/>
              <w:ind w:left="13" w:right="14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679" w:type="dxa"/>
            <w:tcBorders>
              <w:top w:val="single" w:sz="4" w:space="0" w:color="000000"/>
              <w:left w:val="single" w:sz="10" w:space="0" w:color="D2D2D2"/>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481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2838" w:hRule="exact"/>
        </w:trPr>
        <w:tc>
          <w:tcPr>
            <w:tcW w:w="1062" w:type="dxa"/>
            <w:tcBorders>
              <w:top w:val="single" w:sz="4" w:space="0" w:color="000000"/>
              <w:left w:val="nil" w:sz="6" w:space="0" w:color="auto"/>
              <w:bottom w:val="nil" w:sz="6" w:space="0" w:color="auto"/>
              <w:right w:val="single" w:sz="4" w:space="0" w:color="000000"/>
            </w:tcBorders>
            <w:shd w:val="clear" w:color="auto" w:fill="D2D2D2"/>
          </w:tcPr>
          <w:p>
            <w:pPr/>
          </w:p>
        </w:tc>
        <w:tc>
          <w:tcPr>
            <w:tcW w:w="67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188"/>
              <w:jc w:val="both"/>
              <w:rPr>
                <w:rFonts w:ascii="宋体" w:hAnsi="宋体" w:cs="宋体" w:eastAsia="宋体" w:hint="default"/>
                <w:sz w:val="18"/>
                <w:szCs w:val="18"/>
              </w:rPr>
            </w:pPr>
            <w:r>
              <w:rPr>
                <w:rFonts w:ascii="宋体" w:hAnsi="宋体" w:cs="宋体" w:eastAsia="宋体" w:hint="default"/>
                <w:sz w:val="18"/>
                <w:szCs w:val="18"/>
              </w:rPr>
              <w:t>关于避免 同业竞争 承诺</w:t>
            </w:r>
          </w:p>
        </w:tc>
        <w:tc>
          <w:tcPr>
            <w:tcW w:w="4814"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为避免在以后的经营中产生同业竞争，本公司控股股东及实 </w:t>
            </w:r>
            <w:r>
              <w:rPr>
                <w:rFonts w:ascii="宋体" w:hAnsi="宋体" w:cs="宋体" w:eastAsia="宋体" w:hint="default"/>
                <w:spacing w:val="-6"/>
                <w:sz w:val="18"/>
                <w:szCs w:val="18"/>
              </w:rPr>
              <w:t>际控制人梁伟向本公司出具了《避免同业竞争承诺函》，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、本人确认及保证目前不存在与金运激光直接或间接同业竞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争的情况。</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、本人不直接或间接从事、发展或投资与金运激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光经营范围相同或相类似的业务或项目，也不为本人或代表 任何第三方成立、发展、参与、协助任何法人或其他经济组 织与金运激光进行直接或间接的竞争，本人不在中国境内及 境外直接或间接研发、生产或销售金运激光已经研发、生产 或销售的项目或产品（包括但不限于已经投入科研经费研制 </w:t>
            </w:r>
            <w:r>
              <w:rPr>
                <w:rFonts w:ascii="宋体" w:hAnsi="宋体" w:cs="宋体" w:eastAsia="宋体" w:hint="default"/>
                <w:spacing w:val="-4"/>
                <w:sz w:val="18"/>
                <w:szCs w:val="18"/>
              </w:rPr>
              <w:t>或已经处于试生产阶段的项目或产品）。</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、本人承诺不利用</w:t>
            </w:r>
            <w:r>
              <w:rPr>
                <w:rFonts w:ascii="宋体" w:hAnsi="宋体" w:cs="宋体" w:eastAsia="宋体" w:hint="default"/>
                <w:spacing w:val="-72"/>
                <w:sz w:val="18"/>
                <w:szCs w:val="18"/>
              </w:rPr>
              <w:t> </w:t>
            </w:r>
            <w:r>
              <w:rPr>
                <w:rFonts w:ascii="宋体" w:hAnsi="宋体" w:cs="宋体" w:eastAsia="宋体" w:hint="default"/>
                <w:sz w:val="18"/>
                <w:szCs w:val="18"/>
              </w:rPr>
              <w:t>本人对金运激光的了解及获取的信息从事、直接或间接参与 与金运激光相竞争的活动，并承诺不直接或间接进行或参与 任何损害或可能损害金运激光利益的其他竞争行为。该等竞 争包括但不限于： 销售人员、高级管理人员；不正当地利用金运激光的无形资 产；在广告、</w:t>
            </w:r>
            <w:r>
              <w:rPr>
                <w:rFonts w:ascii="宋体" w:hAnsi="宋体" w:cs="宋体" w:eastAsia="宋体" w:hint="default"/>
                <w:sz w:val="18"/>
                <w:szCs w:val="18"/>
              </w:rPr>
              <w:t> 如出现因本人违反上述承诺与保证而导致金运激光或其股东 的权益受到损害的情况，本人将依法承担相应的赔偿责任。</w:t>
            </w:r>
          </w:p>
        </w:tc>
        <w:tc>
          <w:tcPr>
            <w:tcW w:w="964" w:type="dxa"/>
            <w:vMerge w:val="restart"/>
            <w:tcBorders>
              <w:top w:val="single" w:sz="4" w:space="0" w:color="000000"/>
              <w:left w:val="single" w:sz="4" w:space="0" w:color="000000"/>
              <w:right w:val="single" w:sz="4" w:space="0" w:color="000000"/>
            </w:tcBorders>
          </w:tcPr>
          <w:p>
            <w:pPr>
              <w:pStyle w:val="TableParagraph"/>
              <w:spacing w:line="2496" w:lineRule="exact"/>
              <w:ind w:right="-49"/>
              <w:jc w:val="left"/>
              <w:rPr>
                <w:rFonts w:ascii="宋体" w:hAnsi="宋体" w:cs="宋体" w:eastAsia="宋体" w:hint="default"/>
                <w:sz w:val="20"/>
                <w:szCs w:val="20"/>
              </w:rPr>
            </w:pPr>
            <w:r>
              <w:rPr>
                <w:rFonts w:ascii="宋体" w:hAnsi="宋体" w:cs="宋体" w:eastAsia="宋体" w:hint="default"/>
                <w:position w:val="-49"/>
                <w:sz w:val="20"/>
                <w:szCs w:val="20"/>
              </w:rPr>
              <w:pict>
                <v:group style="width:47.65pt;height:124.8pt;mso-position-horizontal-relative:char;mso-position-vertical-relative:line" coordorigin="0,0" coordsize="953,2496">
                  <v:group style="position:absolute;left:0;top:0;width:953;height:2496" coordorigin="0,0" coordsize="953,2496">
                    <v:shape style="position:absolute;left:0;top:0;width:953;height:2496" coordorigin="0,0" coordsize="953,2496" path="m0,2496l953,2496,953,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7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016" w:hRule="exact"/>
        </w:trPr>
        <w:tc>
          <w:tcPr>
            <w:tcW w:w="10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14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679" w:type="dxa"/>
            <w:vMerge/>
            <w:tcBorders>
              <w:left w:val="single" w:sz="10" w:space="0" w:color="D2D2D2"/>
              <w:right w:val="single" w:sz="4" w:space="0" w:color="000000"/>
            </w:tcBorders>
          </w:tcPr>
          <w:p>
            <w:pPr/>
          </w:p>
        </w:tc>
        <w:tc>
          <w:tcPr>
            <w:tcW w:w="943" w:type="dxa"/>
            <w:vMerge/>
            <w:tcBorders>
              <w:left w:val="single" w:sz="4" w:space="0" w:color="000000"/>
              <w:right w:val="single" w:sz="4" w:space="0" w:color="000000"/>
            </w:tcBorders>
          </w:tcPr>
          <w:p>
            <w:pPr/>
          </w:p>
        </w:tc>
        <w:tc>
          <w:tcPr>
            <w:tcW w:w="4814" w:type="dxa"/>
            <w:vMerge/>
            <w:tcBorders>
              <w:left w:val="single" w:sz="4" w:space="0" w:color="000000"/>
              <w:right w:val="single" w:sz="4" w:space="0" w:color="000000"/>
            </w:tcBorders>
          </w:tcPr>
          <w:p>
            <w:pPr/>
          </w:p>
        </w:tc>
        <w:tc>
          <w:tcPr>
            <w:tcW w:w="964" w:type="dxa"/>
            <w:vMerge/>
            <w:tcBorders>
              <w:left w:val="single" w:sz="4" w:space="0" w:color="000000"/>
              <w:right w:val="single" w:sz="4" w:space="0" w:color="000000"/>
            </w:tcBorders>
          </w:tcPr>
          <w:p>
            <w:pPr/>
          </w:p>
        </w:tc>
        <w:tc>
          <w:tcPr>
            <w:tcW w:w="415" w:type="dxa"/>
            <w:vMerge/>
            <w:tcBorders>
              <w:left w:val="single" w:sz="4" w:space="0" w:color="000000"/>
              <w:right w:val="single" w:sz="4" w:space="0" w:color="000000"/>
            </w:tcBorders>
          </w:tcPr>
          <w:p>
            <w:pPr/>
          </w:p>
        </w:tc>
        <w:tc>
          <w:tcPr>
            <w:tcW w:w="763" w:type="dxa"/>
            <w:vMerge/>
            <w:tcBorders>
              <w:left w:val="single" w:sz="4" w:space="0" w:color="000000"/>
              <w:right w:val="nil" w:sz="6" w:space="0" w:color="auto"/>
            </w:tcBorders>
          </w:tcPr>
          <w:p>
            <w:pPr/>
          </w:p>
        </w:tc>
      </w:tr>
      <w:tr>
        <w:trPr>
          <w:trHeight w:val="1852" w:hRule="exact"/>
        </w:trPr>
        <w:tc>
          <w:tcPr>
            <w:tcW w:w="1062" w:type="dxa"/>
            <w:vMerge w:val="restart"/>
            <w:tcBorders>
              <w:top w:val="nil" w:sz="6" w:space="0" w:color="auto"/>
              <w:left w:val="nil" w:sz="6" w:space="0" w:color="auto"/>
              <w:right w:val="single" w:sz="4" w:space="0" w:color="000000"/>
            </w:tcBorders>
            <w:shd w:val="clear" w:color="auto" w:fill="D2D2D2"/>
          </w:tcPr>
          <w:p>
            <w:pPr/>
          </w:p>
        </w:tc>
        <w:tc>
          <w:tcPr>
            <w:tcW w:w="679" w:type="dxa"/>
            <w:vMerge/>
            <w:tcBorders>
              <w:left w:val="single" w:sz="10" w:space="0" w:color="D2D2D2"/>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4814" w:type="dxa"/>
            <w:vMerge/>
            <w:tcBorders>
              <w:left w:val="single" w:sz="4" w:space="0" w:color="000000"/>
              <w:bottom w:val="single" w:sz="4" w:space="0" w:color="000000"/>
              <w:right w:val="single" w:sz="4" w:space="0" w:color="000000"/>
            </w:tcBorders>
          </w:tcPr>
          <w:p>
            <w:pPr/>
          </w:p>
        </w:tc>
        <w:tc>
          <w:tcPr>
            <w:tcW w:w="964" w:type="dxa"/>
            <w:vMerge/>
            <w:tcBorders>
              <w:left w:val="single" w:sz="4" w:space="0" w:color="000000"/>
              <w:bottom w:val="single" w:sz="4" w:space="0" w:color="000000"/>
              <w:right w:val="single" w:sz="4" w:space="0" w:color="000000"/>
            </w:tcBorders>
          </w:tcPr>
          <w:p>
            <w:pPr/>
          </w:p>
        </w:tc>
        <w:tc>
          <w:tcPr>
            <w:tcW w:w="415"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nil" w:sz="6" w:space="0" w:color="auto"/>
            </w:tcBorders>
          </w:tcPr>
          <w:p>
            <w:pPr/>
          </w:p>
        </w:tc>
      </w:tr>
      <w:tr>
        <w:trPr>
          <w:trHeight w:val="986" w:hRule="exact"/>
        </w:trPr>
        <w:tc>
          <w:tcPr>
            <w:tcW w:w="1062" w:type="dxa"/>
            <w:vMerge/>
            <w:tcBorders>
              <w:left w:val="nil" w:sz="6" w:space="0" w:color="auto"/>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关于规范 关联交易</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
              <w:jc w:val="left"/>
              <w:rPr>
                <w:rFonts w:ascii="宋体" w:hAnsi="宋体" w:cs="宋体" w:eastAsia="宋体" w:hint="default"/>
                <w:sz w:val="18"/>
                <w:szCs w:val="18"/>
              </w:rPr>
            </w:pPr>
            <w:r>
              <w:rPr>
                <w:rFonts w:ascii="宋体" w:hAnsi="宋体" w:cs="宋体" w:eastAsia="宋体" w:hint="default"/>
                <w:sz w:val="18"/>
                <w:szCs w:val="18"/>
              </w:rPr>
              <w:t>本公司实际控制人及控股股东梁伟先生出具了《关于规范关 </w:t>
            </w:r>
            <w:r>
              <w:rPr>
                <w:rFonts w:ascii="宋体" w:hAnsi="宋体" w:cs="宋体" w:eastAsia="宋体" w:hint="default"/>
                <w:spacing w:val="-4"/>
                <w:sz w:val="18"/>
                <w:szCs w:val="18"/>
              </w:rPr>
              <w:t>联交易的承诺函》，承诺：除非金运激光的经营发展所必须，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本人及本人能够控制或影响的关联方（以下统称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）不与</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76"/>
        <w:gridCol w:w="679"/>
        <w:gridCol w:w="943"/>
        <w:gridCol w:w="4814"/>
        <w:gridCol w:w="964"/>
        <w:gridCol w:w="415"/>
        <w:gridCol w:w="763"/>
      </w:tblGrid>
      <w:tr>
        <w:trPr>
          <w:trHeight w:val="1611" w:hRule="exact"/>
        </w:trPr>
        <w:tc>
          <w:tcPr>
            <w:tcW w:w="1076" w:type="dxa"/>
            <w:vMerge w:val="restart"/>
            <w:tcBorders>
              <w:top w:val="single" w:sz="4" w:space="0" w:color="000000"/>
              <w:left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9"/>
              <w:jc w:val="both"/>
              <w:rPr>
                <w:rFonts w:ascii="宋体" w:hAnsi="宋体" w:cs="宋体" w:eastAsia="宋体" w:hint="default"/>
                <w:sz w:val="18"/>
                <w:szCs w:val="18"/>
              </w:rPr>
            </w:pPr>
            <w:r>
              <w:rPr>
                <w:rFonts w:ascii="宋体" w:hAnsi="宋体" w:cs="宋体" w:eastAsia="宋体" w:hint="default"/>
                <w:sz w:val="18"/>
                <w:szCs w:val="18"/>
              </w:rPr>
              <w:t>金运激光进行任何关联交易，对于无法规避、确实需要的关 联交易，本人将严格遵守中国证监会和金运激光公司章程及 其他关联交易管理制度的规定，按照通常的商业准则确定交 易价格及其他交易条件，并按照关联交易公允决策的程序履 行批准手续，以杜绝通过关联交易进行不正当的利益输送。</w:t>
            </w:r>
          </w:p>
        </w:tc>
        <w:tc>
          <w:tcPr>
            <w:tcW w:w="96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2586" w:hRule="exact"/>
        </w:trPr>
        <w:tc>
          <w:tcPr>
            <w:tcW w:w="1076" w:type="dxa"/>
            <w:vMerge/>
            <w:tcBorders>
              <w:left w:val="nil" w:sz="6" w:space="0" w:color="auto"/>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8"/>
              <w:jc w:val="both"/>
              <w:rPr>
                <w:rFonts w:ascii="宋体" w:hAnsi="宋体" w:cs="宋体" w:eastAsia="宋体" w:hint="default"/>
                <w:sz w:val="18"/>
                <w:szCs w:val="18"/>
              </w:rPr>
            </w:pPr>
            <w:r>
              <w:rPr>
                <w:rFonts w:ascii="宋体" w:hAnsi="宋体" w:cs="宋体" w:eastAsia="宋体" w:hint="default"/>
                <w:sz w:val="18"/>
                <w:szCs w:val="18"/>
              </w:rPr>
              <w:t>关于规范 关联交易 的承诺</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本公司的董事、监事、高级管理人员出具了《关于规范关联 </w:t>
            </w:r>
            <w:r>
              <w:rPr>
                <w:rFonts w:ascii="宋体" w:hAnsi="宋体" w:cs="宋体" w:eastAsia="宋体" w:hint="default"/>
                <w:spacing w:val="-4"/>
                <w:sz w:val="18"/>
                <w:szCs w:val="18"/>
              </w:rPr>
              <w:t>交易的承诺函》，承诺：除非金运激光的经营发展所必须，本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人及本人能够控制或影响的关联方（以下统称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）不与金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运激光进行任何关联交易，对于无法规避、确实需要的关联 交易，本人将严格遵守中国证监会和金运激光公司章程及其 他关联交易管理制度的规定，按照通常的商业准则确定交易 价格及其他交易条件，并按照关联交易公允决策的程序履行 批准手续，以杜绝通过关联交易进行不正当的利益输送。</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7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14" w:hRule="exact"/>
        </w:trPr>
        <w:tc>
          <w:tcPr>
            <w:tcW w:w="1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14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679" w:type="dxa"/>
            <w:tcBorders>
              <w:top w:val="single" w:sz="4" w:space="0" w:color="000000"/>
              <w:left w:val="single" w:sz="10" w:space="0" w:color="D2D2D2"/>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4814"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nil" w:sz="6" w:space="0" w:color="auto"/>
            </w:tcBorders>
          </w:tcPr>
          <w:p>
            <w:pPr/>
          </w:p>
        </w:tc>
      </w:tr>
      <w:tr>
        <w:trPr>
          <w:trHeight w:val="941" w:hRule="exact"/>
        </w:trPr>
        <w:tc>
          <w:tcPr>
            <w:tcW w:w="1076" w:type="dxa"/>
            <w:tcBorders>
              <w:top w:val="single" w:sz="4" w:space="0" w:color="000000"/>
              <w:left w:val="nil" w:sz="6" w:space="0" w:color="auto"/>
              <w:bottom w:val="nil" w:sz="6" w:space="0" w:color="auto"/>
              <w:right w:val="single" w:sz="4" w:space="0" w:color="000000"/>
            </w:tcBorders>
            <w:shd w:val="clear" w:color="auto" w:fill="D2D2D2"/>
          </w:tcPr>
          <w:p>
            <w:pPr/>
          </w:p>
        </w:tc>
        <w:tc>
          <w:tcPr>
            <w:tcW w:w="67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43" w:type="dxa"/>
            <w:vMerge w:val="restart"/>
            <w:tcBorders>
              <w:top w:val="single" w:sz="4" w:space="0" w:color="000000"/>
              <w:left w:val="single" w:sz="4" w:space="0" w:color="000000"/>
              <w:right w:val="single" w:sz="4" w:space="0" w:color="000000"/>
            </w:tcBorders>
          </w:tcPr>
          <w:p>
            <w:pPr/>
          </w:p>
        </w:tc>
        <w:tc>
          <w:tcPr>
            <w:tcW w:w="4814"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年，公司可采取现金、股票或者现金与股票相结合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的利润分配方式分配股利。具备现金分红条件的，公司应优 先采取现金分红的股利分配政策，每年以现金方式分配的利 润不少于当年实现的可分配利润的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，且公司未来三年以 现金方式累计分配的利润不少于未来三年实现的年均可分配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。在有条件的情况下，公司董事会可以根据资金 状况，提议进行中期利润分配。如果公司净利润保持持续稳 定增长， 公司可以实施股票股利分配，加大对投资者的回报力度。</w:t>
            </w:r>
          </w:p>
        </w:tc>
        <w:tc>
          <w:tcPr>
            <w:tcW w:w="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016" w:hRule="exact"/>
        </w:trPr>
        <w:tc>
          <w:tcPr>
            <w:tcW w:w="107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51"/>
              <w:ind w:left="27" w:right="14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679" w:type="dxa"/>
            <w:vMerge/>
            <w:tcBorders>
              <w:left w:val="single" w:sz="10" w:space="0" w:color="D2D2D2"/>
              <w:right w:val="single" w:sz="4" w:space="0" w:color="000000"/>
            </w:tcBorders>
          </w:tcPr>
          <w:p>
            <w:pPr/>
          </w:p>
        </w:tc>
        <w:tc>
          <w:tcPr>
            <w:tcW w:w="943" w:type="dxa"/>
            <w:vMerge/>
            <w:tcBorders>
              <w:left w:val="single" w:sz="4" w:space="0" w:color="000000"/>
              <w:right w:val="single" w:sz="4" w:space="0" w:color="000000"/>
            </w:tcBorders>
          </w:tcPr>
          <w:p>
            <w:pPr/>
          </w:p>
        </w:tc>
        <w:tc>
          <w:tcPr>
            <w:tcW w:w="4814" w:type="dxa"/>
            <w:vMerge/>
            <w:tcBorders>
              <w:left w:val="single" w:sz="4" w:space="0" w:color="000000"/>
              <w:right w:val="single" w:sz="4" w:space="0" w:color="000000"/>
            </w:tcBorders>
          </w:tcPr>
          <w:p>
            <w:pPr/>
          </w:p>
        </w:tc>
        <w:tc>
          <w:tcPr>
            <w:tcW w:w="964" w:type="dxa"/>
            <w:vMerge/>
            <w:tcBorders>
              <w:left w:val="single" w:sz="4" w:space="0" w:color="000000"/>
              <w:right w:val="single" w:sz="4" w:space="0" w:color="000000"/>
            </w:tcBorders>
          </w:tcPr>
          <w:p>
            <w:pPr/>
          </w:p>
        </w:tc>
        <w:tc>
          <w:tcPr>
            <w:tcW w:w="415" w:type="dxa"/>
            <w:vMerge/>
            <w:tcBorders>
              <w:left w:val="single" w:sz="4" w:space="0" w:color="000000"/>
              <w:right w:val="single" w:sz="4" w:space="0" w:color="000000"/>
            </w:tcBorders>
          </w:tcPr>
          <w:p>
            <w:pPr/>
          </w:p>
        </w:tc>
        <w:tc>
          <w:tcPr>
            <w:tcW w:w="763" w:type="dxa"/>
            <w:vMerge/>
            <w:tcBorders>
              <w:left w:val="single" w:sz="4" w:space="0" w:color="000000"/>
              <w:right w:val="nil" w:sz="6" w:space="0" w:color="auto"/>
            </w:tcBorders>
          </w:tcPr>
          <w:p>
            <w:pPr/>
          </w:p>
        </w:tc>
      </w:tr>
      <w:tr>
        <w:trPr>
          <w:trHeight w:val="941" w:hRule="exact"/>
        </w:trPr>
        <w:tc>
          <w:tcPr>
            <w:tcW w:w="1076" w:type="dxa"/>
            <w:tcBorders>
              <w:top w:val="nil" w:sz="6" w:space="0" w:color="auto"/>
              <w:left w:val="nil" w:sz="6" w:space="0" w:color="auto"/>
              <w:bottom w:val="single" w:sz="4" w:space="0" w:color="000000"/>
              <w:right w:val="single" w:sz="4" w:space="0" w:color="000000"/>
            </w:tcBorders>
            <w:shd w:val="clear" w:color="auto" w:fill="D2D2D2"/>
          </w:tcPr>
          <w:p>
            <w:pPr/>
          </w:p>
        </w:tc>
        <w:tc>
          <w:tcPr>
            <w:tcW w:w="679" w:type="dxa"/>
            <w:vMerge/>
            <w:tcBorders>
              <w:left w:val="single" w:sz="10" w:space="0" w:color="D2D2D2"/>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4814" w:type="dxa"/>
            <w:vMerge/>
            <w:tcBorders>
              <w:left w:val="single" w:sz="4" w:space="0" w:color="000000"/>
              <w:bottom w:val="single" w:sz="4" w:space="0" w:color="000000"/>
              <w:right w:val="single" w:sz="4" w:space="0" w:color="000000"/>
            </w:tcBorders>
          </w:tcPr>
          <w:p>
            <w:pPr/>
          </w:p>
        </w:tc>
        <w:tc>
          <w:tcPr>
            <w:tcW w:w="964" w:type="dxa"/>
            <w:vMerge/>
            <w:tcBorders>
              <w:left w:val="single" w:sz="4" w:space="0" w:color="000000"/>
              <w:bottom w:val="single" w:sz="4" w:space="0" w:color="000000"/>
              <w:right w:val="single" w:sz="4" w:space="0" w:color="000000"/>
            </w:tcBorders>
          </w:tcPr>
          <w:p>
            <w:pPr/>
          </w:p>
        </w:tc>
        <w:tc>
          <w:tcPr>
            <w:tcW w:w="415"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nil" w:sz="6" w:space="0" w:color="auto"/>
            </w:tcBorders>
          </w:tcPr>
          <w:p>
            <w:pPr/>
          </w:p>
        </w:tc>
      </w:tr>
      <w:tr>
        <w:trPr>
          <w:trHeight w:val="161" w:hRule="exact"/>
        </w:trPr>
        <w:tc>
          <w:tcPr>
            <w:tcW w:w="1076" w:type="dxa"/>
            <w:vMerge w:val="restart"/>
            <w:tcBorders>
              <w:top w:val="single" w:sz="4" w:space="0" w:color="000000"/>
              <w:left w:val="nil" w:sz="6" w:space="0" w:color="auto"/>
              <w:right w:val="single" w:sz="4" w:space="0" w:color="000000"/>
            </w:tcBorders>
            <w:shd w:val="clear" w:color="auto" w:fill="D2D2D2"/>
          </w:tcPr>
          <w:p>
            <w:pPr>
              <w:pStyle w:val="TableParagraph"/>
              <w:spacing w:line="316" w:lineRule="auto" w:before="51"/>
              <w:ind w:left="27" w:right="14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679" w:type="dxa"/>
            <w:vMerge w:val="restart"/>
            <w:tcBorders>
              <w:top w:val="single" w:sz="4" w:space="0" w:color="000000"/>
              <w:left w:val="single" w:sz="10" w:space="0" w:color="D2D2D2"/>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4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1076" w:type="dxa"/>
            <w:vMerge/>
            <w:tcBorders>
              <w:left w:val="nil" w:sz="6" w:space="0" w:color="auto"/>
              <w:right w:val="single" w:sz="4" w:space="0" w:color="000000"/>
            </w:tcBorders>
            <w:shd w:val="clear" w:color="auto" w:fill="D2D2D2"/>
          </w:tcPr>
          <w:p>
            <w:pPr/>
          </w:p>
        </w:tc>
        <w:tc>
          <w:tcPr>
            <w:tcW w:w="679" w:type="dxa"/>
            <w:vMerge/>
            <w:tcBorders>
              <w:left w:val="single" w:sz="10" w:space="0" w:color="D2D2D2"/>
              <w:right w:val="single" w:sz="9" w:space="0" w:color="D2D2D2"/>
            </w:tcBorders>
          </w:tcPr>
          <w:p>
            <w:pPr/>
          </w:p>
        </w:tc>
        <w:tc>
          <w:tcPr>
            <w:tcW w:w="943" w:type="dxa"/>
            <w:tcBorders>
              <w:top w:val="nil" w:sz="6" w:space="0" w:color="auto"/>
              <w:left w:val="single" w:sz="4" w:space="0" w:color="000000"/>
              <w:bottom w:val="nil" w:sz="6" w:space="0" w:color="auto"/>
              <w:right w:val="single" w:sz="4" w:space="0" w:color="000000"/>
            </w:tcBorders>
            <w:shd w:val="clear" w:color="auto" w:fill="D2D2D2"/>
          </w:tcPr>
          <w:p>
            <w:pPr/>
          </w:p>
        </w:tc>
        <w:tc>
          <w:tcPr>
            <w:tcW w:w="4814" w:type="dxa"/>
            <w:tcBorders>
              <w:top w:val="nil" w:sz="6" w:space="0" w:color="auto"/>
              <w:left w:val="single" w:sz="4" w:space="0" w:color="000000"/>
              <w:bottom w:val="nil" w:sz="6" w:space="0" w:color="auto"/>
              <w:right w:val="single" w:sz="4" w:space="0" w:color="000000"/>
            </w:tcBorders>
            <w:shd w:val="clear" w:color="auto" w:fill="D2D2D2"/>
          </w:tcPr>
          <w:p>
            <w:pPr/>
          </w:p>
        </w:tc>
        <w:tc>
          <w:tcPr>
            <w:tcW w:w="964" w:type="dxa"/>
            <w:tcBorders>
              <w:top w:val="nil" w:sz="6" w:space="0" w:color="auto"/>
              <w:left w:val="single" w:sz="4" w:space="0" w:color="000000"/>
              <w:bottom w:val="nil" w:sz="6" w:space="0" w:color="auto"/>
              <w:right w:val="single" w:sz="4" w:space="0" w:color="000000"/>
            </w:tcBorders>
            <w:shd w:val="clear" w:color="auto" w:fill="D2D2D2"/>
          </w:tcPr>
          <w:p>
            <w:pPr/>
          </w:p>
        </w:tc>
        <w:tc>
          <w:tcPr>
            <w:tcW w:w="415" w:type="dxa"/>
            <w:tcBorders>
              <w:top w:val="nil" w:sz="6" w:space="0" w:color="auto"/>
              <w:left w:val="single" w:sz="4" w:space="0" w:color="000000"/>
              <w:bottom w:val="nil" w:sz="6" w:space="0" w:color="auto"/>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nil" w:sz="6" w:space="0" w:color="auto"/>
            </w:tcBorders>
            <w:shd w:val="clear" w:color="auto" w:fill="D2D2D2"/>
          </w:tcPr>
          <w:p>
            <w:pPr/>
          </w:p>
        </w:tc>
      </w:tr>
      <w:tr>
        <w:trPr>
          <w:trHeight w:val="161" w:hRule="exact"/>
        </w:trPr>
        <w:tc>
          <w:tcPr>
            <w:tcW w:w="1076" w:type="dxa"/>
            <w:vMerge/>
            <w:tcBorders>
              <w:left w:val="nil" w:sz="6" w:space="0" w:color="auto"/>
              <w:bottom w:val="single" w:sz="4" w:space="0" w:color="000000"/>
              <w:right w:val="single" w:sz="4" w:space="0" w:color="000000"/>
            </w:tcBorders>
            <w:shd w:val="clear" w:color="auto" w:fill="D2D2D2"/>
          </w:tcPr>
          <w:p>
            <w:pPr/>
          </w:p>
        </w:tc>
        <w:tc>
          <w:tcPr>
            <w:tcW w:w="679" w:type="dxa"/>
            <w:vMerge/>
            <w:tcBorders>
              <w:left w:val="single" w:sz="10" w:space="0" w:color="D2D2D2"/>
              <w:bottom w:val="single" w:sz="4" w:space="0" w:color="000000"/>
              <w:right w:val="single" w:sz="9" w:space="0" w:color="D2D2D2"/>
            </w:tcBorders>
          </w:tcPr>
          <w:p>
            <w:pPr/>
          </w:p>
        </w:tc>
        <w:tc>
          <w:tcPr>
            <w:tcW w:w="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4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076" w:type="dxa"/>
            <w:tcBorders>
              <w:top w:val="single" w:sz="4" w:space="0" w:color="000000"/>
              <w:left w:val="nil" w:sz="6" w:space="0" w:color="auto"/>
              <w:bottom w:val="single" w:sz="4" w:space="0" w:color="000000"/>
              <w:right w:val="single" w:sz="4" w:space="0" w:color="000000"/>
            </w:tcBorders>
            <w:shd w:val="clear" w:color="auto" w:fill="D2D2D2"/>
          </w:tcPr>
          <w:p>
            <w:pPr/>
          </w:p>
        </w:tc>
        <w:tc>
          <w:tcPr>
            <w:tcW w:w="8578" w:type="dxa"/>
            <w:gridSpan w:val="6"/>
            <w:tcBorders>
              <w:top w:val="single" w:sz="4" w:space="0" w:color="000000"/>
              <w:left w:val="single" w:sz="4" w:space="0" w:color="000000"/>
              <w:bottom w:val="single" w:sz="4" w:space="0" w:color="000000"/>
              <w:right w:val="nil" w:sz="6" w:space="0" w:color="auto"/>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59" w:lineRule="auto" w:before="35"/>
        <w:ind w:left="1134" w:right="0"/>
        <w:jc w:val="left"/>
        <w:rPr>
          <w:b w:val="0"/>
          <w:bCs w:val="0"/>
        </w:rPr>
      </w:pPr>
      <w:r>
        <w:rPr/>
        <w:pict>
          <v:shape style="position:absolute;margin-left:228.382996pt;margin-top:-123.466324pt;width:251.8pt;height:54.65pt;mso-position-horizontal-relative:page;mso-position-vertical-relative:paragraph;z-index:-726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在保证足额现金分红及公司股本规模合理的前提下，</w:t>
                  </w:r>
                </w:p>
              </w:txbxContent>
            </v:textbox>
            <w10:wrap type="none"/>
          </v:shape>
        </w:pict>
      </w:r>
      <w:r>
        <w:rPr/>
        <w:pict>
          <v:group style="position:absolute;margin-left:432.540009pt;margin-top:-123.466324pt;width:47.65pt;height:54.65pt;mso-position-horizontal-relative:page;mso-position-vertical-relative:paragraph;z-index:-726160" coordorigin="8651,-2469" coordsize="953,1093">
            <v:shape style="position:absolute;left:8651;top:-2469;width:953;height:1093" coordorigin="8651,-2469" coordsize="953,1093" path="m8651,-1377l9604,-1377,9604,-2469,8651,-2469,8651,-1377xe" filled="true" fillcolor="#ffffff" stroked="false">
              <v:path arrowok="t"/>
              <v:fill type="solid"/>
            </v:shape>
            <w10:wrap type="none"/>
          </v:group>
        </w:pict>
      </w: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rPr>
        <w:t>1. 2017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r>
        <w:rPr>
          <w:spacing w:val="-13"/>
        </w:rPr>
        <w:t>，</w:t>
      </w:r>
      <w:r>
        <w:rPr/>
        <w:t>财政部公布了修订后</w:t>
      </w:r>
      <w:r>
        <w:rPr>
          <w:spacing w:val="-13"/>
        </w:rPr>
        <w:t>的</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政府补助</w:t>
      </w:r>
      <w:r>
        <w:rPr>
          <w:spacing w:val="-90"/>
        </w:rPr>
        <w:t>》</w:t>
      </w:r>
      <w:r>
        <w:rPr>
          <w:spacing w:val="-13"/>
        </w:rPr>
        <w:t>，</w:t>
      </w:r>
      <w:r>
        <w:rPr/>
        <w:t>该准则修订自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 </w:t>
      </w:r>
      <w:r>
        <w:rPr/>
        <w:t>日</w:t>
      </w:r>
    </w:p>
    <w:p>
      <w:pPr>
        <w:pStyle w:val="BodyText"/>
        <w:spacing w:line="302" w:lineRule="auto" w:before="63"/>
        <w:ind w:left="1134" w:right="1130"/>
        <w:jc w:val="left"/>
      </w:pPr>
      <w:r>
        <w:rPr>
          <w:spacing w:val="-4"/>
        </w:rPr>
        <w:t>起施行，同时要求企业对</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 </w:t>
      </w:r>
      <w:r>
        <w:rPr>
          <w:spacing w:val="-3"/>
        </w:rPr>
        <w:t>日存在的政府补助采用未来适用法处理，对</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 </w:t>
      </w:r>
      <w:r>
        <w:rPr/>
        <w:t>日至该准则施行日之间新 增的政府补助根据修订后的准则进行调整。</w:t>
      </w:r>
    </w:p>
    <w:p>
      <w:pPr>
        <w:pStyle w:val="BodyText"/>
        <w:spacing w:line="240" w:lineRule="auto" w:before="69"/>
        <w:ind w:left="1493" w:right="0"/>
        <w:jc w:val="left"/>
      </w:pPr>
      <w:r>
        <w:rPr/>
        <w:t>本公司自</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日开始采用该修订后的准则</w:t>
      </w:r>
      <w:r>
        <w:rPr>
          <w:spacing w:val="23"/>
        </w:rPr>
        <w:t> </w:t>
      </w:r>
      <w:r>
        <w:rPr/>
        <w:t>，上述会计政策变化的主要内容为：与企业日常活动相关的政府</w:t>
      </w:r>
    </w:p>
    <w:p>
      <w:pPr>
        <w:pStyle w:val="BodyText"/>
        <w:spacing w:line="240" w:lineRule="auto" w:before="63"/>
        <w:ind w:left="1134" w:right="0"/>
        <w:jc w:val="both"/>
      </w:pPr>
      <w:r>
        <w:rPr/>
        <w:t>补助计入其他收益；与企业日常活动无关的政府补助计入营业外收支。将与企业日常活动相关的政府补助</w:t>
      </w:r>
      <w:r>
        <w:rPr>
          <w:spacing w:val="-64"/>
        </w:rPr>
        <w:t> </w:t>
      </w:r>
      <w:r>
        <w:rPr>
          <w:rFonts w:ascii="Times New Roman" w:hAnsi="Times New Roman" w:cs="Times New Roman" w:eastAsia="Times New Roman" w:hint="default"/>
        </w:rPr>
        <w:t>1,515,779.32</w:t>
      </w:r>
      <w:r>
        <w:rPr>
          <w:rFonts w:ascii="Times New Roman" w:hAnsi="Times New Roman" w:cs="Times New Roman" w:eastAsia="Times New Roman" w:hint="default"/>
          <w:spacing w:val="-20"/>
        </w:rPr>
        <w:t> </w:t>
      </w:r>
      <w:r>
        <w:rPr/>
        <w:t>元计</w:t>
      </w:r>
    </w:p>
    <w:p>
      <w:pPr>
        <w:pStyle w:val="BodyText"/>
        <w:spacing w:line="240" w:lineRule="auto" w:before="64"/>
        <w:ind w:left="1134" w:right="0"/>
        <w:jc w:val="both"/>
      </w:pPr>
      <w:r>
        <w:rPr/>
        <w:t>入其他收益，与企业日常活动无关的政府补助</w:t>
      </w:r>
      <w:r>
        <w:rPr>
          <w:spacing w:val="-46"/>
        </w:rPr>
        <w:t> </w:t>
      </w:r>
      <w:r>
        <w:rPr>
          <w:rFonts w:ascii="Times New Roman" w:hAnsi="Times New Roman" w:cs="Times New Roman" w:eastAsia="Times New Roman" w:hint="default"/>
        </w:rPr>
        <w:t>0.00 </w:t>
      </w:r>
      <w:r>
        <w:rPr/>
        <w:t>元计入营业外收入。</w:t>
      </w:r>
    </w:p>
    <w:p>
      <w:pPr>
        <w:pStyle w:val="BodyText"/>
        <w:spacing w:line="240" w:lineRule="auto" w:before="101"/>
        <w:ind w:left="1493" w:right="0"/>
        <w:jc w:val="left"/>
      </w:pPr>
      <w:r>
        <w:rPr>
          <w:rFonts w:ascii="Times New Roman" w:hAnsi="Times New Roman" w:cs="Times New Roman" w:eastAsia="Times New Roman" w:hint="default"/>
        </w:rPr>
        <w:t>2. 2017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10"/>
        </w:rPr>
        <w:t>，</w:t>
      </w:r>
      <w:r>
        <w:rPr/>
        <w:t>财政</w:t>
      </w:r>
      <w:r>
        <w:rPr>
          <w:spacing w:val="1"/>
        </w:rPr>
        <w:t>部</w:t>
      </w:r>
      <w:r>
        <w:rPr/>
        <w:t>发布</w:t>
      </w:r>
      <w:r>
        <w:rPr>
          <w:spacing w:val="-10"/>
        </w:rPr>
        <w:t>了</w:t>
      </w:r>
      <w:r>
        <w:rPr/>
        <w:t>《企业会计准则第</w:t>
      </w:r>
      <w:r>
        <w:rPr>
          <w:spacing w:val="-46"/>
        </w:rPr>
        <w:t> </w:t>
      </w:r>
      <w:r>
        <w:rPr>
          <w:rFonts w:ascii="Times New Roman" w:hAnsi="Times New Roman" w:cs="Times New Roman" w:eastAsia="Times New Roman" w:hint="default"/>
        </w:rPr>
        <w:t>42 </w:t>
      </w:r>
      <w:r>
        <w:rPr/>
        <w:t>号</w:t>
      </w:r>
      <w:r>
        <w:rPr>
          <w:rFonts w:ascii="Times New Roman" w:hAnsi="Times New Roman" w:cs="Times New Roman" w:eastAsia="Times New Roman" w:hint="default"/>
        </w:rPr>
        <w:t>——</w:t>
      </w:r>
      <w:r>
        <w:rPr/>
        <w:t>持有待售的非流动资产</w:t>
      </w:r>
      <w:r>
        <w:rPr>
          <w:spacing w:val="-10"/>
        </w:rPr>
        <w:t>、</w:t>
      </w:r>
      <w:r>
        <w:rPr/>
        <w:t>处置组和终止经营</w:t>
      </w:r>
      <w:r>
        <w:rPr>
          <w:spacing w:val="-90"/>
        </w:rPr>
        <w:t>》</w:t>
      </w:r>
      <w:r>
        <w:rPr>
          <w:spacing w:val="-10"/>
        </w:rPr>
        <w:t>，</w:t>
      </w:r>
      <w:r>
        <w:rPr/>
        <w:t>该准则</w:t>
      </w:r>
    </w:p>
    <w:p>
      <w:pPr>
        <w:pStyle w:val="BodyText"/>
        <w:spacing w:line="300" w:lineRule="auto" w:before="63"/>
        <w:ind w:right="1130"/>
        <w:jc w:val="both"/>
      </w:pPr>
      <w:r>
        <w:rPr/>
        <w:t>自</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2"/>
        </w:rPr>
        <w:t>日起施行。本公司根据该准则及财政部《关于修订印发一般企业财务报表格式的通知》（财会〔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rFonts w:ascii="Times New Roman" w:hAnsi="Times New Roman" w:cs="Times New Roman" w:eastAsia="Times New Roman" w:hint="default"/>
        </w:rPr>
        <w:t> </w:t>
      </w:r>
      <w:r>
        <w:rPr>
          <w:spacing w:val="-2"/>
        </w:rPr>
        <w:t>号的规定，在利润表中新增了</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项目，并对净利润按经营持续性进行分类列报。本公司按照《企业会计准则第</w:t>
      </w:r>
      <w:r>
        <w:rPr>
          <w:spacing w:val="-44"/>
        </w:rPr>
        <w:t> </w:t>
      </w:r>
      <w:r>
        <w:rPr>
          <w:spacing w:val="-44"/>
        </w:rPr>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财务报表列报》等的相关规定编制</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年度的财务报表，并对可比期间的比较数据进行了调整。</w:t>
      </w:r>
    </w:p>
    <w:p>
      <w:pPr>
        <w:pStyle w:val="BodyText"/>
        <w:spacing w:line="240" w:lineRule="auto" w:before="51"/>
        <w:ind w:left="1494" w:right="0"/>
        <w:jc w:val="left"/>
      </w:pPr>
      <w:r>
        <w:rPr/>
        <w:t>本公司按照《企业会计准则第</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财务报表列报》等的相关规定，对可比期间的比较数据进行调整，本期合并财</w:t>
      </w:r>
    </w:p>
    <w:p>
      <w:pPr>
        <w:pStyle w:val="BodyText"/>
        <w:spacing w:line="240" w:lineRule="auto" w:before="64"/>
        <w:ind w:right="0"/>
        <w:jc w:val="both"/>
      </w:pPr>
      <w:r>
        <w:rPr/>
        <w:t>务报表中无资产处置收益，将上年营业外支出的非流动资产处置损失</w:t>
      </w:r>
      <w:r>
        <w:rPr>
          <w:spacing w:val="-46"/>
        </w:rPr>
        <w:t> </w:t>
      </w:r>
      <w:r>
        <w:rPr>
          <w:rFonts w:ascii="Times New Roman" w:hAnsi="Times New Roman" w:cs="Times New Roman" w:eastAsia="Times New Roman" w:hint="default"/>
        </w:rPr>
        <w:t>7,732.77</w:t>
      </w:r>
      <w:r>
        <w:rPr>
          <w:rFonts w:ascii="Times New Roman" w:hAnsi="Times New Roman" w:cs="Times New Roman" w:eastAsia="Times New Roman" w:hint="default"/>
          <w:spacing w:val="-2"/>
        </w:rPr>
        <w:t> </w:t>
      </w:r>
      <w:r>
        <w:rPr/>
        <w:t>元调整至资产处置收益。</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处置子公司高投基金投资并丧失控制权</w:t>
      </w:r>
      <w:r>
        <w:rPr>
          <w:rFonts w:ascii="宋体" w:hAnsi="宋体" w:cs="宋体" w:eastAsia="宋体" w:hint="default"/>
          <w:sz w:val="18"/>
          <w:szCs w:val="18"/>
        </w:rPr>
      </w:r>
    </w:p>
    <w:p>
      <w:pPr>
        <w:pStyle w:val="BodyText"/>
        <w:spacing w:line="304" w:lineRule="auto" w:before="2"/>
        <w:ind w:right="1124"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日，公司召开三届董事会二十五次会议，同意调整高投基金《关于共同设立武汉高投金运激光产业投资基 </w:t>
      </w:r>
      <w:r>
        <w:rPr>
          <w:spacing w:val="-2"/>
        </w:rPr>
        <w:t>金合伙企业（有限合伙）及湖北高投金运激光产业投资管理有限公司的发起人协议》及《武汉高投金运激光产业投资基金合</w:t>
      </w:r>
      <w:r>
        <w:rPr>
          <w:spacing w:val="-66"/>
        </w:rPr>
        <w:t> </w:t>
      </w:r>
      <w:r>
        <w:rPr>
          <w:spacing w:val="-66"/>
        </w:rPr>
      </w:r>
      <w:r>
        <w:rPr/>
        <w:t>伙企业（有限合伙）合伙协议》的变更，变更的主要内容为：（</w:t>
      </w:r>
      <w:r>
        <w:rPr>
          <w:rFonts w:ascii="Times New Roman" w:hAnsi="Times New Roman" w:cs="Times New Roman" w:eastAsia="Times New Roman" w:hint="default"/>
        </w:rPr>
        <w:t>1</w:t>
      </w:r>
      <w:r>
        <w:rPr/>
        <w:t>）取消如高投基金拟投资的项目是由本公司选定，且对单 个项目的合计投资金额不超过人民币</w:t>
      </w:r>
      <w:r>
        <w:rPr>
          <w:rFonts w:ascii="Times New Roman" w:hAnsi="Times New Roman" w:cs="Times New Roman" w:eastAsia="Times New Roman" w:hint="default"/>
        </w:rPr>
        <w:t>3,000</w:t>
      </w:r>
      <w:r>
        <w:rPr/>
        <w:t>万元时，投委会委托本公司对该项目进行决策并且为最终决策，投资决策结果报 投委会备案的条款；（</w:t>
      </w:r>
      <w:r>
        <w:rPr>
          <w:rFonts w:ascii="Times New Roman" w:hAnsi="Times New Roman" w:cs="Times New Roman" w:eastAsia="Times New Roman" w:hint="default"/>
        </w:rPr>
        <w:t>2</w:t>
      </w:r>
      <w:r>
        <w:rPr/>
        <w:t>）取消本公司对高投基金所投项目承担回购责任，并保证项目回购年化收益率不低于</w:t>
      </w:r>
      <w:r>
        <w:rPr>
          <w:rFonts w:ascii="Times New Roman" w:hAnsi="Times New Roman" w:cs="Times New Roman" w:eastAsia="Times New Roman" w:hint="default"/>
        </w:rPr>
        <w:t>8.5%</w:t>
      </w:r>
      <w:r>
        <w:rPr/>
        <w:t>的承诺；</w:t>
      </w:r>
    </w:p>
    <w:p>
      <w:pPr>
        <w:pStyle w:val="BodyText"/>
        <w:spacing w:line="300" w:lineRule="auto" w:before="9"/>
        <w:ind w:right="1130"/>
        <w:jc w:val="both"/>
      </w:pPr>
      <w:r>
        <w:rPr>
          <w:spacing w:val="-1"/>
        </w:rPr>
        <w:t>（</w:t>
      </w:r>
      <w:r>
        <w:rPr>
          <w:rFonts w:ascii="Times New Roman" w:hAnsi="Times New Roman" w:cs="Times New Roman" w:eastAsia="Times New Roman" w:hint="default"/>
          <w:spacing w:val="-1"/>
        </w:rPr>
        <w:t>3</w:t>
      </w:r>
      <w:r>
        <w:rPr>
          <w:spacing w:val="-1"/>
        </w:rPr>
        <w:t>）基金各出资人的出资额调整为：湖北省高新技术产业投资有限公司（下称湖北高投）的出资额人民币</w:t>
      </w:r>
      <w:r>
        <w:rPr>
          <w:rFonts w:ascii="Times New Roman" w:hAnsi="Times New Roman" w:cs="Times New Roman" w:eastAsia="Times New Roman" w:hint="default"/>
          <w:spacing w:val="-1"/>
        </w:rPr>
        <w:t>2,000</w:t>
      </w:r>
      <w:r>
        <w:rPr>
          <w:spacing w:val="-1"/>
        </w:rPr>
        <w:t>万元、湖北</w:t>
      </w:r>
      <w:r>
        <w:rPr>
          <w:spacing w:val="-73"/>
        </w:rPr>
        <w:t> </w:t>
      </w:r>
      <w:r>
        <w:rPr>
          <w:spacing w:val="-73"/>
        </w:rPr>
      </w:r>
      <w:r>
        <w:rPr>
          <w:spacing w:val="-2"/>
        </w:rPr>
        <w:t>高投资本经营有限公司出资额人民币</w:t>
      </w:r>
      <w:r>
        <w:rPr>
          <w:rFonts w:ascii="Times New Roman" w:hAnsi="Times New Roman" w:cs="Times New Roman" w:eastAsia="Times New Roman" w:hint="default"/>
          <w:spacing w:val="-2"/>
        </w:rPr>
        <w:t>500</w:t>
      </w:r>
      <w:r>
        <w:rPr>
          <w:spacing w:val="-2"/>
        </w:rPr>
        <w:t>万元、本公司出资额由人民币</w:t>
      </w:r>
      <w:r>
        <w:rPr>
          <w:rFonts w:ascii="Times New Roman" w:hAnsi="Times New Roman" w:cs="Times New Roman" w:eastAsia="Times New Roman" w:hint="default"/>
          <w:spacing w:val="-2"/>
        </w:rPr>
        <w:t>3,000</w:t>
      </w:r>
      <w:r>
        <w:rPr>
          <w:spacing w:val="-2"/>
        </w:rPr>
        <w:t>万元调整为</w:t>
      </w:r>
      <w:r>
        <w:rPr>
          <w:rFonts w:ascii="Times New Roman" w:hAnsi="Times New Roman" w:cs="Times New Roman" w:eastAsia="Times New Roman" w:hint="default"/>
          <w:spacing w:val="-2"/>
        </w:rPr>
        <w:t>2,550</w:t>
      </w:r>
      <w:r>
        <w:rPr>
          <w:spacing w:val="-2"/>
        </w:rPr>
        <w:t>万元、高投金运出资额由人民币</w:t>
      </w:r>
      <w:r>
        <w:rPr>
          <w:spacing w:val="-54"/>
        </w:rPr>
        <w:t> </w:t>
      </w:r>
      <w:r>
        <w:rPr>
          <w:spacing w:val="-54"/>
        </w:rPr>
      </w:r>
      <w:r>
        <w:rPr>
          <w:rFonts w:ascii="Times New Roman" w:hAnsi="Times New Roman" w:cs="Times New Roman" w:eastAsia="Times New Roman" w:hint="default"/>
        </w:rPr>
        <w:t>300</w:t>
      </w:r>
      <w:r>
        <w:rPr/>
        <w:t>万元调整为</w:t>
      </w:r>
      <w:r>
        <w:rPr>
          <w:rFonts w:ascii="Times New Roman" w:hAnsi="Times New Roman" w:cs="Times New Roman" w:eastAsia="Times New Roman" w:hint="default"/>
        </w:rPr>
        <w:t>180</w:t>
      </w:r>
      <w:r>
        <w:rPr/>
        <w:t>万元。</w:t>
      </w:r>
    </w:p>
    <w:p>
      <w:pPr>
        <w:pStyle w:val="BodyText"/>
        <w:spacing w:line="300" w:lineRule="auto" w:before="13"/>
        <w:ind w:right="1041" w:firstLine="360"/>
        <w:jc w:val="both"/>
      </w:pPr>
      <w:r>
        <w:rPr/>
        <w:t>上述条款变更后，本公司不承担投资的主要风险及最大的回报可变性；基于《发起人协议》</w:t>
      </w:r>
      <w:r>
        <w:rPr>
          <w:rFonts w:ascii="Times New Roman" w:hAnsi="Times New Roman" w:cs="Times New Roman" w:eastAsia="Times New Roman" w:hint="default"/>
        </w:rPr>
        <w:t>“</w:t>
      </w:r>
      <w:r>
        <w:rPr/>
        <w:t>高投基金的投资事务由投 委会决策，投委会由</w:t>
      </w:r>
      <w:r>
        <w:rPr>
          <w:rFonts w:ascii="Times New Roman" w:hAnsi="Times New Roman" w:cs="Times New Roman" w:eastAsia="Times New Roman" w:hint="default"/>
        </w:rPr>
        <w:t>5</w:t>
      </w:r>
      <w:r>
        <w:rPr/>
        <w:t>名成员组成，其中本公司推荐</w:t>
      </w:r>
      <w:r>
        <w:rPr>
          <w:rFonts w:ascii="Times New Roman" w:hAnsi="Times New Roman" w:cs="Times New Roman" w:eastAsia="Times New Roman" w:hint="default"/>
        </w:rPr>
        <w:t>3</w:t>
      </w:r>
      <w:r>
        <w:rPr/>
        <w:t>名、湖北高投推荐</w:t>
      </w:r>
      <w:r>
        <w:rPr>
          <w:rFonts w:ascii="Times New Roman" w:hAnsi="Times New Roman" w:cs="Times New Roman" w:eastAsia="Times New Roman" w:hint="default"/>
        </w:rPr>
        <w:t>2</w:t>
      </w:r>
      <w:r>
        <w:rPr/>
        <w:t>名，得到全体投委会三分之二赞成票的，投资决策 </w:t>
      </w:r>
      <w:r>
        <w:rPr>
          <w:spacing w:val="-2"/>
        </w:rPr>
        <w:t>有效</w:t>
      </w:r>
      <w:r>
        <w:rPr>
          <w:rFonts w:ascii="Times New Roman" w:hAnsi="Times New Roman" w:cs="Times New Roman" w:eastAsia="Times New Roman" w:hint="default"/>
          <w:spacing w:val="-2"/>
        </w:rPr>
        <w:t>”</w:t>
      </w:r>
      <w:r>
        <w:rPr>
          <w:spacing w:val="-2"/>
        </w:rPr>
        <w:t>约定，本公司不能对投资事务进行决策，故不再享有对高投基金的控制权，在合并财务报表中不再将其纳入合并范围。</w:t>
      </w:r>
    </w:p>
    <w:p>
      <w:pPr>
        <w:pStyle w:val="BodyText"/>
        <w:spacing w:line="300" w:lineRule="auto" w:before="13"/>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日，高投基金完成出资额调整后，本公司实际出资额由</w:t>
      </w:r>
      <w:r>
        <w:rPr>
          <w:rFonts w:ascii="Times New Roman" w:hAnsi="Times New Roman" w:cs="Times New Roman" w:eastAsia="Times New Roman" w:hint="default"/>
          <w:spacing w:val="-2"/>
        </w:rPr>
        <w:t>5,000</w:t>
      </w:r>
      <w:r>
        <w:rPr>
          <w:spacing w:val="-2"/>
        </w:rPr>
        <w:t>万元变更为</w:t>
      </w:r>
      <w:r>
        <w:rPr>
          <w:rFonts w:ascii="Times New Roman" w:hAnsi="Times New Roman" w:cs="Times New Roman" w:eastAsia="Times New Roman" w:hint="default"/>
          <w:spacing w:val="-2"/>
        </w:rPr>
        <w:t>2,550</w:t>
      </w:r>
      <w:r>
        <w:rPr>
          <w:spacing w:val="-2"/>
        </w:rPr>
        <w:t>万元，占合伙企业份额</w:t>
      </w:r>
      <w:r>
        <w:rPr>
          <w:rFonts w:ascii="Times New Roman" w:hAnsi="Times New Roman" w:cs="Times New Roman" w:eastAsia="Times New Roman" w:hint="default"/>
          <w:spacing w:val="-2"/>
        </w:rPr>
        <w:t>50.5%</w:t>
      </w:r>
      <w:r>
        <w:rPr>
          <w:spacing w:val="-2"/>
        </w:rPr>
        <w:t>，</w:t>
      </w:r>
      <w:r>
        <w:rPr/>
        <w:t> 湖北高投出资额由</w:t>
      </w:r>
      <w:r>
        <w:rPr>
          <w:rFonts w:ascii="Times New Roman" w:hAnsi="Times New Roman" w:cs="Times New Roman" w:eastAsia="Times New Roman" w:hint="default"/>
        </w:rPr>
        <w:t>5,000</w:t>
      </w:r>
      <w:r>
        <w:rPr/>
        <w:t>万元变更为</w:t>
      </w:r>
      <w:r>
        <w:rPr>
          <w:rFonts w:ascii="Times New Roman" w:hAnsi="Times New Roman" w:cs="Times New Roman" w:eastAsia="Times New Roman" w:hint="default"/>
        </w:rPr>
        <w:t>2,500</w:t>
      </w:r>
      <w:r>
        <w:rPr/>
        <w:t>万元，占合伙企业份额</w:t>
      </w:r>
      <w:r>
        <w:rPr>
          <w:rFonts w:ascii="Times New Roman" w:hAnsi="Times New Roman" w:cs="Times New Roman" w:eastAsia="Times New Roman" w:hint="default"/>
        </w:rPr>
        <w:t>49.5%</w:t>
      </w:r>
      <w:r>
        <w:rPr/>
        <w:t>，丧失控制权之日，本公司在高投基金所占份额的公 允价值为</w:t>
      </w:r>
      <w:r>
        <w:rPr>
          <w:rFonts w:ascii="Times New Roman" w:hAnsi="Times New Roman" w:cs="Times New Roman" w:eastAsia="Times New Roman" w:hint="default"/>
        </w:rPr>
        <w:t>24,837,214.79</w:t>
      </w:r>
      <w:r>
        <w:rPr/>
        <w:t>元，合并财务报表确认投资损失</w:t>
      </w:r>
      <w:r>
        <w:rPr>
          <w:rFonts w:ascii="Times New Roman" w:hAnsi="Times New Roman" w:cs="Times New Roman" w:eastAsia="Times New Roman" w:hint="default"/>
        </w:rPr>
        <w:t>6,586.98</w:t>
      </w:r>
      <w:r>
        <w:rPr/>
        <w:t>元。</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方建新、李轶芳</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 其他诉讼事项</w:t>
      </w:r>
    </w:p>
    <w:p>
      <w:pPr>
        <w:pStyle w:val="BodyText"/>
        <w:spacing w:line="240" w:lineRule="auto" w:before="3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05" w:type="dxa"/>
        <w:tblLayout w:type="fixed"/>
        <w:tblCellMar>
          <w:top w:w="0" w:type="dxa"/>
          <w:left w:w="0" w:type="dxa"/>
          <w:bottom w:w="0" w:type="dxa"/>
          <w:right w:w="0" w:type="dxa"/>
        </w:tblCellMar>
        <w:tblLook w:val="01E0"/>
      </w:tblPr>
      <w:tblGrid>
        <w:gridCol w:w="1038"/>
        <w:gridCol w:w="1540"/>
        <w:gridCol w:w="1779"/>
        <w:gridCol w:w="2413"/>
        <w:gridCol w:w="1275"/>
        <w:gridCol w:w="1628"/>
      </w:tblGrid>
      <w:tr>
        <w:trPr>
          <w:trHeight w:val="342"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被告</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标的额</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342"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广州番禺区人民法院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294.35</w:t>
            </w:r>
            <w:r>
              <w:rPr>
                <w:rFonts w:ascii="宋体" w:hAnsi="宋体" w:cs="宋体" w:eastAsia="宋体" w:hint="default"/>
                <w:sz w:val="18"/>
                <w:szCs w:val="18"/>
              </w:rPr>
              <w:t>万元</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2"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丁鏖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变更公司登记</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上海市松江区人民法院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万元</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2" w:hRule="exact"/>
        </w:trPr>
        <w:tc>
          <w:tcPr>
            <w:tcW w:w="1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张春杰、王欢</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借款纠纷</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湖北省高级人民法院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67"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日召开第三届董事会第二十一次会议，审议通过《关于第一期员工持股计划存续期展期的议案》，</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left"/>
      </w:pPr>
      <w:r>
        <w:rPr>
          <w:spacing w:val="-3"/>
          <w:w w:val="100"/>
        </w:rPr>
        <w:t>计划将第一期员工持股计划存续期进行展期，展期期限自</w:t>
      </w:r>
      <w:r>
        <w:rPr>
          <w:rFonts w:ascii="Times New Roman" w:hAnsi="Times New Roman" w:cs="Times New Roman" w:eastAsia="Times New Roman" w:hint="default"/>
          <w:spacing w:val="-3"/>
          <w:w w:val="100"/>
        </w:rPr>
        <w:t>2017</w:t>
      </w:r>
      <w:r>
        <w:rPr>
          <w:spacing w:val="-3"/>
          <w:w w:val="100"/>
        </w:rPr>
        <w:t>年</w:t>
      </w:r>
      <w:r>
        <w:rPr>
          <w:rFonts w:ascii="Times New Roman" w:hAnsi="Times New Roman" w:cs="Times New Roman" w:eastAsia="Times New Roman" w:hint="default"/>
          <w:spacing w:val="-3"/>
          <w:w w:val="100"/>
        </w:rPr>
        <w:t>4</w:t>
      </w:r>
      <w:r>
        <w:rPr>
          <w:spacing w:val="-3"/>
          <w:w w:val="100"/>
        </w:rPr>
        <w:t>月</w:t>
      </w:r>
      <w:r>
        <w:rPr>
          <w:rFonts w:ascii="Times New Roman" w:hAnsi="Times New Roman" w:cs="Times New Roman" w:eastAsia="Times New Roman" w:hint="default"/>
          <w:spacing w:val="-3"/>
          <w:w w:val="100"/>
        </w:rPr>
        <w:t>20</w:t>
      </w:r>
      <w:r>
        <w:rPr>
          <w:spacing w:val="-3"/>
          <w:w w:val="100"/>
        </w:rPr>
        <w:t>日起不超过</w:t>
      </w:r>
      <w:r>
        <w:rPr>
          <w:rFonts w:ascii="Times New Roman" w:hAnsi="Times New Roman" w:cs="Times New Roman" w:eastAsia="Times New Roman" w:hint="default"/>
          <w:spacing w:val="-3"/>
          <w:w w:val="100"/>
        </w:rPr>
        <w:t>12</w:t>
      </w:r>
      <w:r>
        <w:rPr>
          <w:spacing w:val="-3"/>
          <w:w w:val="100"/>
        </w:rPr>
        <w:t>个月。由于</w:t>
      </w:r>
      <w:r>
        <w:rPr>
          <w:rFonts w:ascii="Times New Roman" w:hAnsi="Times New Roman" w:cs="Times New Roman" w:eastAsia="Times New Roman" w:hint="default"/>
          <w:spacing w:val="-3"/>
          <w:w w:val="100"/>
        </w:rPr>
        <w:t>“</w:t>
      </w:r>
      <w:r>
        <w:rPr>
          <w:spacing w:val="-3"/>
          <w:w w:val="100"/>
        </w:rPr>
        <w:t>鑫众</w:t>
      </w:r>
      <w:r>
        <w:rPr>
          <w:rFonts w:ascii="Times New Roman" w:hAnsi="Times New Roman" w:cs="Times New Roman" w:eastAsia="Times New Roman" w:hint="default"/>
          <w:spacing w:val="-3"/>
          <w:w w:val="100"/>
        </w:rPr>
        <w:t>18</w:t>
      </w:r>
      <w:r>
        <w:rPr>
          <w:spacing w:val="-3"/>
          <w:w w:val="100"/>
        </w:rPr>
        <w:t>号集合计划</w:t>
      </w:r>
      <w:r>
        <w:rPr>
          <w:rFonts w:ascii="Times New Roman" w:hAnsi="Times New Roman" w:cs="Times New Roman" w:eastAsia="Times New Roman" w:hint="default"/>
          <w:spacing w:val="-3"/>
          <w:w w:val="100"/>
        </w:rPr>
        <w:t>”</w:t>
      </w:r>
      <w:r>
        <w:rPr>
          <w:spacing w:val="-3"/>
          <w:w w:val="100"/>
        </w:rPr>
        <w:t>拟于</w:t>
      </w:r>
      <w:r>
        <w:rPr>
          <w:rFonts w:ascii="Times New Roman" w:hAnsi="Times New Roman" w:cs="Times New Roman" w:eastAsia="Times New Roman" w:hint="default"/>
          <w:spacing w:val="-3"/>
          <w:w w:val="100"/>
        </w:rPr>
        <w:t>2017</w:t>
      </w:r>
      <w:r>
        <w:rPr>
          <w:rFonts w:ascii="Times New Roman" w:hAnsi="Times New Roman" w:cs="Times New Roman" w:eastAsia="Times New Roman" w:hint="default"/>
          <w:spacing w:val="-10"/>
          <w:w w:val="100"/>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日到期结束，</w:t>
      </w:r>
      <w:r>
        <w:rPr>
          <w:spacing w:val="-59"/>
        </w:rPr>
        <w:t> </w:t>
      </w:r>
      <w:r>
        <w:rPr/>
        <w:t>而根据中国证监会相关要求，</w:t>
      </w:r>
      <w:r>
        <w:rPr>
          <w:rFonts w:ascii="Times New Roman" w:hAnsi="Times New Roman" w:cs="Times New Roman" w:eastAsia="Times New Roman" w:hint="default"/>
        </w:rPr>
        <w:t>“</w:t>
      </w:r>
      <w:r>
        <w:rPr/>
        <w:t>鑫众</w:t>
      </w:r>
      <w:r>
        <w:rPr>
          <w:rFonts w:ascii="Times New Roman" w:hAnsi="Times New Roman" w:cs="Times New Roman" w:eastAsia="Times New Roman" w:hint="default"/>
        </w:rPr>
        <w:t>18</w:t>
      </w:r>
      <w:r>
        <w:rPr/>
        <w:t>号集合计划</w:t>
      </w:r>
      <w:r>
        <w:rPr>
          <w:rFonts w:ascii="Times New Roman" w:hAnsi="Times New Roman" w:cs="Times New Roman" w:eastAsia="Times New Roman" w:hint="default"/>
        </w:rPr>
        <w:t>”</w:t>
      </w:r>
      <w:r>
        <w:rPr/>
        <w:t>产品到期后无法在原有结构下展期，所以，公司决 定到期结束该合同并于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日出售了其所持有的全部金运激光股票共计</w:t>
      </w:r>
      <w:r>
        <w:rPr>
          <w:rFonts w:ascii="Times New Roman" w:hAnsi="Times New Roman" w:cs="Times New Roman" w:eastAsia="Times New Roman" w:hint="default"/>
        </w:rPr>
        <w:t>681,522</w:t>
      </w:r>
      <w:r>
        <w:rPr/>
        <w:t>股，占公司总股本</w:t>
      </w:r>
      <w:r>
        <w:rPr>
          <w:rFonts w:ascii="Times New Roman" w:hAnsi="Times New Roman" w:cs="Times New Roman" w:eastAsia="Times New Roman" w:hint="default"/>
        </w:rPr>
        <w:t>0.54%</w:t>
      </w:r>
      <w:r>
        <w:rPr/>
        <w:t>。具体情况 详见公司指定信息披露媒体巨潮资讯网</w:t>
      </w:r>
      <w:r>
        <w:rPr>
          <w:rFonts w:ascii="Times New Roman" w:hAnsi="Times New Roman" w:cs="Times New Roman" w:eastAsia="Times New Roman" w:hint="default"/>
        </w:rPr>
        <w:t>(http://www.cninfo.com.cn)</w:t>
      </w:r>
      <w:r>
        <w:rPr/>
        <w:t>上相关公告内容：《公司关于第一期员工持股计划展期的</w:t>
      </w:r>
      <w:r>
        <w:rPr>
          <w:w w:val="99"/>
        </w:rPr>
        <w:t> </w:t>
      </w:r>
      <w:r>
        <w:rPr/>
        <w:t>公告》（公告编号：</w:t>
      </w:r>
      <w:r>
        <w:rPr>
          <w:rFonts w:ascii="Times New Roman" w:hAnsi="Times New Roman" w:cs="Times New Roman" w:eastAsia="Times New Roman" w:hint="default"/>
        </w:rPr>
        <w:t>2017-010</w:t>
      </w:r>
      <w:r>
        <w:rPr/>
        <w:t>）、《关于公司员工持股计划股票出售完毕及计划终止的公告》（公告编号：</w:t>
      </w:r>
      <w:r>
        <w:rPr>
          <w:rFonts w:ascii="Times New Roman" w:hAnsi="Times New Roman" w:cs="Times New Roman" w:eastAsia="Times New Roman" w:hint="default"/>
        </w:rPr>
        <w:t>2017-031</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3"/>
        <w:rPr>
          <w:rFonts w:ascii="宋体" w:hAnsi="宋体" w:cs="宋体" w:eastAsia="宋体" w:hint="default"/>
          <w:sz w:val="2"/>
          <w:szCs w:val="2"/>
        </w:rPr>
      </w:pPr>
    </w:p>
    <w:tbl>
      <w:tblPr>
        <w:tblW w:w="0" w:type="auto"/>
        <w:jc w:val="left"/>
        <w:tblInd w:w="1105" w:type="dxa"/>
        <w:tblLayout w:type="fixed"/>
        <w:tblCellMar>
          <w:top w:w="0" w:type="dxa"/>
          <w:left w:w="0" w:type="dxa"/>
          <w:bottom w:w="0" w:type="dxa"/>
          <w:right w:w="0" w:type="dxa"/>
        </w:tblCellMar>
        <w:tblLook w:val="01E0"/>
      </w:tblPr>
      <w:tblGrid>
        <w:gridCol w:w="3188"/>
        <w:gridCol w:w="1718"/>
        <w:gridCol w:w="2212"/>
        <w:gridCol w:w="2556"/>
      </w:tblGrid>
      <w:tr>
        <w:trPr>
          <w:trHeight w:val="34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本期确认租赁收入</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6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4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2,514,285.72</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2,391,397.14</w:t>
            </w:r>
          </w:p>
        </w:tc>
      </w:tr>
      <w:tr>
        <w:trPr>
          <w:trHeight w:val="34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2,514,285.72</w:t>
            </w:r>
            <w:r>
              <w:rPr>
                <w:rFonts w:ascii="Times New Roman"/>
                <w:spacing w:val="-1"/>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2,391,397.14</w:t>
            </w:r>
            <w:r>
              <w:rPr>
                <w:rFonts w:ascii="Times New Roman"/>
                <w:spacing w:val="-1"/>
                <w:sz w:val="18"/>
              </w:rPr>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报告期内，公司存在解除对外担保事项：因武汉高投金运激光产业投资基金合伙企业（有限合伙）的并购基金取消了公</w:t>
      </w:r>
    </w:p>
    <w:p>
      <w:pPr>
        <w:pStyle w:val="BodyText"/>
        <w:spacing w:line="309" w:lineRule="auto" w:before="3"/>
        <w:ind w:right="1118"/>
        <w:jc w:val="left"/>
      </w:pPr>
      <w:r>
        <w:rPr/>
        <w:t>司对基金未退出项目的回购条款，则原《发起人协议》中的回购条款使公司承担的担保总额在理论上最大可能达到人民币 </w:t>
      </w:r>
      <w:r>
        <w:rPr>
          <w:rFonts w:ascii="Times New Roman" w:hAnsi="Times New Roman" w:cs="Times New Roman" w:eastAsia="Times New Roman" w:hint="default"/>
        </w:rPr>
        <w:t>2.53 </w:t>
      </w:r>
      <w:r>
        <w:rPr/>
        <w:t>亿元基金本金加上基金成立至清算时的年化</w:t>
      </w:r>
      <w:r>
        <w:rPr>
          <w:spacing w:val="-55"/>
        </w:rPr>
        <w:t> </w:t>
      </w:r>
      <w:r>
        <w:rPr>
          <w:rFonts w:ascii="Times New Roman" w:hAnsi="Times New Roman" w:cs="Times New Roman" w:eastAsia="Times New Roman" w:hint="default"/>
        </w:rPr>
        <w:t>8.5%</w:t>
      </w:r>
      <w:r>
        <w:rPr/>
        <w:t>单利收益的对外担保责任得以解除。具体内容详见指定信息披露网站 </w:t>
      </w:r>
      <w:r>
        <w:rPr>
          <w:spacing w:val="-3"/>
          <w:w w:val="99"/>
        </w:rPr>
        <w:t>巨潮资讯网</w:t>
      </w:r>
      <w:r>
        <w:rPr>
          <w:rFonts w:ascii="Times New Roman" w:hAnsi="Times New Roman" w:cs="Times New Roman" w:eastAsia="Times New Roman" w:hint="default"/>
          <w:spacing w:val="-3"/>
          <w:w w:val="99"/>
        </w:rPr>
        <w:t>(http://www.cninfo.com.cn)</w:t>
      </w:r>
      <w:r>
        <w:rPr>
          <w:spacing w:val="-3"/>
          <w:w w:val="99"/>
        </w:rPr>
        <w:t>《公司第三届董事会第二十五次会议决议公告》、《公司关于解除对外担保的公告》及</w:t>
      </w:r>
    </w:p>
    <w:p>
      <w:pPr>
        <w:pStyle w:val="BodyText"/>
        <w:spacing w:line="240" w:lineRule="auto" w:before="6"/>
        <w:ind w:left="1134" w:right="0"/>
        <w:jc w:val="left"/>
      </w:pPr>
      <w:r>
        <w:rPr/>
        <w:t>《公司关于第三届监事会第十八次会议决议的公告</w:t>
      </w:r>
      <w:r>
        <w:rPr>
          <w:spacing w:val="-90"/>
        </w:rPr>
        <w:t>》</w:t>
      </w:r>
      <w:r>
        <w:rPr/>
        <w:t>（公告编号：</w:t>
      </w:r>
      <w:r>
        <w:rPr>
          <w:rFonts w:ascii="Times New Roman" w:hAnsi="Times New Roman" w:cs="Times New Roman" w:eastAsia="Times New Roman" w:hint="default"/>
        </w:rPr>
        <w:t>2017-036</w:t>
      </w:r>
      <w:r>
        <w:rPr/>
        <w:t>、</w:t>
      </w:r>
      <w:r>
        <w:rPr>
          <w:rFonts w:ascii="Times New Roman" w:hAnsi="Times New Roman" w:cs="Times New Roman" w:eastAsia="Times New Roman" w:hint="default"/>
        </w:rPr>
        <w:t>2017-038</w:t>
      </w:r>
      <w:r>
        <w:rPr/>
        <w:t>、</w:t>
      </w:r>
      <w:r>
        <w:rPr>
          <w:rFonts w:ascii="Times New Roman" w:hAnsi="Times New Roman" w:cs="Times New Roman" w:eastAsia="Times New Roman" w:hint="default"/>
        </w:rPr>
        <w:t>2017-040</w:t>
      </w:r>
      <w:r>
        <w:rPr>
          <w:spacing w:val="-90"/>
        </w:rPr>
        <w:t>）。</w:t>
      </w:r>
      <w:r>
        <w:rPr/>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623"/>
        <w:gridCol w:w="627"/>
        <w:gridCol w:w="627"/>
        <w:gridCol w:w="627"/>
        <w:gridCol w:w="626"/>
        <w:gridCol w:w="628"/>
        <w:gridCol w:w="628"/>
        <w:gridCol w:w="626"/>
        <w:gridCol w:w="626"/>
        <w:gridCol w:w="626"/>
        <w:gridCol w:w="625"/>
        <w:gridCol w:w="627"/>
        <w:gridCol w:w="626"/>
        <w:gridCol w:w="625"/>
        <w:gridCol w:w="926"/>
      </w:tblGrid>
      <w:tr>
        <w:trPr>
          <w:trHeight w:val="714" w:hRule="exact"/>
        </w:trPr>
        <w:tc>
          <w:tcPr>
            <w:tcW w:w="6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71"/>
              <w:ind w:left="40" w:right="35"/>
              <w:jc w:val="left"/>
              <w:rPr>
                <w:rFonts w:ascii="宋体" w:hAnsi="宋体" w:cs="宋体" w:eastAsia="宋体" w:hint="default"/>
                <w:sz w:val="18"/>
                <w:szCs w:val="18"/>
              </w:rPr>
            </w:pPr>
            <w:r>
              <w:rPr>
                <w:rFonts w:ascii="宋体" w:hAnsi="宋体" w:cs="宋体" w:eastAsia="宋体" w:hint="default"/>
                <w:sz w:val="18"/>
                <w:szCs w:val="18"/>
              </w:rPr>
              <w:t>合同订 立公司</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8" w:right="38"/>
              <w:jc w:val="left"/>
              <w:rPr>
                <w:rFonts w:ascii="宋体" w:hAnsi="宋体" w:cs="宋体" w:eastAsia="宋体" w:hint="default"/>
                <w:sz w:val="18"/>
                <w:szCs w:val="18"/>
              </w:rPr>
            </w:pPr>
            <w:r>
              <w:rPr>
                <w:rFonts w:ascii="宋体" w:hAnsi="宋体" w:cs="宋体" w:eastAsia="宋体" w:hint="default"/>
                <w:sz w:val="18"/>
                <w:szCs w:val="18"/>
              </w:rPr>
              <w:t>合同订 立对方</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8" w:right="36"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8" w:right="35"/>
              <w:jc w:val="left"/>
              <w:rPr>
                <w:rFonts w:ascii="宋体" w:hAnsi="宋体" w:cs="宋体" w:eastAsia="宋体" w:hint="default"/>
                <w:sz w:val="18"/>
                <w:szCs w:val="18"/>
              </w:rPr>
            </w:pPr>
            <w:r>
              <w:rPr>
                <w:rFonts w:ascii="宋体" w:hAnsi="宋体" w:cs="宋体" w:eastAsia="宋体" w:hint="default"/>
                <w:sz w:val="18"/>
                <w:szCs w:val="18"/>
              </w:rPr>
              <w:t>合同涉 及资产</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8" w:right="37"/>
              <w:jc w:val="left"/>
              <w:rPr>
                <w:rFonts w:ascii="宋体" w:hAnsi="宋体" w:cs="宋体" w:eastAsia="宋体" w:hint="default"/>
                <w:sz w:val="18"/>
                <w:szCs w:val="18"/>
              </w:rPr>
            </w:pPr>
            <w:r>
              <w:rPr>
                <w:rFonts w:ascii="宋体" w:hAnsi="宋体" w:cs="宋体" w:eastAsia="宋体" w:hint="default"/>
                <w:sz w:val="18"/>
                <w:szCs w:val="18"/>
              </w:rPr>
              <w:t>合同涉 及资产</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9" w:right="38"/>
              <w:jc w:val="left"/>
              <w:rPr>
                <w:rFonts w:ascii="宋体" w:hAnsi="宋体" w:cs="宋体" w:eastAsia="宋体" w:hint="default"/>
                <w:sz w:val="18"/>
                <w:szCs w:val="18"/>
              </w:rPr>
            </w:pPr>
            <w:r>
              <w:rPr>
                <w:rFonts w:ascii="宋体" w:hAnsi="宋体" w:cs="宋体" w:eastAsia="宋体" w:hint="default"/>
                <w:sz w:val="18"/>
                <w:szCs w:val="18"/>
              </w:rPr>
              <w:t>评估机 构名称</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27" w:right="36" w:hanging="90"/>
              <w:jc w:val="left"/>
              <w:rPr>
                <w:rFonts w:ascii="宋体" w:hAnsi="宋体" w:cs="宋体" w:eastAsia="宋体" w:hint="default"/>
                <w:sz w:val="18"/>
                <w:szCs w:val="18"/>
              </w:rPr>
            </w:pPr>
            <w:r>
              <w:rPr>
                <w:rFonts w:ascii="宋体" w:hAnsi="宋体" w:cs="宋体" w:eastAsia="宋体" w:hint="default"/>
                <w:sz w:val="18"/>
                <w:szCs w:val="18"/>
              </w:rPr>
              <w:t>评估基 准日</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8" w:right="36"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7" w:right="37"/>
              <w:jc w:val="left"/>
              <w:rPr>
                <w:rFonts w:ascii="宋体" w:hAnsi="宋体" w:cs="宋体" w:eastAsia="宋体" w:hint="default"/>
                <w:sz w:val="18"/>
                <w:szCs w:val="18"/>
              </w:rPr>
            </w:pPr>
            <w:r>
              <w:rPr>
                <w:rFonts w:ascii="宋体" w:hAnsi="宋体" w:cs="宋体" w:eastAsia="宋体" w:hint="default"/>
                <w:sz w:val="18"/>
                <w:szCs w:val="18"/>
              </w:rPr>
              <w:t>交易价 格（万</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 w:right="36"/>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8" w:right="36" w:hanging="181"/>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7" w:right="37"/>
              <w:jc w:val="left"/>
              <w:rPr>
                <w:rFonts w:ascii="宋体" w:hAnsi="宋体" w:cs="宋体" w:eastAsia="宋体" w:hint="default"/>
                <w:sz w:val="18"/>
                <w:szCs w:val="18"/>
              </w:rPr>
            </w:pPr>
            <w:r>
              <w:rPr>
                <w:rFonts w:ascii="宋体" w:hAnsi="宋体" w:cs="宋体" w:eastAsia="宋体" w:hint="default"/>
                <w:sz w:val="18"/>
                <w:szCs w:val="18"/>
              </w:rPr>
              <w:t>截至报 告期末</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7" w:right="3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2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623"/>
        <w:gridCol w:w="626"/>
        <w:gridCol w:w="628"/>
        <w:gridCol w:w="626"/>
        <w:gridCol w:w="628"/>
        <w:gridCol w:w="626"/>
        <w:gridCol w:w="629"/>
        <w:gridCol w:w="625"/>
        <w:gridCol w:w="626"/>
        <w:gridCol w:w="626"/>
        <w:gridCol w:w="625"/>
        <w:gridCol w:w="627"/>
        <w:gridCol w:w="626"/>
        <w:gridCol w:w="625"/>
        <w:gridCol w:w="926"/>
      </w:tblGrid>
      <w:tr>
        <w:trPr>
          <w:trHeight w:val="1611" w:hRule="exact"/>
        </w:trPr>
        <w:tc>
          <w:tcPr>
            <w:tcW w:w="6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方名称</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8"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9" w:right="36"/>
              <w:jc w:val="center"/>
              <w:rPr>
                <w:rFonts w:ascii="宋体" w:hAnsi="宋体" w:cs="宋体" w:eastAsia="宋体" w:hint="default"/>
                <w:sz w:val="18"/>
                <w:szCs w:val="18"/>
              </w:rPr>
            </w:pPr>
            <w:r>
              <w:rPr>
                <w:rFonts w:ascii="宋体" w:hAnsi="宋体" w:cs="宋体" w:eastAsia="宋体" w:hint="default"/>
                <w:sz w:val="18"/>
                <w:szCs w:val="18"/>
              </w:rPr>
              <w:t>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8"/>
                <w:sz w:val="18"/>
                <w:szCs w:val="18"/>
              </w:rPr>
              <w:t>元）（如</w:t>
            </w:r>
            <w:r>
              <w:rPr>
                <w:rFonts w:ascii="宋体" w:hAnsi="宋体" w:cs="宋体" w:eastAsia="宋体" w:hint="default"/>
                <w:sz w:val="18"/>
                <w:szCs w:val="18"/>
              </w:rPr>
              <w:t> 有）</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8" w:right="36"/>
              <w:jc w:val="center"/>
              <w:rPr>
                <w:rFonts w:ascii="宋体" w:hAnsi="宋体" w:cs="宋体" w:eastAsia="宋体" w:hint="default"/>
                <w:sz w:val="18"/>
                <w:szCs w:val="18"/>
              </w:rPr>
            </w:pPr>
            <w:r>
              <w:rPr>
                <w:rFonts w:ascii="宋体" w:hAnsi="宋体" w:cs="宋体" w:eastAsia="宋体" w:hint="default"/>
                <w:sz w:val="18"/>
                <w:szCs w:val="18"/>
              </w:rPr>
              <w:t>的评估 价值</w:t>
            </w:r>
          </w:p>
          <w:p>
            <w:pPr>
              <w:pStyle w:val="TableParagraph"/>
              <w:spacing w:line="319" w:lineRule="auto" w:before="19"/>
              <w:ind w:left="22"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8"/>
                <w:sz w:val="18"/>
                <w:szCs w:val="18"/>
              </w:rPr>
              <w:t>元）（如</w:t>
            </w:r>
            <w:r>
              <w:rPr>
                <w:rFonts w:ascii="宋体" w:hAnsi="宋体" w:cs="宋体" w:eastAsia="宋体" w:hint="default"/>
                <w:sz w:val="18"/>
                <w:szCs w:val="18"/>
              </w:rPr>
              <w:t> 有）</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30" w:right="127"/>
              <w:jc w:val="left"/>
              <w:rPr>
                <w:rFonts w:ascii="宋体" w:hAnsi="宋体" w:cs="宋体" w:eastAsia="宋体" w:hint="default"/>
                <w:sz w:val="18"/>
                <w:szCs w:val="18"/>
              </w:rPr>
            </w:pPr>
            <w:r>
              <w:rPr>
                <w:rFonts w:ascii="宋体" w:hAnsi="宋体" w:cs="宋体" w:eastAsia="宋体" w:hint="default"/>
                <w:sz w:val="18"/>
                <w:szCs w:val="18"/>
              </w:rPr>
              <w:t>（如 有）</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7" w:right="126"/>
              <w:jc w:val="left"/>
              <w:rPr>
                <w:rFonts w:ascii="宋体" w:hAnsi="宋体" w:cs="宋体" w:eastAsia="宋体" w:hint="default"/>
                <w:sz w:val="18"/>
                <w:szCs w:val="18"/>
              </w:rPr>
            </w:pPr>
            <w:r>
              <w:rPr>
                <w:rFonts w:ascii="宋体" w:hAnsi="宋体" w:cs="宋体" w:eastAsia="宋体" w:hint="default"/>
                <w:sz w:val="18"/>
                <w:szCs w:val="18"/>
              </w:rPr>
              <w:t>（如 有）</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7" w:right="37" w:hanging="90"/>
              <w:jc w:val="left"/>
              <w:rPr>
                <w:rFonts w:ascii="宋体" w:hAnsi="宋体" w:cs="宋体" w:eastAsia="宋体" w:hint="default"/>
                <w:sz w:val="18"/>
                <w:szCs w:val="18"/>
              </w:rPr>
            </w:pPr>
            <w:r>
              <w:rPr>
                <w:rFonts w:ascii="宋体" w:hAnsi="宋体" w:cs="宋体" w:eastAsia="宋体" w:hint="default"/>
                <w:sz w:val="18"/>
                <w:szCs w:val="18"/>
              </w:rPr>
              <w:t>的执行 情况</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2898" w:hRule="exact"/>
        </w:trPr>
        <w:tc>
          <w:tcPr>
            <w:tcW w:w="6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7" w:right="48"/>
              <w:jc w:val="both"/>
              <w:rPr>
                <w:rFonts w:ascii="宋体" w:hAnsi="宋体" w:cs="宋体" w:eastAsia="宋体" w:hint="default"/>
                <w:sz w:val="18"/>
                <w:szCs w:val="18"/>
              </w:rPr>
            </w:pPr>
            <w:r>
              <w:rPr>
                <w:rFonts w:ascii="宋体" w:hAnsi="宋体" w:cs="宋体" w:eastAsia="宋体" w:hint="default"/>
                <w:sz w:val="18"/>
                <w:szCs w:val="18"/>
              </w:rPr>
              <w:t>武汉金 运激光 股份有 限公司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武汉市 江岸区 青少年 科技活 动中心</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3"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 备</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8" w:right="0"/>
              <w:jc w:val="left"/>
              <w:rPr>
                <w:rFonts w:ascii="Times New Roman" w:hAnsi="Times New Roman" w:cs="Times New Roman" w:eastAsia="Times New Roman" w:hint="default"/>
                <w:sz w:val="18"/>
                <w:szCs w:val="18"/>
              </w:rPr>
            </w:pPr>
            <w:r>
              <w:rPr>
                <w:rFonts w:ascii="Times New Roman"/>
                <w:sz w:val="18"/>
              </w:rPr>
              <w:t>147.9</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具体内容 </w:t>
            </w:r>
            <w:r>
              <w:rPr>
                <w:rFonts w:ascii="宋体" w:hAnsi="宋体" w:cs="宋体" w:eastAsia="宋体" w:hint="default"/>
                <w:spacing w:val="-7"/>
                <w:sz w:val="18"/>
                <w:szCs w:val="18"/>
              </w:rPr>
              <w:t>详见《公司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 验校配建 设项目中 标的公告》</w:t>
            </w:r>
          </w:p>
          <w:p>
            <w:pPr>
              <w:pStyle w:val="TableParagraph"/>
              <w:spacing w:line="316" w:lineRule="auto" w:before="20"/>
              <w:ind w:left="23" w:right="175"/>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2017-035</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both"/>
        <w:rPr>
          <w:b w:val="0"/>
          <w:bCs w:val="0"/>
        </w:rPr>
      </w:pPr>
      <w:bookmarkStart w:name="十七、社会责任情况" w:id="92"/>
      <w:bookmarkEnd w:id="92"/>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公司继续坚持在追求经济效益、保护股东利益的同时，积极保护债权人和职工的合法权益，诚信对待供应商、客户，积</w:t>
      </w:r>
      <w:r>
        <w:rPr/>
        <w:t> 极从事环境保护、社区建设等公益事业，促进公司本身与社会的协调、和谐发展，积极履行社会责任。</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3、环境保护相关的情况" w:id="95"/>
      <w:bookmarkEnd w:id="9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5712"/>
        <w:jc w:val="left"/>
      </w:pPr>
      <w:r>
        <w:rPr/>
        <w:t>上市公司及其子公司是否属于环境保护部门公布的重点排污单位 不适用</w:t>
      </w:r>
    </w:p>
    <w:p>
      <w:pPr>
        <w:pStyle w:val="BodyText"/>
        <w:spacing w:line="240" w:lineRule="auto" w:before="25"/>
        <w:ind w:left="1134" w:right="0"/>
        <w:jc w:val="both"/>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left="1134" w:right="0"/>
        <w:jc w:val="both"/>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spacing w:val="-6"/>
        </w:rPr>
        <w:t>1</w:t>
      </w:r>
      <w:r>
        <w:rPr>
          <w:spacing w:val="-6"/>
        </w:rPr>
        <w:t>、公司在编制</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年度报告中自查发现相关关联交易事项审议程序遗漏，于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日披露的第三届董事会第</w:t>
      </w:r>
    </w:p>
    <w:p>
      <w:pPr>
        <w:pStyle w:val="BodyText"/>
        <w:spacing w:line="240" w:lineRule="auto" w:before="63"/>
        <w:ind w:left="1134" w:right="0"/>
        <w:jc w:val="both"/>
      </w:pPr>
      <w:r>
        <w:rPr>
          <w:spacing w:val="-3"/>
        </w:rPr>
        <w:t>二十二次会议、第三届监事会第十五次会议、及</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日披露的第三届董事第二十三次会议、第三届监事会第十六</w:t>
      </w:r>
    </w:p>
    <w:p>
      <w:pPr>
        <w:pStyle w:val="BodyText"/>
        <w:spacing w:line="307" w:lineRule="auto" w:before="63"/>
        <w:ind w:left="1134" w:right="1132"/>
        <w:jc w:val="both"/>
      </w:pPr>
      <w:r>
        <w:rPr/>
        <w:t>次及</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 </w:t>
      </w:r>
      <w:r>
        <w:rPr/>
        <w:t>日召开的</w:t>
      </w:r>
      <w:r>
        <w:rPr>
          <w:spacing w:val="-45"/>
        </w:rPr>
        <w:t> </w:t>
      </w:r>
      <w:r>
        <w:rPr>
          <w:rFonts w:ascii="Times New Roman" w:hAnsi="Times New Roman" w:cs="Times New Roman" w:eastAsia="Times New Roman" w:hint="default"/>
        </w:rPr>
        <w:t>2017 </w:t>
      </w:r>
      <w:r>
        <w:rPr/>
        <w:t>年第一次临时股东大会审议通过了关于公司与关联方的交易事项。 具体内容详见指定信 </w:t>
      </w:r>
      <w:r>
        <w:rPr>
          <w:spacing w:val="-2"/>
          <w:w w:val="99"/>
        </w:rPr>
        <w:t>息披露网站巨潮资讯网</w:t>
      </w:r>
      <w:r>
        <w:rPr>
          <w:rFonts w:ascii="Times New Roman" w:hAnsi="Times New Roman" w:cs="Times New Roman" w:eastAsia="Times New Roman" w:hint="default"/>
          <w:spacing w:val="-2"/>
          <w:w w:val="99"/>
        </w:rPr>
        <w:t>(http://www.cninfo.com.cn)</w:t>
      </w:r>
      <w:r>
        <w:rPr>
          <w:spacing w:val="-2"/>
          <w:w w:val="99"/>
        </w:rPr>
        <w:t>《公司第三届董事会第二十二次会议决议公告》、《公司关于第三届监事会</w:t>
      </w:r>
      <w:r>
        <w:rPr>
          <w:spacing w:val="-85"/>
          <w:w w:val="99"/>
        </w:rPr>
        <w:t> </w:t>
      </w:r>
      <w:r>
        <w:rPr>
          <w:spacing w:val="-85"/>
          <w:w w:val="99"/>
        </w:rPr>
      </w:r>
      <w:r>
        <w:rPr>
          <w:spacing w:val="-8"/>
        </w:rPr>
        <w:t>第十五次会议决议的公告》、《公司第三届董事会第二十三次会议决议公告》、《公司关于第三届监事会第十六次会议决议的公</w:t>
      </w:r>
      <w:r>
        <w:rPr>
          <w:spacing w:val="-84"/>
        </w:rPr>
        <w:t> </w:t>
      </w:r>
      <w:r>
        <w:rPr>
          <w:spacing w:val="-84"/>
        </w:rPr>
      </w:r>
      <w:r>
        <w:rPr>
          <w:spacing w:val="-30"/>
        </w:rPr>
        <w:t>告》、《公司</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spacing w:val="-5"/>
        </w:rPr>
        <w:t>年第一次临时股东大会决议公告》（公告编号：</w:t>
      </w:r>
      <w:r>
        <w:rPr>
          <w:rFonts w:ascii="Times New Roman" w:hAnsi="Times New Roman" w:cs="Times New Roman" w:eastAsia="Times New Roman" w:hint="default"/>
          <w:spacing w:val="-5"/>
        </w:rPr>
        <w:t>2017-011</w:t>
      </w:r>
      <w:r>
        <w:rPr>
          <w:spacing w:val="-5"/>
        </w:rPr>
        <w:t>、</w:t>
      </w:r>
      <w:r>
        <w:rPr>
          <w:rFonts w:ascii="Times New Roman" w:hAnsi="Times New Roman" w:cs="Times New Roman" w:eastAsia="Times New Roman" w:hint="default"/>
          <w:spacing w:val="-5"/>
        </w:rPr>
        <w:t>2017-014</w:t>
      </w:r>
      <w:r>
        <w:rPr>
          <w:spacing w:val="-5"/>
        </w:rPr>
        <w:t>、</w:t>
      </w:r>
      <w:r>
        <w:rPr>
          <w:rFonts w:ascii="Times New Roman" w:hAnsi="Times New Roman" w:cs="Times New Roman" w:eastAsia="Times New Roman" w:hint="default"/>
          <w:spacing w:val="-5"/>
        </w:rPr>
        <w:t>2017-015</w:t>
      </w:r>
      <w:r>
        <w:rPr>
          <w:spacing w:val="-5"/>
        </w:rPr>
        <w:t>、</w:t>
      </w:r>
      <w:r>
        <w:rPr>
          <w:rFonts w:ascii="Times New Roman" w:hAnsi="Times New Roman" w:cs="Times New Roman" w:eastAsia="Times New Roman" w:hint="default"/>
          <w:spacing w:val="-5"/>
        </w:rPr>
        <w:t>2017-017</w:t>
      </w:r>
      <w:r>
        <w:rPr>
          <w:spacing w:val="-5"/>
        </w:rPr>
        <w:t>、</w:t>
      </w:r>
      <w:r>
        <w:rPr>
          <w:rFonts w:ascii="Times New Roman" w:hAnsi="Times New Roman" w:cs="Times New Roman" w:eastAsia="Times New Roman" w:hint="default"/>
          <w:spacing w:val="-5"/>
        </w:rPr>
        <w:t>2017-030</w:t>
      </w:r>
      <w:r>
        <w:rPr>
          <w:spacing w:val="-5"/>
        </w:rPr>
        <w:t>）。</w:t>
      </w:r>
      <w:r>
        <w:rPr/>
      </w:r>
    </w:p>
    <w:p>
      <w:pPr>
        <w:pStyle w:val="BodyText"/>
        <w:spacing w:line="300" w:lineRule="auto" w:before="46"/>
        <w:ind w:right="1130" w:firstLine="360"/>
        <w:jc w:val="both"/>
      </w:pPr>
      <w:r>
        <w:rPr>
          <w:rFonts w:ascii="Times New Roman" w:hAnsi="Times New Roman" w:cs="Times New Roman" w:eastAsia="Times New Roman" w:hint="default"/>
        </w:rPr>
        <w:t>2</w:t>
      </w:r>
      <w:r>
        <w:rPr/>
        <w:t>、公司于</w:t>
      </w:r>
      <w:r>
        <w:rPr>
          <w:spacing w:val="-3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日披露了公司与专业投资机构合作投资项目拟被福建浔兴拉链科技股份有限公司（下称</w:t>
      </w:r>
      <w:r>
        <w:rPr>
          <w:rFonts w:ascii="Times New Roman" w:hAnsi="Times New Roman" w:cs="Times New Roman" w:eastAsia="Times New Roman" w:hint="default"/>
        </w:rPr>
        <w:t>“</w:t>
      </w:r>
      <w:r>
        <w:rPr/>
        <w:t>浔 </w:t>
      </w:r>
      <w:r>
        <w:rPr>
          <w:spacing w:val="-2"/>
        </w:rPr>
        <w:t>兴股份</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002098</w:t>
      </w:r>
      <w:r>
        <w:rPr>
          <w:spacing w:val="-2"/>
        </w:rPr>
        <w:t>）收购之后，根据浔兴股份披露的相关公告，其重大资产重组已审议通过且实施完毕。</w:t>
      </w:r>
      <w:r>
        <w:rPr>
          <w:spacing w:val="25"/>
        </w:rPr>
        <w:t> </w:t>
      </w:r>
      <w:r>
        <w:rPr/>
        <w:t>公司已</w:t>
      </w:r>
      <w:r>
        <w:rPr>
          <w:spacing w:val="-84"/>
        </w:rPr>
        <w:t> </w:t>
      </w:r>
      <w:r>
        <w:rPr>
          <w:spacing w:val="-84"/>
        </w:rPr>
      </w:r>
      <w:r>
        <w:rPr/>
        <w:t>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日收到出售持有的</w:t>
      </w:r>
      <w:r>
        <w:rPr>
          <w:rFonts w:ascii="Times New Roman" w:hAnsi="Times New Roman" w:cs="Times New Roman" w:eastAsia="Times New Roman" w:hint="default"/>
        </w:rPr>
        <w:t>“</w:t>
      </w:r>
      <w:r>
        <w:rPr/>
        <w:t>价之链公司</w:t>
      </w:r>
      <w:r>
        <w:rPr>
          <w:rFonts w:ascii="Times New Roman" w:hAnsi="Times New Roman" w:cs="Times New Roman" w:eastAsia="Times New Roman" w:hint="default"/>
        </w:rPr>
        <w:t>”</w:t>
      </w:r>
      <w:r>
        <w:rPr/>
        <w:t>股权首笔转让款人民币</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日，收到第二笔股</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权转让款人民币 </w:t>
      </w:r>
      <w:r>
        <w:rPr>
          <w:rFonts w:ascii="Times New Roman" w:hAnsi="Times New Roman" w:cs="Times New Roman" w:eastAsia="Times New Roman" w:hint="default"/>
        </w:rPr>
        <w:t>291.44 </w:t>
      </w:r>
      <w:r>
        <w:rPr>
          <w:spacing w:val="-3"/>
        </w:rPr>
        <w:t>万元。截止目前，公司共累计收到股权转让款人民币 </w:t>
      </w:r>
      <w:r>
        <w:rPr>
          <w:rFonts w:ascii="Times New Roman" w:hAnsi="Times New Roman" w:cs="Times New Roman" w:eastAsia="Times New Roman" w:hint="default"/>
        </w:rPr>
        <w:t>1,291.44 </w:t>
      </w:r>
      <w:r>
        <w:rPr/>
        <w:t>万元。</w:t>
      </w:r>
      <w:r>
        <w:rPr>
          <w:spacing w:val="-60"/>
        </w:rPr>
        <w:t> </w:t>
      </w:r>
      <w:r>
        <w:rPr/>
        <w:t>相关事项详细内容请参见公司</w:t>
      </w:r>
    </w:p>
    <w:p>
      <w:pPr>
        <w:pStyle w:val="BodyText"/>
        <w:spacing w:line="302" w:lineRule="auto" w:before="63"/>
        <w:ind w:right="1132"/>
        <w:jc w:val="left"/>
      </w:pPr>
      <w:r>
        <w:rPr/>
        <w:t>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日及</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t>日披露于巨潮资讯网（</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6"/>
        </w:rPr>
        <w:t> </w:t>
      </w:r>
      <w:r>
        <w:rPr/>
        <w:t>）的《公司与专业投资机构合作投资项目 </w:t>
      </w:r>
      <w:r>
        <w:rPr>
          <w:spacing w:val="-15"/>
        </w:rPr>
        <w:t>的进展情况公告》（</w:t>
      </w:r>
      <w:r>
        <w:rPr>
          <w:rFonts w:ascii="Times New Roman" w:hAnsi="Times New Roman" w:cs="Times New Roman" w:eastAsia="Times New Roman" w:hint="default"/>
          <w:spacing w:val="-15"/>
        </w:rPr>
        <w:t>2017-044</w:t>
      </w:r>
      <w:r>
        <w:rPr>
          <w:spacing w:val="-15"/>
        </w:rPr>
        <w:t>）、（</w:t>
      </w:r>
      <w:r>
        <w:rPr>
          <w:rFonts w:ascii="Times New Roman" w:hAnsi="Times New Roman" w:cs="Times New Roman" w:eastAsia="Times New Roman" w:hint="default"/>
          <w:spacing w:val="-15"/>
        </w:rPr>
        <w:t>2017-051</w:t>
      </w:r>
      <w:r>
        <w:rPr>
          <w:spacing w:val="-15"/>
        </w:rPr>
        <w:t>）。</w:t>
      </w:r>
      <w:r>
        <w:rPr/>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32" w:firstLine="360"/>
        <w:jc w:val="both"/>
      </w:pPr>
      <w:r>
        <w:rPr>
          <w:rFonts w:ascii="Times New Roman" w:hAnsi="Times New Roman" w:cs="Times New Roman" w:eastAsia="Times New Roman" w:hint="default"/>
          <w:spacing w:val="-5"/>
          <w:w w:val="100"/>
        </w:rPr>
        <w:t>1</w:t>
      </w:r>
      <w:r>
        <w:rPr>
          <w:spacing w:val="-5"/>
          <w:w w:val="100"/>
        </w:rPr>
        <w:t>、武汉高投金运激光产业投资基金合伙企业（有限合伙）（</w:t>
      </w:r>
      <w:r>
        <w:rPr>
          <w:rFonts w:ascii="Times New Roman" w:hAnsi="Times New Roman" w:cs="Times New Roman" w:eastAsia="Times New Roman" w:hint="default"/>
          <w:spacing w:val="-5"/>
          <w:w w:val="100"/>
        </w:rPr>
        <w:t>“</w:t>
      </w:r>
      <w:r>
        <w:rPr>
          <w:spacing w:val="-5"/>
          <w:w w:val="100"/>
        </w:rPr>
        <w:t>高投基金</w:t>
      </w:r>
      <w:r>
        <w:rPr>
          <w:rFonts w:ascii="Times New Roman" w:hAnsi="Times New Roman" w:cs="Times New Roman" w:eastAsia="Times New Roman" w:hint="default"/>
          <w:spacing w:val="-5"/>
          <w:w w:val="100"/>
        </w:rPr>
        <w:t>”</w:t>
      </w:r>
      <w:r>
        <w:rPr>
          <w:spacing w:val="-5"/>
          <w:w w:val="100"/>
        </w:rPr>
        <w:t>）于</w:t>
      </w:r>
      <w:r>
        <w:rPr>
          <w:spacing w:val="-43"/>
          <w:w w:val="10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月以现金</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万元人民币投资中 安威士（北京）科技有限公司。</w:t>
      </w:r>
    </w:p>
    <w:p>
      <w:pPr>
        <w:pStyle w:val="BodyText"/>
        <w:spacing w:line="300" w:lineRule="auto" w:before="69"/>
        <w:ind w:right="1130" w:firstLine="360"/>
        <w:jc w:val="both"/>
      </w:pPr>
      <w:r>
        <w:rPr>
          <w:rFonts w:ascii="Times New Roman" w:hAnsi="Times New Roman" w:cs="Times New Roman" w:eastAsia="Times New Roman" w:hint="default"/>
          <w:spacing w:val="-2"/>
        </w:rPr>
        <w:t>2</w:t>
      </w:r>
      <w:r>
        <w:rPr>
          <w:spacing w:val="-2"/>
        </w:rPr>
        <w:t>、高投基金发生</w:t>
      </w:r>
      <w:r>
        <w:rPr>
          <w:rFonts w:ascii="Times New Roman" w:hAnsi="Times New Roman" w:cs="Times New Roman" w:eastAsia="Times New Roman" w:hint="default"/>
          <w:spacing w:val="-2"/>
        </w:rPr>
        <w:t>“</w:t>
      </w:r>
      <w:r>
        <w:rPr>
          <w:spacing w:val="-2"/>
        </w:rPr>
        <w:t>取消发行结构化产品、调整基金募资方式及基金规模和出资人出资额、取消公司对基金未退出项目的</w:t>
      </w:r>
      <w:r>
        <w:rPr/>
        <w:t> 回购条款</w:t>
      </w:r>
      <w:r>
        <w:rPr>
          <w:rFonts w:ascii="Times New Roman" w:hAnsi="Times New Roman" w:cs="Times New Roman" w:eastAsia="Times New Roman" w:hint="default"/>
        </w:rPr>
        <w:t>”</w:t>
      </w:r>
      <w:r>
        <w:rPr/>
        <w:t>的变更，其变更事项经</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日召开的第三届董事会第二十五次会议及第三届监事 会</w:t>
      </w:r>
      <w:r>
        <w:rPr>
          <w:spacing w:val="-52"/>
        </w:rPr>
        <w:t> </w:t>
      </w:r>
      <w:r>
        <w:rPr/>
        <w:t>第</w:t>
      </w:r>
      <w:r>
        <w:rPr>
          <w:spacing w:val="-52"/>
        </w:rPr>
        <w:t> </w:t>
      </w:r>
      <w:r>
        <w:rPr/>
        <w:t>十</w:t>
      </w:r>
      <w:r>
        <w:rPr>
          <w:spacing w:val="-52"/>
        </w:rPr>
        <w:t> </w:t>
      </w:r>
      <w:r>
        <w:rPr/>
        <w:t>八</w:t>
      </w:r>
      <w:r>
        <w:rPr>
          <w:spacing w:val="-52"/>
        </w:rPr>
        <w:t> </w:t>
      </w:r>
      <w:r>
        <w:rPr/>
        <w:t>次</w:t>
      </w:r>
      <w:r>
        <w:rPr>
          <w:spacing w:val="-51"/>
        </w:rPr>
        <w:t> </w:t>
      </w:r>
      <w:r>
        <w:rPr/>
        <w:t>会</w:t>
      </w:r>
      <w:r>
        <w:rPr>
          <w:spacing w:val="-52"/>
        </w:rPr>
        <w:t> </w:t>
      </w:r>
      <w:r>
        <w:rPr/>
        <w:t>议</w:t>
      </w:r>
      <w:r>
        <w:rPr>
          <w:spacing w:val="-52"/>
        </w:rPr>
        <w:t> </w:t>
      </w:r>
      <w:r>
        <w:rPr/>
        <w:t>、</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9"/>
        </w:rPr>
        <w:t> </w:t>
      </w:r>
      <w:r>
        <w:rPr/>
        <w:t>年</w:t>
      </w:r>
      <w:r>
        <w:rPr>
          <w:spacing w:val="-52"/>
        </w:rPr>
        <w:t> </w:t>
      </w:r>
      <w:r>
        <w:rPr/>
        <w:t>第</w:t>
      </w:r>
      <w:r>
        <w:rPr>
          <w:spacing w:val="-52"/>
        </w:rPr>
        <w:t> </w:t>
      </w:r>
      <w:r>
        <w:rPr/>
        <w:t>二</w:t>
      </w:r>
      <w:r>
        <w:rPr>
          <w:spacing w:val="-52"/>
        </w:rPr>
        <w:t> </w:t>
      </w:r>
      <w:r>
        <w:rPr/>
        <w:t>次</w:t>
      </w:r>
      <w:r>
        <w:rPr>
          <w:spacing w:val="-52"/>
        </w:rPr>
        <w:t> </w:t>
      </w:r>
      <w:r>
        <w:rPr/>
        <w:t>临</w:t>
      </w:r>
      <w:r>
        <w:rPr>
          <w:spacing w:val="-51"/>
        </w:rPr>
        <w:t> </w:t>
      </w:r>
      <w:r>
        <w:rPr/>
        <w:t>时</w:t>
      </w:r>
      <w:r>
        <w:rPr>
          <w:spacing w:val="-52"/>
        </w:rPr>
        <w:t> </w:t>
      </w:r>
      <w:r>
        <w:rPr/>
        <w:t>股</w:t>
      </w:r>
      <w:r>
        <w:rPr>
          <w:spacing w:val="-52"/>
        </w:rPr>
        <w:t> </w:t>
      </w:r>
      <w:r>
        <w:rPr/>
        <w:t>东</w:t>
      </w:r>
      <w:r>
        <w:rPr>
          <w:spacing w:val="-52"/>
        </w:rPr>
        <w:t> </w:t>
      </w:r>
      <w:r>
        <w:rPr/>
        <w:t>大</w:t>
      </w:r>
      <w:r>
        <w:rPr>
          <w:spacing w:val="-52"/>
        </w:rPr>
        <w:t> </w:t>
      </w:r>
      <w:r>
        <w:rPr/>
        <w:t>会</w:t>
      </w:r>
      <w:r>
        <w:rPr>
          <w:spacing w:val="-51"/>
        </w:rPr>
        <w:t> </w:t>
      </w:r>
      <w:r>
        <w:rPr/>
        <w:t>审</w:t>
      </w:r>
      <w:r>
        <w:rPr>
          <w:spacing w:val="-52"/>
        </w:rPr>
        <w:t> </w:t>
      </w:r>
      <w:r>
        <w:rPr/>
        <w:t>议</w:t>
      </w:r>
      <w:r>
        <w:rPr>
          <w:spacing w:val="-52"/>
        </w:rPr>
        <w:t> </w:t>
      </w:r>
      <w:r>
        <w:rPr/>
        <w:t>通</w:t>
      </w:r>
      <w:r>
        <w:rPr>
          <w:spacing w:val="-52"/>
        </w:rPr>
        <w:t> </w:t>
      </w:r>
      <w:r>
        <w:rPr/>
        <w:t>过</w:t>
      </w:r>
      <w:r>
        <w:rPr>
          <w:spacing w:val="-52"/>
        </w:rPr>
        <w:t> </w:t>
      </w:r>
      <w:r>
        <w:rPr/>
        <w:t>。</w:t>
      </w:r>
      <w:r>
        <w:rPr>
          <w:spacing w:val="-51"/>
        </w:rPr>
        <w:t> </w:t>
      </w:r>
      <w:r>
        <w:rPr/>
        <w:t>具</w:t>
      </w:r>
      <w:r>
        <w:rPr>
          <w:spacing w:val="-52"/>
        </w:rPr>
        <w:t> </w:t>
      </w:r>
      <w:r>
        <w:rPr/>
        <w:t>体</w:t>
      </w:r>
      <w:r>
        <w:rPr>
          <w:spacing w:val="-52"/>
        </w:rPr>
        <w:t> </w:t>
      </w:r>
      <w:r>
        <w:rPr/>
        <w:t>内</w:t>
      </w:r>
      <w:r>
        <w:rPr>
          <w:spacing w:val="-52"/>
        </w:rPr>
        <w:t> </w:t>
      </w:r>
      <w:r>
        <w:rPr/>
        <w:t>容</w:t>
      </w:r>
      <w:r>
        <w:rPr>
          <w:spacing w:val="-52"/>
        </w:rPr>
        <w:t> </w:t>
      </w:r>
      <w:r>
        <w:rPr/>
        <w:t>详</w:t>
      </w:r>
      <w:r>
        <w:rPr>
          <w:spacing w:val="-51"/>
        </w:rPr>
        <w:t> </w:t>
      </w:r>
      <w:r>
        <w:rPr/>
        <w:t>见</w:t>
      </w:r>
      <w:r>
        <w:rPr>
          <w:spacing w:val="-52"/>
        </w:rPr>
        <w:t> </w:t>
      </w:r>
      <w:r>
        <w:rPr/>
        <w:t>指</w:t>
      </w:r>
      <w:r>
        <w:rPr>
          <w:spacing w:val="-52"/>
        </w:rPr>
        <w:t> </w:t>
      </w:r>
      <w:r>
        <w:rPr/>
        <w:t>定</w:t>
      </w:r>
      <w:r>
        <w:rPr>
          <w:spacing w:val="-52"/>
        </w:rPr>
        <w:t> </w:t>
      </w:r>
      <w:r>
        <w:rPr/>
        <w:t>信</w:t>
      </w:r>
      <w:r>
        <w:rPr>
          <w:spacing w:val="-52"/>
        </w:rPr>
        <w:t> </w:t>
      </w:r>
      <w:r>
        <w:rPr/>
        <w:t>息</w:t>
      </w:r>
      <w:r>
        <w:rPr>
          <w:spacing w:val="-51"/>
        </w:rPr>
        <w:t> </w:t>
      </w:r>
      <w:r>
        <w:rPr/>
        <w:t>披</w:t>
      </w:r>
      <w:r>
        <w:rPr>
          <w:spacing w:val="-52"/>
        </w:rPr>
        <w:t> </w:t>
      </w:r>
      <w:r>
        <w:rPr/>
        <w:t>露</w:t>
      </w:r>
      <w:r>
        <w:rPr>
          <w:spacing w:val="-52"/>
        </w:rPr>
        <w:t> </w:t>
      </w:r>
      <w:r>
        <w:rPr/>
        <w:t>网</w:t>
      </w:r>
      <w:r>
        <w:rPr>
          <w:spacing w:val="-52"/>
        </w:rPr>
        <w:t> </w:t>
      </w:r>
      <w:r>
        <w:rPr/>
        <w:t>站</w:t>
      </w:r>
      <w:r>
        <w:rPr>
          <w:spacing w:val="-52"/>
        </w:rPr>
        <w:t> </w:t>
      </w:r>
      <w:r>
        <w:rPr/>
        <w:t>巨</w:t>
      </w:r>
      <w:r>
        <w:rPr>
          <w:spacing w:val="-51"/>
        </w:rPr>
        <w:t> </w:t>
      </w:r>
      <w:r>
        <w:rPr/>
        <w:t>潮</w:t>
      </w:r>
      <w:r>
        <w:rPr>
          <w:spacing w:val="-51"/>
        </w:rPr>
        <w:t> </w:t>
      </w:r>
      <w:r>
        <w:rPr/>
        <w:t>资</w:t>
      </w:r>
      <w:r>
        <w:rPr>
          <w:spacing w:val="-51"/>
        </w:rPr>
        <w:t> </w:t>
      </w:r>
      <w:r>
        <w:rPr/>
        <w:t>讯</w:t>
      </w:r>
      <w:r>
        <w:rPr>
          <w:spacing w:val="-51"/>
        </w:rPr>
        <w:t> </w:t>
      </w:r>
      <w:r>
        <w:rPr/>
        <w:t>网</w:t>
      </w:r>
      <w:r>
        <w:rPr/>
        <w:t> </w:t>
      </w:r>
      <w:r>
        <w:rPr>
          <w:rFonts w:ascii="Times New Roman" w:hAnsi="Times New Roman" w:cs="Times New Roman" w:eastAsia="Times New Roman" w:hint="default"/>
          <w:spacing w:val="-2"/>
          <w:w w:val="99"/>
        </w:rPr>
        <w:t>(http://www.cninfo.com.cn)</w:t>
      </w:r>
      <w:r>
        <w:rPr>
          <w:spacing w:val="-2"/>
          <w:w w:val="99"/>
        </w:rPr>
        <w:t>《公司第三届董事会第二十五次会议决议公告》、《关于与专业投资机构共同设立投资基金的变更</w:t>
      </w:r>
      <w:r>
        <w:rPr>
          <w:spacing w:val="-87"/>
          <w:w w:val="99"/>
        </w:rPr>
        <w:t> </w:t>
      </w:r>
      <w:r>
        <w:rPr>
          <w:spacing w:val="-87"/>
          <w:w w:val="99"/>
        </w:rPr>
      </w:r>
      <w:r>
        <w:rPr>
          <w:spacing w:val="-12"/>
        </w:rPr>
        <w:t>公告》、《公司关于解除对外担保的公告》、《公司关于第三届监事会第十八次会议决议的公告》、《公司</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年第二次临时股 </w:t>
      </w:r>
      <w:r>
        <w:rPr>
          <w:spacing w:val="-7"/>
        </w:rPr>
        <w:t>东大会决议公告》（公告编号：</w:t>
      </w:r>
      <w:r>
        <w:rPr>
          <w:spacing w:val="12"/>
        </w:rPr>
        <w:t> </w:t>
      </w:r>
      <w:r>
        <w:rPr>
          <w:rFonts w:ascii="Times New Roman" w:hAnsi="Times New Roman" w:cs="Times New Roman" w:eastAsia="Times New Roman" w:hint="default"/>
          <w:spacing w:val="-4"/>
        </w:rPr>
        <w:t>2017-036</w:t>
      </w:r>
      <w:r>
        <w:rPr>
          <w:spacing w:val="-4"/>
        </w:rPr>
        <w:t>、</w:t>
      </w:r>
      <w:r>
        <w:rPr>
          <w:rFonts w:ascii="Times New Roman" w:hAnsi="Times New Roman" w:cs="Times New Roman" w:eastAsia="Times New Roman" w:hint="default"/>
          <w:spacing w:val="-4"/>
        </w:rPr>
        <w:t>2017-037</w:t>
      </w:r>
      <w:r>
        <w:rPr>
          <w:spacing w:val="-4"/>
        </w:rPr>
        <w:t>、</w:t>
      </w:r>
      <w:r>
        <w:rPr>
          <w:rFonts w:ascii="Times New Roman" w:hAnsi="Times New Roman" w:cs="Times New Roman" w:eastAsia="Times New Roman" w:hint="default"/>
          <w:spacing w:val="-4"/>
        </w:rPr>
        <w:t>2017-038</w:t>
      </w:r>
      <w:r>
        <w:rPr>
          <w:spacing w:val="-4"/>
        </w:rPr>
        <w:t>、</w:t>
      </w:r>
      <w:r>
        <w:rPr>
          <w:rFonts w:ascii="Times New Roman" w:hAnsi="Times New Roman" w:cs="Times New Roman" w:eastAsia="Times New Roman" w:hint="default"/>
          <w:spacing w:val="-4"/>
        </w:rPr>
        <w:t>2017-040</w:t>
      </w:r>
      <w:r>
        <w:rPr>
          <w:spacing w:val="-4"/>
        </w:rPr>
        <w:t>、</w:t>
      </w:r>
      <w:r>
        <w:rPr>
          <w:rFonts w:ascii="Times New Roman" w:hAnsi="Times New Roman" w:cs="Times New Roman" w:eastAsia="Times New Roman" w:hint="default"/>
          <w:spacing w:val="-4"/>
        </w:rPr>
        <w:t>2017-043</w:t>
      </w:r>
      <w:r>
        <w:rPr>
          <w:spacing w:val="-4"/>
        </w:rPr>
        <w:t>）。</w:t>
      </w:r>
      <w:r>
        <w:rPr/>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2183"/>
        <w:gridCol w:w="967"/>
        <w:gridCol w:w="788"/>
        <w:gridCol w:w="787"/>
        <w:gridCol w:w="785"/>
        <w:gridCol w:w="785"/>
        <w:gridCol w:w="837"/>
        <w:gridCol w:w="836"/>
        <w:gridCol w:w="955"/>
        <w:gridCol w:w="745"/>
      </w:tblGrid>
      <w:tr>
        <w:trPr>
          <w:trHeight w:val="402" w:hRule="exact"/>
        </w:trPr>
        <w:tc>
          <w:tcPr>
            <w:tcW w:w="2183" w:type="dxa"/>
            <w:tcBorders>
              <w:top w:val="single" w:sz="4" w:space="0" w:color="000000"/>
              <w:left w:val="nil" w:sz="6" w:space="0" w:color="auto"/>
              <w:bottom w:val="nil" w:sz="6" w:space="0" w:color="auto"/>
              <w:right w:val="single" w:sz="4" w:space="0" w:color="000000"/>
            </w:tcBorders>
            <w:shd w:val="clear" w:color="auto" w:fill="D2D2D2"/>
          </w:tcPr>
          <w:p>
            <w:pP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83" w:type="dxa"/>
            <w:vMerge w:val="restart"/>
            <w:tcBorders>
              <w:top w:val="nil" w:sz="6" w:space="0" w:color="auto"/>
              <w:left w:val="nil" w:sz="6" w:space="0" w:color="auto"/>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6" w:right="26"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1" w:hRule="exact"/>
        </w:trPr>
        <w:tc>
          <w:tcPr>
            <w:tcW w:w="2183" w:type="dxa"/>
            <w:vMerge/>
            <w:tcBorders>
              <w:left w:val="nil" w:sz="6" w:space="0" w:color="auto"/>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5" w:type="dxa"/>
            <w:vMerge/>
            <w:tcBorders>
              <w:left w:val="single" w:sz="4" w:space="0" w:color="000000"/>
              <w:right w:val="single" w:sz="4" w:space="0" w:color="000000"/>
            </w:tcBorders>
            <w:shd w:val="clear" w:color="auto" w:fill="D2D2D2"/>
          </w:tcPr>
          <w:p>
            <w:pPr/>
          </w:p>
        </w:tc>
        <w:tc>
          <w:tcPr>
            <w:tcW w:w="8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5"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83" w:type="dxa"/>
            <w:vMerge w:val="restart"/>
            <w:tcBorders>
              <w:top w:val="nil" w:sz="6" w:space="0" w:color="auto"/>
              <w:left w:val="nil" w:sz="6" w:space="0" w:color="auto"/>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37"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2183" w:type="dxa"/>
            <w:vMerge/>
            <w:tcBorders>
              <w:left w:val="nil" w:sz="6" w:space="0" w:color="auto"/>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4,591,087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-3,510,000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1,081,087</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4,591,087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-3,510,000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1,081,087</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-3,510,000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1,081,087</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121,408,913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124,918,913</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99.14%</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121,408,913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124,918,913</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99.14%</w:t>
            </w:r>
          </w:p>
        </w:tc>
      </w:tr>
      <w:tr>
        <w:trPr>
          <w:trHeight w:val="402" w:hRule="exact"/>
        </w:trPr>
        <w:tc>
          <w:tcPr>
            <w:tcW w:w="2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126,000,000</w:t>
            </w:r>
          </w:p>
        </w:tc>
        <w:tc>
          <w:tcPr>
            <w:tcW w:w="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382"/>
        <w:gridCol w:w="1386"/>
        <w:gridCol w:w="1229"/>
        <w:gridCol w:w="1134"/>
        <w:gridCol w:w="1278"/>
        <w:gridCol w:w="1700"/>
        <w:gridCol w:w="1586"/>
      </w:tblGrid>
      <w:tr>
        <w:trPr>
          <w:trHeight w:val="714" w:hRule="exact"/>
        </w:trPr>
        <w:tc>
          <w:tcPr>
            <w:tcW w:w="13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28" w:right="6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930,544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930,544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87"/>
              <w:jc w:val="left"/>
              <w:rPr>
                <w:rFonts w:ascii="宋体" w:hAnsi="宋体" w:cs="宋体" w:eastAsia="宋体" w:hint="default"/>
                <w:sz w:val="18"/>
                <w:szCs w:val="18"/>
              </w:rPr>
            </w:pPr>
            <w:r>
              <w:rPr>
                <w:rFonts w:ascii="宋体" w:hAnsi="宋体" w:cs="宋体" w:eastAsia="宋体" w:hint="default"/>
                <w:sz w:val="18"/>
                <w:szCs w:val="18"/>
              </w:rPr>
              <w:t>新余全盛通投资 管理有限公司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382"/>
        <w:gridCol w:w="1386"/>
        <w:gridCol w:w="1229"/>
        <w:gridCol w:w="1134"/>
        <w:gridCol w:w="1278"/>
        <w:gridCol w:w="1700"/>
        <w:gridCol w:w="1586"/>
      </w:tblGrid>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150,543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150,543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5"/>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4,591,087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3,510,000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1,081,087</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82"/>
              <w:jc w:val="right"/>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11703pt;width:85.85pt;height:31.2pt;mso-position-horizontal-relative:page;mso-position-vertical-relative:paragraph;z-index:-72613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511703pt;width:52.7pt;height:31.2pt;mso-position-horizontal-relative:page;mso-position-vertical-relative:paragraph;z-index:-726112" coordorigin="9648,1410" coordsize="1054,624">
            <v:shape style="position:absolute;left:9648;top:1410;width:1054;height:624" coordorigin="9648,1410" coordsize="1054,624" path="m9648,2034l10702,2034,10702,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21"/>
        <w:gridCol w:w="134"/>
        <w:gridCol w:w="673"/>
        <w:gridCol w:w="739"/>
        <w:gridCol w:w="682"/>
        <w:gridCol w:w="893"/>
        <w:gridCol w:w="344"/>
        <w:gridCol w:w="445"/>
        <w:gridCol w:w="824"/>
        <w:gridCol w:w="1022"/>
        <w:gridCol w:w="103"/>
        <w:gridCol w:w="1027"/>
        <w:gridCol w:w="279"/>
        <w:gridCol w:w="513"/>
        <w:gridCol w:w="543"/>
      </w:tblGrid>
      <w:tr>
        <w:trPr>
          <w:trHeight w:val="161" w:hRule="exact"/>
        </w:trPr>
        <w:tc>
          <w:tcPr>
            <w:tcW w:w="1321" w:type="dxa"/>
            <w:vMerge w:val="restart"/>
            <w:tcBorders>
              <w:top w:val="single" w:sz="4" w:space="0" w:color="000000"/>
              <w:left w:val="nil" w:sz="6" w:space="0" w:color="auto"/>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16,212</w:t>
            </w:r>
          </w:p>
        </w:tc>
        <w:tc>
          <w:tcPr>
            <w:tcW w:w="1421" w:type="dxa"/>
            <w:gridSpan w:val="2"/>
            <w:vMerge w:val="restart"/>
            <w:tcBorders>
              <w:top w:val="single" w:sz="4" w:space="0" w:color="000000"/>
              <w:left w:val="single" w:sz="4" w:space="0" w:color="000000"/>
              <w:right w:val="single" w:sz="4" w:space="0" w:color="000000"/>
            </w:tcBorders>
            <w:shd w:val="clear" w:color="auto" w:fill="D2D2D2"/>
          </w:tcPr>
          <w:p>
            <w:pPr/>
          </w:p>
        </w:tc>
        <w:tc>
          <w:tcPr>
            <w:tcW w:w="123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15,529</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43" w:type="dxa"/>
            <w:tcBorders>
              <w:top w:val="single" w:sz="4" w:space="0" w:color="000000"/>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37"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704" w:hRule="exact"/>
        </w:trPr>
        <w:tc>
          <w:tcPr>
            <w:tcW w:w="13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1" w:type="dxa"/>
            <w:vMerge w:val="restart"/>
            <w:tcBorders>
              <w:top w:val="nil" w:sz="6" w:space="0" w:color="auto"/>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r>
      <w:tr>
        <w:trPr>
          <w:trHeight w:val="166" w:hRule="exact"/>
        </w:trPr>
        <w:tc>
          <w:tcPr>
            <w:tcW w:w="1321" w:type="dxa"/>
            <w:vMerge/>
            <w:tcBorders>
              <w:left w:val="nil" w:sz="6" w:space="0" w:color="auto"/>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21" w:type="dxa"/>
            <w:gridSpan w:val="2"/>
            <w:vMerge/>
            <w:tcBorders>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43" w:type="dxa"/>
            <w:tcBorders>
              <w:top w:val="nil" w:sz="6" w:space="0" w:color="auto"/>
              <w:left w:val="nil" w:sz="6" w:space="0" w:color="auto"/>
              <w:bottom w:val="single" w:sz="4" w:space="0" w:color="000000"/>
              <w:right w:val="nil" w:sz="6" w:space="0" w:color="auto"/>
            </w:tcBorders>
          </w:tcPr>
          <w:p>
            <w:pPr/>
          </w:p>
        </w:tc>
      </w:tr>
      <w:tr>
        <w:trPr>
          <w:trHeight w:val="392" w:hRule="exact"/>
        </w:trPr>
        <w:tc>
          <w:tcPr>
            <w:tcW w:w="9540" w:type="dxa"/>
            <w:gridSpan w:val="1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305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5" w:type="dxa"/>
            <w:gridSpan w:val="2"/>
            <w:vMerge w:val="restart"/>
            <w:tcBorders>
              <w:top w:val="single" w:sz="4" w:space="0" w:color="000000"/>
              <w:left w:val="nil" w:sz="6" w:space="0" w:color="auto"/>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6" w:right="7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65" w:type="dxa"/>
            <w:gridSpan w:val="5"/>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6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5" w:type="dxa"/>
            <w:gridSpan w:val="2"/>
            <w:vMerge/>
            <w:tcBorders>
              <w:left w:val="nil" w:sz="6" w:space="0" w:color="auto"/>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7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2" w:right="8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2465" w:type="dxa"/>
            <w:gridSpan w:val="5"/>
            <w:vMerge/>
            <w:tcBorders>
              <w:left w:val="single" w:sz="4" w:space="0" w:color="000000"/>
              <w:right w:val="nil" w:sz="6" w:space="0" w:color="auto"/>
            </w:tcBorders>
            <w:shd w:val="clear" w:color="auto" w:fill="D2D2D2"/>
          </w:tcPr>
          <w:p>
            <w:pPr/>
          </w:p>
        </w:tc>
      </w:tr>
      <w:tr>
        <w:trPr>
          <w:trHeight w:val="141" w:hRule="exact"/>
        </w:trPr>
        <w:tc>
          <w:tcPr>
            <w:tcW w:w="1455"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82"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2465" w:type="dxa"/>
            <w:gridSpan w:val="5"/>
            <w:vMerge/>
            <w:tcBorders>
              <w:left w:val="single" w:sz="4" w:space="0" w:color="000000"/>
              <w:bottom w:val="single" w:sz="4" w:space="0" w:color="000000"/>
              <w:right w:val="nil" w:sz="6" w:space="0" w:color="auto"/>
            </w:tcBorders>
            <w:shd w:val="clear" w:color="auto" w:fill="D2D2D2"/>
          </w:tcPr>
          <w:p>
            <w:pPr/>
          </w:p>
        </w:tc>
      </w:tr>
      <w:tr>
        <w:trPr>
          <w:trHeight w:val="251" w:hRule="exact"/>
        </w:trPr>
        <w:tc>
          <w:tcPr>
            <w:tcW w:w="1455" w:type="dxa"/>
            <w:gridSpan w:val="2"/>
            <w:vMerge/>
            <w:tcBorders>
              <w:left w:val="nil" w:sz="6" w:space="0" w:color="auto"/>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1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9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35"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07"/>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5" w:type="dxa"/>
            <w:gridSpan w:val="2"/>
            <w:vMerge w:val="restart"/>
            <w:tcBorders>
              <w:top w:val="nil" w:sz="6" w:space="0" w:color="auto"/>
              <w:left w:val="nil" w:sz="6" w:space="0" w:color="auto"/>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129" w:type="dxa"/>
            <w:gridSpan w:val="2"/>
            <w:vMerge/>
            <w:tcBorders>
              <w:left w:val="single" w:sz="4" w:space="0" w:color="000000"/>
              <w:right w:val="single" w:sz="4" w:space="0" w:color="000000"/>
            </w:tcBorders>
            <w:shd w:val="clear" w:color="auto" w:fill="D2D2D2"/>
          </w:tcPr>
          <w:p>
            <w:pPr/>
          </w:p>
        </w:tc>
        <w:tc>
          <w:tcPr>
            <w:tcW w:w="1335" w:type="dxa"/>
            <w:gridSpan w:val="3"/>
            <w:vMerge/>
            <w:tcBorders>
              <w:left w:val="single" w:sz="4" w:space="0" w:color="000000"/>
              <w:right w:val="nil" w:sz="6" w:space="0" w:color="auto"/>
            </w:tcBorders>
            <w:shd w:val="clear" w:color="auto" w:fill="D2D2D2"/>
          </w:tcPr>
          <w:p>
            <w:pPr/>
          </w:p>
        </w:tc>
      </w:tr>
      <w:tr>
        <w:trPr>
          <w:trHeight w:val="161" w:hRule="exact"/>
        </w:trPr>
        <w:tc>
          <w:tcPr>
            <w:tcW w:w="1455" w:type="dxa"/>
            <w:gridSpan w:val="2"/>
            <w:vMerge/>
            <w:tcBorders>
              <w:left w:val="nil" w:sz="6" w:space="0" w:color="auto"/>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1129" w:type="dxa"/>
            <w:gridSpan w:val="2"/>
            <w:vMerge/>
            <w:tcBorders>
              <w:left w:val="single" w:sz="4" w:space="0" w:color="000000"/>
              <w:bottom w:val="single" w:sz="4" w:space="0" w:color="000000"/>
              <w:right w:val="single" w:sz="4" w:space="0" w:color="000000"/>
            </w:tcBorders>
            <w:shd w:val="clear" w:color="auto" w:fill="D2D2D2"/>
          </w:tcPr>
          <w:p>
            <w:pPr/>
          </w:p>
        </w:tc>
        <w:tc>
          <w:tcPr>
            <w:tcW w:w="1335" w:type="dxa"/>
            <w:gridSpan w:val="3"/>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50.42%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63,535,020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63,535,020</w:t>
            </w:r>
          </w:p>
        </w:tc>
        <w:tc>
          <w:tcPr>
            <w:tcW w:w="112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35" w:type="dxa"/>
            <w:gridSpan w:val="3"/>
            <w:tcBorders>
              <w:top w:val="single" w:sz="44" w:space="0" w:color="D2D2D2"/>
              <w:left w:val="single" w:sz="4" w:space="0" w:color="000000"/>
              <w:bottom w:val="single" w:sz="4" w:space="0" w:color="000000"/>
              <w:right w:val="nil" w:sz="6" w:space="0" w:color="auto"/>
            </w:tcBorders>
          </w:tcPr>
          <w:p>
            <w:pPr>
              <w:pStyle w:val="TableParagraph"/>
              <w:spacing w:line="240" w:lineRule="auto" w:before="40"/>
              <w:ind w:left="506" w:right="0"/>
              <w:jc w:val="left"/>
              <w:rPr>
                <w:rFonts w:ascii="Times New Roman" w:hAnsi="Times New Roman" w:cs="Times New Roman" w:eastAsia="Times New Roman" w:hint="default"/>
                <w:sz w:val="18"/>
                <w:szCs w:val="18"/>
              </w:rPr>
            </w:pPr>
            <w:r>
              <w:rPr>
                <w:rFonts w:ascii="Times New Roman"/>
                <w:sz w:val="18"/>
              </w:rPr>
              <w:t>42,945,000</w:t>
            </w:r>
          </w:p>
        </w:tc>
      </w:tr>
      <w:tr>
        <w:trPr>
          <w:trHeight w:val="714"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74"/>
              <w:jc w:val="left"/>
              <w:rPr>
                <w:rFonts w:ascii="宋体" w:hAnsi="宋体" w:cs="宋体" w:eastAsia="宋体" w:hint="default"/>
                <w:sz w:val="18"/>
                <w:szCs w:val="18"/>
              </w:rPr>
            </w:pPr>
            <w:r>
              <w:rPr>
                <w:rFonts w:ascii="宋体" w:hAnsi="宋体" w:cs="宋体" w:eastAsia="宋体" w:hint="default"/>
                <w:sz w:val="18"/>
                <w:szCs w:val="18"/>
              </w:rPr>
              <w:t>新余全盛通投资 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2.79%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3,510,000</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35" w:type="dxa"/>
            <w:gridSpan w:val="3"/>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1.49%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1,876,900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1,876,900</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35" w:type="dxa"/>
            <w:gridSpan w:val="3"/>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0.98%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1,240,725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930,544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310,181</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35" w:type="dxa"/>
            <w:gridSpan w:val="3"/>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0.97%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1,228,100</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35" w:type="dxa"/>
            <w:gridSpan w:val="3"/>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455"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份有限公司－诺 安新经济股票型 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0.93%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1,171,277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1,171,277</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35" w:type="dxa"/>
            <w:gridSpan w:val="3"/>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6" w:type="dxa"/>
        <w:tblLayout w:type="fixed"/>
        <w:tblCellMar>
          <w:top w:w="0" w:type="dxa"/>
          <w:left w:w="0" w:type="dxa"/>
          <w:bottom w:w="0" w:type="dxa"/>
          <w:right w:w="0" w:type="dxa"/>
        </w:tblCellMar>
        <w:tblLook w:val="01E0"/>
      </w:tblPr>
      <w:tblGrid>
        <w:gridCol w:w="1462"/>
        <w:gridCol w:w="1411"/>
        <w:gridCol w:w="664"/>
        <w:gridCol w:w="911"/>
        <w:gridCol w:w="788"/>
        <w:gridCol w:w="786"/>
        <w:gridCol w:w="840"/>
        <w:gridCol w:w="220"/>
        <w:gridCol w:w="1129"/>
        <w:gridCol w:w="1336"/>
      </w:tblGrid>
      <w:tr>
        <w:trPr>
          <w:trHeight w:val="402"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931,300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0"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610,700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400,000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王满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397,000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2873"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6674" w:type="dxa"/>
            <w:gridSpan w:val="8"/>
            <w:vMerge w:val="restart"/>
            <w:tcBorders>
              <w:top w:val="single" w:sz="4" w:space="0" w:color="000000"/>
              <w:left w:val="single" w:sz="9" w:space="0" w:color="D2D2D2"/>
              <w:right w:val="nil" w:sz="6" w:space="0" w:color="auto"/>
            </w:tcBorders>
          </w:tcPr>
          <w:p>
            <w:pPr>
              <w:pStyle w:val="TableParagraph"/>
              <w:spacing w:line="309" w:lineRule="auto" w:before="51"/>
              <w:ind w:left="16" w:right="13"/>
              <w:jc w:val="both"/>
              <w:rPr>
                <w:rFonts w:ascii="宋体" w:hAnsi="宋体" w:cs="宋体" w:eastAsia="宋体" w:hint="default"/>
                <w:sz w:val="18"/>
                <w:szCs w:val="18"/>
              </w:rPr>
            </w:pPr>
            <w:r>
              <w:rPr>
                <w:rFonts w:ascii="宋体" w:hAnsi="宋体" w:cs="宋体" w:eastAsia="宋体" w:hint="default"/>
                <w:spacing w:val="-1"/>
                <w:sz w:val="18"/>
                <w:szCs w:val="18"/>
              </w:rPr>
              <w:t>新余全盛通法定代表人梁芳女士为公司实际控制人及控股股东梁伟先生的姐姐，除此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之外，公司无法确定其他前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名股东间是否存在关联关系或属于《上市公司股东持 股变动信息披露管理办法》规定的一致行动人。</w:t>
            </w:r>
          </w:p>
        </w:tc>
      </w:tr>
      <w:tr>
        <w:trPr>
          <w:trHeight w:val="704" w:hRule="exact"/>
        </w:trPr>
        <w:tc>
          <w:tcPr>
            <w:tcW w:w="2873" w:type="dxa"/>
            <w:gridSpan w:val="2"/>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20"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74" w:type="dxa"/>
            <w:gridSpan w:val="8"/>
            <w:vMerge/>
            <w:tcBorders>
              <w:left w:val="single" w:sz="9" w:space="0" w:color="D2D2D2"/>
              <w:right w:val="nil" w:sz="6" w:space="0" w:color="auto"/>
            </w:tcBorders>
          </w:tcPr>
          <w:p>
            <w:pPr/>
          </w:p>
        </w:tc>
      </w:tr>
      <w:tr>
        <w:trPr>
          <w:trHeight w:val="161" w:hRule="exact"/>
        </w:trPr>
        <w:tc>
          <w:tcPr>
            <w:tcW w:w="2873"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6674" w:type="dxa"/>
            <w:gridSpan w:val="8"/>
            <w:vMerge/>
            <w:tcBorders>
              <w:left w:val="single" w:sz="9" w:space="0" w:color="D2D2D2"/>
              <w:bottom w:val="single" w:sz="4" w:space="0" w:color="000000"/>
              <w:right w:val="nil" w:sz="6" w:space="0" w:color="auto"/>
            </w:tcBorders>
          </w:tcPr>
          <w:p>
            <w:pPr/>
          </w:p>
        </w:tc>
      </w:tr>
      <w:tr>
        <w:trPr>
          <w:trHeight w:val="402" w:hRule="exact"/>
        </w:trPr>
        <w:tc>
          <w:tcPr>
            <w:tcW w:w="9548" w:type="dxa"/>
            <w:gridSpan w:val="10"/>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3"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85"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3"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85"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873" w:type="dxa"/>
            <w:gridSpan w:val="2"/>
            <w:vMerge/>
            <w:tcBorders>
              <w:left w:val="nil" w:sz="6" w:space="0" w:color="auto"/>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3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3"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36"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63,535,020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63,535,020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3,510,000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1,876,900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1,228,100</w:t>
            </w:r>
          </w:p>
        </w:tc>
      </w:tr>
      <w:tr>
        <w:trPr>
          <w:trHeight w:val="714"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0"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1,171,277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1,171,277</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931,300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610,700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王满</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397,000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金建勋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373,200</w:t>
            </w:r>
          </w:p>
        </w:tc>
      </w:tr>
      <w:tr>
        <w:trPr>
          <w:trHeight w:val="1338" w:hRule="exact"/>
        </w:trPr>
        <w:tc>
          <w:tcPr>
            <w:tcW w:w="2873"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0"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74" w:type="dxa"/>
            <w:gridSpan w:val="8"/>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名股东中新余全盛通法定代表人梁芳女士为公司实际控制人及控股股东梁伟先</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生的姐姐，除此之外，公司无法确定前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名无限售流通股股东间以及前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w:t>
            </w:r>
          </w:p>
          <w:p>
            <w:pPr>
              <w:pStyle w:val="TableParagraph"/>
              <w:spacing w:line="302" w:lineRule="auto" w:before="63"/>
              <w:ind w:left="16" w:right="74"/>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名股东之间是否存在关联关系或属于《上市公司股东持股变动信息披露 管理办法》规定的一致行动人。</w:t>
            </w:r>
          </w:p>
        </w:tc>
      </w:tr>
      <w:tr>
        <w:trPr>
          <w:trHeight w:val="714" w:hRule="exact"/>
        </w:trPr>
        <w:tc>
          <w:tcPr>
            <w:tcW w:w="2873"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0"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74" w:type="dxa"/>
            <w:gridSpan w:val="8"/>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公司股东张克宁除通过普通证券账户持有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25"/>
              <w:jc w:val="left"/>
              <w:rPr>
                <w:rFonts w:ascii="宋体" w:hAnsi="宋体" w:cs="宋体" w:eastAsia="宋体" w:hint="default"/>
                <w:sz w:val="18"/>
                <w:szCs w:val="18"/>
              </w:rPr>
            </w:pPr>
            <w:r>
              <w:rPr>
                <w:rFonts w:ascii="宋体" w:hAnsi="宋体" w:cs="宋体" w:eastAsia="宋体" w:hint="default"/>
                <w:spacing w:val="-1"/>
                <w:sz w:val="18"/>
                <w:szCs w:val="18"/>
              </w:rPr>
              <w:t>曾任武汉金运激光股份有限公司董事长、总经理，现担任公司营运顾问、数字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化新兴业务开发中心总监</w:t>
            </w:r>
          </w:p>
        </w:tc>
      </w:tr>
      <w:tr>
        <w:trPr>
          <w:trHeight w:val="714" w:hRule="exact"/>
        </w:trPr>
        <w:tc>
          <w:tcPr>
            <w:tcW w:w="34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037"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曾任武汉金运激光股份有限公司董事长、总经理，现担任公司营运顾问、数字 化新兴业务开发中心总监</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5"/>
          <w:szCs w:val="25"/>
        </w:rPr>
      </w:pPr>
    </w:p>
    <w:p>
      <w:pPr>
        <w:spacing w:line="4065" w:lineRule="exact"/>
        <w:ind w:left="233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330" cy="25812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1330"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6"/>
        <w:rPr>
          <w:rFonts w:ascii="宋体" w:hAnsi="宋体" w:cs="宋体" w:eastAsia="宋体" w:hint="default"/>
          <w:sz w:val="24"/>
          <w:szCs w:val="24"/>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BodyText"/>
        <w:spacing w:line="240" w:lineRule="auto" w:before="44"/>
        <w:ind w:left="0" w:right="2751"/>
        <w:jc w:val="right"/>
      </w:pPr>
      <w:r>
        <w:rPr/>
        <w:pict>
          <v:shape style="position:absolute;margin-left:55.080002pt;margin-top:-24.278309pt;width:485.35pt;height:464.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8"/>
                    <w:gridCol w:w="850"/>
                    <w:gridCol w:w="568"/>
                    <w:gridCol w:w="426"/>
                    <w:gridCol w:w="422"/>
                    <w:gridCol w:w="993"/>
                    <w:gridCol w:w="1051"/>
                    <w:gridCol w:w="926"/>
                    <w:gridCol w:w="1004"/>
                    <w:gridCol w:w="1006"/>
                    <w:gridCol w:w="84"/>
                    <w:gridCol w:w="669"/>
                    <w:gridCol w:w="955"/>
                  </w:tblGrid>
                  <w:tr>
                    <w:trPr>
                      <w:trHeight w:val="1025" w:hRule="exact"/>
                    </w:trPr>
                    <w:tc>
                      <w:tcPr>
                        <w:tcW w:w="7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9" w:right="7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3" w:firstLine="24"/>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3"/>
                            <w:sz w:val="18"/>
                            <w:szCs w:val="18"/>
                          </w:rPr>
                          <w:t>份数量（股）</w:t>
                        </w:r>
                        <w:r>
                          <w:rPr>
                            <w:rFonts w:ascii="宋体" w:hAnsi="宋体" w:cs="宋体" w:eastAsia="宋体"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0" w:firstLine="25"/>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8"/>
                            <w:sz w:val="18"/>
                            <w:szCs w:val="18"/>
                          </w:rPr>
                          <w:t>份数量（股</w:t>
                        </w:r>
                      </w:p>
                    </w:tc>
                    <w:tc>
                      <w:tcPr>
                        <w:tcW w:w="84" w:type="dxa"/>
                        <w:tcBorders>
                          <w:top w:val="single" w:sz="4" w:space="0" w:color="000000"/>
                          <w:left w:val="single" w:sz="4" w:space="0" w:color="000000"/>
                          <w:bottom w:val="single" w:sz="4" w:space="0" w:color="000000"/>
                          <w:right w:val="nil" w:sz="6" w:space="0" w:color="auto"/>
                        </w:tcBorders>
                        <w:shd w:val="clear" w:color="auto" w:fill="D2D2D2"/>
                      </w:tcPr>
                      <w:p>
                        <w:pPr/>
                      </w:p>
                    </w:tc>
                    <w:tc>
                      <w:tcPr>
                        <w:tcW w:w="6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1" w:right="10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200,724</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200,724</w:t>
                        </w: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1,240,725</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1,240,725</w:t>
                        </w: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副总经 理、董秘</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52" w:type="dxa"/>
                        <w:gridSpan w:val="2"/>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1,441,449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1,441,449</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7"/>
      </w:tblGrid>
      <w:tr>
        <w:trPr>
          <w:trHeight w:val="402" w:hRule="exact"/>
        </w:trPr>
        <w:tc>
          <w:tcPr>
            <w:tcW w:w="13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257"/>
              <w:jc w:val="left"/>
              <w:rPr>
                <w:rFonts w:ascii="宋体" w:hAnsi="宋体" w:cs="宋体" w:eastAsia="宋体" w:hint="default"/>
                <w:sz w:val="18"/>
                <w:szCs w:val="18"/>
              </w:rPr>
            </w:pPr>
            <w:r>
              <w:rPr>
                <w:rFonts w:ascii="宋体" w:hAnsi="宋体" w:cs="宋体" w:eastAsia="宋体" w:hint="default"/>
                <w:sz w:val="18"/>
                <w:szCs w:val="18"/>
              </w:rPr>
              <w:t>张涛先生因个人原因辞去公司监事及监事会主席职 务。</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9" w:type="dxa"/>
        <w:tblLayout w:type="fixed"/>
        <w:tblCellMar>
          <w:top w:w="0" w:type="dxa"/>
          <w:left w:w="0" w:type="dxa"/>
          <w:bottom w:w="0" w:type="dxa"/>
          <w:right w:w="0" w:type="dxa"/>
        </w:tblCellMar>
        <w:tblLook w:val="01E0"/>
      </w:tblPr>
      <w:tblGrid>
        <w:gridCol w:w="1344"/>
        <w:gridCol w:w="1330"/>
        <w:gridCol w:w="1330"/>
        <w:gridCol w:w="1331"/>
        <w:gridCol w:w="4248"/>
      </w:tblGrid>
      <w:tr>
        <w:trPr>
          <w:trHeight w:val="714"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19"/>
      <w:bookmarkEnd w:id="119"/>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5"/>
        <w:spacing w:line="240" w:lineRule="auto" w:before="116"/>
        <w:ind w:left="1495" w:right="0"/>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300" w:lineRule="auto" w:before="63"/>
        <w:ind w:right="1169" w:firstLine="360"/>
        <w:jc w:val="both"/>
      </w:pPr>
      <w:r>
        <w:rPr/>
        <w:t>梁萍女士：中国国籍，无永久境外居留权，</w:t>
      </w:r>
      <w:r>
        <w:rPr>
          <w:rFonts w:ascii="Times New Roman" w:hAnsi="Times New Roman" w:cs="Times New Roman" w:eastAsia="Times New Roman" w:hint="default"/>
        </w:rPr>
        <w:t>1960</w:t>
      </w:r>
      <w:r>
        <w:rPr/>
        <w:t>年出生，大学学历。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-2009</w:t>
      </w:r>
      <w:r>
        <w:rPr/>
        <w:t>年任武汉金运激光股份有限公司销售 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-2014</w:t>
      </w:r>
      <w:r>
        <w:rPr/>
        <w:t>年任公司国内销售中心副总经理，</w:t>
      </w:r>
      <w:r>
        <w:rPr>
          <w:rFonts w:ascii="Times New Roman" w:hAnsi="Times New Roman" w:cs="Times New Roman" w:eastAsia="Times New Roman" w:hint="default"/>
        </w:rPr>
        <w:t>2014</w:t>
      </w:r>
      <w:r>
        <w:rPr/>
        <w:t>年至今任公司营运中心副总监。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 长、总经理职务</w:t>
      </w:r>
    </w:p>
    <w:p>
      <w:pPr>
        <w:pStyle w:val="BodyText"/>
        <w:spacing w:line="300" w:lineRule="auto" w:before="31"/>
        <w:ind w:left="1134" w:right="1132" w:firstLine="360"/>
        <w:jc w:val="both"/>
      </w:pPr>
      <w:r>
        <w:rPr>
          <w:spacing w:val="-2"/>
        </w:rPr>
        <w:t>肖璇女士：中国国籍，无永久境外居留权，</w:t>
      </w:r>
      <w:r>
        <w:rPr>
          <w:rFonts w:ascii="Times New Roman" w:hAnsi="Times New Roman" w:cs="Times New Roman" w:eastAsia="Times New Roman" w:hint="default"/>
          <w:spacing w:val="-2"/>
        </w:rPr>
        <w:t>1987</w:t>
      </w:r>
      <w:r>
        <w:rPr>
          <w:spacing w:val="-2"/>
        </w:rPr>
        <w:t>年出生，大学学历。</w:t>
      </w:r>
      <w:r>
        <w:rPr>
          <w:rFonts w:ascii="Times New Roman" w:hAnsi="Times New Roman" w:cs="Times New Roman" w:eastAsia="Times New Roman" w:hint="default"/>
          <w:spacing w:val="-2"/>
        </w:rPr>
        <w:t>2014</w:t>
      </w:r>
      <w:r>
        <w:rPr>
          <w:spacing w:val="-2"/>
        </w:rPr>
        <w:t>年至今任湖北高投金运激光产业投资管理有限</w:t>
      </w:r>
      <w:r>
        <w:rPr/>
        <w:t> 公司行政主管。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w:t>
      </w:r>
    </w:p>
    <w:p>
      <w:pPr>
        <w:pStyle w:val="BodyText"/>
        <w:spacing w:line="300" w:lineRule="auto" w:before="13"/>
        <w:ind w:left="1134" w:right="1132" w:firstLine="360"/>
        <w:jc w:val="both"/>
      </w:pPr>
      <w:r>
        <w:rPr>
          <w:spacing w:val="-2"/>
        </w:rPr>
        <w:t>李俊先生：中国国籍，无永久境外居留权，</w:t>
      </w:r>
      <w:r>
        <w:rPr>
          <w:rFonts w:ascii="Times New Roman" w:hAnsi="Times New Roman" w:cs="Times New Roman" w:eastAsia="Times New Roman" w:hint="default"/>
          <w:spacing w:val="-2"/>
        </w:rPr>
        <w:t>1957</w:t>
      </w:r>
      <w:r>
        <w:rPr>
          <w:spacing w:val="-2"/>
        </w:rPr>
        <w:t>年出生，大学学历。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年期间先后任职于武汉金运机电设备</w:t>
      </w:r>
      <w:r>
        <w:rPr/>
        <w:t> 制造有限公司及武汉金运光电产业有限公司，</w:t>
      </w:r>
      <w:r>
        <w:rPr>
          <w:rFonts w:ascii="Times New Roman" w:hAnsi="Times New Roman" w:cs="Times New Roman" w:eastAsia="Times New Roman" w:hint="default"/>
        </w:rPr>
        <w:t>2005</w:t>
      </w:r>
      <w:r>
        <w:rPr/>
        <w:t>年以来任本公司国内销售总监职务。现任公司董事、副总经理。</w:t>
      </w:r>
    </w:p>
    <w:p>
      <w:pPr>
        <w:pStyle w:val="BodyText"/>
        <w:spacing w:line="300" w:lineRule="auto" w:before="13"/>
        <w:ind w:right="1129" w:firstLine="360"/>
        <w:jc w:val="both"/>
      </w:pPr>
      <w:r>
        <w:rPr>
          <w:spacing w:val="-2"/>
        </w:rPr>
        <w:t>施先旺先生：中国国籍，无永久境外居留权，</w:t>
      </w:r>
      <w:r>
        <w:rPr>
          <w:rFonts w:ascii="Times New Roman" w:hAnsi="Times New Roman" w:cs="Times New Roman" w:eastAsia="Times New Roman" w:hint="default"/>
          <w:spacing w:val="-2"/>
        </w:rPr>
        <w:t>1968</w:t>
      </w:r>
      <w:r>
        <w:rPr>
          <w:spacing w:val="-2"/>
        </w:rPr>
        <w:t>年出生，管理学博士。曾任湖北潜江供销职工中专学校教师，现任中</w:t>
      </w:r>
      <w:r>
        <w:rPr/>
        <w:t> 南财经政法大学会计学教授、博导，兼任湖北省国家税务局和湖北省地方税务局，主要培训专家之一。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 任公司独立董事。</w:t>
      </w:r>
    </w:p>
    <w:p>
      <w:pPr>
        <w:pStyle w:val="BodyText"/>
        <w:spacing w:line="300" w:lineRule="auto" w:before="31"/>
        <w:ind w:right="0" w:firstLine="360"/>
        <w:jc w:val="left"/>
      </w:pPr>
      <w:r>
        <w:rPr>
          <w:spacing w:val="-2"/>
        </w:rPr>
        <w:t>李秉成先生：中国国籍，无永久境外居留权，</w:t>
      </w:r>
      <w:r>
        <w:rPr>
          <w:rFonts w:ascii="Times New Roman" w:hAnsi="Times New Roman" w:cs="Times New Roman" w:eastAsia="Times New Roman" w:hint="default"/>
          <w:spacing w:val="-2"/>
        </w:rPr>
        <w:t>1964</w:t>
      </w:r>
      <w:r>
        <w:rPr>
          <w:spacing w:val="-2"/>
        </w:rPr>
        <w:t>年出生，管理学博士后、注册会计师。曾任第一治金建设公司机械动</w:t>
      </w:r>
      <w:r>
        <w:rPr/>
        <w:t> </w:t>
      </w:r>
      <w:r>
        <w:rPr>
          <w:spacing w:val="-7"/>
        </w:rPr>
        <w:t>力公司助理工程师、武汉科技大学管理学教师、现任中南财经政法大学会计学教授、博导。有限公司独立董事（</w:t>
      </w:r>
      <w:r>
        <w:rPr>
          <w:rFonts w:ascii="Times New Roman" w:hAnsi="Times New Roman" w:cs="Times New Roman" w:eastAsia="Times New Roman" w:hint="default"/>
          <w:spacing w:val="-7"/>
        </w:rPr>
        <w:t>2009</w:t>
      </w:r>
      <w:r>
        <w:rPr>
          <w:spacing w:val="-7"/>
        </w:rPr>
        <w:t>年至今）、</w:t>
      </w:r>
      <w:r>
        <w:rPr>
          <w:spacing w:val="-37"/>
        </w:rPr>
        <w:t> </w:t>
      </w:r>
      <w:r>
        <w:rPr>
          <w:spacing w:val="-37"/>
        </w:rPr>
      </w:r>
      <w:r>
        <w:rPr>
          <w:spacing w:val="-3"/>
        </w:rPr>
        <w:t>武汉理工光科股份有限公司独立董事（</w:t>
      </w:r>
      <w:r>
        <w:rPr>
          <w:rFonts w:ascii="Times New Roman" w:hAnsi="Times New Roman" w:cs="Times New Roman" w:eastAsia="Times New Roman" w:hint="default"/>
          <w:spacing w:val="-3"/>
        </w:rPr>
        <w:t>2012</w:t>
      </w:r>
      <w:r>
        <w:rPr>
          <w:spacing w:val="-3"/>
        </w:rPr>
        <w:t>年至今）、湖北绿色家园精细化工股份有限公司独立董事（</w:t>
      </w:r>
      <w:r>
        <w:rPr>
          <w:rFonts w:ascii="Times New Roman" w:hAnsi="Times New Roman" w:cs="Times New Roman" w:eastAsia="Times New Roman" w:hint="default"/>
          <w:spacing w:val="-3"/>
        </w:rPr>
        <w:t>2015</w:t>
      </w:r>
      <w:r>
        <w:rPr>
          <w:spacing w:val="-3"/>
        </w:rPr>
        <w:t>年至今）。</w:t>
      </w:r>
      <w:r>
        <w:rPr>
          <w:spacing w:val="-3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BodyText"/>
        <w:spacing w:line="300" w:lineRule="auto" w:before="13"/>
        <w:ind w:left="1494" w:right="1118" w:firstLine="1"/>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spacing w:val="-2"/>
        </w:rPr>
        <w:t>李爱静女士：监事，中国国籍，无永久境外居留权，</w:t>
      </w:r>
      <w:r>
        <w:rPr>
          <w:rFonts w:ascii="Times New Roman" w:hAnsi="Times New Roman" w:cs="Times New Roman" w:eastAsia="Times New Roman" w:hint="default"/>
          <w:spacing w:val="-2"/>
        </w:rPr>
        <w:t>1985</w:t>
      </w:r>
      <w:r>
        <w:rPr>
          <w:spacing w:val="-2"/>
        </w:rPr>
        <w:t>年出生，大学学历。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02</w:t>
      </w:r>
      <w:r>
        <w:rPr>
          <w:spacing w:val="-2"/>
        </w:rPr>
        <w:t>月曾任武汉大西</w:t>
      </w:r>
    </w:p>
    <w:p>
      <w:pPr>
        <w:pStyle w:val="BodyText"/>
        <w:spacing w:line="300" w:lineRule="auto" w:before="13"/>
        <w:ind w:left="1134" w:right="0"/>
        <w:jc w:val="left"/>
      </w:pPr>
      <w:r>
        <w:rPr>
          <w:spacing w:val="-2"/>
        </w:rPr>
        <w:t>洋广告有限公司；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05</w:t>
      </w:r>
      <w:r>
        <w:rPr>
          <w:spacing w:val="-2"/>
        </w:rPr>
        <w:t>月曾任武汉市承志汽车销售有限公司。</w:t>
      </w:r>
      <w:r>
        <w:rPr>
          <w:rFonts w:ascii="Times New Roman" w:hAnsi="Times New Roman" w:cs="Times New Roman" w:eastAsia="Times New Roman" w:hint="default"/>
          <w:spacing w:val="-2"/>
        </w:rPr>
        <w:t>2009</w:t>
      </w:r>
      <w:r>
        <w:rPr>
          <w:spacing w:val="-2"/>
        </w:rPr>
        <w:t>年至今在武汉市金运激光股份有限公</w:t>
      </w:r>
      <w:r>
        <w:rPr>
          <w:spacing w:val="-48"/>
        </w:rPr>
        <w:t> </w:t>
      </w:r>
      <w:r>
        <w:rPr/>
        <w:t>司任资讯管理专员。</w:t>
      </w:r>
    </w:p>
    <w:p>
      <w:pPr>
        <w:pStyle w:val="BodyText"/>
        <w:spacing w:line="240" w:lineRule="auto" w:before="31"/>
        <w:ind w:left="1494" w:right="0"/>
        <w:jc w:val="left"/>
      </w:pPr>
      <w:r>
        <w:rPr/>
        <w:t>聂金萍女士：监事，中国国籍，无永久境外居留权，</w:t>
      </w:r>
      <w:r>
        <w:rPr>
          <w:rFonts w:ascii="Times New Roman" w:hAnsi="Times New Roman" w:cs="Times New Roman" w:eastAsia="Times New Roman" w:hint="default"/>
        </w:rPr>
        <w:t>1985</w:t>
      </w:r>
      <w:r>
        <w:rPr/>
        <w:t>年出生，大学学历。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月曾任金马凯旋家居</w:t>
      </w:r>
    </w:p>
    <w:p>
      <w:pPr>
        <w:pStyle w:val="BodyText"/>
        <w:spacing w:line="300" w:lineRule="auto" w:before="63"/>
        <w:ind w:right="1143"/>
        <w:jc w:val="left"/>
      </w:pPr>
      <w:r>
        <w:rPr>
          <w:rFonts w:ascii="Times New Roman" w:hAnsi="Times New Roman" w:cs="Times New Roman" w:eastAsia="Times New Roman" w:hint="default"/>
        </w:rPr>
        <w:t>-</w:t>
      </w:r>
      <w:r>
        <w:rPr/>
        <w:t>中国家俱</w:t>
      </w:r>
      <w:r>
        <w:rPr>
          <w:rFonts w:ascii="Times New Roman" w:hAnsi="Times New Roman" w:cs="Times New Roman" w:eastAsia="Times New Roman" w:hint="default"/>
        </w:rPr>
        <w:t>CBD</w:t>
      </w:r>
      <w:r>
        <w:rPr/>
        <w:t>公司人事主管，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月至今任武汉金运激光股份有限公司董事长助理；于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日任公司监事会主</w:t>
      </w:r>
      <w:r>
        <w:rPr>
          <w:w w:val="99"/>
        </w:rPr>
        <w:t> </w:t>
      </w:r>
      <w:r>
        <w:rPr/>
        <w:t>席。</w:t>
      </w:r>
    </w:p>
    <w:p>
      <w:pPr>
        <w:pStyle w:val="BodyText"/>
        <w:spacing w:line="300" w:lineRule="auto" w:before="31"/>
        <w:ind w:left="1134" w:right="1131" w:firstLine="360"/>
        <w:jc w:val="both"/>
      </w:pPr>
      <w:r>
        <w:rPr>
          <w:spacing w:val="-2"/>
        </w:rPr>
        <w:t>于潇潇女士：无永久境外居留权，</w:t>
      </w:r>
      <w:r>
        <w:rPr>
          <w:rFonts w:ascii="Times New Roman" w:hAnsi="Times New Roman" w:cs="Times New Roman" w:eastAsia="Times New Roman" w:hint="default"/>
          <w:spacing w:val="-2"/>
        </w:rPr>
        <w:t>1981</w:t>
      </w:r>
      <w:r>
        <w:rPr>
          <w:spacing w:val="-2"/>
        </w:rPr>
        <w:t>年出生，大学学历。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月曾任武汉新康物业管理有限公司行政</w:t>
      </w:r>
      <w:r>
        <w:rPr/>
        <w:t> 人事助理，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月至今任武汉金运激光股份有限公司人事专员。于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日任公司职工监事。</w:t>
      </w:r>
    </w:p>
    <w:p>
      <w:pPr>
        <w:pStyle w:val="BodyText"/>
        <w:spacing w:line="300" w:lineRule="auto" w:before="13"/>
        <w:ind w:left="1493" w:right="5913" w:firstLine="1"/>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梁萍女士：公司总经理，详见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w:t>
      </w:r>
    </w:p>
    <w:p>
      <w:pPr>
        <w:pStyle w:val="BodyText"/>
        <w:spacing w:line="300" w:lineRule="auto" w:before="53"/>
        <w:ind w:right="1129" w:firstLine="360"/>
        <w:jc w:val="both"/>
      </w:pPr>
      <w:r>
        <w:rPr/>
        <w:t>李丹女士：公司副总经理，中国国籍，经济师，无永久境外居留权，</w:t>
      </w:r>
      <w:r>
        <w:rPr>
          <w:rFonts w:ascii="Times New Roman" w:hAnsi="Times New Roman" w:cs="Times New Roman" w:eastAsia="Times New Roman" w:hint="default"/>
        </w:rPr>
        <w:t>1975 </w:t>
      </w:r>
      <w:r>
        <w:rPr/>
        <w:t>年出生，</w:t>
      </w:r>
      <w:r>
        <w:rPr>
          <w:rFonts w:ascii="Times New Roman" w:hAnsi="Times New Roman" w:cs="Times New Roman" w:eastAsia="Times New Roman" w:hint="default"/>
        </w:rPr>
        <w:t>1997</w:t>
      </w:r>
      <w:r>
        <w:rPr>
          <w:rFonts w:ascii="Times New Roman" w:hAnsi="Times New Roman" w:cs="Times New Roman" w:eastAsia="Times New Roman" w:hint="default"/>
          <w:spacing w:val="8"/>
        </w:rPr>
        <w:t> </w:t>
      </w:r>
      <w:r>
        <w:rPr/>
        <w:t>年毕业于武汉大学国际金融专 业，</w:t>
      </w:r>
      <w:r>
        <w:rPr>
          <w:rFonts w:ascii="Times New Roman" w:hAnsi="Times New Roman" w:cs="Times New Roman" w:eastAsia="Times New Roman" w:hint="default"/>
        </w:rPr>
        <w:t>2006 </w:t>
      </w:r>
      <w:r>
        <w:rPr/>
        <w:t>年毕业于华中科技大学西方经济学专业，获经济学硕士学位。</w:t>
      </w:r>
      <w:r>
        <w:rPr>
          <w:rFonts w:ascii="Times New Roman" w:hAnsi="Times New Roman" w:cs="Times New Roman" w:eastAsia="Times New Roman" w:hint="default"/>
        </w:rPr>
        <w:t>1999 </w:t>
      </w:r>
      <w:r>
        <w:rPr/>
        <w:t>年至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年曾任武汉三镇实业控股股份有限 公司监事、证券事务代表；</w:t>
      </w:r>
      <w:r>
        <w:rPr>
          <w:rFonts w:ascii="Times New Roman" w:hAnsi="Times New Roman" w:cs="Times New Roman" w:eastAsia="Times New Roman" w:hint="default"/>
        </w:rPr>
        <w:t>2005 </w:t>
      </w:r>
      <w:r>
        <w:rPr/>
        <w:t>年至</w:t>
      </w:r>
      <w:r>
        <w:rPr>
          <w:rFonts w:ascii="Times New Roman" w:hAnsi="Times New Roman" w:cs="Times New Roman" w:eastAsia="Times New Roman" w:hint="default"/>
        </w:rPr>
        <w:t>2014</w:t>
      </w:r>
      <w:r>
        <w:rPr/>
        <w:t>年曾任武汉三镇实业控股股份有限公司董事会秘书、团委书记；湖北华昌达智能</w:t>
      </w:r>
      <w:r>
        <w:rPr>
          <w:spacing w:val="-87"/>
        </w:rPr>
        <w:t> </w:t>
      </w:r>
      <w:r>
        <w:rPr>
          <w:spacing w:val="-87"/>
        </w:rPr>
      </w:r>
      <w:r>
        <w:rPr/>
        <w:t>装备股份有限公司副总、董秘。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月至今任董事会秘书。</w:t>
      </w:r>
    </w:p>
    <w:p>
      <w:pPr>
        <w:pStyle w:val="BodyText"/>
        <w:spacing w:line="302" w:lineRule="auto" w:before="51"/>
        <w:ind w:right="1129" w:firstLine="360"/>
        <w:jc w:val="both"/>
      </w:pPr>
      <w:r>
        <w:rPr/>
        <w:t>陈维斯女士：公司财务总监，中国国籍，注册会计师，无永久境外居留权，</w:t>
      </w:r>
      <w:r>
        <w:rPr>
          <w:rFonts w:ascii="Times New Roman" w:hAnsi="Times New Roman" w:cs="Times New Roman" w:eastAsia="Times New Roman" w:hint="default"/>
        </w:rPr>
        <w:t>1983</w:t>
      </w:r>
      <w:r>
        <w:rPr/>
        <w:t>年出生，大学学历。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 </w:t>
      </w:r>
      <w:r>
        <w:rPr>
          <w:spacing w:val="-2"/>
        </w:rPr>
        <w:t>月曾任武汉艾特仕信息公司财务经理；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月曾任众环海华会计师事务所审计主管。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月任公司财务</w:t>
      </w:r>
      <w:r>
        <w:rPr>
          <w:spacing w:val="-48"/>
        </w:rPr>
        <w:t> </w:t>
      </w:r>
      <w:r>
        <w:rPr/>
        <w:t>总监。</w:t>
      </w:r>
    </w:p>
    <w:p>
      <w:pPr>
        <w:pStyle w:val="BodyText"/>
        <w:spacing w:line="240" w:lineRule="auto" w:before="70"/>
        <w:ind w:right="0"/>
        <w:jc w:val="left"/>
      </w:pPr>
      <w:r>
        <w:rPr/>
        <w:t>在股东单位任职情况</w:t>
      </w:r>
    </w:p>
    <w:p>
      <w:pPr>
        <w:pStyle w:val="BodyText"/>
        <w:spacing w:line="338"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2485"/>
        <w:gridCol w:w="1768"/>
        <w:gridCol w:w="1492"/>
        <w:gridCol w:w="1029"/>
        <w:gridCol w:w="1594"/>
      </w:tblGrid>
      <w:tr>
        <w:trPr>
          <w:trHeight w:val="713" w:hRule="exact"/>
        </w:trPr>
        <w:tc>
          <w:tcPr>
            <w:tcW w:w="12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8" w:right="67"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20" w:right="5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341" w:right="74"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公司董事、监事的津贴由薪酬与考核委员会提出，经董事会、监事会批准后，提交股东大会审议通过后实施；高级管理</w:t>
      </w:r>
    </w:p>
    <w:p>
      <w:pPr>
        <w:pStyle w:val="BodyText"/>
        <w:spacing w:line="224" w:lineRule="exact"/>
        <w:ind w:right="0"/>
        <w:jc w:val="left"/>
      </w:pPr>
      <w:r>
        <w:rPr/>
        <w:t>人员的绩效考核方案由董事会批准后实施。</w:t>
      </w:r>
    </w:p>
    <w:p>
      <w:pPr>
        <w:pStyle w:val="BodyText"/>
        <w:spacing w:line="316" w:lineRule="auto" w:before="76"/>
        <w:ind w:right="0" w:firstLine="360"/>
        <w:jc w:val="left"/>
      </w:pPr>
      <w:r>
        <w:rPr>
          <w:spacing w:val="-4"/>
        </w:rPr>
        <w:t>公司薪酬与考核委员会依据公司每年度财务指标和经营目标的完成情况以及公司董事、监事、高级管理人员的履职情况，</w:t>
      </w:r>
      <w:r>
        <w:rPr/>
        <w:t> 对董事、监事、高级管理人员公司薪酬与考核委员人员的薪酬进行了考核。</w:t>
      </w:r>
    </w:p>
    <w:p>
      <w:pPr>
        <w:pStyle w:val="BodyText"/>
        <w:spacing w:line="360" w:lineRule="auto" w:before="19"/>
        <w:ind w:right="5353" w:firstLine="360"/>
        <w:jc w:val="left"/>
      </w:pPr>
      <w:r>
        <w:rPr/>
        <w:t>报告期内，公司已向董事、监事和高级管理人员支付全部薪酬。 公司报告期内董事、监事和高级管理人员报酬情况</w:t>
      </w:r>
    </w:p>
    <w:p>
      <w:pPr>
        <w:pStyle w:val="BodyText"/>
        <w:spacing w:line="240" w:lineRule="auto" w:before="2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227" w:right="5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17.08</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94.26</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36" w:type="dxa"/>
        <w:tblLayout w:type="fixed"/>
        <w:tblCellMar>
          <w:top w:w="0" w:type="dxa"/>
          <w:left w:w="0" w:type="dxa"/>
          <w:bottom w:w="0" w:type="dxa"/>
          <w:right w:w="0" w:type="dxa"/>
        </w:tblCellMar>
        <w:tblLook w:val="01E0"/>
      </w:tblPr>
      <w:tblGrid>
        <w:gridCol w:w="4770"/>
        <w:gridCol w:w="4778"/>
      </w:tblGrid>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293</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45</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284</w:t>
            </w:r>
          </w:p>
        </w:tc>
      </w:tr>
      <w:tr>
        <w:trPr>
          <w:trHeight w:val="392"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3"/>
                <w:sz w:val="18"/>
              </w:rPr>
              <w:t>112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284</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33" w:firstLine="360"/>
        <w:jc w:val="both"/>
      </w:pPr>
      <w:r>
        <w:rPr>
          <w:spacing w:val="-2"/>
        </w:rPr>
        <w:t>公司员工薪酬主要分为基本薪酬、岗位工资和绩效资金三部分，基本薪酬根据当地工资标准的和物价指数、劳动力市场</w:t>
      </w:r>
      <w:r>
        <w:rPr/>
        <w:t> </w:t>
      </w:r>
      <w:r>
        <w:rPr>
          <w:spacing w:val="-2"/>
        </w:rPr>
        <w:t>薪资水平综合确定，岗位薪酬部分由岗位价值、职级水平等因素确定；绩效资金部分，以企业年度经营目标为导向，以个人</w:t>
      </w:r>
      <w:r>
        <w:rPr>
          <w:spacing w:val="-66"/>
        </w:rPr>
        <w:t> </w:t>
      </w:r>
      <w:r>
        <w:rPr>
          <w:spacing w:val="-66"/>
        </w:rPr>
      </w:r>
      <w:r>
        <w:rPr/>
        <w:t>业绩为依据。</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为了提高员工在目前和将来工作岗位上的工作效率和业绩，公司向所有员工提供平等的学习和发展机会。公司将根据企</w:t>
      </w:r>
      <w:r>
        <w:rPr/>
        <w:t> 业发展战略，同时结合员工个人需求制定全方位的培训计划，内容包括知识技能以及专业素养等方面的培训。</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57"/>
        <w:jc w:val="both"/>
      </w:pPr>
      <w:r>
        <w:rPr>
          <w:spacing w:val="-2"/>
        </w:rPr>
        <w:t>公司司严格按照《公司法》、《证券法》、《上市公司治理准则》、《深圳证券交易所创业板股票上市规则》、《深圳</w:t>
      </w:r>
      <w:r>
        <w:rPr/>
        <w:t> </w:t>
      </w:r>
      <w:r>
        <w:rPr>
          <w:spacing w:val="-2"/>
        </w:rPr>
        <w:t>证券交易所创业板上市公司规范运作指引》等法律、法规和中国证监会有关法律法规的要求，不断完善公司治理结构，建立</w:t>
      </w:r>
      <w:r>
        <w:rPr>
          <w:spacing w:val="-66"/>
        </w:rPr>
        <w:t> </w:t>
      </w:r>
      <w:r>
        <w:rPr>
          <w:spacing w:val="-66"/>
        </w:rPr>
      </w:r>
      <w:r>
        <w:rPr/>
        <w:t>健全公司内部控制度，促进公司规范运作，提高公司治理水平。</w:t>
      </w:r>
    </w:p>
    <w:p>
      <w:pPr>
        <w:pStyle w:val="BodyText"/>
        <w:spacing w:line="312" w:lineRule="auto" w:before="19"/>
        <w:ind w:left="1134" w:right="1032" w:firstLine="357"/>
        <w:jc w:val="left"/>
      </w:pPr>
      <w:r>
        <w:rPr>
          <w:rFonts w:ascii="Times New Roman" w:hAnsi="Times New Roman" w:cs="Times New Roman" w:eastAsia="Times New Roman" w:hint="default"/>
        </w:rPr>
        <w:t>1</w:t>
      </w:r>
      <w:r>
        <w:rPr/>
        <w:t>、关于股东与股东大会：报告期内公司严格按照《公司章程》、《上市公司股东大会规则》和《公司股东大会议事规 </w:t>
      </w:r>
      <w:r>
        <w:rPr>
          <w:spacing w:val="-2"/>
        </w:rPr>
        <w:t>则》等规定要求，召集、召开股东大会，确保股东合法行使权益，平等对待所有股东，为股东参加股东大会提供便利，使其</w:t>
      </w:r>
      <w:r>
        <w:rPr>
          <w:spacing w:val="-72"/>
        </w:rPr>
        <w:t> </w:t>
      </w:r>
      <w:r>
        <w:rPr>
          <w:spacing w:val="-72"/>
        </w:rPr>
      </w:r>
      <w:r>
        <w:rPr/>
        <w:t>充分行使股东的权利。同时，公司聘请专业的律师见证股东大会，确保会议召集召开及表决程序符合相关法律法规的规定。 维护股东合法权益。</w:t>
      </w:r>
    </w:p>
    <w:p>
      <w:pPr>
        <w:pStyle w:val="BodyText"/>
        <w:spacing w:line="312" w:lineRule="auto" w:before="22"/>
        <w:ind w:left="1134" w:right="1133" w:firstLine="357"/>
        <w:jc w:val="both"/>
      </w:pPr>
      <w:r>
        <w:rPr>
          <w:rFonts w:ascii="Times New Roman" w:hAnsi="Times New Roman" w:cs="Times New Roman" w:eastAsia="Times New Roman" w:hint="default"/>
        </w:rPr>
        <w:t>2</w:t>
      </w:r>
      <w:r>
        <w:rPr/>
        <w:t>、关于董事与董事会：公司控股股东、实际控制人梁伟严格按照《上市公司治理准则》、《深圳证券交易所创业板股 </w:t>
      </w:r>
      <w:r>
        <w:rPr>
          <w:spacing w:val="-2"/>
        </w:rPr>
        <w:t>票上市规则》、《深圳证券交易所创业板上市公司规范运作指引》、《公司章程》等有关规定，公司控股股东严格规范自身</w:t>
      </w:r>
      <w:r>
        <w:rPr>
          <w:spacing w:val="-67"/>
        </w:rPr>
        <w:t> </w:t>
      </w:r>
      <w:r>
        <w:rPr>
          <w:spacing w:val="-67"/>
        </w:rPr>
      </w:r>
      <w:r>
        <w:rPr>
          <w:spacing w:val="-2"/>
        </w:rPr>
        <w:t>行为，依法行使其权利并承担相应义务，不存在超越股东大会直接或间接干预本公司的决策和经营活动。在人员、资产、财</w:t>
      </w:r>
      <w:r>
        <w:rPr>
          <w:spacing w:val="-67"/>
        </w:rPr>
        <w:t> </w:t>
      </w:r>
      <w:r>
        <w:rPr>
          <w:spacing w:val="-67"/>
        </w:rPr>
      </w:r>
      <w:r>
        <w:rPr/>
        <w:t>务、机构、业务上独立，亦无为控股股东占用资金以及公司为控股股东提供担保的情形。</w:t>
      </w:r>
    </w:p>
    <w:p>
      <w:pPr>
        <w:pStyle w:val="BodyText"/>
        <w:spacing w:line="312" w:lineRule="auto" w:before="22"/>
        <w:ind w:left="1134" w:right="1131" w:firstLine="357"/>
        <w:jc w:val="both"/>
      </w:pPr>
      <w:r>
        <w:rPr>
          <w:rFonts w:ascii="Times New Roman" w:hAnsi="Times New Roman" w:cs="Times New Roman" w:eastAsia="Times New Roman" w:hint="default"/>
        </w:rPr>
        <w:t>3</w:t>
      </w:r>
      <w:r>
        <w:rPr/>
        <w:t>、关于监事和监事会：公司严格按照《公司法》、《公司章程》等有关规定选举监事，推举职工监事，监事会的人数 </w:t>
      </w:r>
      <w:r>
        <w:rPr>
          <w:spacing w:val="-2"/>
        </w:rPr>
        <w:t>及结构符合法律法规和公司《章程》的要求。监事会严格按照《公司章程》、《监事会议事规则》认真履行自己的职责，除</w:t>
      </w:r>
      <w:r>
        <w:rPr>
          <w:spacing w:val="-69"/>
        </w:rPr>
        <w:t> </w:t>
      </w:r>
      <w:r>
        <w:rPr>
          <w:spacing w:val="-69"/>
        </w:rPr>
      </w:r>
      <w:r>
        <w:rPr>
          <w:spacing w:val="-2"/>
        </w:rPr>
        <w:t>审议日常事项外，对公司的关联交易、财务状况以及董事、高级管理人员履行职责等方面发挥了良好的监督职能，切实维护</w:t>
      </w:r>
      <w:r>
        <w:rPr>
          <w:spacing w:val="-66"/>
        </w:rPr>
        <w:t> </w:t>
      </w:r>
      <w:r>
        <w:rPr>
          <w:spacing w:val="-66"/>
        </w:rPr>
      </w:r>
      <w:r>
        <w:rPr/>
        <w:t>公司及股东的合法权益。</w:t>
      </w:r>
    </w:p>
    <w:p>
      <w:pPr>
        <w:pStyle w:val="BodyText"/>
        <w:spacing w:line="312" w:lineRule="auto" w:before="22"/>
        <w:ind w:left="1134" w:right="1032" w:firstLine="357"/>
        <w:jc w:val="left"/>
      </w:pPr>
      <w:r>
        <w:rPr>
          <w:rFonts w:ascii="Times New Roman" w:hAnsi="Times New Roman" w:cs="Times New Roman" w:eastAsia="Times New Roman" w:hint="default"/>
        </w:rPr>
        <w:t>4</w:t>
      </w:r>
      <w:r>
        <w:rPr/>
        <w:t>、关于公司与控股股东：公司控股股东、实际控制人梁伟严格按照《上市公司治理准则》、《深圳证券交易所创业板 </w:t>
      </w:r>
      <w:r>
        <w:rPr>
          <w:spacing w:val="-2"/>
        </w:rPr>
        <w:t>股票上市规则》、《深圳证券交易所创业板上市公司规范运作指引》、《公司章程》等有关规定，公司控股股东严格规范自</w:t>
      </w:r>
      <w:r>
        <w:rPr>
          <w:spacing w:val="-67"/>
        </w:rPr>
        <w:t> </w:t>
      </w:r>
      <w:r>
        <w:rPr>
          <w:spacing w:val="-67"/>
        </w:rPr>
      </w:r>
      <w:r>
        <w:rPr/>
        <w:t>身行为，依法行使其权利并承担相应义务，不存在超越股东大会直接或间接干预本公司的决策和经营活动。在人员、资产、 财务、机构、业务上独立，亦无为控股股东占用资金以及公司为控股股东提供担保的情形。</w:t>
      </w:r>
    </w:p>
    <w:p>
      <w:pPr>
        <w:pStyle w:val="BodyText"/>
        <w:spacing w:line="300" w:lineRule="auto" w:before="22"/>
        <w:ind w:left="1134" w:right="1142" w:firstLine="357"/>
        <w:jc w:val="both"/>
      </w:pPr>
      <w:r>
        <w:rPr>
          <w:rFonts w:ascii="Times New Roman" w:hAnsi="Times New Roman" w:cs="Times New Roman" w:eastAsia="Times New Roman" w:hint="default"/>
        </w:rPr>
        <w:t>5</w:t>
      </w:r>
      <w:r>
        <w:rPr/>
        <w:t>、关于绩效评价与激励约束机制：公司正持续完善高级管理人员绩效评价与激励约束机制。高级管理人员的聘任能够 做到公开、透明，符合法律、法规的规定。</w:t>
      </w:r>
    </w:p>
    <w:p>
      <w:pPr>
        <w:pStyle w:val="BodyText"/>
        <w:spacing w:line="300" w:lineRule="auto" w:before="31"/>
        <w:ind w:left="1134" w:right="1041" w:firstLine="357"/>
        <w:jc w:val="both"/>
      </w:pPr>
      <w:r>
        <w:rPr>
          <w:rFonts w:ascii="Times New Roman" w:hAnsi="Times New Roman" w:cs="Times New Roman" w:eastAsia="Times New Roman" w:hint="default"/>
          <w:spacing w:val="-2"/>
        </w:rPr>
        <w:t>6</w:t>
      </w:r>
      <w:r>
        <w:rPr>
          <w:spacing w:val="-2"/>
        </w:rPr>
        <w:t>、关于利益相关者：公司充分尊重和维护相关利益者的合法权益，积极与相关利益者合作，加强与各方的沟通和交流，</w:t>
      </w:r>
      <w:r>
        <w:rPr/>
        <w:t> 实现股东、员工、社会等各方利益的协调平衡，共同推动公司持续、健康的发展。</w:t>
      </w:r>
    </w:p>
    <w:p>
      <w:pPr>
        <w:pStyle w:val="BodyText"/>
        <w:spacing w:line="309" w:lineRule="auto" w:before="31"/>
        <w:ind w:left="1134" w:right="1133" w:firstLine="357"/>
        <w:jc w:val="both"/>
      </w:pPr>
      <w:r>
        <w:rPr>
          <w:rFonts w:ascii="Times New Roman" w:hAnsi="Times New Roman" w:cs="Times New Roman" w:eastAsia="Times New Roman" w:hint="default"/>
        </w:rPr>
        <w:t>7</w:t>
      </w:r>
      <w:r>
        <w:rPr/>
        <w:t>、关于信息披露与透明度：公司严格按照有关法律法规以及《信息披露事务管理制度》、《投资者关系管理制度》等 </w:t>
      </w:r>
      <w:r>
        <w:rPr>
          <w:spacing w:val="-2"/>
        </w:rPr>
        <w:t>的要求，真实、准确、及时、公平、完整地披露有关信息；并指定公司董事会秘书为信息披露负责人，协调公司与投资者之</w:t>
      </w:r>
      <w:r>
        <w:rPr>
          <w:spacing w:val="-71"/>
        </w:rPr>
        <w:t> </w:t>
      </w:r>
      <w:r>
        <w:rPr>
          <w:spacing w:val="-71"/>
        </w:rPr>
      </w:r>
      <w:r>
        <w:rPr>
          <w:spacing w:val="-5"/>
        </w:rPr>
        <w:t>间的关系，接待股东来访，回答投资者咨询，向投资者提供公司已披露的资料；并指定《中国证券报》、《证券时报》、《上</w:t>
      </w:r>
      <w:r>
        <w:rPr>
          <w:spacing w:val="-80"/>
        </w:rPr>
        <w:t> </w:t>
      </w:r>
      <w:r>
        <w:rPr>
          <w:spacing w:val="-80"/>
        </w:rPr>
      </w:r>
      <w:r>
        <w:rPr/>
        <w:t>海证券报》、《证券日报》为信息披露报纸，巨潮资讯网（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）为信息披露的指定网站，确保公司所</w:t>
      </w:r>
      <w:r>
        <w:rPr>
          <w:w w:val="99"/>
        </w:rPr>
        <w:t> </w:t>
      </w:r>
      <w:r>
        <w:rPr/>
        <w:t>有股东能够以平等的机会获得信息。</w:t>
      </w:r>
    </w:p>
    <w:p>
      <w:pPr>
        <w:pStyle w:val="BodyText"/>
        <w:spacing w:line="240" w:lineRule="auto" w:before="65"/>
        <w:ind w:left="113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0"/>
        <w:jc w:val="left"/>
      </w:pPr>
      <w:r>
        <w:rPr/>
        <w:t>公司与控股股东在业务、人员、资产、机构、财务等方面已做到完全分开。</w:t>
      </w:r>
    </w:p>
    <w:p>
      <w:pPr>
        <w:pStyle w:val="BodyText"/>
        <w:spacing w:line="240" w:lineRule="auto" w:before="76"/>
        <w:ind w:left="1493" w:right="0"/>
        <w:jc w:val="left"/>
      </w:pPr>
      <w:r>
        <w:rPr>
          <w:rFonts w:ascii="Times New Roman" w:hAnsi="Times New Roman" w:cs="Times New Roman" w:eastAsia="Times New Roman" w:hint="default"/>
        </w:rPr>
        <w:t>1</w:t>
      </w:r>
      <w:r>
        <w:rPr/>
        <w:t>、业务方面：公司具有独立完整的业务与自主经营能力。</w:t>
      </w:r>
    </w:p>
    <w:p>
      <w:pPr>
        <w:pStyle w:val="BodyText"/>
        <w:spacing w:line="240" w:lineRule="auto" w:before="63"/>
        <w:ind w:left="1494" w:right="0"/>
        <w:jc w:val="left"/>
      </w:pPr>
      <w:r>
        <w:rPr>
          <w:rFonts w:ascii="Times New Roman" w:hAnsi="Times New Roman" w:cs="Times New Roman" w:eastAsia="Times New Roman" w:hint="default"/>
        </w:rPr>
        <w:t>2</w:t>
      </w:r>
      <w:r>
        <w:rPr/>
        <w:t>、人员方面：公司有独立的劳动、人事及薪酬管理制度。</w:t>
      </w:r>
    </w:p>
    <w:p>
      <w:pPr>
        <w:pStyle w:val="BodyText"/>
        <w:spacing w:line="240" w:lineRule="auto" w:before="63"/>
        <w:ind w:left="1494" w:right="0"/>
        <w:jc w:val="left"/>
      </w:pPr>
      <w:r>
        <w:rPr>
          <w:rFonts w:ascii="Times New Roman" w:hAnsi="Times New Roman" w:cs="Times New Roman" w:eastAsia="Times New Roman" w:hint="default"/>
        </w:rPr>
        <w:t>3</w:t>
      </w:r>
      <w:r>
        <w:rPr/>
        <w:t>、资产方面：公司与控股股东产权关系明晰，公司的资产与控股股东资产明确分开。</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rFonts w:ascii="Times New Roman" w:hAnsi="Times New Roman" w:cs="Times New Roman" w:eastAsia="Times New Roman" w:hint="default"/>
        </w:rPr>
        <w:t>4</w:t>
      </w:r>
      <w:r>
        <w:rPr/>
        <w:t>、机构设置：公司有自身完整、独立的机构设置，与控股股东及其职能部门之间没有上下级关系。</w:t>
      </w:r>
    </w:p>
    <w:p>
      <w:pPr>
        <w:pStyle w:val="BodyText"/>
        <w:spacing w:line="240" w:lineRule="auto" w:before="103"/>
        <w:ind w:left="1493" w:right="0"/>
        <w:jc w:val="left"/>
      </w:pPr>
      <w:r>
        <w:rPr>
          <w:rFonts w:ascii="Times New Roman" w:hAnsi="Times New Roman" w:cs="Times New Roman" w:eastAsia="Times New Roman" w:hint="default"/>
        </w:rPr>
        <w:t>5</w:t>
      </w:r>
      <w:r>
        <w:rPr/>
        <w:t>、财务方面：公司设有独立的财会部门，建立了独立的会计核算体系和财务管理制度，独立在银行开设帐户。</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2248"/>
        <w:gridCol w:w="1324"/>
        <w:gridCol w:w="1118"/>
        <w:gridCol w:w="1534"/>
        <w:gridCol w:w="1533"/>
        <w:gridCol w:w="1939"/>
      </w:tblGrid>
      <w:tr>
        <w:trPr>
          <w:trHeight w:val="714" w:hRule="exact"/>
        </w:trPr>
        <w:tc>
          <w:tcPr>
            <w:tcW w:w="22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4" w:right="101" w:hanging="271"/>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年第一次临时股东大会</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年第二次临时股东大会</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41"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right="1033" w:firstLine="360"/>
        <w:jc w:val="left"/>
      </w:pPr>
      <w:r>
        <w:rPr/>
        <w:t>独立董事严格按照《公司法》、《关于在上市公司建立独立董事的指导意见》、《上市公司治理准则》等法律、法规、 </w:t>
      </w:r>
      <w:r>
        <w:rPr>
          <w:spacing w:val="-2"/>
        </w:rPr>
        <w:t>规范性文件以及《公司章程》、《独立董事工作制度》的规定，认真、勤勉、谨慎履行职责，积极出席相关会议，对各项议</w:t>
      </w:r>
      <w:r>
        <w:rPr>
          <w:spacing w:val="-70"/>
        </w:rPr>
        <w:t> </w:t>
      </w:r>
      <w:r>
        <w:rPr>
          <w:spacing w:val="-70"/>
        </w:rPr>
      </w:r>
      <w:r>
        <w:rPr>
          <w:spacing w:val="-2"/>
        </w:rPr>
        <w:t>案进行认真审议，对公司重大事项发表了独立意见，充分发挥了独立董事的作用，努力维护公司整体利益和全体股东特别是</w:t>
      </w:r>
      <w:r>
        <w:rPr>
          <w:spacing w:val="-65"/>
        </w:rPr>
        <w:t> </w:t>
      </w:r>
      <w:r>
        <w:rPr>
          <w:spacing w:val="-65"/>
        </w:rPr>
      </w:r>
      <w:r>
        <w:rPr/>
        <w:t>中小股东的合法权益。</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34" w:right="1122" w:firstLine="360"/>
        <w:jc w:val="left"/>
      </w:pPr>
      <w:r>
        <w:rPr>
          <w:rFonts w:ascii="Times New Roman" w:hAnsi="Times New Roman" w:cs="Times New Roman" w:eastAsia="Times New Roman" w:hint="default"/>
        </w:rPr>
        <w:t>1</w:t>
      </w:r>
      <w:r>
        <w:rPr/>
        <w:t>、薪酬与考核委员会履职情况：报告期内，薪酬与考核委员会对公司高级管理人员的薪酬情况进行了审核，使公司高 级管理人员的考评和激励标准化、程序化、制度化和合理化。</w:t>
      </w:r>
    </w:p>
    <w:p>
      <w:pPr>
        <w:pStyle w:val="BodyText"/>
        <w:spacing w:line="300" w:lineRule="auto" w:before="31"/>
        <w:ind w:left="1134" w:right="1122" w:firstLine="360"/>
        <w:jc w:val="left"/>
      </w:pPr>
      <w:r>
        <w:rPr>
          <w:rFonts w:ascii="Times New Roman" w:hAnsi="Times New Roman" w:cs="Times New Roman" w:eastAsia="Times New Roman" w:hint="default"/>
        </w:rPr>
        <w:t>2</w:t>
      </w:r>
      <w:r>
        <w:rPr/>
        <w:t>、审计委员会履职情况：审计委员会主要负责公司内外部审计的沟通和协调，组织内部审计、续聘年审会计师事务所 等工作，切实履行了董事会审计委员会的责任和义务。</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监事会在报告期内的监督活动中发现公司是否存在风险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2"/>
        </w:rPr>
        <w:t>公司董事、监事的津贴由薪酬与考核委员会提出，经董事会、监事会批准后，提交股东大会审议通过后实施；高级管理</w:t>
      </w:r>
      <w:r>
        <w:rPr/>
        <w:t> 人员的绩效考核方案由董事会批准后实施。</w:t>
      </w:r>
    </w:p>
    <w:p>
      <w:pPr>
        <w:pStyle w:val="BodyText"/>
        <w:spacing w:line="316" w:lineRule="auto" w:before="19"/>
        <w:ind w:right="0" w:firstLine="360"/>
        <w:jc w:val="left"/>
      </w:pPr>
      <w:r>
        <w:rPr>
          <w:spacing w:val="-4"/>
        </w:rPr>
        <w:t>公司薪酬与考核委员会依据公司每年度财务指标和经营目标的完成情况以及公司董事、监事、高级管理人员的履职情况，</w:t>
      </w:r>
      <w:r>
        <w:rPr/>
        <w:t> 对董事、监事、高级管理人员公司薪酬与考核委员人员的薪酬进行了考核。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169"/>
        <w:gridCol w:w="6372"/>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3" w:type="dxa"/>
        <w:tblLayout w:type="fixed"/>
        <w:tblCellMar>
          <w:top w:w="0" w:type="dxa"/>
          <w:left w:w="0" w:type="dxa"/>
          <w:bottom w:w="0" w:type="dxa"/>
          <w:right w:w="0" w:type="dxa"/>
        </w:tblCellMar>
        <w:tblLook w:val="01E0"/>
      </w:tblPr>
      <w:tblGrid>
        <w:gridCol w:w="3169"/>
        <w:gridCol w:w="3335"/>
        <w:gridCol w:w="3037"/>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十节 公司债券相关情况" w:id="145"/>
      <w:bookmarkEnd w:id="145"/>
      <w:r>
        <w:rPr>
          <w:b w:val="0"/>
          <w:bCs w:val="0"/>
        </w:rPr>
      </w:r>
      <w:bookmarkStart w:name="_bookmark9" w:id="146"/>
      <w:bookmarkEnd w:id="146"/>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5"/>
        <w:jc w:val="center"/>
        <w:rPr>
          <w:b w:val="0"/>
          <w:bCs w:val="0"/>
        </w:rPr>
      </w:pPr>
      <w:bookmarkStart w:name="第十一节 财务报告" w:id="147"/>
      <w:bookmarkEnd w:id="147"/>
      <w:r>
        <w:rPr>
          <w:b w:val="0"/>
          <w:bCs w:val="0"/>
        </w:rPr>
      </w:r>
      <w:bookmarkStart w:name="_bookmark10" w:id="148"/>
      <w:bookmarkEnd w:id="14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[2018]006388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方建新、李轶芳</w:t>
            </w:r>
          </w:p>
        </w:tc>
      </w:tr>
    </w:tbl>
    <w:p>
      <w:pPr>
        <w:pStyle w:val="BodyText"/>
        <w:spacing w:line="240" w:lineRule="auto" w:before="51"/>
        <w:ind w:left="1535" w:right="1534"/>
        <w:jc w:val="center"/>
      </w:pPr>
      <w:r>
        <w:rPr/>
        <w:t>审计报告正文</w:t>
      </w:r>
    </w:p>
    <w:p>
      <w:pPr>
        <w:pStyle w:val="Heading2"/>
        <w:spacing w:line="240" w:lineRule="auto" w:before="65"/>
        <w:ind w:left="1535" w:right="1534"/>
        <w:jc w:val="center"/>
        <w:rPr>
          <w:b w:val="0"/>
          <w:bCs w:val="0"/>
        </w:rPr>
      </w:pPr>
      <w:r>
        <w:rPr/>
        <w:t>审计报告</w:t>
      </w:r>
      <w:r>
        <w:rPr>
          <w:b w:val="0"/>
          <w:bCs w:val="0"/>
        </w:rPr>
      </w:r>
    </w:p>
    <w:p>
      <w:pPr>
        <w:spacing w:line="240" w:lineRule="auto" w:before="1"/>
        <w:rPr>
          <w:rFonts w:ascii="宋体" w:hAnsi="宋体" w:cs="宋体" w:eastAsia="宋体" w:hint="default"/>
          <w:b/>
          <w:bCs/>
          <w:sz w:val="24"/>
          <w:szCs w:val="24"/>
        </w:rPr>
      </w:pPr>
    </w:p>
    <w:p>
      <w:pPr>
        <w:pStyle w:val="Heading5"/>
        <w:spacing w:line="240" w:lineRule="auto" w:before="44"/>
        <w:ind w:left="0" w:right="1132"/>
        <w:jc w:val="right"/>
        <w:rPr>
          <w:b w:val="0"/>
          <w:bCs w:val="0"/>
        </w:rPr>
      </w:pPr>
      <w:r>
        <w:rPr>
          <w:w w:val="95"/>
        </w:rPr>
        <w:t>大华审字</w:t>
      </w:r>
      <w:r>
        <w:rPr>
          <w:rFonts w:ascii="Times New Roman" w:hAnsi="Times New Roman" w:cs="Times New Roman" w:eastAsia="Times New Roman" w:hint="default"/>
          <w:w w:val="95"/>
        </w:rPr>
        <w:t>[2018]006388</w:t>
      </w:r>
      <w:r>
        <w:rPr>
          <w:w w:val="95"/>
        </w:rPr>
        <w:t>号</w:t>
      </w:r>
      <w:r>
        <w:rPr>
          <w:b w:val="0"/>
          <w:bCs w:val="0"/>
        </w:rPr>
      </w:r>
    </w:p>
    <w:p>
      <w:pPr>
        <w:spacing w:line="240" w:lineRule="auto" w:before="12"/>
        <w:rPr>
          <w:rFonts w:ascii="宋体" w:hAnsi="宋体" w:cs="宋体" w:eastAsia="宋体" w:hint="default"/>
          <w:b/>
          <w:bCs/>
          <w:sz w:val="28"/>
          <w:szCs w:val="28"/>
        </w:rPr>
      </w:pPr>
    </w:p>
    <w:p>
      <w:pPr>
        <w:pStyle w:val="Heading2"/>
        <w:spacing w:line="240" w:lineRule="auto" w:before="26"/>
        <w:ind w:right="0"/>
        <w:jc w:val="left"/>
        <w:rPr>
          <w:b w:val="0"/>
          <w:bCs w:val="0"/>
        </w:rPr>
      </w:pPr>
      <w:r>
        <w:rPr/>
        <w:t>武汉金运激光股份有限公司全体股东：</w:t>
      </w:r>
      <w:r>
        <w:rPr>
          <w:b w:val="0"/>
          <w:bCs w:val="0"/>
        </w:rPr>
      </w:r>
    </w:p>
    <w:p>
      <w:pPr>
        <w:spacing w:line="240" w:lineRule="auto" w:before="8"/>
        <w:rPr>
          <w:rFonts w:ascii="宋体" w:hAnsi="宋体" w:cs="宋体" w:eastAsia="宋体" w:hint="default"/>
          <w:b/>
          <w:bCs/>
          <w:sz w:val="16"/>
          <w:szCs w:val="16"/>
        </w:rPr>
      </w:pPr>
    </w:p>
    <w:p>
      <w:pPr>
        <w:pStyle w:val="Heading3"/>
        <w:spacing w:line="240" w:lineRule="auto"/>
        <w:ind w:left="1556" w:right="0"/>
        <w:jc w:val="left"/>
        <w:rPr>
          <w:b w:val="0"/>
          <w:bCs w:val="0"/>
        </w:rPr>
      </w:pPr>
      <w:r>
        <w:rPr/>
        <w:t>一、审计意见</w:t>
      </w:r>
      <w:r>
        <w:rPr>
          <w:b w:val="0"/>
          <w:bCs w:val="0"/>
        </w:rPr>
      </w:r>
    </w:p>
    <w:p>
      <w:pPr>
        <w:spacing w:line="240" w:lineRule="auto" w:before="11"/>
        <w:rPr>
          <w:rFonts w:ascii="宋体" w:hAnsi="宋体" w:cs="宋体" w:eastAsia="宋体" w:hint="default"/>
          <w:b/>
          <w:bCs/>
          <w:sz w:val="17"/>
          <w:szCs w:val="17"/>
        </w:rPr>
      </w:pPr>
    </w:p>
    <w:p>
      <w:pPr>
        <w:pStyle w:val="Heading4"/>
        <w:spacing w:line="386" w:lineRule="auto"/>
        <w:ind w:left="1133" w:right="1130" w:firstLine="420"/>
        <w:jc w:val="both"/>
      </w:pPr>
      <w:r>
        <w:rPr/>
        <w:t>我们审计了武汉金运激光股份有限公司</w:t>
      </w:r>
      <w:r>
        <w:rPr>
          <w:rFonts w:ascii="Times New Roman" w:hAnsi="Times New Roman" w:cs="Times New Roman" w:eastAsia="Times New Roman" w:hint="default"/>
        </w:rPr>
        <w:t>(</w:t>
      </w:r>
      <w:r>
        <w:rPr/>
        <w:t>以下简称金运激光</w:t>
      </w:r>
      <w:r>
        <w:rPr>
          <w:rFonts w:ascii="Times New Roman" w:hAnsi="Times New Roman" w:cs="Times New Roman" w:eastAsia="Times New Roman" w:hint="default"/>
        </w:rPr>
        <w:t>)</w:t>
      </w:r>
      <w:r>
        <w:rPr/>
        <w:t>财务报表，包括</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 </w:t>
      </w:r>
      <w:r>
        <w:rPr>
          <w:spacing w:val="-2"/>
        </w:rPr>
        <w:t>及母公司资产负债表，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4"/>
        </w:rPr>
        <w:t> </w:t>
      </w:r>
      <w:r>
        <w:rPr>
          <w:spacing w:val="-2"/>
        </w:rPr>
        <w:t>年度的合并及母公司利润表、合并及母公司现金流量表、合并及母公司股东权</w:t>
      </w:r>
      <w:r>
        <w:rPr>
          <w:spacing w:val="-102"/>
        </w:rPr>
        <w:t> </w:t>
      </w:r>
      <w:r>
        <w:rPr>
          <w:spacing w:val="-102"/>
        </w:rPr>
      </w:r>
      <w:r>
        <w:rPr/>
        <w:t>益变动表以及相关财务报表附注。</w:t>
      </w:r>
    </w:p>
    <w:p>
      <w:pPr>
        <w:pStyle w:val="Heading4"/>
        <w:spacing w:line="240" w:lineRule="auto" w:before="103"/>
        <w:ind w:right="0"/>
        <w:jc w:val="left"/>
        <w:rPr>
          <w:rFonts w:ascii="Times New Roman" w:hAnsi="Times New Roman" w:cs="Times New Roman" w:eastAsia="Times New Roman" w:hint="default"/>
        </w:rPr>
      </w:pPr>
      <w:r>
        <w:rPr>
          <w:spacing w:val="-2"/>
        </w:rPr>
        <w:t>我们认为，后附的财务报表在所有重大方面按照企业会计准则的规定编制，公允反映了金运激光</w:t>
      </w:r>
      <w:r>
        <w:rPr>
          <w:spacing w:val="-44"/>
        </w:rPr>
        <w:t> </w:t>
      </w:r>
      <w:r>
        <w:rPr>
          <w:rFonts w:ascii="Times New Roman" w:hAnsi="Times New Roman" w:cs="Times New Roman" w:eastAsia="Times New Roman" w:hint="default"/>
        </w:rPr>
        <w:t>2017</w:t>
      </w:r>
    </w:p>
    <w:p>
      <w:pPr>
        <w:pStyle w:val="Heading4"/>
        <w:spacing w:line="432" w:lineRule="auto" w:before="178"/>
        <w:ind w:right="1122" w:hanging="420"/>
        <w:jc w:val="left"/>
      </w:pP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年度的合并及母公司经营成果和现金流量。 </w:t>
      </w: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w:t>
      </w:r>
      <w:r>
        <w:rPr/>
      </w:r>
    </w:p>
    <w:p>
      <w:pPr>
        <w:pStyle w:val="Heading4"/>
        <w:spacing w:line="398" w:lineRule="auto"/>
        <w:ind w:left="1133" w:right="1133"/>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部分进一步阐述了我们在这些准则下的责任。按照中国注册会计师职业道德守则，我们独立于金</w:t>
      </w:r>
      <w:r>
        <w:rPr>
          <w:spacing w:val="-25"/>
        </w:rPr>
        <w:t> </w:t>
      </w:r>
      <w:r>
        <w:rPr>
          <w:spacing w:val="-25"/>
        </w:rPr>
      </w:r>
      <w:r>
        <w:rPr>
          <w:spacing w:val="-1"/>
        </w:rPr>
        <w:t>运激光，并履行了职业道德方面的其他责任。我们相信，我们获取的审计证据是充分、适当的，为发表审</w:t>
      </w:r>
      <w:r>
        <w:rPr>
          <w:spacing w:val="-83"/>
        </w:rPr>
        <w:t> </w:t>
      </w:r>
      <w:r>
        <w:rPr>
          <w:spacing w:val="-83"/>
        </w:rPr>
      </w:r>
      <w:r>
        <w:rPr/>
        <w:t>计意见提供了基础。</w:t>
      </w:r>
    </w:p>
    <w:p>
      <w:pPr>
        <w:pStyle w:val="Heading4"/>
        <w:spacing w:line="441" w:lineRule="auto" w:before="94"/>
        <w:ind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Heading4"/>
        <w:spacing w:line="444" w:lineRule="auto" w:before="18"/>
        <w:ind w:right="3193" w:hanging="420"/>
        <w:jc w:val="left"/>
      </w:pPr>
      <w:r>
        <w:rPr/>
        <w:t>财务报表整体进行审计并形成审计意见为背景，我们不对这些事项单独发表意见。 我们确定下列事项是需要在审计报告中沟通的关键审计事项：</w:t>
      </w:r>
    </w:p>
    <w:p>
      <w:pPr>
        <w:pStyle w:val="Heading4"/>
        <w:spacing w:line="240" w:lineRule="auto" w:before="54"/>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存货跌价</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无形资产减值</w:t>
      </w:r>
    </w:p>
    <w:p>
      <w:pPr>
        <w:spacing w:line="240" w:lineRule="auto" w:before="8"/>
        <w:rPr>
          <w:rFonts w:ascii="宋体" w:hAnsi="宋体" w:cs="宋体" w:eastAsia="宋体" w:hint="default"/>
          <w:sz w:val="16"/>
          <w:szCs w:val="16"/>
        </w:rPr>
      </w:pPr>
    </w:p>
    <w:p>
      <w:pPr>
        <w:pStyle w:val="Heading4"/>
        <w:spacing w:line="240" w:lineRule="auto"/>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对落地创意（武汉）有限公司的长期股权投资减值和应收款项的减值</w:t>
      </w:r>
    </w:p>
    <w:p>
      <w:pPr>
        <w:spacing w:line="240" w:lineRule="auto" w:before="9"/>
        <w:rPr>
          <w:rFonts w:ascii="宋体" w:hAnsi="宋体" w:cs="宋体" w:eastAsia="宋体" w:hint="default"/>
          <w:sz w:val="16"/>
          <w:szCs w:val="16"/>
        </w:rPr>
      </w:pPr>
    </w:p>
    <w:p>
      <w:pPr>
        <w:pStyle w:val="Heading3"/>
        <w:spacing w:line="240" w:lineRule="auto"/>
        <w:ind w:left="1556" w:right="0"/>
        <w:jc w:val="left"/>
        <w:rPr>
          <w:b w:val="0"/>
          <w:bCs w:val="0"/>
        </w:rPr>
      </w:pPr>
      <w:r>
        <w:rPr/>
        <w:t>（一）存货跌价</w:t>
      </w:r>
      <w:r>
        <w:rPr>
          <w:b w:val="0"/>
          <w:bCs w:val="0"/>
        </w:rPr>
      </w:r>
    </w:p>
    <w:p>
      <w:pPr>
        <w:spacing w:line="240" w:lineRule="auto" w:before="11"/>
        <w:rPr>
          <w:rFonts w:ascii="宋体" w:hAnsi="宋体" w:cs="宋体" w:eastAsia="宋体" w:hint="default"/>
          <w:b/>
          <w:bCs/>
          <w:sz w:val="17"/>
          <w:szCs w:val="17"/>
        </w:rPr>
      </w:pPr>
    </w:p>
    <w:p>
      <w:pPr>
        <w:pStyle w:val="Heading3"/>
        <w:spacing w:line="240" w:lineRule="auto"/>
        <w:ind w:left="158" w:right="7631"/>
        <w:jc w:val="center"/>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b w:val="0"/>
          <w:bCs w:val="0"/>
        </w:rPr>
      </w:r>
    </w:p>
    <w:p>
      <w:pPr>
        <w:spacing w:line="240" w:lineRule="auto" w:before="6"/>
        <w:rPr>
          <w:rFonts w:ascii="宋体" w:hAnsi="宋体" w:cs="宋体" w:eastAsia="宋体" w:hint="default"/>
          <w:b/>
          <w:bCs/>
          <w:sz w:val="16"/>
          <w:szCs w:val="16"/>
        </w:rPr>
      </w:pPr>
    </w:p>
    <w:p>
      <w:pPr>
        <w:pStyle w:val="Heading4"/>
        <w:spacing w:line="391" w:lineRule="auto"/>
        <w:ind w:left="1133" w:right="1130" w:firstLine="420"/>
        <w:jc w:val="both"/>
      </w:pPr>
      <w:r>
        <w:rPr>
          <w:spacing w:val="-4"/>
        </w:rPr>
        <w:t>如合并财务报表附注四、（十三）与合并财务报表附注六、注释</w:t>
      </w:r>
      <w:r>
        <w:rPr>
          <w:spacing w:val="-41"/>
        </w:rPr>
        <w:t> </w:t>
      </w:r>
      <w:r>
        <w:rPr>
          <w:rFonts w:ascii="Times New Roman" w:hAnsi="Times New Roman" w:cs="Times New Roman" w:eastAsia="Times New Roman" w:hint="default"/>
        </w:rPr>
        <w:t>6</w:t>
      </w:r>
      <w:r>
        <w:rPr/>
        <w:t>，存货余额</w:t>
      </w:r>
      <w:r>
        <w:rPr>
          <w:spacing w:val="-42"/>
        </w:rPr>
        <w:t> </w:t>
      </w:r>
      <w:r>
        <w:rPr>
          <w:rFonts w:ascii="Times New Roman" w:hAnsi="Times New Roman" w:cs="Times New Roman" w:eastAsia="Times New Roman" w:hint="default"/>
        </w:rPr>
        <w:t>12,400.12</w:t>
      </w:r>
      <w:r>
        <w:rPr>
          <w:rFonts w:ascii="Times New Roman" w:hAnsi="Times New Roman" w:cs="Times New Roman" w:eastAsia="Times New Roman" w:hint="default"/>
          <w:spacing w:val="11"/>
        </w:rPr>
        <w:t> </w:t>
      </w:r>
      <w:r>
        <w:rPr/>
        <w:t>万元，存货跌 价准备金额</w:t>
      </w:r>
      <w:r>
        <w:rPr>
          <w:spacing w:val="-59"/>
        </w:rPr>
        <w:t> </w:t>
      </w:r>
      <w:r>
        <w:rPr>
          <w:rFonts w:ascii="Times New Roman" w:hAnsi="Times New Roman" w:cs="Times New Roman" w:eastAsia="Times New Roman" w:hint="default"/>
        </w:rPr>
        <w:t>2,555.16</w:t>
      </w:r>
      <w:r>
        <w:rPr>
          <w:rFonts w:ascii="Times New Roman" w:hAnsi="Times New Roman" w:cs="Times New Roman" w:eastAsia="Times New Roman" w:hint="default"/>
          <w:spacing w:val="-7"/>
        </w:rPr>
        <w:t> </w:t>
      </w:r>
      <w:r>
        <w:rPr/>
        <w:t>万元，其中本期计提存货跌价准备</w:t>
      </w:r>
      <w:r>
        <w:rPr>
          <w:spacing w:val="-59"/>
        </w:rPr>
        <w:t> </w:t>
      </w:r>
      <w:r>
        <w:rPr>
          <w:rFonts w:ascii="Times New Roman" w:hAnsi="Times New Roman" w:cs="Times New Roman" w:eastAsia="Times New Roman" w:hint="default"/>
        </w:rPr>
        <w:t>2,256.78</w:t>
      </w:r>
      <w:r>
        <w:rPr>
          <w:rFonts w:ascii="Times New Roman" w:hAnsi="Times New Roman" w:cs="Times New Roman" w:eastAsia="Times New Roman" w:hint="default"/>
          <w:spacing w:val="-7"/>
        </w:rPr>
        <w:t> </w:t>
      </w:r>
      <w:r>
        <w:rPr/>
        <w:t>万元。本期计提跌价的存货主要有因市场 环境变化而预期难以实现销售的</w:t>
      </w:r>
      <w:r>
        <w:rPr>
          <w:spacing w:val="-46"/>
        </w:rPr>
        <w:t> </w:t>
      </w:r>
      <w:r>
        <w:rPr>
          <w:rFonts w:ascii="Times New Roman" w:hAnsi="Times New Roman" w:cs="Times New Roman" w:eastAsia="Times New Roman" w:hint="default"/>
        </w:rPr>
        <w:t>CO2</w:t>
      </w:r>
      <w:r>
        <w:rPr>
          <w:rFonts w:ascii="Times New Roman" w:hAnsi="Times New Roman" w:cs="Times New Roman" w:eastAsia="Times New Roman" w:hint="default"/>
          <w:spacing w:val="6"/>
        </w:rPr>
        <w:t> </w:t>
      </w:r>
      <w:r>
        <w:rPr>
          <w:spacing w:val="-4"/>
        </w:rPr>
        <w:t>射频激光管，以及本期退回或者性能下降、销售前需要进行翻修的设</w:t>
      </w:r>
      <w:r>
        <w:rPr/>
        <w:t> </w:t>
      </w:r>
      <w:r>
        <w:rPr>
          <w:spacing w:val="-1"/>
        </w:rPr>
        <w:t>备，存货金额重大对合并资产负债表影响重大，本期计提的大额存货跌价准备金额对合并利润表产生重大</w:t>
      </w:r>
      <w:r>
        <w:rPr>
          <w:spacing w:val="-81"/>
        </w:rPr>
        <w:t> </w:t>
      </w:r>
      <w:r>
        <w:rPr>
          <w:spacing w:val="-81"/>
        </w:rPr>
      </w:r>
      <w:r>
        <w:rPr/>
        <w:t>影响，且涉及管理层重大会计估计，因此我们认为该事项为合并财务报表审计的关键审计事项。</w:t>
      </w:r>
    </w:p>
    <w:p>
      <w:pPr>
        <w:spacing w:line="420" w:lineRule="auto" w:before="101"/>
        <w:ind w:left="1553" w:right="42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我们针对存货跌价准备是否合理计提所执行的审计程序主要包括：</w:t>
      </w:r>
    </w:p>
    <w:p>
      <w:pPr>
        <w:pStyle w:val="Heading4"/>
        <w:spacing w:line="240" w:lineRule="auto" w:before="75"/>
        <w:ind w:right="0"/>
        <w:jc w:val="left"/>
      </w:pPr>
      <w:r>
        <w:rPr/>
        <w:t>（</w:t>
      </w:r>
      <w:r>
        <w:rPr>
          <w:rFonts w:ascii="Times New Roman" w:hAnsi="Times New Roman" w:cs="Times New Roman" w:eastAsia="Times New Roman" w:hint="default"/>
        </w:rPr>
        <w:t>1</w:t>
      </w:r>
      <w:r>
        <w:rPr/>
        <w:t>）对公司与存货减值准备的计提相关的控制进行了评价；</w:t>
      </w:r>
    </w:p>
    <w:p>
      <w:pPr>
        <w:spacing w:line="240" w:lineRule="auto" w:before="8"/>
        <w:rPr>
          <w:rFonts w:ascii="宋体" w:hAnsi="宋体" w:cs="宋体" w:eastAsia="宋体" w:hint="default"/>
          <w:sz w:val="16"/>
          <w:szCs w:val="16"/>
        </w:rPr>
      </w:pPr>
    </w:p>
    <w:p>
      <w:pPr>
        <w:pStyle w:val="Heading4"/>
        <w:spacing w:line="386" w:lineRule="auto"/>
        <w:ind w:left="1133" w:right="0" w:firstLine="420"/>
        <w:jc w:val="left"/>
      </w:pPr>
      <w:r>
        <w:rPr/>
        <w:t>（</w:t>
      </w:r>
      <w:r>
        <w:rPr>
          <w:rFonts w:ascii="Times New Roman" w:hAnsi="Times New Roman" w:cs="Times New Roman" w:eastAsia="Times New Roman" w:hint="default"/>
        </w:rPr>
        <w:t>2</w:t>
      </w:r>
      <w:r>
        <w:rPr/>
        <w:t>）对管理层计算的可变现净值所涉及的重要假设进行评价，例如检查销售价格和至完工时发生的 成本、销售费用以及相关税金等；</w:t>
      </w:r>
    </w:p>
    <w:p>
      <w:pPr>
        <w:pStyle w:val="Heading4"/>
        <w:spacing w:line="240" w:lineRule="auto" w:before="105"/>
        <w:ind w:right="0"/>
        <w:jc w:val="left"/>
      </w:pPr>
      <w:r>
        <w:rPr/>
        <w:t>（</w:t>
      </w:r>
      <w:r>
        <w:rPr>
          <w:rFonts w:ascii="Times New Roman" w:hAnsi="Times New Roman" w:cs="Times New Roman" w:eastAsia="Times New Roman" w:hint="default"/>
        </w:rPr>
        <w:t>3</w:t>
      </w:r>
      <w:r>
        <w:rPr/>
        <w:t>）根据市场情况、公司经营、存货状况等因素，对存货跌价计提的合理性做分析性复核；</w:t>
      </w:r>
    </w:p>
    <w:p>
      <w:pPr>
        <w:spacing w:line="240" w:lineRule="auto" w:before="8"/>
        <w:rPr>
          <w:rFonts w:ascii="宋体" w:hAnsi="宋体" w:cs="宋体" w:eastAsia="宋体" w:hint="default"/>
          <w:sz w:val="16"/>
          <w:szCs w:val="16"/>
        </w:rPr>
      </w:pPr>
    </w:p>
    <w:p>
      <w:pPr>
        <w:pStyle w:val="Heading4"/>
        <w:spacing w:line="240" w:lineRule="auto"/>
        <w:ind w:right="0"/>
        <w:jc w:val="left"/>
      </w:pPr>
      <w:r>
        <w:rPr/>
        <w:t>（</w:t>
      </w:r>
      <w:r>
        <w:rPr>
          <w:rFonts w:ascii="Times New Roman" w:hAnsi="Times New Roman" w:cs="Times New Roman" w:eastAsia="Times New Roman" w:hint="default"/>
        </w:rPr>
        <w:t>4</w:t>
      </w:r>
      <w:r>
        <w:rPr/>
        <w:t>）取得存货清单，对存货盘点进行监盘并关注残次冷背的存货是否被识别；</w:t>
      </w:r>
    </w:p>
    <w:p>
      <w:pPr>
        <w:spacing w:line="240" w:lineRule="auto" w:before="9"/>
        <w:rPr>
          <w:rFonts w:ascii="宋体" w:hAnsi="宋体" w:cs="宋体" w:eastAsia="宋体" w:hint="default"/>
          <w:sz w:val="16"/>
          <w:szCs w:val="16"/>
        </w:rPr>
      </w:pPr>
    </w:p>
    <w:p>
      <w:pPr>
        <w:pStyle w:val="Heading4"/>
        <w:spacing w:line="240" w:lineRule="auto"/>
        <w:ind w:right="0"/>
        <w:jc w:val="left"/>
      </w:pPr>
      <w:r>
        <w:rPr/>
        <w:t>（</w:t>
      </w:r>
      <w:r>
        <w:rPr>
          <w:rFonts w:ascii="Times New Roman" w:hAnsi="Times New Roman" w:cs="Times New Roman" w:eastAsia="Times New Roman" w:hint="default"/>
        </w:rPr>
        <w:t>5</w:t>
      </w:r>
      <w:r>
        <w:rPr/>
        <w:t>）取得存货库龄清单，对库龄较长的存货进行分析性复核，分析存货跌价准备是否合理；</w:t>
      </w:r>
    </w:p>
    <w:p>
      <w:pPr>
        <w:spacing w:line="240" w:lineRule="auto" w:before="6"/>
        <w:rPr>
          <w:rFonts w:ascii="宋体" w:hAnsi="宋体" w:cs="宋体" w:eastAsia="宋体" w:hint="default"/>
          <w:sz w:val="16"/>
          <w:szCs w:val="16"/>
        </w:rPr>
      </w:pPr>
    </w:p>
    <w:p>
      <w:pPr>
        <w:pStyle w:val="Heading4"/>
        <w:spacing w:line="386" w:lineRule="auto"/>
        <w:ind w:left="1134" w:right="0" w:firstLine="420"/>
        <w:jc w:val="left"/>
      </w:pPr>
      <w:r>
        <w:rPr/>
        <w:t>（</w:t>
      </w:r>
      <w:r>
        <w:rPr>
          <w:rFonts w:ascii="Times New Roman" w:hAnsi="Times New Roman" w:cs="Times New Roman" w:eastAsia="Times New Roman" w:hint="default"/>
        </w:rPr>
        <w:t>6</w:t>
      </w:r>
      <w:r>
        <w:rPr/>
        <w:t>）对估值专家在估值过程中运用的估值方法、参数和折现率进行复核，并对估值专家的专业胜任 能力进行评估。</w:t>
      </w:r>
    </w:p>
    <w:p>
      <w:pPr>
        <w:pStyle w:val="Heading4"/>
        <w:spacing w:line="410" w:lineRule="auto" w:before="103"/>
        <w:ind w:left="1134" w:right="1118" w:firstLine="420"/>
        <w:jc w:val="left"/>
      </w:pPr>
      <w:r>
        <w:rPr>
          <w:spacing w:val="-1"/>
        </w:rPr>
        <w:t>基于所实施的审计程序，我们得出审计结论，金运激光管理层在评估存货跌价准备时作出的判断是合</w:t>
      </w:r>
      <w:r>
        <w:rPr/>
        <w:t> 理的。</w:t>
      </w:r>
    </w:p>
    <w:p>
      <w:pPr>
        <w:pStyle w:val="Heading3"/>
        <w:spacing w:line="240" w:lineRule="auto" w:before="85"/>
        <w:ind w:left="1556" w:right="0"/>
        <w:jc w:val="left"/>
        <w:rPr>
          <w:b w:val="0"/>
          <w:bCs w:val="0"/>
        </w:rPr>
      </w:pPr>
      <w:r>
        <w:rPr/>
        <w:t>（二）无形资产减值</w:t>
      </w:r>
      <w:r>
        <w:rPr>
          <w:b w:val="0"/>
          <w:bCs w:val="0"/>
        </w:rPr>
      </w:r>
    </w:p>
    <w:p>
      <w:pPr>
        <w:spacing w:line="240" w:lineRule="auto" w:before="10"/>
        <w:rPr>
          <w:rFonts w:ascii="宋体" w:hAnsi="宋体" w:cs="宋体" w:eastAsia="宋体" w:hint="default"/>
          <w:b/>
          <w:bCs/>
          <w:sz w:val="17"/>
          <w:szCs w:val="17"/>
        </w:rPr>
      </w:pPr>
    </w:p>
    <w:p>
      <w:pPr>
        <w:pStyle w:val="Heading3"/>
        <w:spacing w:line="240" w:lineRule="auto"/>
        <w:ind w:left="1556"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b w:val="0"/>
          <w:bCs w:val="0"/>
        </w:rPr>
      </w:r>
    </w:p>
    <w:p>
      <w:pPr>
        <w:spacing w:line="240" w:lineRule="auto" w:before="6"/>
        <w:rPr>
          <w:rFonts w:ascii="宋体" w:hAnsi="宋体" w:cs="宋体" w:eastAsia="宋体" w:hint="default"/>
          <w:b/>
          <w:bCs/>
          <w:sz w:val="16"/>
          <w:szCs w:val="16"/>
        </w:rPr>
      </w:pPr>
    </w:p>
    <w:p>
      <w:pPr>
        <w:pStyle w:val="Heading4"/>
        <w:spacing w:line="391" w:lineRule="auto"/>
        <w:ind w:left="1133" w:right="1131" w:firstLine="420"/>
        <w:jc w:val="both"/>
      </w:pPr>
      <w:r>
        <w:rPr>
          <w:spacing w:val="-4"/>
        </w:rPr>
        <w:t>如合并财务报表附注四、（十九）与合并财务报表附注六、注释</w:t>
      </w:r>
      <w:r>
        <w:rPr>
          <w:spacing w:val="-38"/>
        </w:rPr>
        <w:t> </w:t>
      </w:r>
      <w:r>
        <w:rPr>
          <w:rFonts w:ascii="Times New Roman" w:hAnsi="Times New Roman" w:cs="Times New Roman" w:eastAsia="Times New Roman" w:hint="default"/>
          <w:spacing w:val="-1"/>
        </w:rPr>
        <w:t>11</w:t>
      </w:r>
      <w:r>
        <w:rPr>
          <w:spacing w:val="-1"/>
        </w:rPr>
        <w:t>，无形资产余额</w:t>
      </w:r>
      <w:r>
        <w:rPr>
          <w:spacing w:val="-39"/>
        </w:rPr>
        <w:t> </w:t>
      </w:r>
      <w:r>
        <w:rPr>
          <w:rFonts w:ascii="Times New Roman" w:hAnsi="Times New Roman" w:cs="Times New Roman" w:eastAsia="Times New Roman" w:hint="default"/>
        </w:rPr>
        <w:t>2,814.51</w:t>
      </w:r>
      <w:r>
        <w:rPr>
          <w:rFonts w:ascii="Times New Roman" w:hAnsi="Times New Roman" w:cs="Times New Roman" w:eastAsia="Times New Roman" w:hint="default"/>
          <w:spacing w:val="15"/>
        </w:rPr>
        <w:t> </w:t>
      </w:r>
      <w:r>
        <w:rPr>
          <w:spacing w:val="-1"/>
        </w:rPr>
        <w:t>万元，无</w:t>
      </w:r>
      <w:r>
        <w:rPr/>
        <w:t> 形资产减值准备</w:t>
      </w:r>
      <w:r>
        <w:rPr>
          <w:spacing w:val="-59"/>
        </w:rPr>
        <w:t> </w:t>
      </w:r>
      <w:r>
        <w:rPr>
          <w:rFonts w:ascii="Times New Roman" w:hAnsi="Times New Roman" w:cs="Times New Roman" w:eastAsia="Times New Roman" w:hint="default"/>
        </w:rPr>
        <w:t>1,647.90</w:t>
      </w:r>
      <w:r>
        <w:rPr>
          <w:rFonts w:ascii="Times New Roman" w:hAnsi="Times New Roman" w:cs="Times New Roman" w:eastAsia="Times New Roman" w:hint="default"/>
          <w:spacing w:val="-7"/>
        </w:rPr>
        <w:t> </w:t>
      </w:r>
      <w:r>
        <w:rPr/>
        <w:t>万元，其中本期计提无形资产减值准备</w:t>
      </w:r>
      <w:r>
        <w:rPr>
          <w:spacing w:val="-59"/>
        </w:rPr>
        <w:t> </w:t>
      </w:r>
      <w:r>
        <w:rPr>
          <w:rFonts w:ascii="Times New Roman" w:hAnsi="Times New Roman" w:cs="Times New Roman" w:eastAsia="Times New Roman" w:hint="default"/>
        </w:rPr>
        <w:t>1,344.62</w:t>
      </w:r>
      <w:r>
        <w:rPr>
          <w:rFonts w:ascii="Times New Roman" w:hAnsi="Times New Roman" w:cs="Times New Roman" w:eastAsia="Times New Roman" w:hint="default"/>
          <w:spacing w:val="-7"/>
        </w:rPr>
        <w:t> </w:t>
      </w:r>
      <w:r>
        <w:rPr/>
        <w:t>万元；减值的计提主要是基于管 理层根据激光板块和 </w:t>
      </w:r>
      <w:r>
        <w:rPr>
          <w:rFonts w:ascii="Times New Roman" w:hAnsi="Times New Roman" w:cs="Times New Roman" w:eastAsia="Times New Roman" w:hint="default"/>
        </w:rPr>
        <w:t>3D</w:t>
      </w:r>
      <w:r>
        <w:rPr>
          <w:rFonts w:ascii="Times New Roman" w:hAnsi="Times New Roman" w:cs="Times New Roman" w:eastAsia="Times New Roman" w:hint="default"/>
          <w:spacing w:val="-18"/>
        </w:rPr>
        <w:t> </w:t>
      </w:r>
      <w:r>
        <w:rPr/>
        <w:t>打印项目市场情况，对相关无形资产未来可带来现金流入的预测，因账面价值高 </w:t>
      </w:r>
      <w:r>
        <w:rPr>
          <w:spacing w:val="-1"/>
        </w:rPr>
        <w:t>于可收回金额而计提的；本期计提的无形资产减值金额对合并财务报表净利润产生重大影响，且涉及管理</w:t>
      </w:r>
      <w:r>
        <w:rPr>
          <w:spacing w:val="-81"/>
        </w:rPr>
        <w:t> </w:t>
      </w:r>
      <w:r>
        <w:rPr>
          <w:spacing w:val="-81"/>
        </w:rPr>
      </w:r>
      <w:r>
        <w:rPr/>
        <w:t>层重大会计估计，因此我们认为该事项为合并财务报表审计的关键审计事项。</w:t>
      </w:r>
    </w:p>
    <w:p>
      <w:pPr>
        <w:spacing w:after="0" w:line="39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420" w:lineRule="auto" w:before="175"/>
        <w:ind w:left="1553" w:right="382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我们针对无形资产减值准备是否合理计提所执行的审计程序主要包括：</w:t>
      </w:r>
    </w:p>
    <w:p>
      <w:pPr>
        <w:pStyle w:val="Heading4"/>
        <w:spacing w:line="240" w:lineRule="auto" w:before="76"/>
        <w:ind w:right="0"/>
        <w:jc w:val="left"/>
      </w:pPr>
      <w:r>
        <w:rPr/>
        <w:t>（</w:t>
      </w:r>
      <w:r>
        <w:rPr>
          <w:rFonts w:ascii="Times New Roman" w:hAnsi="Times New Roman" w:cs="Times New Roman" w:eastAsia="Times New Roman" w:hint="default"/>
        </w:rPr>
        <w:t>1</w:t>
      </w:r>
      <w:r>
        <w:rPr/>
        <w:t>）对管理层计算可收回金额的过程进行了复核；</w:t>
      </w:r>
    </w:p>
    <w:p>
      <w:pPr>
        <w:spacing w:line="240" w:lineRule="auto" w:before="7"/>
        <w:rPr>
          <w:rFonts w:ascii="宋体" w:hAnsi="宋体" w:cs="宋体" w:eastAsia="宋体" w:hint="default"/>
          <w:sz w:val="16"/>
          <w:szCs w:val="16"/>
        </w:rPr>
      </w:pPr>
    </w:p>
    <w:p>
      <w:pPr>
        <w:pStyle w:val="Heading4"/>
        <w:spacing w:line="386" w:lineRule="auto"/>
        <w:ind w:left="1133" w:right="0" w:firstLine="420"/>
        <w:jc w:val="left"/>
      </w:pPr>
      <w:r>
        <w:rPr/>
        <w:t>（</w:t>
      </w:r>
      <w:r>
        <w:rPr>
          <w:rFonts w:ascii="Times New Roman" w:hAnsi="Times New Roman" w:cs="Times New Roman" w:eastAsia="Times New Roman" w:hint="default"/>
        </w:rPr>
        <w:t>2</w:t>
      </w:r>
      <w:r>
        <w:rPr/>
        <w:t>）取得减值的自主研发的非专利技术、软件所使用的领域的经营数据，了解管理层未来的经营计 划以及市场环境，进行分析性复核；</w:t>
      </w:r>
    </w:p>
    <w:p>
      <w:pPr>
        <w:pStyle w:val="Heading4"/>
        <w:spacing w:line="240" w:lineRule="auto" w:before="104"/>
        <w:ind w:right="0"/>
        <w:jc w:val="left"/>
      </w:pPr>
      <w:r>
        <w:rPr/>
        <w:t>（</w:t>
      </w:r>
      <w:r>
        <w:rPr>
          <w:rFonts w:ascii="Times New Roman" w:hAnsi="Times New Roman" w:cs="Times New Roman" w:eastAsia="Times New Roman" w:hint="default"/>
        </w:rPr>
        <w:t>3</w:t>
      </w:r>
      <w:r>
        <w:rPr/>
        <w:t>）与管理层聘请的估值专家进行沟通，复核了相关计算结果；</w:t>
      </w:r>
    </w:p>
    <w:p>
      <w:pPr>
        <w:spacing w:line="240" w:lineRule="auto" w:before="8"/>
        <w:rPr>
          <w:rFonts w:ascii="宋体" w:hAnsi="宋体" w:cs="宋体" w:eastAsia="宋体" w:hint="default"/>
          <w:sz w:val="16"/>
          <w:szCs w:val="16"/>
        </w:rPr>
      </w:pPr>
    </w:p>
    <w:p>
      <w:pPr>
        <w:pStyle w:val="Heading4"/>
        <w:spacing w:line="386" w:lineRule="auto"/>
        <w:ind w:left="1133" w:right="0" w:firstLine="420"/>
        <w:jc w:val="left"/>
      </w:pPr>
      <w:r>
        <w:rPr/>
        <w:t>（</w:t>
      </w:r>
      <w:r>
        <w:rPr>
          <w:rFonts w:ascii="Times New Roman" w:hAnsi="Times New Roman" w:cs="Times New Roman" w:eastAsia="Times New Roman" w:hint="default"/>
        </w:rPr>
        <w:t>4</w:t>
      </w:r>
      <w:r>
        <w:rPr/>
        <w:t>）对估值专家在估值过程中运用的估值方法、参数和折现率进行复核，并对估值专家的专业胜任 能力进行评估；</w:t>
      </w:r>
    </w:p>
    <w:p>
      <w:pPr>
        <w:pStyle w:val="Heading4"/>
        <w:spacing w:line="417" w:lineRule="auto" w:before="104"/>
        <w:ind w:right="0"/>
        <w:jc w:val="left"/>
      </w:pPr>
      <w:r>
        <w:rPr/>
        <w:t>（</w:t>
      </w:r>
      <w:r>
        <w:rPr>
          <w:rFonts w:ascii="Times New Roman" w:hAnsi="Times New Roman" w:cs="Times New Roman" w:eastAsia="Times New Roman" w:hint="default"/>
        </w:rPr>
        <w:t>5</w:t>
      </w:r>
      <w:r>
        <w:rPr/>
        <w:t>）检查了资产减值相关信息在财务报表中的列报和披露情况。 </w:t>
      </w:r>
      <w:r>
        <w:rPr>
          <w:spacing w:val="-1"/>
        </w:rPr>
        <w:t>基于所实施的审计程序，我们得出审计结论，金运激光管理层在评估无形资产减值准备时作出的判断</w:t>
      </w:r>
    </w:p>
    <w:p>
      <w:pPr>
        <w:pStyle w:val="Heading4"/>
        <w:spacing w:line="240" w:lineRule="auto" w:before="39"/>
        <w:ind w:left="1133" w:right="0"/>
        <w:jc w:val="both"/>
      </w:pPr>
      <w:r>
        <w:rPr/>
        <w:t>是合理的。</w:t>
      </w:r>
    </w:p>
    <w:p>
      <w:pPr>
        <w:spacing w:line="240" w:lineRule="auto" w:before="12"/>
        <w:rPr>
          <w:rFonts w:ascii="宋体" w:hAnsi="宋体" w:cs="宋体" w:eastAsia="宋体" w:hint="default"/>
          <w:sz w:val="17"/>
          <w:szCs w:val="17"/>
        </w:rPr>
      </w:pPr>
    </w:p>
    <w:p>
      <w:pPr>
        <w:pStyle w:val="Heading3"/>
        <w:spacing w:line="240" w:lineRule="auto"/>
        <w:ind w:left="1556" w:right="0"/>
        <w:jc w:val="left"/>
        <w:rPr>
          <w:b w:val="0"/>
          <w:bCs w:val="0"/>
        </w:rPr>
      </w:pPr>
      <w:r>
        <w:rPr/>
        <w:t>（三）对落地创意（武汉）有限公司的长期股权投资减值和应收款项的减值</w:t>
      </w:r>
      <w:r>
        <w:rPr>
          <w:b w:val="0"/>
          <w:bCs w:val="0"/>
        </w:rPr>
      </w:r>
    </w:p>
    <w:p>
      <w:pPr>
        <w:spacing w:line="240" w:lineRule="auto" w:before="10"/>
        <w:rPr>
          <w:rFonts w:ascii="宋体" w:hAnsi="宋体" w:cs="宋体" w:eastAsia="宋体" w:hint="default"/>
          <w:b/>
          <w:bCs/>
          <w:sz w:val="17"/>
          <w:szCs w:val="17"/>
        </w:rPr>
      </w:pPr>
    </w:p>
    <w:p>
      <w:pPr>
        <w:pStyle w:val="Heading3"/>
        <w:spacing w:line="240" w:lineRule="auto"/>
        <w:ind w:left="1556"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b w:val="0"/>
          <w:bCs w:val="0"/>
        </w:rPr>
      </w:r>
    </w:p>
    <w:p>
      <w:pPr>
        <w:spacing w:line="240" w:lineRule="auto" w:before="6"/>
        <w:rPr>
          <w:rFonts w:ascii="宋体" w:hAnsi="宋体" w:cs="宋体" w:eastAsia="宋体" w:hint="default"/>
          <w:b/>
          <w:bCs/>
          <w:sz w:val="16"/>
          <w:szCs w:val="16"/>
        </w:rPr>
      </w:pPr>
    </w:p>
    <w:p>
      <w:pPr>
        <w:pStyle w:val="Heading4"/>
        <w:spacing w:line="386" w:lineRule="auto"/>
        <w:ind w:left="1133" w:right="1132" w:firstLine="420"/>
        <w:jc w:val="both"/>
      </w:pPr>
      <w:r>
        <w:rPr>
          <w:spacing w:val="-11"/>
        </w:rPr>
        <w:t>如合并财务财务报表附注四（十二）、（十五）、（二十）与合并财务报表附注六、注释</w:t>
      </w:r>
      <w:r>
        <w:rPr>
          <w:spacing w:val="-41"/>
        </w:rPr>
        <w:t> </w:t>
      </w:r>
      <w:r>
        <w:rPr>
          <w:rFonts w:ascii="Times New Roman" w:hAnsi="Times New Roman" w:cs="Times New Roman" w:eastAsia="Times New Roman" w:hint="default"/>
        </w:rPr>
        <w:t>3</w:t>
      </w:r>
      <w:r>
        <w:rPr/>
        <w:t>、注释</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及注 释</w:t>
      </w:r>
      <w:r>
        <w:rPr>
          <w:spacing w:val="-2"/>
        </w:rPr>
        <w:t> </w:t>
      </w:r>
      <w:r>
        <w:rPr>
          <w:rFonts w:ascii="Times New Roman" w:hAnsi="Times New Roman" w:cs="Times New Roman" w:eastAsia="Times New Roman" w:hint="default"/>
        </w:rPr>
        <w:t>9</w:t>
      </w:r>
      <w:r>
        <w:rPr/>
        <w:t>，因本期联营公司落地创意（武汉）有限公司（以下简称</w:t>
      </w:r>
      <w:r>
        <w:rPr>
          <w:rFonts w:ascii="Times New Roman" w:hAnsi="Times New Roman" w:cs="Times New Roman" w:eastAsia="Times New Roman" w:hint="default"/>
        </w:rPr>
        <w:t>“</w:t>
      </w:r>
      <w:r>
        <w:rPr/>
        <w:t>落地创意</w:t>
      </w:r>
      <w:r>
        <w:rPr>
          <w:rFonts w:ascii="Times New Roman" w:hAnsi="Times New Roman" w:cs="Times New Roman" w:eastAsia="Times New Roman" w:hint="default"/>
        </w:rPr>
        <w:t>”</w:t>
      </w:r>
      <w:r>
        <w:rPr/>
        <w:t>）经营状况不佳，管理层预计其 未来不能带来现金流入，对其长期股权投资计提减值准备</w:t>
      </w:r>
      <w:r>
        <w:rPr>
          <w:spacing w:val="-65"/>
        </w:rPr>
        <w:t> </w:t>
      </w:r>
      <w:r>
        <w:rPr>
          <w:rFonts w:ascii="Times New Roman" w:hAnsi="Times New Roman" w:cs="Times New Roman" w:eastAsia="Times New Roman" w:hint="default"/>
        </w:rPr>
        <w:t>368.17</w:t>
      </w:r>
      <w:r>
        <w:rPr>
          <w:rFonts w:ascii="Times New Roman" w:hAnsi="Times New Roman" w:cs="Times New Roman" w:eastAsia="Times New Roman" w:hint="default"/>
          <w:spacing w:val="-13"/>
        </w:rPr>
        <w:t> </w:t>
      </w:r>
      <w:r>
        <w:rPr>
          <w:spacing w:val="-3"/>
        </w:rPr>
        <w:t>万元，同时预计未来不能够偿还对金运激</w:t>
      </w:r>
    </w:p>
    <w:p>
      <w:pPr>
        <w:pStyle w:val="Heading4"/>
        <w:spacing w:line="398" w:lineRule="auto" w:before="35"/>
        <w:ind w:left="1134" w:right="1131"/>
        <w:jc w:val="both"/>
      </w:pPr>
      <w:r>
        <w:rPr/>
        <w:t>光及其子公司所负的债务，单项计提应收款项坏账准备</w:t>
      </w:r>
      <w:r>
        <w:rPr>
          <w:spacing w:val="-62"/>
        </w:rPr>
        <w:t> </w:t>
      </w:r>
      <w:r>
        <w:rPr>
          <w:rFonts w:ascii="Times New Roman" w:hAnsi="Times New Roman" w:cs="Times New Roman" w:eastAsia="Times New Roman" w:hint="default"/>
        </w:rPr>
        <w:t>587.86</w:t>
      </w:r>
      <w:r>
        <w:rPr>
          <w:rFonts w:ascii="Times New Roman" w:hAnsi="Times New Roman" w:cs="Times New Roman" w:eastAsia="Times New Roman" w:hint="default"/>
          <w:spacing w:val="-10"/>
        </w:rPr>
        <w:t> </w:t>
      </w:r>
      <w:r>
        <w:rPr>
          <w:spacing w:val="-3"/>
        </w:rPr>
        <w:t>万元。相关减值准备的计提对合并财务报表</w:t>
      </w:r>
      <w:r>
        <w:rPr/>
        <w:t> </w:t>
      </w:r>
      <w:r>
        <w:rPr>
          <w:spacing w:val="-1"/>
        </w:rPr>
        <w:t>净利润产生重大影响，且涉及管理层重大会计估计，因此我们认为该事项为合并财务报表审计的关键审计</w:t>
      </w:r>
      <w:r>
        <w:rPr>
          <w:spacing w:val="-81"/>
        </w:rPr>
        <w:t> </w:t>
      </w:r>
      <w:r>
        <w:rPr>
          <w:spacing w:val="-81"/>
        </w:rPr>
      </w:r>
      <w:r>
        <w:rPr/>
        <w:t>事项。</w:t>
      </w:r>
    </w:p>
    <w:p>
      <w:pPr>
        <w:pStyle w:val="Heading4"/>
        <w:spacing w:line="417" w:lineRule="auto" w:before="95"/>
        <w:ind w:left="1554" w:right="1118" w:firstLine="2"/>
        <w:jc w:val="left"/>
      </w:pPr>
      <w:r>
        <w:rPr>
          <w:rFonts w:ascii="Times New Roman" w:hAnsi="Times New Roman" w:cs="Times New Roman" w:eastAsia="Times New Roman" w:hint="default"/>
          <w:b/>
          <w:bCs/>
        </w:rPr>
        <w:t>2. </w:t>
      </w:r>
      <w:r>
        <w:rPr>
          <w:rFonts w:ascii="宋体" w:hAnsi="宋体" w:cs="宋体" w:eastAsia="宋体" w:hint="default"/>
          <w:b/>
          <w:bCs/>
        </w:rPr>
        <w:t>审计应对</w:t>
      </w:r>
      <w:r>
        <w:rPr>
          <w:rFonts w:ascii="宋体" w:hAnsi="宋体" w:cs="宋体" w:eastAsia="宋体" w:hint="default"/>
          <w:b/>
          <w:bCs/>
          <w:w w:val="99"/>
        </w:rPr>
        <w:t> </w:t>
      </w:r>
      <w:r>
        <w:rPr>
          <w:spacing w:val="3"/>
        </w:rPr>
        <w:t>我们针对对落地创意的长期股权投资及应收款项的减值准备是否合理计提所执行的审计程序主要包</w:t>
      </w:r>
    </w:p>
    <w:p>
      <w:pPr>
        <w:pStyle w:val="Heading4"/>
        <w:spacing w:line="240" w:lineRule="auto" w:before="39"/>
        <w:ind w:left="1134" w:right="0"/>
        <w:jc w:val="both"/>
      </w:pPr>
      <w:r>
        <w:rPr/>
        <w:t>括：</w:t>
      </w:r>
    </w:p>
    <w:p>
      <w:pPr>
        <w:spacing w:line="240" w:lineRule="auto" w:before="9"/>
        <w:rPr>
          <w:rFonts w:ascii="宋体" w:hAnsi="宋体" w:cs="宋体" w:eastAsia="宋体" w:hint="default"/>
          <w:sz w:val="17"/>
          <w:szCs w:val="17"/>
        </w:rPr>
      </w:pPr>
    </w:p>
    <w:p>
      <w:pPr>
        <w:pStyle w:val="Heading4"/>
        <w:spacing w:line="386" w:lineRule="auto"/>
        <w:ind w:left="1134" w:right="1118" w:firstLine="420"/>
        <w:jc w:val="left"/>
      </w:pPr>
      <w:r>
        <w:rPr/>
        <w:t>（</w:t>
      </w:r>
      <w:r>
        <w:rPr>
          <w:rFonts w:ascii="Times New Roman" w:hAnsi="Times New Roman" w:cs="Times New Roman" w:eastAsia="Times New Roman" w:hint="default"/>
        </w:rPr>
        <w:t>1</w:t>
      </w:r>
      <w:r>
        <w:rPr/>
        <w:t>）了解落地创意主营业务所处的市场环境、管理层对落地创意的投资情况及所负债务还款能力的 分析；</w:t>
      </w:r>
    </w:p>
    <w:p>
      <w:pPr>
        <w:pStyle w:val="Heading4"/>
        <w:spacing w:line="240" w:lineRule="auto" w:before="106"/>
        <w:ind w:left="1554" w:right="0"/>
        <w:jc w:val="left"/>
      </w:pPr>
      <w:r>
        <w:rPr/>
        <w:t>（</w:t>
      </w:r>
      <w:r>
        <w:rPr>
          <w:rFonts w:ascii="Times New Roman" w:hAnsi="Times New Roman" w:cs="Times New Roman" w:eastAsia="Times New Roman" w:hint="default"/>
        </w:rPr>
        <w:t>2</w:t>
      </w:r>
      <w:r>
        <w:rPr/>
        <w:t>）对有关的长期股权投资及应收款项执行减值测试；</w:t>
      </w:r>
    </w:p>
    <w:p>
      <w:pPr>
        <w:spacing w:line="240" w:lineRule="auto" w:before="7"/>
        <w:rPr>
          <w:rFonts w:ascii="宋体" w:hAnsi="宋体" w:cs="宋体" w:eastAsia="宋体" w:hint="default"/>
          <w:sz w:val="16"/>
          <w:szCs w:val="16"/>
        </w:rPr>
      </w:pPr>
    </w:p>
    <w:p>
      <w:pPr>
        <w:pStyle w:val="Heading4"/>
        <w:spacing w:line="386" w:lineRule="auto"/>
        <w:ind w:left="1134" w:right="0" w:firstLine="420"/>
        <w:jc w:val="left"/>
      </w:pPr>
      <w:r>
        <w:rPr/>
        <w:t>（</w:t>
      </w:r>
      <w:r>
        <w:rPr>
          <w:rFonts w:ascii="Times New Roman" w:hAnsi="Times New Roman" w:cs="Times New Roman" w:eastAsia="Times New Roman" w:hint="default"/>
        </w:rPr>
        <w:t>3</w:t>
      </w:r>
      <w:r>
        <w:rPr/>
        <w:t>）与管理层聘请的估值专家进行沟通，对在估值专家在估值过程中运用的估值方法、参数和折现 率进行复核，并对估值专家的专业胜任能力进行评估；</w:t>
      </w:r>
    </w:p>
    <w:p>
      <w:pPr>
        <w:pStyle w:val="Heading4"/>
        <w:spacing w:line="240" w:lineRule="auto" w:before="104"/>
        <w:ind w:left="1554" w:right="0"/>
        <w:jc w:val="left"/>
      </w:pPr>
      <w:r>
        <w:rPr/>
        <w:t>（</w:t>
      </w:r>
      <w:r>
        <w:rPr>
          <w:rFonts w:ascii="Times New Roman" w:hAnsi="Times New Roman" w:cs="Times New Roman" w:eastAsia="Times New Roman" w:hint="default"/>
        </w:rPr>
        <w:t>4</w:t>
      </w:r>
      <w:r>
        <w:rPr/>
        <w:t>）检查了资产减值相关信息在财务报表中的列报和披露情况。</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10" w:lineRule="auto" w:before="174"/>
        <w:ind w:left="1133" w:right="1130" w:firstLine="420"/>
        <w:jc w:val="both"/>
      </w:pPr>
      <w:r>
        <w:rPr>
          <w:spacing w:val="-1"/>
        </w:rPr>
        <w:t>基于所实施的审计程序，我们得出审计结论，金运激光管理层在评估长期股权投资减值准备和应收款</w:t>
      </w:r>
      <w:r>
        <w:rPr/>
        <w:t> 项的减值时作出的判断是合理的。</w:t>
      </w:r>
    </w:p>
    <w:p>
      <w:pPr>
        <w:pStyle w:val="Heading3"/>
        <w:spacing w:line="240" w:lineRule="auto" w:before="83"/>
        <w:ind w:left="1556" w:right="0"/>
        <w:jc w:val="left"/>
        <w:rPr>
          <w:b w:val="0"/>
          <w:bCs w:val="0"/>
        </w:rPr>
      </w:pPr>
      <w:r>
        <w:rPr/>
        <w:t>四、其他信息</w:t>
      </w:r>
      <w:r>
        <w:rPr>
          <w:b w:val="0"/>
          <w:bCs w:val="0"/>
        </w:rPr>
      </w:r>
    </w:p>
    <w:p>
      <w:pPr>
        <w:spacing w:line="240" w:lineRule="auto" w:before="11"/>
        <w:rPr>
          <w:rFonts w:ascii="宋体" w:hAnsi="宋体" w:cs="宋体" w:eastAsia="宋体" w:hint="default"/>
          <w:b/>
          <w:bCs/>
          <w:sz w:val="17"/>
          <w:szCs w:val="17"/>
        </w:rPr>
      </w:pPr>
    </w:p>
    <w:p>
      <w:pPr>
        <w:pStyle w:val="Heading4"/>
        <w:spacing w:line="386" w:lineRule="auto"/>
        <w:ind w:left="1133" w:right="1131" w:firstLine="420"/>
        <w:jc w:val="both"/>
      </w:pPr>
      <w:r>
        <w:rPr/>
        <w:t>金运激光管理层对其他信息负责。其他信息包括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年年度报告中涵盖的信息，但不包括财务报表 和我们的审计报告。</w:t>
      </w:r>
    </w:p>
    <w:p>
      <w:pPr>
        <w:pStyle w:val="Heading4"/>
        <w:spacing w:line="441" w:lineRule="auto" w:before="104"/>
        <w:ind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Heading4"/>
        <w:spacing w:line="444" w:lineRule="auto" w:before="18"/>
        <w:ind w:right="0" w:hanging="420"/>
        <w:jc w:val="left"/>
      </w:pPr>
      <w:r>
        <w:rPr/>
        <w:t>表或我们在审计过程中了解的情况存在重大不一致或者似乎存在重大错报。 </w:t>
      </w:r>
      <w:r>
        <w:rPr>
          <w:spacing w:val="-1"/>
        </w:rPr>
        <w:t>基于我们已执行的工作，如果我们确定其他信息存在重大错报，我们应当报告该事实。在这方面，我</w:t>
      </w:r>
    </w:p>
    <w:p>
      <w:pPr>
        <w:spacing w:line="444" w:lineRule="auto" w:before="16"/>
        <w:ind w:left="1556" w:right="6746"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Heading4"/>
        <w:spacing w:line="410" w:lineRule="auto" w:before="53"/>
        <w:ind w:left="1133" w:right="1131" w:firstLine="420"/>
        <w:jc w:val="both"/>
      </w:pPr>
      <w:r>
        <w:rPr>
          <w:spacing w:val="-1"/>
        </w:rPr>
        <w:t>金运激光管理层负责按照企业会计准则的规定编制财务报表，使其实现公允反映，并设计、执行和维</w:t>
      </w:r>
      <w:r>
        <w:rPr/>
        <w:t> 护必要的内部控制，以使财务报表不存在由于舞弊或错误导致的重大错报。</w:t>
      </w:r>
    </w:p>
    <w:p>
      <w:pPr>
        <w:pStyle w:val="Heading4"/>
        <w:spacing w:line="240" w:lineRule="auto" w:before="83"/>
        <w:ind w:right="0"/>
        <w:jc w:val="left"/>
      </w:pPr>
      <w:r>
        <w:rPr/>
        <w:t>在编制财务报表时，金运激光管理层负责评估金运激光的持续经营能力，披露与持续经营相关的事项</w:t>
      </w:r>
    </w:p>
    <w:p>
      <w:pPr>
        <w:spacing w:line="240" w:lineRule="auto" w:before="12"/>
        <w:rPr>
          <w:rFonts w:ascii="宋体" w:hAnsi="宋体" w:cs="宋体" w:eastAsia="宋体" w:hint="default"/>
          <w:sz w:val="14"/>
          <w:szCs w:val="14"/>
        </w:rPr>
      </w:pPr>
    </w:p>
    <w:p>
      <w:pPr>
        <w:pStyle w:val="Heading4"/>
        <w:spacing w:line="444" w:lineRule="auto"/>
        <w:ind w:left="1554" w:right="0" w:hanging="420"/>
        <w:jc w:val="left"/>
      </w:pPr>
      <w:r>
        <w:rPr>
          <w:spacing w:val="-3"/>
        </w:rPr>
        <w:t>（如适用），并运用持续经营假设，除非管理层计划清算金运激光、终止运营或别无其他现实的选择。</w:t>
      </w:r>
      <w:r>
        <w:rPr>
          <w:spacing w:val="-77"/>
        </w:rPr>
        <w:t> </w:t>
      </w:r>
      <w:r>
        <w:rPr>
          <w:spacing w:val="-77"/>
        </w:rPr>
      </w:r>
      <w:r>
        <w:rPr/>
        <w:t>治理层负责监督金运激光的财务报告过程。</w:t>
      </w:r>
    </w:p>
    <w:p>
      <w:pPr>
        <w:spacing w:line="444" w:lineRule="auto" w:before="54"/>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Heading4"/>
        <w:spacing w:line="410" w:lineRule="auto" w:before="14"/>
        <w:ind w:left="1134"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4"/>
        <w:spacing w:line="410" w:lineRule="auto" w:before="82"/>
        <w:ind w:left="1134" w:right="1133" w:firstLine="420"/>
        <w:jc w:val="both"/>
      </w:pPr>
      <w:r>
        <w:rPr>
          <w:spacing w:val="-1"/>
        </w:rPr>
        <w:t>在按照审计准则执行审计工作的过程中，我们运用职业判断，并保持职业怀疑。同时，我们也执行以</w:t>
      </w:r>
      <w:r>
        <w:rPr/>
        <w:t> 下工作：</w:t>
      </w:r>
    </w:p>
    <w:p>
      <w:pPr>
        <w:pStyle w:val="Heading4"/>
        <w:spacing w:line="400" w:lineRule="auto" w:before="82"/>
        <w:ind w:left="1134" w:right="1131" w:firstLine="42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 </w:t>
      </w:r>
      <w:r>
        <w:rPr>
          <w:spacing w:val="-1"/>
        </w:rPr>
        <w:t>并获取充分、适当的审计证据，作为发表审计意见的基础。由于舞弊可能涉及串通、伪造、故意遗漏、虚</w:t>
      </w:r>
      <w:r>
        <w:rPr>
          <w:spacing w:val="-83"/>
        </w:rPr>
        <w:t> </w:t>
      </w:r>
      <w:r>
        <w:rPr>
          <w:spacing w:val="-83"/>
        </w:rPr>
      </w:r>
      <w:r>
        <w:rPr>
          <w:spacing w:val="-1"/>
        </w:rPr>
        <w:t>假陈述或凌驾于内部控制之上，未能发现由于舞弊导致的重大错报的风险高于未能发现由于错误导致的重</w:t>
      </w:r>
      <w:r>
        <w:rPr>
          <w:spacing w:val="-81"/>
        </w:rPr>
        <w:t> </w:t>
      </w:r>
      <w:r>
        <w:rPr>
          <w:spacing w:val="-81"/>
        </w:rPr>
      </w:r>
      <w:r>
        <w:rPr/>
        <w:t>大错报的风险。</w:t>
      </w:r>
    </w:p>
    <w:p>
      <w:pPr>
        <w:pStyle w:val="Heading4"/>
        <w:spacing w:line="240" w:lineRule="auto" w:before="93"/>
        <w:ind w:left="1554" w:right="0"/>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5"/>
        <w:ind w:right="0"/>
        <w:jc w:val="left"/>
      </w:pP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6"/>
        <w:rPr>
          <w:rFonts w:ascii="宋体" w:hAnsi="宋体" w:cs="宋体" w:eastAsia="宋体" w:hint="default"/>
          <w:sz w:val="16"/>
          <w:szCs w:val="16"/>
        </w:rPr>
      </w:pPr>
    </w:p>
    <w:p>
      <w:pPr>
        <w:pStyle w:val="Heading4"/>
        <w:spacing w:line="403" w:lineRule="auto"/>
        <w:ind w:left="1133" w:right="1131" w:firstLine="420"/>
        <w:jc w:val="both"/>
      </w:pPr>
      <w:r>
        <w:rPr>
          <w:rFonts w:ascii="Times New Roman" w:hAnsi="Times New Roman" w:cs="Times New Roman" w:eastAsia="Times New Roman" w:hint="default"/>
        </w:rPr>
        <w:t>4.</w:t>
      </w:r>
      <w:r>
        <w:rPr/>
        <w:t>对管理层使用持续经营假设的恰当性得出结论。同时，根据获取的审计证据，就可能导致对金运激 </w:t>
      </w:r>
      <w:r>
        <w:rPr>
          <w:spacing w:val="-1"/>
        </w:rPr>
        <w:t>光持续经营能力产生重大疑虑的事项或情况是否存在重大不确定性得出结论。如果我们得出结论认为存在</w:t>
      </w:r>
      <w:r>
        <w:rPr>
          <w:spacing w:val="-81"/>
        </w:rPr>
        <w:t> </w:t>
      </w:r>
      <w:r>
        <w:rPr>
          <w:spacing w:val="-81"/>
        </w:rPr>
      </w:r>
      <w:r>
        <w:rPr>
          <w:spacing w:val="-1"/>
        </w:rPr>
        <w:t>重大不确定性，审计准则要求我们在审计报告中提请报告使用者注意财务报表中的相关披露；如果披露不</w:t>
      </w:r>
      <w:r>
        <w:rPr>
          <w:spacing w:val="-81"/>
        </w:rPr>
        <w:t> </w:t>
      </w:r>
      <w:r>
        <w:rPr>
          <w:spacing w:val="-81"/>
        </w:rPr>
      </w:r>
      <w:r>
        <w:rPr>
          <w:spacing w:val="-1"/>
        </w:rPr>
        <w:t>充分，我们应当发表非无保留意见。我们的结论基于截至审计报告日可获得的信息。然而，未来的事项或</w:t>
      </w:r>
      <w:r>
        <w:rPr>
          <w:spacing w:val="-85"/>
        </w:rPr>
        <w:t> </w:t>
      </w:r>
      <w:r>
        <w:rPr>
          <w:spacing w:val="-85"/>
        </w:rPr>
      </w:r>
      <w:r>
        <w:rPr/>
        <w:t>情况可能导致金运激光不能持续经营。</w:t>
      </w:r>
    </w:p>
    <w:p>
      <w:pPr>
        <w:pStyle w:val="Heading4"/>
        <w:spacing w:line="240" w:lineRule="auto" w:before="91"/>
        <w:ind w:left="1554" w:right="0"/>
        <w:jc w:val="left"/>
      </w:pPr>
      <w:r>
        <w:rPr>
          <w:rFonts w:ascii="Times New Roman" w:hAnsi="Times New Roman" w:cs="Times New Roman" w:eastAsia="Times New Roman" w:hint="default"/>
        </w:rPr>
        <w:t>5.</w:t>
      </w:r>
      <w:r>
        <w:rPr/>
        <w:t>评价财务</w:t>
      </w:r>
      <w:r>
        <w:rPr>
          <w:spacing w:val="-2"/>
        </w:rPr>
        <w:t>报</w:t>
      </w:r>
      <w:r>
        <w:rPr/>
        <w:t>表的总体列报</w:t>
      </w:r>
      <w:r>
        <w:rPr>
          <w:spacing w:val="-61"/>
        </w:rPr>
        <w:t>、</w:t>
      </w:r>
      <w:r>
        <w:rPr/>
        <w:t>结构和内</w:t>
      </w:r>
      <w:r>
        <w:rPr>
          <w:spacing w:val="-61"/>
        </w:rPr>
        <w:t>容</w:t>
      </w:r>
      <w:r>
        <w:rPr/>
        <w:t>（包括披露</w:t>
      </w:r>
      <w:r>
        <w:rPr>
          <w:spacing w:val="-105"/>
        </w:rPr>
        <w:t>）</w:t>
      </w:r>
      <w:r>
        <w:rPr>
          <w:spacing w:val="-61"/>
        </w:rPr>
        <w:t>，</w:t>
      </w:r>
      <w:r>
        <w:rPr/>
        <w:t>并评价财务报表是否公允反映相关交易和事项。</w:t>
      </w:r>
    </w:p>
    <w:p>
      <w:pPr>
        <w:spacing w:line="240" w:lineRule="auto" w:before="6"/>
        <w:rPr>
          <w:rFonts w:ascii="宋体" w:hAnsi="宋体" w:cs="宋体" w:eastAsia="宋体" w:hint="default"/>
          <w:sz w:val="16"/>
          <w:szCs w:val="16"/>
        </w:rPr>
      </w:pPr>
    </w:p>
    <w:p>
      <w:pPr>
        <w:pStyle w:val="Heading4"/>
        <w:spacing w:line="386" w:lineRule="auto"/>
        <w:ind w:left="1134" w:right="1134" w:firstLine="420"/>
        <w:jc w:val="both"/>
      </w:pPr>
      <w:r>
        <w:rPr>
          <w:rFonts w:ascii="Times New Roman" w:hAnsi="Times New Roman" w:cs="Times New Roman" w:eastAsia="Times New Roman" w:hint="default"/>
        </w:rPr>
        <w:t>6.</w:t>
      </w:r>
      <w:r>
        <w:rPr/>
        <w:t>就金运激光中实体或业务活动的财务信息获取充分、适当的审计证据，以对合并财务报表发表审计 意见。我们负责指导、监督和执行集团审计，并对审计意见承担全部责任。</w:t>
      </w:r>
    </w:p>
    <w:p>
      <w:pPr>
        <w:pStyle w:val="Heading4"/>
        <w:spacing w:line="410" w:lineRule="auto" w:before="103"/>
        <w:ind w:left="113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Heading4"/>
        <w:spacing w:line="410" w:lineRule="auto" w:before="83"/>
        <w:ind w:left="1134" w:right="1132" w:firstLine="420"/>
        <w:jc w:val="both"/>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Heading4"/>
        <w:spacing w:line="408" w:lineRule="auto" w:before="82"/>
        <w:ind w:left="113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4"/>
        <w:tabs>
          <w:tab w:pos="6370" w:val="left" w:leader="none"/>
        </w:tabs>
        <w:spacing w:line="240" w:lineRule="auto"/>
        <w:ind w:left="1134" w:right="0"/>
        <w:jc w:val="left"/>
      </w:pPr>
      <w:r>
        <w:rPr>
          <w:spacing w:val="-1"/>
        </w:rPr>
        <w:t>大华会计师事务所</w:t>
      </w:r>
      <w:r>
        <w:rPr>
          <w:rFonts w:ascii="Times New Roman" w:hAnsi="Times New Roman" w:cs="Times New Roman" w:eastAsia="Times New Roman" w:hint="default"/>
          <w:spacing w:val="-1"/>
        </w:rPr>
        <w:t>(</w:t>
      </w:r>
      <w:r>
        <w:rPr>
          <w:spacing w:val="-1"/>
        </w:rPr>
        <w:t>特殊普通合伙）</w:t>
        <w:tab/>
      </w:r>
      <w:r>
        <w:rPr/>
        <w:t>中国注册会计师</w:t>
      </w:r>
      <w:r>
        <w:rPr>
          <w:rFonts w:ascii="Times New Roman" w:hAnsi="Times New Roman" w:cs="Times New Roman" w:eastAsia="Times New Roman" w:hint="default"/>
        </w:rPr>
        <w:t>:</w:t>
      </w:r>
      <w:r>
        <w:rPr/>
        <w:t>方建新</w:t>
      </w:r>
    </w:p>
    <w:p>
      <w:pPr>
        <w:pStyle w:val="Heading4"/>
        <w:spacing w:line="240" w:lineRule="auto" w:before="21"/>
        <w:ind w:left="6700" w:right="0"/>
        <w:jc w:val="left"/>
      </w:pPr>
      <w:r>
        <w:rPr/>
        <w:t>（项目合伙人）</w:t>
      </w:r>
    </w:p>
    <w:p>
      <w:pPr>
        <w:pStyle w:val="Heading4"/>
        <w:tabs>
          <w:tab w:pos="6317" w:val="left" w:leader="none"/>
        </w:tabs>
        <w:spacing w:line="516" w:lineRule="auto" w:before="37"/>
        <w:ind w:left="6345" w:right="3428" w:hanging="3672"/>
        <w:jc w:val="left"/>
      </w:pPr>
      <w:r>
        <w:rPr>
          <w:spacing w:val="-1"/>
        </w:rPr>
        <w:t>中国</w:t>
      </w:r>
      <w:r>
        <w:rPr>
          <w:rFonts w:ascii="Times New Roman" w:hAnsi="Times New Roman" w:cs="Times New Roman" w:eastAsia="Times New Roman" w:hint="default"/>
          <w:b/>
          <w:bCs/>
          <w:spacing w:val="-1"/>
        </w:rPr>
        <w:t>·</w:t>
      </w:r>
      <w:r>
        <w:rPr>
          <w:spacing w:val="-1"/>
        </w:rPr>
        <w:t>北京</w:t>
        <w:tab/>
      </w:r>
      <w:r>
        <w:rPr/>
        <w:t>中国注册会计师</w:t>
      </w:r>
      <w:r>
        <w:rPr>
          <w:rFonts w:ascii="Times New Roman" w:hAnsi="Times New Roman" w:cs="Times New Roman" w:eastAsia="Times New Roman" w:hint="default"/>
        </w:rPr>
        <w:t>:</w:t>
      </w:r>
      <w:r>
        <w:rPr/>
        <w:t>李轶芳 二〇一八年四月十一日</w:t>
      </w:r>
    </w:p>
    <w:p>
      <w:pPr>
        <w:spacing w:after="0" w:line="51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0"/>
        <w:jc w:val="left"/>
        <w:rPr>
          <w:b w:val="0"/>
          <w:bCs w:val="0"/>
        </w:rPr>
      </w:pPr>
      <w:bookmarkStart w:name="二、财务报表" w:id="150"/>
      <w:bookmarkEnd w:id="150"/>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编制单位：武汉金运激光股份有限公司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59,017,225.76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126,580,145.01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3,520,946.36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1,013,032.81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25,873,239.67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37,433,895.69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8,178,926.61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7,174,269.62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6,478,215.08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8,392,794.81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98,449,634.95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115,367,529.73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2,886,411.76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3,335,020.90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204,404,600.19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299,296,688.57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14,880,000.00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170,040.26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14,475,549.37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82,240,821.55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87,921,551.61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11,666,026.65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27,911,233.99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1,029,873.04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993,823.02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1,152,373.65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13,857,858.11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3,906,361.95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37,599,540.77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146,828,110.36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166,276,943.61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351,232,710.55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465,573,632.18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5,711,094.00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9,692,685.00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31,558,145.95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25,176,543.40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30,103,103.81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20,490,421.75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5,828,923.78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4,662,934.48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1,021,202.60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1,983,689.30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43,945.95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5,305,084.88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29,467,342.04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99,559,055.11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121,517,561.92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1,305,966.25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1,561,104.49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1,305,966.25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1,561,104.49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100,865,021.36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123,078,666.41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85,222,850.09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83,626,686.34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260,857.16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266,400.71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9,985,834.59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21,989,423.67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65,090,532.71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243,458,965.51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284,969,454.35</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6,908,723.68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57,525,511.42</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250,367,689.19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342,494,965.77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351,232,710.55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465,573,632.18</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法定代表人：梁萍</w:t>
        <w:tab/>
        <w:t>主管会计工作负责人：陈维斯</w:t>
        <w:tab/>
        <w:t>会计机构负责人：陈维斯</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50,341,952.12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48,627,810.89</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614,398.01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39,754,355.10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45,431,047.78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6,888,928.94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5,136,345.50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25,211,613.03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24,624,805.59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48,621,573.06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71,911,442.80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509,945.64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1,458,214.87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171,650,767.89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197,804,065.44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24,001,043.32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95,761,945.33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75,321,199.73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79,422,200.43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6,370,079.87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14,408,833.89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834,610.84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898,666.43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9,424,161.25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3,009,909.84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37,599,540.77</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153,550,635.78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193,501,555.92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325,201,403.67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391,305,621.36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5,711,094.00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9,692,685.00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12,225,712.39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17,056,551.69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20,297,460.17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16,361,984.38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2,792,241.74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2,357,311.26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294,356.13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455,861.51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43,945.95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809,662.27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24,088,663.38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62,162,026.79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100,057,003.17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1,305,966.25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1,561,104.49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1,305,966.25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1,561,104.49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63,467,993.04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101,618,107.66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83,631,541.26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83,178,416.26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9,985,834.59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42,116,034.78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70,523,262.85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261,733,410.63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289,687,513.70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325,201,403.67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391,305,621.36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055"/>
        <w:gridCol w:w="3222"/>
        <w:gridCol w:w="3263"/>
      </w:tblGrid>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184,949,471.36</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187,330,676.17</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184,949,471.36</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187,330,676.17</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253,028,630.27</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185,621,957.06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40.919983pt;width:157.7pt;height:19.650pt;mso-position-horizontal-relative:page;mso-position-vertical-relative:page;z-index:-726064" coordorigin="4242,8818" coordsize="3154,393">
            <v:shape style="position:absolute;left:4242;top:8818;width:3154;height:393" coordorigin="4242,8818" coordsize="3154,393" path="m4242,9211l7396,9211,7396,8818,4242,8818,4242,9211xe" filled="true" fillcolor="#ffffff" stroked="false">
              <v:path arrowok="t"/>
              <v:fill type="solid"/>
            </v:shape>
            <w10:wrap type="none"/>
          </v:group>
        </w:pict>
      </w:r>
      <w:r>
        <w:rPr/>
        <w:pict>
          <v:group style="position:absolute;margin-left:212.119995pt;margin-top:577.119995pt;width:157.7pt;height:19.650pt;mso-position-horizontal-relative:page;mso-position-vertical-relative:page;z-index:-726040" coordorigin="4242,11542" coordsize="3154,393">
            <v:shape style="position:absolute;left:4242;top:11542;width:3154;height:393" coordorigin="4242,11542" coordsize="3154,393" path="m4242,11935l7396,11935,7396,11542,4242,11542,4242,119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75"/>
        <w:gridCol w:w="2136"/>
        <w:gridCol w:w="3278"/>
      </w:tblGrid>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129,958,754.94</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118,385,163.99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1,706,040.19</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1,944,326.81</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31,224,790.28</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33,498,722.66</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37,718,204.25</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23,532,383.49</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3,310,370.52</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1,733,438.85</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49,110,470.09</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6,527,921.26</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15,048,872.50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3,071,775.02</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15,048,872.50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-965,150.61</w:t>
            </w:r>
            <w:r>
              <w:rPr>
                <w:rFonts w:ascii="Times New Roman"/>
                <w:sz w:val="18"/>
              </w:rPr>
            </w:r>
          </w:p>
        </w:tc>
      </w:tr>
      <w:tr>
        <w:trPr>
          <w:trHeight w:val="402" w:hRule="exact"/>
        </w:trPr>
        <w:tc>
          <w:tcPr>
            <w:tcW w:w="3080" w:type="dxa"/>
            <w:tcBorders>
              <w:top w:val="single" w:sz="4" w:space="0" w:color="000000"/>
              <w:left w:val="nil" w:sz="6" w:space="0" w:color="auto"/>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-7,732.77</w:t>
            </w:r>
            <w:r>
              <w:rPr>
                <w:rFonts w:ascii="Times New Roman"/>
                <w:sz w:val="18"/>
              </w:rPr>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1,515,779.32</w:t>
            </w: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-51,514,507.09</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4,772,761.36</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212,826.30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3,098,449.71</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571,611.48</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1,337,811.20</w:t>
            </w:r>
          </w:p>
        </w:tc>
      </w:tr>
      <w:tr>
        <w:trPr>
          <w:trHeight w:val="402" w:hRule="exact"/>
        </w:trPr>
        <w:tc>
          <w:tcPr>
            <w:tcW w:w="3080" w:type="dxa"/>
            <w:tcBorders>
              <w:top w:val="single" w:sz="4" w:space="0" w:color="000000"/>
              <w:left w:val="nil" w:sz="6" w:space="0" w:color="auto"/>
              <w:bottom w:val="single" w:sz="4" w:space="0" w:color="000000"/>
              <w:right w:val="single" w:sz="9" w:space="0" w:color="FFFFFF"/>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-51,873,292.27</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6,533,399.87</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-9,092,444.36</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810,889.27</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-42,780,847.91</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5,722,510.60</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-42,780,847.91</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5,722,510.60</w:t>
            </w:r>
          </w:p>
        </w:tc>
      </w:tr>
      <w:tr>
        <w:trPr>
          <w:trHeight w:val="714"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-42,345,109.04</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6,734,039.01</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-1,011,528.41</w:t>
            </w:r>
          </w:p>
        </w:tc>
      </w:tr>
      <w:tr>
        <w:trPr>
          <w:trHeight w:val="402" w:hRule="exact"/>
        </w:trPr>
        <w:tc>
          <w:tcPr>
            <w:tcW w:w="3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83,882.69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3055"/>
        <w:gridCol w:w="3222"/>
        <w:gridCol w:w="3263"/>
      </w:tblGrid>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83,882.69</w:t>
            </w: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1026"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83,882.69</w:t>
            </w:r>
          </w:p>
        </w:tc>
      </w:tr>
      <w:tr>
        <w:trPr>
          <w:trHeight w:val="1026"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83,882.69</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FFFFFF"/>
            </w:tcBorders>
          </w:tcPr>
          <w:p>
            <w:pPr/>
          </w:p>
        </w:tc>
        <w:tc>
          <w:tcPr>
            <w:tcW w:w="3263" w:type="dxa"/>
            <w:tcBorders>
              <w:top w:val="single" w:sz="4" w:space="0" w:color="000000"/>
              <w:left w:val="single" w:sz="4" w:space="0" w:color="FFFFFF"/>
              <w:bottom w:val="single" w:sz="4" w:space="0" w:color="000000"/>
              <w:right w:val="nil" w:sz="6" w:space="0" w:color="auto"/>
            </w:tcBorders>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-42,786,391.46</w:t>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5,806,393.29</w:t>
            </w:r>
          </w:p>
        </w:tc>
      </w:tr>
      <w:tr>
        <w:trPr>
          <w:trHeight w:val="714"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-42,350,652.59</w:t>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6,817,921.70</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-1,011,528.41</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263" w:type="dxa"/>
            <w:tcBorders>
              <w:top w:val="single" w:sz="4" w:space="0" w:color="000000"/>
              <w:left w:val="single" w:sz="4" w:space="0" w:color="FFFFFF"/>
              <w:bottom w:val="single" w:sz="4" w:space="0" w:color="000000"/>
              <w:right w:val="nil" w:sz="6" w:space="0" w:color="auto"/>
            </w:tcBorders>
            <w:shd w:val="clear" w:color="auto" w:fill="D2D2D2"/>
          </w:tcPr>
          <w:p>
            <w:pP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-0.3361</w:t>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0.0534</w:t>
            </w:r>
          </w:p>
        </w:tc>
      </w:tr>
      <w:tr>
        <w:trPr>
          <w:trHeight w:val="402" w:hRule="exact"/>
        </w:trPr>
        <w:tc>
          <w:tcPr>
            <w:tcW w:w="3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-0.3361</w:t>
            </w:r>
          </w:p>
        </w:tc>
        <w:tc>
          <w:tcPr>
            <w:tcW w:w="3263"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0.0534</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法定代表人：梁萍</w:t>
        <w:tab/>
        <w:t>主管会计工作负责人：陈维斯</w:t>
        <w:tab/>
        <w:t>会计机构负责人：陈维斯</w:t>
      </w:r>
    </w:p>
    <w:p>
      <w:pPr>
        <w:pStyle w:val="Heading3"/>
        <w:spacing w:line="240" w:lineRule="auto" w:before="63"/>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124,114,668.66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131,563,430.74</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85,178,730.33</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89,208,228.26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1,489,050.16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1,598,949.88</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17,086,335.35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17,232,565.86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22,224,985.34</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12,862,641.05</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3,418,980.82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1,790,819.99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44,908,577.31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5,431,312.65</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15,771,071.01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-320,527.68</w:t>
            </w:r>
            <w:r>
              <w:rPr>
                <w:rFonts w:ascii="Times New Roman"/>
                <w:sz w:val="18"/>
              </w:rPr>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1,469,811.18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-320,527.68</w:t>
            </w:r>
            <w:r>
              <w:rPr>
                <w:rFonts w:ascii="Times New Roman"/>
                <w:sz w:val="18"/>
              </w:rPr>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1,510,401.69</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-32,910,517.95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3,118,385.37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197,369.59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2,619,821.89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561,840.99</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-33,274,989.35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5,738,207.26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-5,623,761.28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712,560.85</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-27,651,228.07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5,025,646.41</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-27,651,228.07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5,025,646.41</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27"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2"/>
        <w:gridCol w:w="3312"/>
        <w:gridCol w:w="3287"/>
      </w:tblGrid>
      <w:tr>
        <w:trPr>
          <w:trHeight w:val="1026"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-27,651,228.07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5,025,646.41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-0.2195</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0.0399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-0.2195</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0.0399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205,115,604.72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224,228,801.27</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8,307,670.01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2,169,907.00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3,842,811.77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5,881,923.54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217,266,086.50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232,280,631.81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138,019,510.64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136,355,565.52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35,224,859.02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41,424,648.43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5,694,100.13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4,846,631.05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37,942,194.89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29,581,689.84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216,880,664.68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212,208,534.84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385,421.82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20,072,096.97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12,914,399.00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94,568.18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288,284.72</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7,551,878.44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13,008,967.18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67,840,163.16</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1,854,353.80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11,389,822.31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33,871,697.25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15,006,292.81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46,026,051.05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26,396,115.12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-33,017,083.87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41,444,048.04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2,555,918.70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6,237,499.70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22,555,918.70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61,237,499.70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2,341,519.20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2,994,760.36</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57,341,519.20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72,494,760.36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-34,785,600.50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-11,257,260.66</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1,803,209.37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-83,882.70</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-65,614,053.18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50,175,001.65</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121,558,166.94</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71,383,165.29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55,944,113.76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121,558,166.94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132,259,352.41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151,670,172.65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8,307,670.01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2,164,151.64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1,513,431.47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9,697,961.74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142,080,453.89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163,532,286.03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95,796,984.03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87,786,167.28</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20,664,238.54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23,680,912.36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3,228,556.17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2,815,658.91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31,155,861.15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19,623,623.32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150,845,639.89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133,906,361.87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-8,765,186.00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29,625,924.16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3"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12,914,399.00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29,610.92</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18,100,000.00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37,444,009.92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18,200,000.00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778,172.32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3,073,283.21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5,171,550.46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2,028,172.32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8,244,833.67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35,415,837.60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9,955,166.33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2,555,918.70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6,237,499.70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22,555,918.70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51,237,499.70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2,341,454.19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2,994,739.17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47,341,454.19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72,494,739.17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-24,785,535.49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-21,257,239.47</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1,797,665.82</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3,662,781.93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18,323,851.02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43,606,058.19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25,282,207.17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47,268,840.12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43,606,058.19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535"/>
        <w:jc w:val="right"/>
      </w:pPr>
      <w:r>
        <w:rPr/>
        <w:t>单位：元</w:t>
      </w:r>
    </w:p>
    <w:p>
      <w:pPr>
        <w:spacing w:line="240" w:lineRule="auto" w:before="4"/>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89"/>
        <w:gridCol w:w="1192"/>
        <w:gridCol w:w="474"/>
        <w:gridCol w:w="475"/>
        <w:gridCol w:w="356"/>
        <w:gridCol w:w="1091"/>
        <w:gridCol w:w="775"/>
        <w:gridCol w:w="1046"/>
        <w:gridCol w:w="594"/>
        <w:gridCol w:w="1002"/>
        <w:gridCol w:w="834"/>
        <w:gridCol w:w="1151"/>
        <w:gridCol w:w="1151"/>
        <w:gridCol w:w="1257"/>
      </w:tblGrid>
      <w:tr>
        <w:trPr>
          <w:trHeight w:val="402" w:hRule="exact"/>
        </w:trPr>
        <w:tc>
          <w:tcPr>
            <w:tcW w:w="2589" w:type="dxa"/>
            <w:vMerge w:val="restart"/>
            <w:tcBorders>
              <w:top w:val="single" w:sz="4" w:space="0" w:color="000000"/>
              <w:left w:val="nil" w:sz="6" w:space="0" w:color="auto"/>
              <w:right w:val="single" w:sz="4" w:space="0" w:color="000000"/>
            </w:tcBorders>
            <w:shd w:val="clear" w:color="auto" w:fill="D2D2D2"/>
          </w:tcPr>
          <w:p>
            <w:pPr/>
          </w:p>
        </w:tc>
        <w:tc>
          <w:tcPr>
            <w:tcW w:w="11398" w:type="dxa"/>
            <w:gridSpan w:val="1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61"/>
              <w:ind w:left="1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589" w:type="dxa"/>
            <w:vMerge/>
            <w:tcBorders>
              <w:left w:val="nil" w:sz="6" w:space="0" w:color="auto"/>
              <w:bottom w:val="nil" w:sz="6" w:space="0" w:color="auto"/>
              <w:right w:val="single" w:sz="4" w:space="0" w:color="000000"/>
            </w:tcBorders>
            <w:shd w:val="clear" w:color="auto" w:fill="D2D2D2"/>
          </w:tcPr>
          <w:p>
            <w:pPr/>
          </w:p>
        </w:tc>
        <w:tc>
          <w:tcPr>
            <w:tcW w:w="89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125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84" w:hRule="exact"/>
        </w:trPr>
        <w:tc>
          <w:tcPr>
            <w:tcW w:w="258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FFFFFF"/>
            </w:tcBorders>
            <w:shd w:val="clear" w:color="auto" w:fill="D2D2D2"/>
          </w:tcPr>
          <w:p>
            <w:pPr/>
          </w:p>
        </w:tc>
        <w:tc>
          <w:tcPr>
            <w:tcW w:w="834" w:type="dxa"/>
            <w:tcBorders>
              <w:top w:val="single" w:sz="4" w:space="0" w:color="000000"/>
              <w:left w:val="single" w:sz="4" w:space="0" w:color="FFFFFF"/>
              <w:bottom w:val="nil" w:sz="6" w:space="0" w:color="auto"/>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257"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65"/>
              <w:ind w:left="539" w:right="8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62" w:hRule="exact"/>
        </w:trPr>
        <w:tc>
          <w:tcPr>
            <w:tcW w:w="2589" w:type="dxa"/>
            <w:vMerge/>
            <w:tcBorders>
              <w:left w:val="nil" w:sz="6" w:space="0" w:color="auto"/>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291"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427" w:right="6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11" w:right="11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02" w:type="dxa"/>
            <w:vMerge/>
            <w:tcBorders>
              <w:left w:val="single" w:sz="4" w:space="0" w:color="000000"/>
              <w:bottom w:val="nil" w:sz="6" w:space="0" w:color="auto"/>
              <w:right w:val="single" w:sz="4" w:space="0" w:color="FFFFFF"/>
            </w:tcBorders>
            <w:shd w:val="clear" w:color="auto" w:fill="D2D2D2"/>
          </w:tcPr>
          <w:p>
            <w:pPr/>
          </w:p>
        </w:tc>
        <w:tc>
          <w:tcPr>
            <w:tcW w:w="83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2"/>
              <w:ind w:left="231" w:right="5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51"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57" w:type="dxa"/>
            <w:vMerge/>
            <w:tcBorders>
              <w:left w:val="single" w:sz="4" w:space="0" w:color="000000"/>
              <w:right w:val="nil" w:sz="6" w:space="0" w:color="auto"/>
            </w:tcBorders>
            <w:shd w:val="clear" w:color="auto" w:fill="D2D2D2"/>
          </w:tcPr>
          <w:p>
            <w:pPr/>
          </w:p>
        </w:tc>
      </w:tr>
      <w:tr>
        <w:trPr>
          <w:trHeight w:val="193" w:hRule="exact"/>
        </w:trPr>
        <w:tc>
          <w:tcPr>
            <w:tcW w:w="2589" w:type="dxa"/>
            <w:vMerge w:val="restart"/>
            <w:tcBorders>
              <w:top w:val="nil" w:sz="6" w:space="0" w:color="auto"/>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42" w:right="4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41" w:right="5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82" w:right="83"/>
              <w:jc w:val="left"/>
              <w:rPr>
                <w:rFonts w:ascii="宋体" w:hAnsi="宋体" w:cs="宋体" w:eastAsia="宋体" w:hint="default"/>
                <w:sz w:val="18"/>
                <w:szCs w:val="18"/>
              </w:rPr>
            </w:pPr>
            <w:r>
              <w:rPr>
                <w:rFonts w:ascii="宋体" w:hAnsi="宋体" w:cs="宋体" w:eastAsia="宋体" w:hint="default"/>
                <w:sz w:val="18"/>
                <w:szCs w:val="18"/>
              </w:rPr>
              <w:t>其 他</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6"/>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5"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594" w:type="dxa"/>
            <w:vMerge/>
            <w:tcBorders>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3"/>
              <w:ind w:left="13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4" w:type="dxa"/>
            <w:vMerge/>
            <w:tcBorders>
              <w:left w:val="single" w:sz="4" w:space="0" w:color="FFFFFF"/>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1" w:type="dxa"/>
            <w:vMerge/>
            <w:tcBorders>
              <w:left w:val="single" w:sz="4" w:space="0" w:color="000000"/>
              <w:bottom w:val="nil" w:sz="6" w:space="0" w:color="auto"/>
              <w:right w:val="single" w:sz="4" w:space="0" w:color="000000"/>
            </w:tcBorders>
            <w:shd w:val="clear" w:color="auto" w:fill="D2D2D2"/>
          </w:tcPr>
          <w:p>
            <w:pPr/>
          </w:p>
        </w:tc>
        <w:tc>
          <w:tcPr>
            <w:tcW w:w="1257" w:type="dxa"/>
            <w:vMerge/>
            <w:tcBorders>
              <w:left w:val="single" w:sz="4" w:space="0" w:color="000000"/>
              <w:right w:val="nil" w:sz="6" w:space="0" w:color="auto"/>
            </w:tcBorders>
            <w:shd w:val="clear" w:color="auto" w:fill="D2D2D2"/>
          </w:tcPr>
          <w:p>
            <w:pPr/>
          </w:p>
        </w:tc>
      </w:tr>
      <w:tr>
        <w:trPr>
          <w:trHeight w:val="178" w:hRule="exact"/>
        </w:trPr>
        <w:tc>
          <w:tcPr>
            <w:tcW w:w="2589"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474" w:type="dxa"/>
            <w:vMerge/>
            <w:tcBorders>
              <w:left w:val="single" w:sz="4" w:space="0" w:color="000000"/>
              <w:right w:val="single" w:sz="4" w:space="0" w:color="000000"/>
            </w:tcBorders>
            <w:shd w:val="clear" w:color="auto" w:fill="D2D2D2"/>
          </w:tcPr>
          <w:p>
            <w:pPr/>
          </w:p>
        </w:tc>
        <w:tc>
          <w:tcPr>
            <w:tcW w:w="475" w:type="dxa"/>
            <w:vMerge/>
            <w:tcBorders>
              <w:left w:val="single" w:sz="4" w:space="0" w:color="000000"/>
              <w:right w:val="single" w:sz="4" w:space="0" w:color="000000"/>
            </w:tcBorders>
            <w:shd w:val="clear" w:color="auto" w:fill="D2D2D2"/>
          </w:tcPr>
          <w:p>
            <w:pPr/>
          </w:p>
        </w:tc>
        <w:tc>
          <w:tcPr>
            <w:tcW w:w="35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594"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FFFFFF"/>
            </w:tcBorders>
            <w:shd w:val="clear" w:color="auto" w:fill="D2D2D2"/>
          </w:tcPr>
          <w:p>
            <w:pPr/>
          </w:p>
        </w:tc>
        <w:tc>
          <w:tcPr>
            <w:tcW w:w="834" w:type="dxa"/>
            <w:vMerge/>
            <w:tcBorders>
              <w:left w:val="single" w:sz="4" w:space="0" w:color="FFFFFF"/>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257" w:type="dxa"/>
            <w:vMerge/>
            <w:tcBorders>
              <w:left w:val="single" w:sz="4" w:space="0" w:color="000000"/>
              <w:bottom w:val="nil" w:sz="6" w:space="0" w:color="auto"/>
              <w:right w:val="nil" w:sz="6" w:space="0" w:color="auto"/>
            </w:tcBorders>
            <w:shd w:val="clear" w:color="auto" w:fill="D2D2D2"/>
          </w:tcPr>
          <w:p>
            <w:pPr/>
          </w:p>
        </w:tc>
      </w:tr>
      <w:tr>
        <w:trPr>
          <w:trHeight w:val="159" w:hRule="exact"/>
        </w:trPr>
        <w:tc>
          <w:tcPr>
            <w:tcW w:w="2589" w:type="dxa"/>
            <w:vMerge/>
            <w:tcBorders>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474" w:type="dxa"/>
            <w:vMerge/>
            <w:tcBorders>
              <w:left w:val="single" w:sz="4" w:space="0" w:color="000000"/>
              <w:right w:val="single" w:sz="4" w:space="0" w:color="000000"/>
            </w:tcBorders>
            <w:shd w:val="clear" w:color="auto" w:fill="D2D2D2"/>
          </w:tcPr>
          <w:p>
            <w:pPr/>
          </w:p>
        </w:tc>
        <w:tc>
          <w:tcPr>
            <w:tcW w:w="475" w:type="dxa"/>
            <w:vMerge/>
            <w:tcBorders>
              <w:left w:val="single" w:sz="4" w:space="0" w:color="000000"/>
              <w:right w:val="single" w:sz="4" w:space="0" w:color="000000"/>
            </w:tcBorders>
            <w:shd w:val="clear" w:color="auto" w:fill="D2D2D2"/>
          </w:tcPr>
          <w:p>
            <w:pPr/>
          </w:p>
        </w:tc>
        <w:tc>
          <w:tcPr>
            <w:tcW w:w="35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594"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FFFFFF"/>
            </w:tcBorders>
            <w:shd w:val="clear" w:color="auto" w:fill="D2D2D2"/>
          </w:tcPr>
          <w:p>
            <w:pPr/>
          </w:p>
        </w:tc>
        <w:tc>
          <w:tcPr>
            <w:tcW w:w="834" w:type="dxa"/>
            <w:vMerge/>
            <w:tcBorders>
              <w:left w:val="single" w:sz="4" w:space="0" w:color="FFFFFF"/>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1257" w:type="dxa"/>
            <w:vMerge w:val="restart"/>
            <w:tcBorders>
              <w:top w:val="nil" w:sz="6" w:space="0" w:color="auto"/>
              <w:left w:val="single" w:sz="4" w:space="0" w:color="000000"/>
              <w:right w:val="nil" w:sz="6" w:space="0" w:color="auto"/>
            </w:tcBorders>
            <w:shd w:val="clear" w:color="auto" w:fill="D2D2D2"/>
          </w:tcPr>
          <w:p>
            <w:pPr/>
          </w:p>
        </w:tc>
      </w:tr>
      <w:tr>
        <w:trPr>
          <w:trHeight w:val="206" w:hRule="exact"/>
        </w:trPr>
        <w:tc>
          <w:tcPr>
            <w:tcW w:w="2589" w:type="dxa"/>
            <w:vMerge/>
            <w:tcBorders>
              <w:left w:val="nil" w:sz="6" w:space="0" w:color="auto"/>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474" w:type="dxa"/>
            <w:vMerge/>
            <w:tcBorders>
              <w:left w:val="single" w:sz="4" w:space="0" w:color="000000"/>
              <w:bottom w:val="single" w:sz="4" w:space="0" w:color="000000"/>
              <w:right w:val="single" w:sz="4" w:space="0" w:color="000000"/>
            </w:tcBorders>
            <w:shd w:val="clear" w:color="auto" w:fill="D2D2D2"/>
          </w:tcPr>
          <w:p>
            <w:pPr/>
          </w:p>
        </w:tc>
        <w:tc>
          <w:tcPr>
            <w:tcW w:w="475" w:type="dxa"/>
            <w:vMerge/>
            <w:tcBorders>
              <w:left w:val="single" w:sz="4" w:space="0" w:color="000000"/>
              <w:bottom w:val="single" w:sz="4" w:space="0" w:color="000000"/>
              <w:right w:val="single" w:sz="4" w:space="0" w:color="000000"/>
            </w:tcBorders>
            <w:shd w:val="clear" w:color="auto" w:fill="D2D2D2"/>
          </w:tcPr>
          <w:p>
            <w:pPr/>
          </w:p>
        </w:tc>
        <w:tc>
          <w:tcPr>
            <w:tcW w:w="35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FFFFFF"/>
            </w:tcBorders>
            <w:shd w:val="clear" w:color="auto" w:fill="D2D2D2"/>
          </w:tcPr>
          <w:p>
            <w:pPr/>
          </w:p>
        </w:tc>
        <w:tc>
          <w:tcPr>
            <w:tcW w:w="834" w:type="dxa"/>
            <w:tcBorders>
              <w:top w:val="nil" w:sz="6" w:space="0" w:color="auto"/>
              <w:left w:val="single" w:sz="4" w:space="0" w:color="FFFFFF"/>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25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266,400.71</w:t>
            </w: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9,985,834.59</w:t>
            </w: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65,090,532.71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57,525,511.42</w:t>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pacing w:val="-1"/>
                <w:sz w:val="18"/>
              </w:rPr>
              <w:t>342,494,965.77</w:t>
            </w: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73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266,400.71</w:t>
            </w: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9,985,834.59</w:t>
            </w: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65,090,532.71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57,525,511.42</w:t>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pacing w:val="-1"/>
                <w:sz w:val="18"/>
              </w:rPr>
              <w:t>342,494,965.77</w:t>
            </w:r>
          </w:p>
        </w:tc>
      </w:tr>
      <w:tr>
        <w:trPr>
          <w:trHeight w:val="714"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-43,101,109.04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-50,616,787.74</w:t>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-92,127,276.58</w:t>
            </w: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-42,345,109.04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pacing w:val="-1"/>
                <w:sz w:val="18"/>
              </w:rPr>
              <w:t>-42,786,391.46</w:t>
            </w: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-50,181,048.87</w:t>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1"/>
              <w:jc w:val="right"/>
              <w:rPr>
                <w:rFonts w:ascii="Times New Roman" w:hAnsi="Times New Roman" w:cs="Times New Roman" w:eastAsia="Times New Roman" w:hint="default"/>
                <w:sz w:val="18"/>
                <w:szCs w:val="18"/>
              </w:rPr>
            </w:pPr>
            <w:r>
              <w:rPr>
                <w:rFonts w:ascii="Times New Roman"/>
                <w:spacing w:val="-1"/>
                <w:sz w:val="18"/>
              </w:rPr>
              <w:t>-48,584,885.12</w:t>
            </w: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61"/>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-50,181,048.87</w:t>
            </w: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pacing w:val="-1"/>
                <w:sz w:val="18"/>
              </w:rPr>
              <w:t>-48,584,885.12</w:t>
            </w:r>
          </w:p>
        </w:tc>
      </w:tr>
      <w:tr>
        <w:trPr>
          <w:trHeight w:val="402" w:hRule="exact"/>
        </w:trPr>
        <w:tc>
          <w:tcPr>
            <w:tcW w:w="2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FFFFFF"/>
            </w:tcBorders>
          </w:tcPr>
          <w:p>
            <w:pPr/>
          </w:p>
        </w:tc>
        <w:tc>
          <w:tcPr>
            <w:tcW w:w="834" w:type="dxa"/>
            <w:tcBorders>
              <w:top w:val="single" w:sz="4" w:space="0" w:color="000000"/>
              <w:left w:val="single" w:sz="4" w:space="0" w:color="FFFFFF"/>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867" w:footer="979" w:top="1060" w:bottom="1280" w:left="1300" w:right="0"/>
          <w:pgNumType w:start="65"/>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614"/>
        <w:gridCol w:w="1181"/>
        <w:gridCol w:w="474"/>
        <w:gridCol w:w="475"/>
        <w:gridCol w:w="356"/>
        <w:gridCol w:w="1091"/>
        <w:gridCol w:w="775"/>
        <w:gridCol w:w="1046"/>
        <w:gridCol w:w="594"/>
        <w:gridCol w:w="1002"/>
        <w:gridCol w:w="834"/>
        <w:gridCol w:w="1151"/>
        <w:gridCol w:w="1151"/>
        <w:gridCol w:w="1273"/>
      </w:tblGrid>
      <w:tr>
        <w:trPr>
          <w:trHeight w:val="416" w:hRule="exact"/>
        </w:trPr>
        <w:tc>
          <w:tcPr>
            <w:tcW w:w="261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74" w:type="dxa"/>
            <w:tcBorders>
              <w:top w:val="single" w:sz="15" w:space="0" w:color="000000"/>
              <w:left w:val="single" w:sz="4" w:space="0" w:color="000000"/>
              <w:bottom w:val="single" w:sz="4" w:space="0" w:color="000000"/>
              <w:right w:val="single" w:sz="4" w:space="0" w:color="000000"/>
            </w:tcBorders>
          </w:tcPr>
          <w:p>
            <w:pPr/>
          </w:p>
        </w:tc>
        <w:tc>
          <w:tcPr>
            <w:tcW w:w="475" w:type="dxa"/>
            <w:tcBorders>
              <w:top w:val="single" w:sz="15" w:space="0" w:color="000000"/>
              <w:left w:val="single" w:sz="4" w:space="0" w:color="000000"/>
              <w:bottom w:val="single" w:sz="4" w:space="0" w:color="000000"/>
              <w:right w:val="single" w:sz="4" w:space="0" w:color="000000"/>
            </w:tcBorders>
          </w:tcPr>
          <w:p>
            <w:pPr/>
          </w:p>
        </w:tc>
        <w:tc>
          <w:tcPr>
            <w:tcW w:w="35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75" w:type="dxa"/>
            <w:tcBorders>
              <w:top w:val="single" w:sz="15" w:space="0" w:color="000000"/>
              <w:left w:val="single" w:sz="4" w:space="0" w:color="000000"/>
              <w:bottom w:val="single" w:sz="4" w:space="0" w:color="000000"/>
              <w:right w:val="single" w:sz="4" w:space="0" w:color="000000"/>
            </w:tcBorders>
          </w:tcPr>
          <w:p>
            <w:pPr/>
          </w:p>
        </w:tc>
        <w:tc>
          <w:tcPr>
            <w:tcW w:w="1046" w:type="dxa"/>
            <w:tcBorders>
              <w:top w:val="single" w:sz="15" w:space="0" w:color="000000"/>
              <w:left w:val="single" w:sz="4" w:space="0" w:color="000000"/>
              <w:bottom w:val="single" w:sz="4" w:space="0" w:color="000000"/>
              <w:right w:val="single" w:sz="4" w:space="0" w:color="000000"/>
            </w:tcBorders>
          </w:tcPr>
          <w:p>
            <w:pPr/>
          </w:p>
        </w:tc>
        <w:tc>
          <w:tcPr>
            <w:tcW w:w="594" w:type="dxa"/>
            <w:tcBorders>
              <w:top w:val="single" w:sz="15" w:space="0" w:color="000000"/>
              <w:left w:val="single" w:sz="4" w:space="0" w:color="000000"/>
              <w:bottom w:val="single" w:sz="4" w:space="0" w:color="000000"/>
              <w:right w:val="single" w:sz="4" w:space="0" w:color="000000"/>
            </w:tcBorders>
          </w:tcPr>
          <w:p>
            <w:pPr/>
          </w:p>
        </w:tc>
        <w:tc>
          <w:tcPr>
            <w:tcW w:w="1002" w:type="dxa"/>
            <w:tcBorders>
              <w:top w:val="single" w:sz="15" w:space="0" w:color="000000"/>
              <w:left w:val="single" w:sz="4" w:space="0" w:color="000000"/>
              <w:bottom w:val="single" w:sz="4" w:space="0" w:color="000000"/>
              <w:right w:val="single" w:sz="4" w:space="0" w:color="000000"/>
            </w:tcBorders>
          </w:tcPr>
          <w:p>
            <w:pPr/>
          </w:p>
        </w:tc>
        <w:tc>
          <w:tcPr>
            <w:tcW w:w="834"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27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1"/>
              <w:ind w:left="27"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13" w:space="0" w:color="FFFFFF"/>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1"/>
              <w:ind w:left="27"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13" w:space="0" w:color="FFFFFF"/>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85,222,850.09</w:t>
            </w:r>
          </w:p>
        </w:tc>
        <w:tc>
          <w:tcPr>
            <w:tcW w:w="77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260,857.16</w:t>
            </w:r>
          </w:p>
        </w:tc>
        <w:tc>
          <w:tcPr>
            <w:tcW w:w="59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9,985,834.59</w:t>
            </w:r>
          </w:p>
        </w:tc>
        <w:tc>
          <w:tcPr>
            <w:tcW w:w="83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21,989,423.67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6,908,723.68</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250,367,689.19</w:t>
            </w:r>
          </w:p>
        </w:tc>
      </w:tr>
    </w:tbl>
    <w:p>
      <w:pPr>
        <w:pStyle w:val="BodyText"/>
        <w:spacing w:line="240" w:lineRule="auto" w:before="51"/>
        <w:ind w:left="16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1973"/>
        <w:gridCol w:w="1181"/>
        <w:gridCol w:w="656"/>
        <w:gridCol w:w="658"/>
        <w:gridCol w:w="660"/>
        <w:gridCol w:w="1091"/>
        <w:gridCol w:w="855"/>
        <w:gridCol w:w="865"/>
        <w:gridCol w:w="844"/>
        <w:gridCol w:w="1001"/>
        <w:gridCol w:w="856"/>
        <w:gridCol w:w="1091"/>
        <w:gridCol w:w="1091"/>
        <w:gridCol w:w="1167"/>
      </w:tblGrid>
      <w:tr>
        <w:trPr>
          <w:trHeight w:val="402" w:hRule="exact"/>
        </w:trPr>
        <w:tc>
          <w:tcPr>
            <w:tcW w:w="1973" w:type="dxa"/>
            <w:vMerge w:val="restart"/>
            <w:tcBorders>
              <w:top w:val="single" w:sz="4" w:space="0" w:color="000000"/>
              <w:left w:val="nil" w:sz="6" w:space="0" w:color="auto"/>
              <w:right w:val="single" w:sz="4" w:space="0" w:color="000000"/>
            </w:tcBorders>
            <w:shd w:val="clear" w:color="auto" w:fill="D2D2D2"/>
          </w:tcPr>
          <w:p>
            <w:pPr/>
          </w:p>
        </w:tc>
        <w:tc>
          <w:tcPr>
            <w:tcW w:w="12015" w:type="dxa"/>
            <w:gridSpan w:val="1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9" w:hRule="exact"/>
        </w:trPr>
        <w:tc>
          <w:tcPr>
            <w:tcW w:w="1973" w:type="dxa"/>
            <w:vMerge/>
            <w:tcBorders>
              <w:left w:val="nil" w:sz="6" w:space="0" w:color="auto"/>
              <w:bottom w:val="nil" w:sz="6" w:space="0" w:color="auto"/>
              <w:right w:val="single" w:sz="4" w:space="0" w:color="000000"/>
            </w:tcBorders>
            <w:shd w:val="clear" w:color="auto" w:fill="D2D2D2"/>
          </w:tcPr>
          <w:p>
            <w:pPr/>
          </w:p>
        </w:tc>
        <w:tc>
          <w:tcPr>
            <w:tcW w:w="975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73" w:hRule="exact"/>
        </w:trPr>
        <w:tc>
          <w:tcPr>
            <w:tcW w:w="197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9756" w:type="dxa"/>
            <w:gridSpan w:val="11"/>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7"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74"/>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2" w:hRule="exact"/>
        </w:trPr>
        <w:tc>
          <w:tcPr>
            <w:tcW w:w="1973" w:type="dxa"/>
            <w:vMerge/>
            <w:tcBorders>
              <w:left w:val="nil" w:sz="6" w:space="0" w:color="auto"/>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1" w:right="6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7" w:right="6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2" w:right="6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97" w:hRule="exact"/>
        </w:trPr>
        <w:tc>
          <w:tcPr>
            <w:tcW w:w="1973" w:type="dxa"/>
            <w:vMerge w:val="restart"/>
            <w:tcBorders>
              <w:top w:val="nil" w:sz="6" w:space="0" w:color="auto"/>
              <w:left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74"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5"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73" w:hRule="exact"/>
        </w:trPr>
        <w:tc>
          <w:tcPr>
            <w:tcW w:w="1973" w:type="dxa"/>
            <w:vMerge/>
            <w:tcBorders>
              <w:left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nil" w:sz="6" w:space="0" w:color="auto"/>
            </w:tcBorders>
            <w:shd w:val="clear" w:color="auto" w:fill="D2D2D2"/>
          </w:tcPr>
          <w:p>
            <w:pPr/>
          </w:p>
        </w:tc>
      </w:tr>
      <w:tr>
        <w:trPr>
          <w:trHeight w:val="211" w:hRule="exact"/>
        </w:trPr>
        <w:tc>
          <w:tcPr>
            <w:tcW w:w="1973" w:type="dxa"/>
            <w:vMerge/>
            <w:tcBorders>
              <w:left w:val="nil" w:sz="6" w:space="0" w:color="auto"/>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126,000,000.00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83,251,498.84</w:t>
            </w:r>
          </w:p>
        </w:tc>
        <w:tc>
          <w:tcPr>
            <w:tcW w:w="855" w:type="dxa"/>
            <w:tcBorders>
              <w:top w:val="single" w:sz="22" w:space="0" w:color="D2D2D2"/>
              <w:left w:val="single" w:sz="4" w:space="0" w:color="000000"/>
              <w:bottom w:val="single" w:sz="4" w:space="0" w:color="000000"/>
              <w:right w:val="single" w:sz="4" w:space="0" w:color="000000"/>
            </w:tcBorders>
          </w:tcPr>
          <w:p>
            <w:pPr/>
          </w:p>
        </w:tc>
        <w:tc>
          <w:tcPr>
            <w:tcW w:w="86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Times New Roman" w:hAnsi="Times New Roman" w:cs="Times New Roman" w:eastAsia="Times New Roman" w:hint="default"/>
                <w:sz w:val="18"/>
                <w:szCs w:val="18"/>
              </w:rPr>
            </w:pPr>
            <w:r>
              <w:rPr>
                <w:rFonts w:ascii="Times New Roman"/>
                <w:sz w:val="18"/>
              </w:rPr>
              <w:t>182,518.02</w:t>
            </w: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9,474,435.10</w:t>
            </w:r>
          </w:p>
        </w:tc>
        <w:tc>
          <w:tcPr>
            <w:tcW w:w="856" w:type="dxa"/>
            <w:tcBorders>
              <w:top w:val="single" w:sz="22"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58,867,893.19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63,103,226.50</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340,879,571.65</w:t>
            </w:r>
          </w:p>
        </w:tc>
      </w:tr>
      <w:tr>
        <w:trPr>
          <w:trHeight w:val="402" w:hRule="exact"/>
        </w:trPr>
        <w:tc>
          <w:tcPr>
            <w:tcW w:w="19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9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13" w:space="0" w:color="D2D2D2"/>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86"/>
        <w:gridCol w:w="1181"/>
        <w:gridCol w:w="656"/>
        <w:gridCol w:w="658"/>
        <w:gridCol w:w="660"/>
        <w:gridCol w:w="1091"/>
        <w:gridCol w:w="855"/>
        <w:gridCol w:w="865"/>
        <w:gridCol w:w="844"/>
        <w:gridCol w:w="1001"/>
        <w:gridCol w:w="856"/>
        <w:gridCol w:w="1091"/>
        <w:gridCol w:w="1091"/>
        <w:gridCol w:w="1183"/>
      </w:tblGrid>
      <w:tr>
        <w:trPr>
          <w:trHeight w:val="729" w:hRule="exact"/>
        </w:trPr>
        <w:tc>
          <w:tcPr>
            <w:tcW w:w="1986"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8"/>
              <w:ind w:left="27"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56"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660"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55" w:type="dxa"/>
            <w:tcBorders>
              <w:top w:val="single" w:sz="15" w:space="0" w:color="000000"/>
              <w:left w:val="single" w:sz="4" w:space="0" w:color="000000"/>
              <w:bottom w:val="single" w:sz="4" w:space="0" w:color="000000"/>
              <w:right w:val="single" w:sz="4" w:space="0" w:color="000000"/>
            </w:tcBorders>
          </w:tcPr>
          <w:p>
            <w:pPr/>
          </w:p>
        </w:tc>
        <w:tc>
          <w:tcPr>
            <w:tcW w:w="865"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24"/>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83,251,498.84</w:t>
            </w: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182,518.02</w:t>
            </w: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9,474,435.10</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58,867,893.19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63,103,226.50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340,879,571.65</w:t>
            </w: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375,187.50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83,882.69</w:t>
            </w: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6,222,639.52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-5,577,715.08</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1,615,394.12</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83,882.69</w:t>
            </w: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6,734,039.01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-1,011,528.41</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5,806,393.29</w:t>
            </w: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375,187.50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-4,566,186.67</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-4,190,999.17</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375,187.50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-4,566,186.67</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-4,190,999.17</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-511,399.49</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86"/>
        <w:gridCol w:w="1181"/>
        <w:gridCol w:w="656"/>
        <w:gridCol w:w="658"/>
        <w:gridCol w:w="660"/>
        <w:gridCol w:w="1091"/>
        <w:gridCol w:w="855"/>
        <w:gridCol w:w="865"/>
        <w:gridCol w:w="844"/>
        <w:gridCol w:w="1001"/>
        <w:gridCol w:w="856"/>
        <w:gridCol w:w="1091"/>
        <w:gridCol w:w="1091"/>
        <w:gridCol w:w="1183"/>
      </w:tblGrid>
      <w:tr>
        <w:trPr>
          <w:trHeight w:val="729" w:hRule="exact"/>
        </w:trPr>
        <w:tc>
          <w:tcPr>
            <w:tcW w:w="1986"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56"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660"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55" w:type="dxa"/>
            <w:tcBorders>
              <w:top w:val="single" w:sz="15" w:space="0" w:color="000000"/>
              <w:left w:val="single" w:sz="4" w:space="0" w:color="000000"/>
              <w:bottom w:val="single" w:sz="4" w:space="0" w:color="000000"/>
              <w:right w:val="single" w:sz="4" w:space="0" w:color="000000"/>
            </w:tcBorders>
          </w:tcPr>
          <w:p>
            <w:pPr/>
          </w:p>
        </w:tc>
        <w:tc>
          <w:tcPr>
            <w:tcW w:w="865"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83,626,686.34</w:t>
            </w:r>
          </w:p>
        </w:tc>
        <w:tc>
          <w:tcPr>
            <w:tcW w:w="85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266,400.71</w:t>
            </w:r>
          </w:p>
        </w:tc>
        <w:tc>
          <w:tcPr>
            <w:tcW w:w="8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9,985,834.59</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65,090,532.71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57,525,511.42</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342,494,965.77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60"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60" w:right="0"/>
        <w:jc w:val="left"/>
      </w:pPr>
      <w:r>
        <w:rPr/>
        <w:t>本期金额</w:t>
      </w:r>
    </w:p>
    <w:p>
      <w:pPr>
        <w:pStyle w:val="BodyText"/>
        <w:spacing w:line="240" w:lineRule="auto" w:before="117"/>
        <w:ind w:left="0" w:right="1535"/>
        <w:jc w:val="right"/>
      </w:pPr>
      <w:r>
        <w:rPr/>
        <w:t>单位：元</w:t>
      </w:r>
    </w:p>
    <w:p>
      <w:pPr>
        <w:spacing w:line="240" w:lineRule="auto" w:before="13"/>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045"/>
        <w:gridCol w:w="1193"/>
        <w:gridCol w:w="932"/>
        <w:gridCol w:w="932"/>
        <w:gridCol w:w="934"/>
        <w:gridCol w:w="1124"/>
        <w:gridCol w:w="1127"/>
        <w:gridCol w:w="1124"/>
        <w:gridCol w:w="1130"/>
        <w:gridCol w:w="1127"/>
        <w:gridCol w:w="1152"/>
        <w:gridCol w:w="1167"/>
      </w:tblGrid>
      <w:tr>
        <w:trPr>
          <w:trHeight w:val="397" w:hRule="exact"/>
        </w:trPr>
        <w:tc>
          <w:tcPr>
            <w:tcW w:w="2045" w:type="dxa"/>
            <w:tcBorders>
              <w:top w:val="single" w:sz="4" w:space="0" w:color="000000"/>
              <w:left w:val="nil" w:sz="6" w:space="0" w:color="auto"/>
              <w:bottom w:val="nil" w:sz="6" w:space="0" w:color="auto"/>
              <w:right w:val="single" w:sz="4" w:space="0" w:color="000000"/>
            </w:tcBorders>
            <w:shd w:val="clear" w:color="auto" w:fill="D2D2D2"/>
          </w:tcPr>
          <w:p>
            <w:pPr/>
          </w:p>
        </w:tc>
        <w:tc>
          <w:tcPr>
            <w:tcW w:w="11943"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4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7" w:right="10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45"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98" w:type="dxa"/>
            <w:gridSpan w:val="3"/>
            <w:vMerge/>
            <w:tcBorders>
              <w:left w:val="single" w:sz="4" w:space="0" w:color="000000"/>
              <w:bottom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4" w:type="dxa"/>
            <w:vMerge/>
            <w:tcBorders>
              <w:left w:val="single" w:sz="4" w:space="0" w:color="000000"/>
              <w:right w:val="single" w:sz="4" w:space="0" w:color="000000"/>
            </w:tcBorders>
            <w:shd w:val="clear" w:color="auto" w:fill="D2D2D2"/>
          </w:tcPr>
          <w:p>
            <w:pPr/>
          </w:p>
        </w:tc>
        <w:tc>
          <w:tcPr>
            <w:tcW w:w="11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202" w:hRule="exact"/>
        </w:trPr>
        <w:tc>
          <w:tcPr>
            <w:tcW w:w="2045"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4"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right w:val="single" w:sz="4" w:space="0" w:color="000000"/>
            </w:tcBorders>
            <w:shd w:val="clear" w:color="auto" w:fill="D2D2D2"/>
          </w:tcPr>
          <w:p>
            <w:pPr/>
          </w:p>
        </w:tc>
        <w:tc>
          <w:tcPr>
            <w:tcW w:w="1130"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45"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11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83,178,416.26</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22" w:space="0" w:color="D2D2D2"/>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70,523,262.85</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69"/>
              <w:ind w:left="10" w:right="0"/>
              <w:jc w:val="center"/>
              <w:rPr>
                <w:rFonts w:ascii="Times New Roman" w:hAnsi="Times New Roman" w:cs="Times New Roman" w:eastAsia="Times New Roman" w:hint="default"/>
                <w:sz w:val="18"/>
                <w:szCs w:val="18"/>
              </w:rPr>
            </w:pPr>
            <w:r>
              <w:rPr>
                <w:rFonts w:ascii="Times New Roman"/>
                <w:sz w:val="18"/>
              </w:rPr>
              <w:t>289,687,513.70</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83,178,416.26</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70,523,262.85</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289,687,513.70</w:t>
            </w:r>
          </w:p>
        </w:tc>
      </w:tr>
      <w:tr>
        <w:trPr>
          <w:trHeight w:val="714"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453,125.00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-28,407,228.07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-27,954,103.07</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-27,651,228.07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-27,651,228.07</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2"/>
        <w:gridCol w:w="934"/>
        <w:gridCol w:w="1124"/>
        <w:gridCol w:w="1127"/>
        <w:gridCol w:w="1124"/>
        <w:gridCol w:w="1130"/>
        <w:gridCol w:w="1127"/>
        <w:gridCol w:w="1152"/>
        <w:gridCol w:w="1183"/>
      </w:tblGrid>
      <w:tr>
        <w:trPr>
          <w:trHeight w:val="729"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4"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453,125.00</w:t>
            </w:r>
          </w:p>
        </w:tc>
        <w:tc>
          <w:tcPr>
            <w:tcW w:w="1127"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453,125.00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453,125.00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453,125.00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70"/>
        <w:gridCol w:w="1181"/>
        <w:gridCol w:w="932"/>
        <w:gridCol w:w="932"/>
        <w:gridCol w:w="934"/>
        <w:gridCol w:w="1124"/>
        <w:gridCol w:w="1127"/>
        <w:gridCol w:w="1124"/>
        <w:gridCol w:w="1130"/>
        <w:gridCol w:w="1127"/>
        <w:gridCol w:w="1152"/>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4"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83,631,541.26</w:t>
            </w:r>
          </w:p>
        </w:tc>
        <w:tc>
          <w:tcPr>
            <w:tcW w:w="1127"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9,985,834.59</w:t>
            </w: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42,116,034.78</w:t>
            </w: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261,733,410.63</w:t>
            </w:r>
          </w:p>
        </w:tc>
      </w:tr>
    </w:tbl>
    <w:p>
      <w:pPr>
        <w:pStyle w:val="BodyText"/>
        <w:spacing w:line="240" w:lineRule="auto" w:before="51"/>
        <w:ind w:left="14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051"/>
        <w:gridCol w:w="1193"/>
        <w:gridCol w:w="938"/>
        <w:gridCol w:w="940"/>
        <w:gridCol w:w="941"/>
        <w:gridCol w:w="1132"/>
        <w:gridCol w:w="1135"/>
        <w:gridCol w:w="1133"/>
        <w:gridCol w:w="1134"/>
        <w:gridCol w:w="1133"/>
        <w:gridCol w:w="1091"/>
        <w:gridCol w:w="1167"/>
      </w:tblGrid>
      <w:tr>
        <w:trPr>
          <w:trHeight w:val="397" w:hRule="exact"/>
        </w:trPr>
        <w:tc>
          <w:tcPr>
            <w:tcW w:w="2051" w:type="dxa"/>
            <w:tcBorders>
              <w:top w:val="single" w:sz="4" w:space="0" w:color="000000"/>
              <w:left w:val="nil" w:sz="6" w:space="0" w:color="auto"/>
              <w:bottom w:val="nil" w:sz="6" w:space="0" w:color="auto"/>
              <w:right w:val="single" w:sz="4" w:space="0" w:color="000000"/>
            </w:tcBorders>
            <w:shd w:val="clear" w:color="auto" w:fill="D2D2D2"/>
          </w:tcPr>
          <w:p>
            <w:pPr/>
          </w:p>
        </w:tc>
        <w:tc>
          <w:tcPr>
            <w:tcW w:w="11937"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2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5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8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4" w:hRule="exact"/>
        </w:trPr>
        <w:tc>
          <w:tcPr>
            <w:tcW w:w="2051"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19" w:type="dxa"/>
            <w:gridSpan w:val="3"/>
            <w:vMerge/>
            <w:tcBorders>
              <w:left w:val="single" w:sz="4" w:space="0" w:color="000000"/>
              <w:bottom w:val="single" w:sz="4" w:space="0" w:color="000000"/>
              <w:right w:val="single" w:sz="4" w:space="0" w:color="000000"/>
            </w:tcBorders>
            <w:shd w:val="clear" w:color="auto" w:fill="D2D2D2"/>
          </w:tcPr>
          <w:p>
            <w:pPr/>
          </w:p>
        </w:tc>
        <w:tc>
          <w:tcPr>
            <w:tcW w:w="11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199" w:hRule="exact"/>
        </w:trPr>
        <w:tc>
          <w:tcPr>
            <w:tcW w:w="2051"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2"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51"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1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83,042,478.76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9,474,435.10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66,269,652.80</w:t>
            </w:r>
          </w:p>
        </w:tc>
        <w:tc>
          <w:tcPr>
            <w:tcW w:w="1167" w:type="dxa"/>
            <w:tcBorders>
              <w:top w:val="single" w:sz="18" w:space="0" w:color="D2D2D2"/>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18"/>
                <w:szCs w:val="18"/>
              </w:rPr>
            </w:pPr>
            <w:r>
              <w:rPr>
                <w:rFonts w:ascii="Times New Roman"/>
                <w:spacing w:val="-1"/>
                <w:sz w:val="18"/>
              </w:rPr>
              <w:t>284,786,566.66</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3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3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right="21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-260,636.87</w:t>
            </w:r>
            <w:r>
              <w:rPr>
                <w:rFonts w:ascii="Times New Roman"/>
                <w:sz w:val="18"/>
              </w:rPr>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-260,636.87</w:t>
            </w:r>
            <w:r>
              <w:rPr>
                <w:rFonts w:ascii="Times New Roman"/>
                <w:sz w:val="18"/>
              </w:rPr>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83,042,478.76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9,474,435.10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66,009,015.93</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284,525,929.79</w:t>
            </w: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9"/>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135,937.50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4,514,246.92</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5,161,583.91</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5,025,646.41</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5,025,646.41</w:t>
            </w: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5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135,937.50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135,937.50</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135,937.50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135,937.50</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-511,399.49</w:t>
            </w: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6"/>
        <w:gridCol w:w="1181"/>
        <w:gridCol w:w="938"/>
        <w:gridCol w:w="940"/>
        <w:gridCol w:w="941"/>
        <w:gridCol w:w="1132"/>
        <w:gridCol w:w="1135"/>
        <w:gridCol w:w="1133"/>
        <w:gridCol w:w="1134"/>
        <w:gridCol w:w="1133"/>
        <w:gridCol w:w="1091"/>
        <w:gridCol w:w="1183"/>
      </w:tblGrid>
      <w:tr>
        <w:trPr>
          <w:trHeight w:val="729" w:hRule="exact"/>
        </w:trPr>
        <w:tc>
          <w:tcPr>
            <w:tcW w:w="2076"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8" w:type="dxa"/>
            <w:tcBorders>
              <w:top w:val="single" w:sz="15" w:space="0" w:color="000000"/>
              <w:left w:val="single" w:sz="4" w:space="0" w:color="000000"/>
              <w:bottom w:val="single" w:sz="4" w:space="0" w:color="000000"/>
              <w:right w:val="single" w:sz="4" w:space="0" w:color="000000"/>
            </w:tcBorders>
          </w:tcPr>
          <w:p>
            <w:pPr/>
          </w:p>
        </w:tc>
        <w:tc>
          <w:tcPr>
            <w:tcW w:w="940" w:type="dxa"/>
            <w:tcBorders>
              <w:top w:val="single" w:sz="15" w:space="0" w:color="000000"/>
              <w:left w:val="single" w:sz="4" w:space="0" w:color="000000"/>
              <w:bottom w:val="single" w:sz="4" w:space="0" w:color="000000"/>
              <w:right w:val="single" w:sz="4" w:space="0" w:color="000000"/>
            </w:tcBorders>
          </w:tcPr>
          <w:p>
            <w:pPr/>
          </w:p>
        </w:tc>
        <w:tc>
          <w:tcPr>
            <w:tcW w:w="941" w:type="dxa"/>
            <w:tcBorders>
              <w:top w:val="single" w:sz="15" w:space="0" w:color="000000"/>
              <w:left w:val="single" w:sz="4" w:space="0" w:color="000000"/>
              <w:bottom w:val="single" w:sz="4" w:space="0" w:color="000000"/>
              <w:right w:val="single" w:sz="4" w:space="0" w:color="000000"/>
            </w:tcBorders>
          </w:tcPr>
          <w:p>
            <w:pPr/>
          </w:p>
        </w:tc>
        <w:tc>
          <w:tcPr>
            <w:tcW w:w="1132"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63"/>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83,178,416.26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9,985,834.59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70,523,262.85</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289,687,513.70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2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rFonts w:ascii="Times New Roman" w:hAnsi="Times New Roman" w:cs="Times New Roman" w:eastAsia="Times New Roman" w:hint="default"/>
        </w:rPr>
        <w:t>1</w:t>
      </w:r>
      <w:r>
        <w:rPr/>
        <w:t>、公司注册地、组织形式和总部地址</w:t>
      </w:r>
    </w:p>
    <w:p>
      <w:pPr>
        <w:pStyle w:val="BodyText"/>
        <w:spacing w:line="302" w:lineRule="auto" w:before="101"/>
        <w:ind w:right="1120" w:firstLine="360"/>
        <w:jc w:val="both"/>
      </w:pPr>
      <w:r>
        <w:rPr/>
        <w:t>武汉金运激光股份有限公司（以下简称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24"/>
        </w:rPr>
        <w:t> </w:t>
      </w:r>
      <w:r>
        <w:rPr/>
        <w:t>前身为武汉金运激光设备制造有限公司，于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月整 </w:t>
      </w:r>
      <w:r>
        <w:rPr>
          <w:spacing w:val="11"/>
        </w:rPr>
        <w:t>体变更为</w:t>
      </w:r>
      <w:r>
        <w:rPr>
          <w:rFonts w:ascii="Times New Roman" w:hAnsi="Times New Roman" w:cs="Times New Roman" w:eastAsia="Times New Roman" w:hint="default"/>
          <w:spacing w:val="11"/>
        </w:rPr>
        <w:t>“</w:t>
      </w:r>
      <w:r>
        <w:rPr>
          <w:spacing w:val="11"/>
        </w:rPr>
        <w:t>武汉金运激光股份有限公司</w:t>
      </w:r>
      <w:r>
        <w:rPr>
          <w:rFonts w:ascii="Times New Roman" w:hAnsi="Times New Roman" w:cs="Times New Roman" w:eastAsia="Times New Roman" w:hint="default"/>
          <w:spacing w:val="11"/>
        </w:rPr>
        <w:t>”</w:t>
      </w:r>
      <w:r>
        <w:rPr>
          <w:spacing w:val="11"/>
        </w:rPr>
        <w:t>。公司于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spacing w:val="12"/>
        </w:rPr>
        <w:t>月在深圳证券交易所上市，现持有统一社会信用代码为 </w:t>
      </w:r>
      <w:r>
        <w:rPr>
          <w:rFonts w:ascii="Times New Roman" w:hAnsi="Times New Roman" w:cs="Times New Roman" w:eastAsia="Times New Roman" w:hint="default"/>
        </w:rPr>
        <w:t>91420100771373833D </w:t>
      </w:r>
      <w:r>
        <w:rPr/>
        <w:t>的营业执照。</w:t>
      </w:r>
    </w:p>
    <w:p>
      <w:pPr>
        <w:pStyle w:val="BodyText"/>
        <w:spacing w:line="240" w:lineRule="auto" w:before="50"/>
        <w:ind w:left="1493" w:right="0"/>
        <w:jc w:val="left"/>
        <w:rPr>
          <w:rFonts w:ascii="Times New Roman" w:hAnsi="Times New Roman" w:cs="Times New Roman" w:eastAsia="Times New Roman" w:hint="default"/>
        </w:rPr>
      </w:pPr>
      <w:r>
        <w:rPr>
          <w:spacing w:val="-6"/>
        </w:rPr>
        <w:t>经过历年的派送红股、及转增股本，截至</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spacing w:val="-5"/>
        </w:rPr>
        <w:t>日，本公司累计发行股本总数</w:t>
      </w:r>
      <w:r>
        <w:rPr>
          <w:spacing w:val="-45"/>
        </w:rPr>
        <w:t> </w:t>
      </w:r>
      <w:r>
        <w:rPr>
          <w:rFonts w:ascii="Times New Roman" w:hAnsi="Times New Roman" w:cs="Times New Roman" w:eastAsia="Times New Roman" w:hint="default"/>
        </w:rPr>
        <w:t>12,600 </w:t>
      </w:r>
      <w:r>
        <w:rPr>
          <w:spacing w:val="-7"/>
        </w:rPr>
        <w:t>万股，注册资本为</w:t>
      </w:r>
      <w:r>
        <w:rPr>
          <w:spacing w:val="-45"/>
        </w:rPr>
        <w:t> </w:t>
      </w:r>
      <w:r>
        <w:rPr>
          <w:rFonts w:ascii="Times New Roman" w:hAnsi="Times New Roman" w:cs="Times New Roman" w:eastAsia="Times New Roman" w:hint="default"/>
        </w:rPr>
        <w:t>12,600</w:t>
      </w:r>
    </w:p>
    <w:p>
      <w:pPr>
        <w:pStyle w:val="BodyText"/>
        <w:spacing w:line="240" w:lineRule="auto" w:before="64"/>
        <w:ind w:left="1134" w:right="0"/>
        <w:jc w:val="left"/>
      </w:pPr>
      <w:r>
        <w:rPr/>
        <w:t>万元；注册地址暨总部地址：武汉市江岸区后湖街石桥一路</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栋；本公司最终实际控制人为梁伟先生。</w:t>
      </w:r>
    </w:p>
    <w:p>
      <w:pPr>
        <w:pStyle w:val="BodyText"/>
        <w:spacing w:line="240" w:lineRule="auto" w:before="102"/>
        <w:ind w:left="1494" w:right="0"/>
        <w:jc w:val="left"/>
      </w:pPr>
      <w:r>
        <w:rPr>
          <w:rFonts w:ascii="Times New Roman" w:hAnsi="Times New Roman" w:cs="Times New Roman" w:eastAsia="Times New Roman" w:hint="default"/>
        </w:rPr>
        <w:t>2</w:t>
      </w:r>
      <w:r>
        <w:rPr/>
        <w:t>、公司业务性质和主要经营活动</w:t>
      </w:r>
    </w:p>
    <w:p>
      <w:pPr>
        <w:pStyle w:val="BodyText"/>
        <w:spacing w:line="302" w:lineRule="auto" w:before="101"/>
        <w:ind w:right="1115" w:firstLine="360"/>
        <w:jc w:val="left"/>
      </w:pPr>
      <w:r>
        <w:rPr/>
        <w:t>本公司属计算机、通信和其他电子设备制造业行业，主要产品和服务为 </w:t>
      </w:r>
      <w:r>
        <w:rPr>
          <w:rFonts w:ascii="Times New Roman" w:hAnsi="Times New Roman" w:cs="Times New Roman" w:eastAsia="Times New Roman" w:hint="default"/>
        </w:rPr>
        <w:t>X-Y</w:t>
      </w:r>
      <w:r>
        <w:rPr>
          <w:rFonts w:ascii="Times New Roman" w:hAnsi="Times New Roman" w:cs="Times New Roman" w:eastAsia="Times New Roman" w:hint="default"/>
          <w:spacing w:val="3"/>
        </w:rPr>
        <w:t> </w:t>
      </w:r>
      <w:r>
        <w:rPr/>
        <w:t>轴系列、振镜系列及雕花系列、裁床系列 激光设备、</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打印设备及打印服务等。</w:t>
      </w:r>
    </w:p>
    <w:p>
      <w:pPr>
        <w:pStyle w:val="BodyText"/>
        <w:spacing w:line="240" w:lineRule="auto" w:before="52"/>
        <w:ind w:left="1493" w:right="0"/>
        <w:jc w:val="left"/>
      </w:pPr>
      <w:r>
        <w:rPr>
          <w:rFonts w:ascii="Times New Roman" w:hAnsi="Times New Roman" w:cs="Times New Roman" w:eastAsia="Times New Roman" w:hint="default"/>
        </w:rPr>
        <w:t>3</w:t>
      </w:r>
      <w:r>
        <w:rPr/>
        <w:t>、财务报表的批准报出</w:t>
      </w:r>
    </w:p>
    <w:p>
      <w:pPr>
        <w:pStyle w:val="BodyText"/>
        <w:spacing w:line="240" w:lineRule="auto" w:before="102"/>
        <w:ind w:left="1494" w:right="0"/>
        <w:jc w:val="left"/>
      </w:pPr>
      <w:r>
        <w:rPr/>
        <w:t>本财务报表业经公司董事会于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日批准报出。</w:t>
      </w:r>
    </w:p>
    <w:p>
      <w:pPr>
        <w:spacing w:line="240" w:lineRule="auto" w:before="1"/>
        <w:rPr>
          <w:rFonts w:ascii="宋体" w:hAnsi="宋体" w:cs="宋体" w:eastAsia="宋体" w:hint="default"/>
          <w:sz w:val="23"/>
          <w:szCs w:val="23"/>
        </w:rPr>
      </w:pPr>
    </w:p>
    <w:p>
      <w:pPr>
        <w:spacing w:line="316" w:lineRule="auto" w:before="0"/>
        <w:ind w:left="1553" w:right="6013" w:hanging="420"/>
        <w:jc w:val="left"/>
        <w:rPr>
          <w:rFonts w:ascii="宋体" w:hAnsi="宋体" w:cs="宋体" w:eastAsia="宋体" w:hint="default"/>
          <w:sz w:val="18"/>
          <w:szCs w:val="18"/>
        </w:rPr>
      </w:pP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本期纳入合并财务报表范围的主体共</w:t>
      </w:r>
      <w:r>
        <w:rPr>
          <w:rFonts w:ascii="Times New Roman" w:hAnsi="Times New Roman" w:cs="Times New Roman" w:eastAsia="Times New Roman" w:hint="default"/>
          <w:sz w:val="18"/>
          <w:szCs w:val="18"/>
        </w:rPr>
        <w:t>10</w:t>
      </w:r>
      <w:r>
        <w:rPr>
          <w:rFonts w:ascii="宋体" w:hAnsi="宋体" w:cs="宋体" w:eastAsia="宋体" w:hint="default"/>
          <w:sz w:val="18"/>
          <w:szCs w:val="18"/>
        </w:rPr>
        <w:t>户，具体包括：</w:t>
      </w:r>
    </w:p>
    <w:tbl>
      <w:tblPr>
        <w:tblW w:w="0" w:type="auto"/>
        <w:jc w:val="left"/>
        <w:tblInd w:w="1105" w:type="dxa"/>
        <w:tblLayout w:type="fixed"/>
        <w:tblCellMar>
          <w:top w:w="0" w:type="dxa"/>
          <w:left w:w="0" w:type="dxa"/>
          <w:bottom w:w="0" w:type="dxa"/>
          <w:right w:w="0" w:type="dxa"/>
        </w:tblCellMar>
        <w:tblLook w:val="01E0"/>
      </w:tblPr>
      <w:tblGrid>
        <w:gridCol w:w="4561"/>
        <w:gridCol w:w="1276"/>
        <w:gridCol w:w="992"/>
        <w:gridCol w:w="1419"/>
        <w:gridCol w:w="1426"/>
      </w:tblGrid>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武汉唯拓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东莞市金运汇研激光科技有限公司（以下简称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东莞汇研</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18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51</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51</w:t>
            </w:r>
          </w:p>
        </w:tc>
      </w:tr>
      <w:tr>
        <w:trPr>
          <w:trHeight w:val="65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武汉金之运激光工程技术有限公司（以下简称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武汉金之运</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）（曾用名辽宁金之运激光工程技术有限公司）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武汉斯利沃激光器技术有限公司（以下简称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武汉斯利沃</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18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51</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上海金萃激光技术有限公司（以下简称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上海金萃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68.5</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68.5</w:t>
            </w:r>
          </w:p>
        </w:tc>
      </w:tr>
      <w:tr>
        <w:trPr>
          <w:trHeight w:val="65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24" w:right="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湖北高投金运激光产业投资管理有限公司（以下简称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高投</w:t>
            </w:r>
            <w:r>
              <w:rPr>
                <w:rFonts w:ascii="宋体" w:hAnsi="宋体" w:cs="宋体" w:eastAsia="宋体" w:hint="default"/>
                <w:spacing w:val="-67"/>
                <w:sz w:val="18"/>
                <w:szCs w:val="18"/>
              </w:rPr>
              <w:t> </w:t>
            </w:r>
            <w:r>
              <w:rPr>
                <w:rFonts w:ascii="宋体" w:hAnsi="宋体" w:cs="宋体" w:eastAsia="宋体" w:hint="default"/>
                <w:sz w:val="18"/>
                <w:szCs w:val="18"/>
              </w:rPr>
              <w:t>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参股子公司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60</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高汇科技（香港）有限公司（以下简称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高汇科技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金运数字技术（武汉）有限公司（以下简称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金运数字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24" w:right="130"/>
              <w:jc w:val="left"/>
              <w:rPr>
                <w:rFonts w:ascii="宋体" w:hAnsi="宋体" w:cs="宋体" w:eastAsia="宋体" w:hint="default"/>
                <w:sz w:val="18"/>
                <w:szCs w:val="18"/>
              </w:rPr>
            </w:pPr>
            <w:r>
              <w:rPr>
                <w:rFonts w:ascii="宋体" w:hAnsi="宋体" w:cs="宋体" w:eastAsia="宋体" w:hint="default"/>
                <w:sz w:val="18"/>
                <w:szCs w:val="18"/>
              </w:rPr>
              <w:t>武汉金运激光产业发展有限公司（以下简称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金运产业发 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武汉金运互动传媒有限公司（以下简称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5"/>
          <w:szCs w:val="5"/>
        </w:rPr>
      </w:pPr>
    </w:p>
    <w:p>
      <w:pPr>
        <w:pStyle w:val="BodyText"/>
        <w:spacing w:line="240" w:lineRule="auto" w:before="44"/>
        <w:ind w:left="11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高投金运持股比例不同于表决权比例的原因详见</w:t>
      </w:r>
      <w:r>
        <w:rPr>
          <w:rFonts w:ascii="Times New Roman" w:hAnsi="Times New Roman" w:cs="Times New Roman" w:eastAsia="Times New Roman" w:hint="default"/>
        </w:rPr>
        <w:t>“</w:t>
      </w:r>
      <w:r>
        <w:rPr/>
        <w:t>附注九、在其他主体中的权益（一）在子公司中权益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本期不再纳入合并范围的子公司、特殊目的主体、通过委托经营或出租等方式丧失控制权的经营实体</w:t>
      </w:r>
    </w:p>
    <w:p>
      <w:pPr>
        <w:spacing w:line="240" w:lineRule="auto" w:before="13"/>
        <w:rPr>
          <w:rFonts w:ascii="宋体" w:hAnsi="宋体" w:cs="宋体" w:eastAsia="宋体" w:hint="default"/>
          <w:sz w:val="3"/>
          <w:szCs w:val="3"/>
        </w:rPr>
      </w:pPr>
    </w:p>
    <w:tbl>
      <w:tblPr>
        <w:tblW w:w="0" w:type="auto"/>
        <w:jc w:val="left"/>
        <w:tblInd w:w="1105" w:type="dxa"/>
        <w:tblLayout w:type="fixed"/>
        <w:tblCellMar>
          <w:top w:w="0" w:type="dxa"/>
          <w:left w:w="0" w:type="dxa"/>
          <w:bottom w:w="0" w:type="dxa"/>
          <w:right w:w="0" w:type="dxa"/>
        </w:tblCellMar>
        <w:tblLook w:val="01E0"/>
      </w:tblPr>
      <w:tblGrid>
        <w:gridCol w:w="4311"/>
        <w:gridCol w:w="5362"/>
      </w:tblGrid>
      <w:tr>
        <w:trPr>
          <w:trHeight w:val="342"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655"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38"/>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丧失控制权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134"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1554" w:right="0"/>
        <w:jc w:val="left"/>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w:t>
      </w:r>
    </w:p>
    <w:p>
      <w:pPr>
        <w:spacing w:after="0" w:line="240" w:lineRule="auto"/>
        <w:jc w:val="left"/>
        <w:sectPr>
          <w:headerReference w:type="default" r:id="rId16"/>
          <w:footerReference w:type="default" r:id="rId17"/>
          <w:pgSz w:w="11910" w:h="16840"/>
          <w:pgMar w:header="877" w:footer="979" w:top="1100" w:bottom="1160" w:left="0" w:right="0"/>
          <w:pgNumType w:start="72"/>
        </w:sectPr>
      </w:pPr>
    </w:p>
    <w:p>
      <w:pPr>
        <w:spacing w:line="240" w:lineRule="auto" w:before="12"/>
        <w:rPr>
          <w:rFonts w:ascii="宋体" w:hAnsi="宋体" w:cs="宋体" w:eastAsia="宋体" w:hint="default"/>
          <w:sz w:val="21"/>
          <w:szCs w:val="21"/>
        </w:rPr>
      </w:pPr>
    </w:p>
    <w:p>
      <w:pPr>
        <w:pStyle w:val="BodyText"/>
        <w:spacing w:line="300" w:lineRule="auto" w:before="44"/>
        <w:ind w:right="1130"/>
        <w:jc w:val="both"/>
      </w:pPr>
      <w:r>
        <w:rPr>
          <w:spacing w:val="-2"/>
        </w:rPr>
        <w:t>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w:t>
      </w:r>
      <w:r>
        <w:rPr>
          <w:spacing w:val="-47"/>
        </w:rPr>
        <w:t> </w:t>
      </w:r>
      <w:r>
        <w:rPr>
          <w:spacing w:val="-47"/>
        </w:rPr>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w:t>
      </w:r>
      <w:r>
        <w:rPr>
          <w:spacing w:val="-60"/>
        </w:rPr>
        <w:t> </w:t>
      </w:r>
      <w:r>
        <w:rPr>
          <w:spacing w:val="-60"/>
        </w:rPr>
      </w:r>
      <w:r>
        <w:rPr/>
        <w:t>制财务报表。</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134" w:right="0" w:firstLine="36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57" w:lineRule="auto" w:before="29"/>
        <w:ind w:left="1494" w:right="0" w:hanging="360"/>
        <w:jc w:val="left"/>
      </w:pPr>
      <w:r>
        <w:rPr/>
        <w:t>具体会计政策和会计估计提示： </w:t>
      </w:r>
      <w:r>
        <w:rPr>
          <w:spacing w:val="-4"/>
        </w:rPr>
        <w:t>本公司根据实际生产经营特点制定的具体会计政策和会计估计，包括应收款项坏账准备的确认和计量、发出存货的计量、</w:t>
      </w:r>
    </w:p>
    <w:p>
      <w:pPr>
        <w:pStyle w:val="BodyText"/>
        <w:spacing w:line="239" w:lineRule="exact"/>
        <w:ind w:left="1134" w:right="0"/>
        <w:jc w:val="left"/>
        <w:rPr>
          <w:sz w:val="21"/>
          <w:szCs w:val="21"/>
        </w:rPr>
      </w:pPr>
      <w:r>
        <w:rPr/>
        <w:t>固定资产分类及折旧方法、无形资产摊销、收入的确认和计量等</w:t>
      </w:r>
      <w:r>
        <w:rPr>
          <w:sz w:val="21"/>
          <w:szCs w:val="21"/>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18"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营业周期" w:id="166"/>
      <w:bookmarkEnd w:id="16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Heading5"/>
        <w:spacing w:line="316" w:lineRule="auto"/>
        <w:ind w:right="1394"/>
        <w:jc w:val="left"/>
        <w:rPr>
          <w:b w:val="0"/>
          <w:bCs w:val="0"/>
        </w:rPr>
      </w:pPr>
      <w:r>
        <w:rPr>
          <w:rFonts w:ascii="宋体" w:hAnsi="宋体" w:cs="宋体" w:eastAsia="宋体" w:hint="default"/>
          <w:w w:val="95"/>
        </w:rPr>
        <w:t>1</w:t>
      </w:r>
      <w:r>
        <w:rPr>
          <w:w w:val="95"/>
        </w:rPr>
        <w:t>、分步实现企业合并过程中的各项交易的条款、条件以及经济影响符合以下一种或多种情况，将多次交易事项作为一揽子</w:t>
      </w:r>
      <w:r>
        <w:rPr>
          <w:spacing w:val="15"/>
          <w:w w:val="95"/>
        </w:rPr>
        <w:t> </w:t>
      </w:r>
      <w:r>
        <w:rPr>
          <w:spacing w:val="15"/>
          <w:w w:val="95"/>
        </w:rPr>
      </w:r>
      <w:r>
        <w:rPr/>
        <w:t>交易进行会计处理</w:t>
      </w:r>
      <w:r>
        <w:rPr>
          <w:b w:val="0"/>
          <w:bCs w:val="0"/>
        </w:rPr>
      </w:r>
    </w:p>
    <w:p>
      <w:pPr>
        <w:pStyle w:val="BodyText"/>
        <w:spacing w:line="240" w:lineRule="auto" w:before="19"/>
        <w:ind w:left="155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155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155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155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00" w:lineRule="auto" w:before="63"/>
        <w:ind w:left="1553" w:right="115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本公司在企业合并中取得的资产和负债，按照合并日在被合并方资产、负债（包括最终控制方收购被合并方而形成的</w:t>
      </w:r>
    </w:p>
    <w:p>
      <w:pPr>
        <w:spacing w:after="0" w:line="30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商誉）在最终控制方合并财务报表中的账面价值计量。在合并中取得的净资产账面价值与支付的合并对价账面价值（或发行</w:t>
      </w:r>
      <w:r>
        <w:rPr>
          <w:spacing w:val="-66"/>
        </w:rPr>
        <w:t> </w:t>
      </w:r>
      <w:r>
        <w:rPr>
          <w:spacing w:val="-66"/>
        </w:rPr>
      </w:r>
      <w:r>
        <w:rPr/>
        <w:t>股份面值总额）的差额，调整资本公积中的股本溢价，资本公积中的股本溢价不足冲减的，调整留存收益。</w:t>
      </w:r>
    </w:p>
    <w:p>
      <w:pPr>
        <w:pStyle w:val="BodyText"/>
        <w:spacing w:line="316" w:lineRule="auto" w:before="19"/>
        <w:ind w:right="1153" w:firstLine="420"/>
        <w:jc w:val="left"/>
      </w:pPr>
      <w:r>
        <w:rPr/>
        <w:t>如果存在或有对价并需要确认预计负债或资产，该预计负债或资产金额与后续或有对价结算金额的差额，调整资本公 积（资本溢价或股本溢价），资本公积不足的，调整留存收益。</w:t>
      </w:r>
    </w:p>
    <w:p>
      <w:pPr>
        <w:pStyle w:val="BodyText"/>
        <w:spacing w:line="316" w:lineRule="auto" w:before="19"/>
        <w:ind w:right="1131" w:firstLine="420"/>
        <w:jc w:val="both"/>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6"/>
        </w:rPr>
        <w:t> </w:t>
      </w:r>
      <w:r>
        <w:rPr>
          <w:spacing w:val="-66"/>
        </w:rPr>
      </w:r>
      <w:r>
        <w:rPr>
          <w:spacing w:val="-2"/>
        </w:rPr>
        <w:t>一步取得股份新支付对价的账面价值之和的差额，调整资本公积；资本公积不足冲减的，调整留存收益。对于合并日之前持</w:t>
      </w:r>
      <w:r>
        <w:rPr>
          <w:spacing w:val="-66"/>
        </w:rPr>
        <w:t> </w:t>
      </w:r>
      <w:r>
        <w:rPr>
          <w:spacing w:val="-66"/>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spacing w:line="300" w:lineRule="auto" w:before="19"/>
        <w:ind w:left="1553" w:right="115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购买日是指本公司实际取得对被购买方控制权的日期，即被购买方的净资产或生产经营决策的控制权转移给本公司的</w:t>
      </w:r>
    </w:p>
    <w:p>
      <w:pPr>
        <w:pStyle w:val="BodyText"/>
        <w:spacing w:line="240" w:lineRule="auto" w:before="31"/>
        <w:ind w:right="0"/>
        <w:jc w:val="left"/>
      </w:pPr>
      <w:r>
        <w:rPr/>
        <w:t>日期。同时满足下列条件时，本公司一般认为实现了控制权的转移：</w:t>
      </w:r>
    </w:p>
    <w:p>
      <w:pPr>
        <w:pStyle w:val="BodyText"/>
        <w:spacing w:line="240" w:lineRule="auto" w:before="76"/>
        <w:ind w:left="1554" w:right="0"/>
        <w:jc w:val="left"/>
      </w:pPr>
      <w:r>
        <w:rPr/>
        <w:t>①企业合并合同或协议已获本公司内部权力机构通过。</w:t>
      </w:r>
    </w:p>
    <w:p>
      <w:pPr>
        <w:pStyle w:val="BodyText"/>
        <w:spacing w:line="240" w:lineRule="auto" w:before="76"/>
        <w:ind w:left="1554" w:right="0"/>
        <w:jc w:val="left"/>
      </w:pPr>
      <w:r>
        <w:rPr/>
        <w:t>②企业合并事项需要经过国家有关主管部门审批的，已获得批准。</w:t>
      </w:r>
    </w:p>
    <w:p>
      <w:pPr>
        <w:pStyle w:val="BodyText"/>
        <w:spacing w:line="240" w:lineRule="auto" w:before="76"/>
        <w:ind w:left="1553" w:right="0"/>
        <w:jc w:val="left"/>
      </w:pPr>
      <w:r>
        <w:rPr/>
        <w:t>③已办理了必要的财产权转移手续。</w:t>
      </w:r>
    </w:p>
    <w:p>
      <w:pPr>
        <w:pStyle w:val="BodyText"/>
        <w:spacing w:line="240" w:lineRule="auto" w:before="76"/>
        <w:ind w:left="1553" w:right="0"/>
        <w:jc w:val="left"/>
      </w:pPr>
      <w:r>
        <w:rPr/>
        <w:t>④本公司已支付了合并价款的大部分，并且有能力、有计划支付剩余款项。</w:t>
      </w:r>
    </w:p>
    <w:p>
      <w:pPr>
        <w:pStyle w:val="BodyText"/>
        <w:spacing w:line="316" w:lineRule="auto" w:before="76"/>
        <w:ind w:left="1553" w:right="1153"/>
        <w:jc w:val="left"/>
      </w:pPr>
      <w:r>
        <w:rPr/>
        <w:t>⑤本公司实际上已经控制了被购买方的财务和经营政策，并享有相应的利益、承担相应的风险。 本公司在购买日对作为企业合并对价付出的资产、发生或承担的负债按照公允价值计量，公允价值与其账面价值的差</w:t>
      </w:r>
    </w:p>
    <w:p>
      <w:pPr>
        <w:pStyle w:val="BodyText"/>
        <w:spacing w:line="316" w:lineRule="auto" w:before="19"/>
        <w:ind w:left="1553" w:right="1153" w:hanging="420"/>
        <w:jc w:val="left"/>
      </w:pPr>
      <w:r>
        <w:rPr/>
        <w:t>额，计入当期损益。 本公司对合并成本大于合并中取得的被购买方可辨认净资产公允价值份额的差额，确认为商誉；合并成本小于合并中</w:t>
      </w:r>
    </w:p>
    <w:p>
      <w:pPr>
        <w:pStyle w:val="BodyText"/>
        <w:spacing w:line="316" w:lineRule="auto" w:before="19"/>
        <w:ind w:left="1553" w:right="1153" w:hanging="420"/>
        <w:jc w:val="left"/>
      </w:pPr>
      <w:r>
        <w:rPr/>
        <w:t>取得的被购买方可辨认净资产公允价值份额的差额，经复核后，计入当期损益。 通过多次交换交易分步实现的非同一控制下企业合并，属于一揽子交易的，将各项交易作为一项取得控制权的交易进</w:t>
      </w:r>
    </w:p>
    <w:p>
      <w:pPr>
        <w:pStyle w:val="BodyText"/>
        <w:spacing w:line="316" w:lineRule="auto" w:before="19"/>
        <w:ind w:right="1131"/>
        <w:jc w:val="both"/>
      </w:pPr>
      <w:r>
        <w:rPr>
          <w:spacing w:val="-2"/>
        </w:rPr>
        <w:t>行会计处理；不属于一揽子交易的，合并日之前持有的股权投资采用权益法核算的，以购买日之前所持被购买方的股权投资</w:t>
      </w:r>
      <w:r>
        <w:rPr>
          <w:spacing w:val="-66"/>
        </w:rPr>
        <w:t> </w:t>
      </w:r>
      <w:r>
        <w:rPr>
          <w:spacing w:val="-66"/>
        </w:rPr>
      </w:r>
      <w:r>
        <w:rPr>
          <w:spacing w:val="-2"/>
        </w:rPr>
        <w:t>的账面价值与购买日新增投资成本之和，作为该项投资的初始投资成本；购买日之前持有的股权投资因采用权益法核算而确</w:t>
      </w:r>
      <w:r>
        <w:rPr>
          <w:spacing w:val="-64"/>
        </w:rPr>
        <w:t> </w:t>
      </w:r>
      <w:r>
        <w:rPr>
          <w:spacing w:val="-64"/>
        </w:rPr>
      </w: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p>
    <w:p>
      <w:pPr>
        <w:spacing w:line="300" w:lineRule="auto" w:before="19"/>
        <w:ind w:left="1553" w:right="115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z w:val="18"/>
          <w:szCs w:val="18"/>
        </w:rPr>
        <w:t>为企业合并发生的审计、法律服务、评估咨询等中介费用以及其他直接相关费用，于发生时计入当期损益；为企业合</w:t>
      </w:r>
    </w:p>
    <w:p>
      <w:pPr>
        <w:pStyle w:val="BodyText"/>
        <w:spacing w:line="240" w:lineRule="auto" w:before="31"/>
        <w:ind w:right="0"/>
        <w:jc w:val="left"/>
      </w:pPr>
      <w:r>
        <w:rPr/>
        <w:t>并而发行权益性证券的交易费用，可直接归属于权益性交易的从权益中扣减。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、合并范围</w:t>
      </w:r>
      <w:r>
        <w:rPr>
          <w:b w:val="0"/>
          <w:bCs w:val="0"/>
        </w:rPr>
      </w:r>
    </w:p>
    <w:p>
      <w:pPr>
        <w:pStyle w:val="BodyText"/>
        <w:spacing w:line="240" w:lineRule="auto" w:before="63"/>
        <w:ind w:left="1554" w:right="0"/>
        <w:jc w:val="left"/>
      </w:pPr>
      <w:r>
        <w:rPr/>
        <w:t>本公司合并财务报表的合并范围以控制为基础确定，所有子公司（包括本公司所控制的单独主体）均纳入合并财务报</w:t>
      </w:r>
    </w:p>
    <w:p>
      <w:pPr>
        <w:pStyle w:val="BodyText"/>
        <w:spacing w:line="240" w:lineRule="auto" w:before="76"/>
        <w:ind w:left="1134" w:right="0"/>
        <w:jc w:val="left"/>
      </w:pPr>
      <w:r>
        <w:rPr/>
        <w:t>表。</w:t>
      </w:r>
    </w:p>
    <w:p>
      <w:pPr>
        <w:pStyle w:val="Heading5"/>
        <w:spacing w:line="240" w:lineRule="auto" w:before="76"/>
        <w:ind w:left="1134" w:right="0"/>
        <w:jc w:val="left"/>
        <w:rPr>
          <w:b w:val="0"/>
          <w:bCs w:val="0"/>
        </w:rPr>
      </w:pPr>
      <w:r>
        <w:rPr>
          <w:rFonts w:ascii="Times New Roman" w:hAnsi="Times New Roman" w:cs="Times New Roman" w:eastAsia="Times New Roman" w:hint="default"/>
        </w:rPr>
        <w:t>2</w:t>
      </w:r>
      <w:r>
        <w:rPr/>
        <w:t>、合并程序</w:t>
      </w:r>
      <w:r>
        <w:rPr>
          <w:b w:val="0"/>
          <w:bCs w:val="0"/>
        </w:rPr>
      </w:r>
    </w:p>
    <w:p>
      <w:pPr>
        <w:pStyle w:val="BodyText"/>
        <w:spacing w:line="316" w:lineRule="auto" w:before="104"/>
        <w:ind w:left="1134"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240" w:lineRule="auto" w:before="58"/>
        <w:ind w:left="1494" w:right="0"/>
        <w:jc w:val="left"/>
      </w:pPr>
      <w:r>
        <w:rPr/>
        <w:t>所有纳入合并财务报表合并范围的子公司所采用的会计政策、会计期间与本公司一致，如子公司采用的会计政策、会计</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3" w:right="0" w:hanging="360"/>
        <w:jc w:val="left"/>
      </w:pPr>
      <w:r>
        <w:rPr/>
        <w:t>期间与本公司不一致的，在编制合并财务报表时，按本公司的会计政策、会计期间进行必要的调整。 </w:t>
      </w:r>
      <w:r>
        <w:rPr>
          <w:spacing w:val="-2"/>
        </w:rPr>
        <w:t>合并财务报表时抵销本公司与各子公司、各子公司相互之间发生的内部交易对合并资产负债表、合并利润表、合并现金</w:t>
      </w:r>
    </w:p>
    <w:p>
      <w:pPr>
        <w:pStyle w:val="BodyText"/>
        <w:spacing w:line="224" w:lineRule="exact"/>
        <w:ind w:right="0"/>
        <w:jc w:val="left"/>
      </w:pPr>
      <w:r>
        <w:rPr/>
        <w:t>流量表、合并股东权益变动表的影响。如果站在企业集团合并财务报表角度与以本公司或子公司为会计主体对同一交易的认</w:t>
      </w:r>
    </w:p>
    <w:p>
      <w:pPr>
        <w:pStyle w:val="BodyText"/>
        <w:spacing w:line="357" w:lineRule="auto" w:before="77"/>
        <w:ind w:left="1493" w:right="0" w:hanging="360"/>
        <w:jc w:val="left"/>
      </w:pPr>
      <w:r>
        <w:rPr/>
        <w:t>定不同时，从企业集团的角度对该交易予以调整。 </w:t>
      </w:r>
      <w:r>
        <w:rPr>
          <w:spacing w:val="-2"/>
        </w:rPr>
        <w:t>子公司所有者权益、当期净损益和当期综合收益中属于少数股东的份额分别在合并资产负债表中所有者权益项目下、合</w:t>
      </w:r>
    </w:p>
    <w:p>
      <w:pPr>
        <w:pStyle w:val="BodyText"/>
        <w:spacing w:line="224" w:lineRule="exact"/>
        <w:ind w:right="0"/>
        <w:jc w:val="left"/>
      </w:pPr>
      <w:r>
        <w:rPr/>
        <w:t>并利润表中净利润项目下和综合收益总额项目下单独列示</w:t>
      </w:r>
      <w:r>
        <w:rPr>
          <w:spacing w:val="-82"/>
        </w:rPr>
        <w:t>。</w:t>
      </w:r>
      <w:r>
        <w:rPr/>
        <w:t>子公司少数股东分担的当期亏损超过了少数股东在该子公司期初</w:t>
      </w:r>
    </w:p>
    <w:p>
      <w:pPr>
        <w:pStyle w:val="BodyText"/>
        <w:spacing w:line="357" w:lineRule="auto" w:before="77"/>
        <w:ind w:left="1493" w:right="0" w:hanging="360"/>
        <w:jc w:val="left"/>
      </w:pPr>
      <w:r>
        <w:rPr/>
        <w:t>所有者权益中所享有份额而形成的余额，冲减少数股东权益。 </w:t>
      </w:r>
      <w:r>
        <w:rPr>
          <w:spacing w:val="-2"/>
        </w:rPr>
        <w:t>对于同一控制下企业合并取得的子公司，以其资产、负债（包括最终控制方收购该子公司而形成的商誉）在最终控制方</w:t>
      </w:r>
    </w:p>
    <w:p>
      <w:pPr>
        <w:pStyle w:val="BodyText"/>
        <w:spacing w:line="357" w:lineRule="auto"/>
        <w:ind w:left="1493" w:right="2113" w:hanging="360"/>
        <w:jc w:val="left"/>
      </w:pPr>
      <w:r>
        <w:rPr/>
        <w:t>财务报表中的账面价值为基础对其财务报表进行调整。 对于非同一控制下企业合并取得的子公司，以购买日可辨认净资产公允价值为基础对其财务报表进行调整</w:t>
      </w:r>
    </w:p>
    <w:p>
      <w:pPr>
        <w:pStyle w:val="BodyText"/>
        <w:spacing w:line="338" w:lineRule="auto" w:before="29"/>
        <w:ind w:left="1494" w:right="0" w:hanging="36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9" w:lineRule="auto" w:before="2"/>
        <w:ind w:left="113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55"/>
        <w:ind w:right="113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3"/>
        </w:rPr>
        <w:t> </w:t>
      </w:r>
      <w:r>
        <w:rPr>
          <w:spacing w:val="-63"/>
        </w:rPr>
      </w:r>
      <w:r>
        <w:rPr/>
        <w:t>期损益。</w:t>
      </w:r>
    </w:p>
    <w:p>
      <w:pPr>
        <w:pStyle w:val="BodyText"/>
        <w:spacing w:line="319" w:lineRule="auto" w:before="56"/>
        <w:ind w:left="1134"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56"/>
        <w:ind w:left="1134"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6"/>
        <w:ind w:left="1134" w:right="0"/>
        <w:jc w:val="left"/>
      </w:pPr>
      <w:r>
        <w:rPr/>
        <w:t>（</w:t>
      </w:r>
      <w:r>
        <w:rPr>
          <w:rFonts w:ascii="Times New Roman" w:hAnsi="Times New Roman" w:cs="Times New Roman" w:eastAsia="Times New Roman" w:hint="default"/>
        </w:rPr>
        <w:t>2</w:t>
      </w:r>
      <w:r>
        <w:rPr/>
        <w:t>）处置子公司或业务</w:t>
      </w:r>
    </w:p>
    <w:p>
      <w:pPr>
        <w:pStyle w:val="BodyText"/>
        <w:spacing w:line="338" w:lineRule="auto" w:before="103"/>
        <w:ind w:left="1494" w:right="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57" w:lineRule="auto" w:before="4"/>
        <w:ind w:left="149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224" w:lineRule="exact"/>
        <w:ind w:left="1134" w:right="0"/>
        <w:jc w:val="left"/>
      </w:pPr>
      <w:r>
        <w:rPr/>
        <w:t>日的公允价值进行重新计量。处置股权取得的对价与剩余股权公允价值之和，减去按原持股比例计算应享有原有子公司自购</w:t>
      </w:r>
    </w:p>
    <w:p>
      <w:pPr>
        <w:pStyle w:val="BodyText"/>
        <w:spacing w:line="319" w:lineRule="auto" w:before="76"/>
        <w:ind w:left="1134" w:right="1032"/>
        <w:jc w:val="left"/>
      </w:pP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38" w:lineRule="auto" w:before="58"/>
        <w:ind w:left="1494" w:right="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43" w:lineRule="auto" w:before="4"/>
        <w:ind w:left="1493" w:right="3553"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spacing w:after="0" w:line="343"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9" w:lineRule="auto" w:before="55"/>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38" w:lineRule="auto" w:before="58"/>
        <w:ind w:left="1494" w:right="0" w:hanging="36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9" w:lineRule="auto" w:before="2"/>
        <w:ind w:left="1134" w:right="1118"/>
        <w:jc w:val="left"/>
      </w:pPr>
      <w:r>
        <w:rPr>
          <w:spacing w:val="-2"/>
        </w:rPr>
        <w:t>算的净资产份额之间的差额，调整合并资产负债表中的资本公积中的股本溢价，资本公积中的股本溢价不足冲减的，调整留</w:t>
      </w:r>
      <w:r>
        <w:rPr>
          <w:spacing w:val="-65"/>
        </w:rPr>
        <w:t> </w:t>
      </w:r>
      <w:r>
        <w:rPr>
          <w:spacing w:val="-65"/>
        </w:rPr>
      </w:r>
      <w:r>
        <w:rPr/>
        <w:t>存收益。</w:t>
      </w:r>
    </w:p>
    <w:p>
      <w:pPr>
        <w:pStyle w:val="BodyText"/>
        <w:spacing w:line="338" w:lineRule="auto" w:before="56"/>
        <w:ind w:left="1494" w:right="0" w:hanging="3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2"/>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493" w:right="1118" w:hanging="360"/>
        <w:jc w:val="left"/>
      </w:pPr>
      <w:r>
        <w:rPr>
          <w:rFonts w:ascii="宋体" w:hAnsi="宋体" w:cs="宋体" w:eastAsia="宋体"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222" w:lineRule="exact"/>
        <w:ind w:right="0"/>
        <w:jc w:val="left"/>
      </w:pPr>
      <w:r>
        <w:rPr/>
        <w:t>经营和合营企业。</w:t>
      </w:r>
    </w:p>
    <w:p>
      <w:pPr>
        <w:pStyle w:val="BodyText"/>
        <w:spacing w:line="319" w:lineRule="auto" w:before="115"/>
        <w:ind w:right="1131" w:firstLine="360"/>
        <w:jc w:val="both"/>
      </w:pP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58"/>
        <w:ind w:left="1493"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02"/>
        <w:ind w:left="1493"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2" w:lineRule="auto" w:before="101"/>
        <w:ind w:left="1134" w:right="1131"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spacing w:line="360" w:lineRule="auto" w:before="69"/>
        <w:ind w:left="1493" w:right="1753" w:hanging="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26"/>
        <w:ind w:left="1493"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3"/>
        <w:ind w:left="1493"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2"/>
        <w:ind w:left="1493"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2"/>
        <w:ind w:left="1494"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38" w:lineRule="auto" w:before="103"/>
        <w:ind w:left="1493"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2" w:lineRule="auto" w:before="2"/>
        <w:ind w:right="1034"/>
        <w:jc w:val="left"/>
      </w:pPr>
      <w:r>
        <w:rPr/>
        <w:t>该交易产生的损益中归属于共同经营其他参与方的部分。投出或出售的资产发生符合《企业会计准则第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309" w:lineRule="auto" w:before="68"/>
        <w:ind w:left="1134" w:right="1131" w:firstLine="360"/>
        <w:jc w:val="both"/>
      </w:pPr>
      <w:r>
        <w:rPr>
          <w:spacing w:val="-2"/>
        </w:rPr>
        <w:t>本公司自共同经营购买资产等（该资产构成业务的除外），在将该资产等出售给第三方之前，仅确认因该交易产生的损</w:t>
      </w:r>
      <w:r>
        <w:rPr/>
        <w:t> </w:t>
      </w:r>
      <w:r>
        <w:rPr>
          <w:spacing w:val="-2"/>
        </w:rPr>
        <w:t>益中归属于共同经营其他参与方的部分。购入的资产发生符合《企业会计准则第</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spacing w:val="-2"/>
        </w:rPr>
        <w:t>号</w:t>
      </w:r>
      <w:r>
        <w:rPr>
          <w:rFonts w:ascii="Times New Roman" w:hAnsi="Times New Roman" w:cs="Times New Roman" w:eastAsia="Times New Roman" w:hint="default"/>
          <w:spacing w:val="-2"/>
        </w:rPr>
        <w:t>——</w:t>
      </w:r>
      <w:r>
        <w:rPr>
          <w:spacing w:val="-2"/>
        </w:rPr>
        <w:t>资产减值》等规定的资产减值损失</w:t>
      </w:r>
      <w:r>
        <w:rPr/>
        <w:t> 的，本公司按承担的份额确认该部分损失。</w:t>
      </w:r>
    </w:p>
    <w:p>
      <w:pPr>
        <w:pStyle w:val="BodyText"/>
        <w:spacing w:line="319" w:lineRule="auto" w:before="64"/>
        <w:ind w:left="1134" w:right="1130"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after="0" w:line="319"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42"/>
        <w:jc w:val="left"/>
      </w:pPr>
      <w:r>
        <w:rPr>
          <w:spacing w:val="-2"/>
        </w:rPr>
        <w:t>在编制现金流量表时，将本公司库存现金以及可以随时用于支付的存款确认为现金。将同时具备期限短（一般从购买日</w:t>
      </w:r>
      <w:r>
        <w:rPr/>
        <w:t> </w:t>
      </w:r>
      <w:r>
        <w:rPr>
          <w:spacing w:val="-2"/>
        </w:rPr>
        <w:t>起三个月内到期）、流动性强、易于转换为已知金额的现金、价值变动风险很小四个条件的投资，确定为现金等价物。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外币业务</w:t>
      </w:r>
      <w:r>
        <w:rPr>
          <w:b w:val="0"/>
          <w:bCs w:val="0"/>
        </w:rPr>
      </w:r>
    </w:p>
    <w:p>
      <w:pPr>
        <w:pStyle w:val="BodyText"/>
        <w:spacing w:line="357" w:lineRule="auto" w:before="102"/>
        <w:ind w:left="1493" w:right="0"/>
        <w:jc w:val="left"/>
      </w:pPr>
      <w:r>
        <w:rPr/>
        <w:t>外币业务交易在初始确认时，采用交易发生日的即期汇率作为折算汇率折合成人民币记账。 </w:t>
      </w:r>
      <w:r>
        <w:rPr>
          <w:spacing w:val="-2"/>
        </w:rPr>
        <w:t>资产负债表日，外币货币性项目按资产负债表日即期汇率折算，由此产生的汇兑差额，除属于与购建符合资本化条件的</w:t>
      </w:r>
    </w:p>
    <w:p>
      <w:pPr>
        <w:pStyle w:val="BodyText"/>
        <w:spacing w:line="224" w:lineRule="exact"/>
        <w:ind w:right="0"/>
        <w:jc w:val="left"/>
      </w:pPr>
      <w:r>
        <w:rPr/>
        <w:t>资产相关的外币专门借款产生的汇兑差额按照借款费用资本化的原则处理外，均计入当期损益。以历史成本计量的外币非货</w:t>
      </w:r>
    </w:p>
    <w:p>
      <w:pPr>
        <w:pStyle w:val="BodyText"/>
        <w:spacing w:line="357" w:lineRule="auto" w:before="77"/>
        <w:ind w:left="1493" w:right="0" w:hanging="360"/>
        <w:jc w:val="left"/>
      </w:pPr>
      <w:r>
        <w:rPr/>
        <w:t>币性项目，仍采用交易发生日的即期汇率折算，不改变其记账本位币金额。 </w:t>
      </w:r>
      <w:r>
        <w:rPr>
          <w:spacing w:val="-2"/>
        </w:rPr>
        <w:t>以公允价值计量的外币非货币性项目，采用公允价值确定日的即期汇率折算，由此产生的汇兑差额作为公允价值变动损</w:t>
      </w:r>
    </w:p>
    <w:p>
      <w:pPr>
        <w:pStyle w:val="BodyText"/>
        <w:spacing w:line="225" w:lineRule="exact"/>
        <w:ind w:right="0"/>
        <w:jc w:val="left"/>
      </w:pPr>
      <w:r>
        <w:rPr/>
        <w:t>益计入当期损益。如属于可供出售外币非货币性项目的，形成的汇兑差额计入其他综合收益。</w:t>
      </w:r>
    </w:p>
    <w:p>
      <w:pPr>
        <w:pStyle w:val="BodyText"/>
        <w:spacing w:line="338" w:lineRule="auto" w:before="116"/>
        <w:ind w:left="1493" w:right="0" w:hanging="360"/>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7" w:lineRule="exact"/>
        <w:ind w:right="0"/>
        <w:jc w:val="left"/>
      </w:pPr>
      <w:r>
        <w:rPr/>
        <w:t>目采用发生时的即期汇率折算。利润表中的收入和费用项目，采用交易发生日的即期汇率折算。按照上述折算产生的外币财</w:t>
      </w:r>
    </w:p>
    <w:p>
      <w:pPr>
        <w:pStyle w:val="BodyText"/>
        <w:spacing w:line="357" w:lineRule="auto" w:before="77"/>
        <w:ind w:left="1494" w:right="0" w:hanging="360"/>
        <w:jc w:val="left"/>
      </w:pPr>
      <w:r>
        <w:rPr/>
        <w:t>务报表折算差额计入其他综合收益。 </w:t>
      </w:r>
      <w:r>
        <w:rPr>
          <w:spacing w:val="-2"/>
        </w:rPr>
        <w:t>处置境外经营时，将资产负债表中其他综合收益项目中列示的、与该境外经营相关的外币财务报表折算差额，自其他综</w:t>
      </w:r>
    </w:p>
    <w:p>
      <w:pPr>
        <w:pStyle w:val="BodyText"/>
        <w:spacing w:line="224" w:lineRule="exact"/>
        <w:ind w:left="1134" w:right="0"/>
        <w:jc w:val="left"/>
      </w:pPr>
      <w:r>
        <w:rPr/>
        <w:t>合收益项目转入处置当期损益</w:t>
      </w:r>
      <w:r>
        <w:rPr>
          <w:spacing w:val="-82"/>
        </w:rPr>
        <w:t>；</w:t>
      </w:r>
      <w:r>
        <w:rPr/>
        <w:t>在处置部分股权投资或其他原因导致持有境外经营权益比例降低但不丧失对境外经营控制权</w:t>
      </w:r>
    </w:p>
    <w:p>
      <w:pPr>
        <w:pStyle w:val="BodyText"/>
        <w:spacing w:line="319" w:lineRule="auto" w:before="76"/>
        <w:ind w:right="0"/>
        <w:jc w:val="left"/>
      </w:pPr>
      <w:r>
        <w:rPr>
          <w:spacing w:val="-2"/>
        </w:rPr>
        <w:t>时，与该境外经营处置部分相关的外币报表折算差额将归属于少数股东权益，不转入当期损益。在处置境外经营为联营企业</w:t>
      </w:r>
      <w:r>
        <w:rPr>
          <w:spacing w:val="-66"/>
        </w:rPr>
        <w:t> </w:t>
      </w:r>
      <w:r>
        <w:rPr>
          <w:spacing w:val="-66"/>
        </w:rPr>
      </w:r>
      <w:r>
        <w:rPr/>
        <w:t>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0"/>
        <w:jc w:val="left"/>
      </w:pPr>
      <w:r>
        <w:rPr/>
        <w:t>金融工具包括金融资产、金融负债和权益工具。</w:t>
      </w:r>
    </w:p>
    <w:p>
      <w:pPr>
        <w:pStyle w:val="BodyText"/>
        <w:spacing w:line="338" w:lineRule="auto" w:before="117"/>
        <w:ind w:left="1494" w:right="1118" w:hanging="360"/>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本公司根据所发行金融工具的合同条款及其所反映的经济实质而非仅以法律形式，结合取得持有金融资产和承担金融负</w:t>
      </w:r>
    </w:p>
    <w:p>
      <w:pPr>
        <w:pStyle w:val="BodyText"/>
        <w:spacing w:line="319" w:lineRule="auto" w:before="2"/>
        <w:ind w:left="1134" w:right="0"/>
        <w:jc w:val="left"/>
      </w:pPr>
      <w:r>
        <w:rPr>
          <w:spacing w:val="-2"/>
        </w:rPr>
        <w:t>债的目的，在初始确认时将金融资产和金融负债分为不同类别：以公允价值计量且其变动计入当期损益的金融资产（或金融</w:t>
      </w:r>
      <w:r>
        <w:rPr>
          <w:spacing w:val="-66"/>
        </w:rPr>
        <w:t> </w:t>
      </w:r>
      <w:r>
        <w:rPr>
          <w:spacing w:val="-66"/>
        </w:rPr>
      </w:r>
      <w:r>
        <w:rPr>
          <w:spacing w:val="-3"/>
        </w:rPr>
        <w:t>负债）；持有至到期投资；应收款项；可供出售金融资产；其他金融负债等。</w:t>
      </w:r>
    </w:p>
    <w:p>
      <w:pPr>
        <w:pStyle w:val="Heading5"/>
        <w:spacing w:line="240" w:lineRule="auto" w:before="58"/>
        <w:ind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38" w:lineRule="auto" w:before="102"/>
        <w:ind w:left="1493" w:right="0" w:hanging="36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60" w:lineRule="auto" w:before="4"/>
        <w:ind w:left="1493" w:right="4453"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2" w:lineRule="auto" w:before="1"/>
        <w:ind w:left="1134" w:right="1122" w:firstLine="36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2" w:lineRule="auto" w:before="68"/>
        <w:ind w:right="1123" w:firstLine="360"/>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240" w:lineRule="auto" w:before="69"/>
        <w:ind w:left="1493" w:right="0"/>
        <w:jc w:val="left"/>
      </w:pPr>
      <w:r>
        <w:rPr/>
        <w:t>只有符合以下条件之一</w:t>
      </w:r>
      <w:r>
        <w:rPr>
          <w:spacing w:val="-82"/>
        </w:rPr>
        <w:t>，</w:t>
      </w:r>
      <w:r>
        <w:rPr/>
        <w:t>金融资产或金融负债才可在初始计量时指定为以公允价值计量且其变动计入损益的金融资产或</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金融负债：</w:t>
      </w:r>
    </w:p>
    <w:p>
      <w:pPr>
        <w:pStyle w:val="BodyText"/>
        <w:spacing w:line="302" w:lineRule="auto" w:before="115"/>
        <w:ind w:left="1134" w:right="1131" w:firstLine="36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2" w:lineRule="auto" w:before="69"/>
        <w:ind w:left="1134" w:right="1131" w:firstLine="36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2" w:lineRule="auto" w:before="68"/>
        <w:ind w:left="1134" w:right="1131" w:firstLine="36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38" w:lineRule="auto" w:before="69"/>
        <w:ind w:left="1493" w:right="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9" w:lineRule="auto" w:before="2"/>
        <w:ind w:right="1132"/>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240" w:lineRule="auto" w:before="56"/>
        <w:ind w:right="0"/>
        <w:jc w:val="left"/>
      </w:pPr>
      <w:r>
        <w:rPr/>
        <w:t>（</w:t>
      </w:r>
      <w:r>
        <w:rPr>
          <w:rFonts w:ascii="Times New Roman" w:hAnsi="Times New Roman" w:cs="Times New Roman" w:eastAsia="Times New Roman" w:hint="default"/>
        </w:rPr>
        <w:t>2</w:t>
      </w:r>
      <w:r>
        <w:rPr/>
        <w:t>）应收款项</w:t>
      </w:r>
    </w:p>
    <w:p>
      <w:pPr>
        <w:pStyle w:val="BodyText"/>
        <w:spacing w:line="357" w:lineRule="auto" w:before="102"/>
        <w:ind w:left="1493" w:right="0"/>
        <w:jc w:val="left"/>
      </w:pPr>
      <w:r>
        <w:rPr/>
        <w:t>应收款项是指在活跃市场中没有报价、回收金额固定或可确定的非衍生金融资产。 </w:t>
      </w:r>
      <w:r>
        <w:rPr>
          <w:spacing w:val="-2"/>
        </w:rPr>
        <w:t>本公司对外销售商品或提供劳务形成的应收债权，以及公司持有的其他企业的债权（不包括在活跃市场上有报价的债务</w:t>
      </w:r>
    </w:p>
    <w:p>
      <w:pPr>
        <w:pStyle w:val="BodyText"/>
        <w:spacing w:line="224" w:lineRule="exact"/>
        <w:ind w:right="0"/>
        <w:jc w:val="left"/>
      </w:pPr>
      <w:r>
        <w:rPr/>
        <w:t>工具</w:t>
      </w:r>
      <w:r>
        <w:rPr>
          <w:spacing w:val="-90"/>
        </w:rPr>
        <w:t>）</w:t>
      </w:r>
      <w:r>
        <w:rPr>
          <w:spacing w:val="-17"/>
        </w:rPr>
        <w:t>，</w:t>
      </w:r>
      <w:r>
        <w:rPr/>
        <w:t>包括应收账款</w:t>
      </w:r>
      <w:r>
        <w:rPr>
          <w:spacing w:val="-17"/>
        </w:rPr>
        <w:t>、</w:t>
      </w:r>
      <w:r>
        <w:rPr/>
        <w:t>其他应收款</w:t>
      </w:r>
      <w:r>
        <w:rPr>
          <w:spacing w:val="-17"/>
        </w:rPr>
        <w:t>、</w:t>
      </w:r>
      <w:r>
        <w:rPr/>
        <w:t>应收票据等</w:t>
      </w:r>
      <w:r>
        <w:rPr>
          <w:spacing w:val="-17"/>
        </w:rPr>
        <w:t>，</w:t>
      </w:r>
      <w:r>
        <w:rPr/>
        <w:t>以向购货方应收的合同或协议价款作为初始确认金额</w:t>
      </w:r>
      <w:r>
        <w:rPr>
          <w:spacing w:val="-17"/>
        </w:rPr>
        <w:t>；</w:t>
      </w:r>
      <w:r>
        <w:rPr/>
        <w:t>具有融资性质</w:t>
      </w:r>
      <w:r>
        <w:rPr>
          <w:spacing w:val="1"/>
        </w:rPr>
        <w:t>的</w:t>
      </w:r>
      <w:r>
        <w:rPr/>
        <w:t>，</w:t>
      </w:r>
    </w:p>
    <w:p>
      <w:pPr>
        <w:pStyle w:val="BodyText"/>
        <w:spacing w:line="357" w:lineRule="auto" w:before="77"/>
        <w:ind w:left="1493" w:right="4093" w:hanging="360"/>
        <w:jc w:val="left"/>
      </w:pPr>
      <w:r>
        <w:rPr/>
        <w:t>按其现值进行初始确认。 收回或处置时，将取得的价款与该应收款项账面价值之间的差额计入当期损益。</w:t>
      </w:r>
    </w:p>
    <w:p>
      <w:pPr>
        <w:pStyle w:val="BodyText"/>
        <w:spacing w:line="348" w:lineRule="auto" w:before="28"/>
        <w:ind w:left="1494" w:right="0" w:hanging="360"/>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t> </w:t>
      </w:r>
      <w:r>
        <w:rPr>
          <w:spacing w:val="-2"/>
        </w:rPr>
        <w:t>本公司对持有至到期投资，在取得时按公允价值（扣除已到付息期但尚未领取的债券利息）和相关交易费用之和作为初</w:t>
      </w:r>
    </w:p>
    <w:p>
      <w:pPr>
        <w:pStyle w:val="BodyText"/>
        <w:spacing w:line="319" w:lineRule="auto"/>
        <w:ind w:left="1134" w:right="113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9" w:lineRule="auto" w:before="55"/>
        <w:ind w:left="1134" w:right="113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2" w:lineRule="auto" w:before="56"/>
        <w:ind w:right="1132" w:firstLine="360"/>
        <w:jc w:val="both"/>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69"/>
        <w:ind w:left="1493"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02"/>
        <w:ind w:left="149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48" w:lineRule="auto" w:before="103"/>
        <w:ind w:left="1494" w:right="1032" w:hanging="360"/>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9" w:lineRule="auto"/>
        <w:ind w:left="1134"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9" w:lineRule="auto" w:before="57"/>
        <w:ind w:left="1134" w:right="1131" w:firstLine="360"/>
        <w:jc w:val="both"/>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38" w:lineRule="auto" w:before="56"/>
        <w:ind w:left="1493" w:right="3733" w:hanging="36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after="0" w:line="338"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line="338" w:lineRule="auto" w:before="44"/>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57" w:lineRule="auto" w:before="4"/>
        <w:ind w:left="1493" w:right="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25" w:lineRule="exact"/>
        <w:ind w:right="0"/>
        <w:jc w:val="left"/>
      </w:pPr>
      <w:r>
        <w:rPr/>
        <w:t>融资产整体转移和部分转移。金融资产整体转移满足终止确认条件的，将下列两项金额的差额计入当期损益：</w:t>
      </w:r>
    </w:p>
    <w:p>
      <w:pPr>
        <w:pStyle w:val="BodyText"/>
        <w:spacing w:line="240" w:lineRule="auto" w:before="116"/>
        <w:ind w:left="1493" w:right="0"/>
        <w:jc w:val="left"/>
      </w:pPr>
      <w:r>
        <w:rPr/>
        <w:t>（</w:t>
      </w:r>
      <w:r>
        <w:rPr>
          <w:rFonts w:ascii="Times New Roman" w:hAnsi="Times New Roman" w:cs="Times New Roman" w:eastAsia="Times New Roman" w:hint="default"/>
        </w:rPr>
        <w:t>1</w:t>
      </w:r>
      <w:r>
        <w:rPr/>
        <w:t>）所转移金融资产的账面价值；</w:t>
      </w:r>
    </w:p>
    <w:p>
      <w:pPr>
        <w:pStyle w:val="BodyText"/>
        <w:spacing w:line="302" w:lineRule="auto" w:before="101"/>
        <w:ind w:left="1134" w:right="112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9" w:lineRule="auto" w:before="69"/>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6"/>
        <w:ind w:left="1493" w:right="0"/>
        <w:jc w:val="left"/>
      </w:pPr>
      <w:r>
        <w:rPr/>
        <w:t>（</w:t>
      </w:r>
      <w:r>
        <w:rPr>
          <w:rFonts w:ascii="Times New Roman" w:hAnsi="Times New Roman" w:cs="Times New Roman" w:eastAsia="Times New Roman" w:hint="default"/>
        </w:rPr>
        <w:t>1</w:t>
      </w:r>
      <w:r>
        <w:rPr/>
        <w:t>）终止确认部分的账面价值；</w:t>
      </w:r>
    </w:p>
    <w:p>
      <w:pPr>
        <w:pStyle w:val="BodyText"/>
        <w:spacing w:line="302" w:lineRule="auto" w:before="101"/>
        <w:ind w:left="1134" w:right="1122"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70"/>
        <w:ind w:left="1494" w:right="0"/>
        <w:jc w:val="left"/>
      </w:pPr>
      <w:r>
        <w:rPr/>
        <w:t>金融资产转移不满足终止确认条件的，继续确认该金融资产，所收到的对价确认为一项金融负债。</w:t>
      </w:r>
    </w:p>
    <w:p>
      <w:pPr>
        <w:pStyle w:val="BodyText"/>
        <w:spacing w:line="338" w:lineRule="auto" w:before="116"/>
        <w:ind w:left="1493" w:right="0" w:hanging="360"/>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9" w:lineRule="auto" w:before="2"/>
        <w:ind w:right="0"/>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9" w:lineRule="auto" w:before="56"/>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55"/>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55"/>
        <w:ind w:right="103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38" w:lineRule="auto" w:before="58"/>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4"/>
          <w:sz w:val="18"/>
          <w:szCs w:val="18"/>
        </w:rPr>
        <w:t>存在活跃市场的金融资产或金融负债，以活跃市场的报价确定其公允价值；活跃市场的报价包括易于且可定期从交易所、</w:t>
      </w:r>
    </w:p>
    <w:p>
      <w:pPr>
        <w:pStyle w:val="BodyText"/>
        <w:spacing w:line="319" w:lineRule="auto" w:before="2"/>
        <w:ind w:right="0"/>
        <w:jc w:val="left"/>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57" w:lineRule="auto" w:before="56"/>
        <w:ind w:left="1493" w:right="0"/>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224" w:lineRule="exact"/>
        <w:ind w:right="0"/>
        <w:jc w:val="left"/>
      </w:pPr>
      <w:r>
        <w:rPr/>
        <w:t>有足够可利用数据和其他信息支持的估值技术</w:t>
      </w:r>
      <w:r>
        <w:rPr>
          <w:spacing w:val="-82"/>
        </w:rPr>
        <w:t>，</w:t>
      </w:r>
      <w:r>
        <w:rPr/>
        <w:t>选择与市场参与者在相关资产或负债的交易中所考虑的资产或负债特征相一</w:t>
      </w:r>
    </w:p>
    <w:p>
      <w:pPr>
        <w:pStyle w:val="BodyText"/>
        <w:spacing w:line="319" w:lineRule="auto" w:before="76"/>
        <w:ind w:right="1118"/>
        <w:jc w:val="left"/>
      </w:pPr>
      <w:r>
        <w:rPr>
          <w:spacing w:val="-2"/>
        </w:rPr>
        <w:t>致的输入值，并尽可能优先使用相关可观察输入值。在相关可观察输入值无法取得或取得不切实可行的情况下，使用不可观</w:t>
      </w:r>
      <w:r>
        <w:rPr>
          <w:spacing w:val="-66"/>
        </w:rPr>
        <w:t> </w:t>
      </w:r>
      <w:r>
        <w:rPr>
          <w:spacing w:val="-66"/>
        </w:rPr>
      </w:r>
      <w:r>
        <w:rPr/>
        <w:t>察输入值。</w:t>
      </w:r>
    </w:p>
    <w:p>
      <w:pPr>
        <w:spacing w:line="338" w:lineRule="auto" w:before="56"/>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360" w:lineRule="auto" w:before="4"/>
        <w:ind w:left="1493" w:right="6613" w:hanging="360"/>
        <w:jc w:val="left"/>
      </w:pPr>
      <w:r>
        <w:rPr/>
        <w:t>表明该金融资产发生减值的，计提减值准备。 金融资产发生减值的客观证据，包括但不限于：</w:t>
      </w:r>
    </w:p>
    <w:p>
      <w:pPr>
        <w:pStyle w:val="BodyText"/>
        <w:spacing w:line="240" w:lineRule="auto" w:before="26"/>
        <w:ind w:left="1494"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2"/>
        <w:ind w:left="1493"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03"/>
        <w:ind w:left="1493"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2"/>
        <w:ind w:left="149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102"/>
        <w:ind w:left="1134" w:right="1131" w:firstLine="360"/>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302" w:lineRule="auto" w:before="62"/>
        <w:ind w:left="1134" w:right="1131" w:firstLine="360"/>
        <w:jc w:val="both"/>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 投资成本；</w:t>
      </w:r>
    </w:p>
    <w:p>
      <w:pPr>
        <w:pStyle w:val="BodyText"/>
        <w:spacing w:line="340" w:lineRule="auto" w:before="69"/>
        <w:ind w:left="1494" w:right="5802"/>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38" w:lineRule="auto" w:before="40"/>
        <w:ind w:left="1493" w:right="0"/>
        <w:jc w:val="left"/>
      </w:pPr>
      <w:r>
        <w:rPr/>
        <w:t>（</w:t>
      </w:r>
      <w:r>
        <w:rPr>
          <w:rFonts w:ascii="Times New Roman" w:hAnsi="Times New Roman" w:cs="Times New Roman" w:eastAsia="Times New Roman" w:hint="default"/>
        </w:rPr>
        <w:t>1</w:t>
      </w:r>
      <w:r>
        <w:rPr/>
        <w:t>）可供出售金融资产减值准备 </w:t>
      </w:r>
      <w:r>
        <w:rPr>
          <w:spacing w:val="-2"/>
        </w:rPr>
        <w:t>本公司于资产负债表日对各项可供出售权益工具投资单独进行检查，若该权益工具投资于资产负债表日的公允价值低于</w:t>
      </w:r>
    </w:p>
    <w:p>
      <w:pPr>
        <w:pStyle w:val="BodyText"/>
        <w:spacing w:line="300" w:lineRule="auto" w:before="2"/>
        <w:ind w:right="1131"/>
        <w:jc w:val="both"/>
      </w:pPr>
      <w:r>
        <w:rPr/>
        <w:t>其成本超过 </w:t>
      </w:r>
      <w:r>
        <w:rPr>
          <w:rFonts w:ascii="Times New Roman" w:hAnsi="Times New Roman" w:cs="Times New Roman" w:eastAsia="Times New Roman" w:hint="default"/>
        </w:rPr>
        <w:t>50%</w:t>
      </w:r>
      <w:r>
        <w:rPr/>
        <w:t>（含</w:t>
      </w:r>
      <w:r>
        <w:rPr>
          <w:spacing w:val="-22"/>
        </w:rPr>
        <w:t> </w:t>
      </w:r>
      <w:r>
        <w:rPr>
          <w:rFonts w:ascii="Times New Roman" w:hAnsi="Times New Roman" w:cs="Times New Roman" w:eastAsia="Times New Roman" w:hint="default"/>
        </w:rPr>
        <w:t>50%</w:t>
      </w:r>
      <w:r>
        <w:rPr/>
        <w:t>）或低于其成本持续时间超过一年（含一年）的，则表明其发生减值；若该权益工具投资于资产 负债表日的公允价值低于其成本超过</w:t>
      </w:r>
      <w:r>
        <w:rPr>
          <w:spacing w:val="-28"/>
        </w:rPr>
        <w:t> </w:t>
      </w:r>
      <w:r>
        <w:rPr>
          <w:rFonts w:ascii="Times New Roman" w:hAnsi="Times New Roman" w:cs="Times New Roman" w:eastAsia="Times New Roman" w:hint="default"/>
        </w:rPr>
        <w:t>20%</w:t>
      </w:r>
      <w:r>
        <w:rPr/>
        <w:t>（含</w:t>
      </w:r>
      <w:r>
        <w:rPr>
          <w:spacing w:val="-28"/>
        </w:rPr>
        <w:t> </w:t>
      </w:r>
      <w:r>
        <w:rPr>
          <w:rFonts w:ascii="Times New Roman" w:hAnsi="Times New Roman" w:cs="Times New Roman" w:eastAsia="Times New Roman" w:hint="default"/>
        </w:rPr>
        <w:t>20%</w:t>
      </w:r>
      <w:r>
        <w:rPr/>
        <w:t>）但尚未达到</w:t>
      </w:r>
      <w:r>
        <w:rPr>
          <w:spacing w:val="-28"/>
        </w:rPr>
        <w:t> </w:t>
      </w:r>
      <w:r>
        <w:rPr>
          <w:rFonts w:ascii="Times New Roman" w:hAnsi="Times New Roman" w:cs="Times New Roman" w:eastAsia="Times New Roman" w:hint="default"/>
        </w:rPr>
        <w:t>50%</w:t>
      </w:r>
      <w:r>
        <w:rPr/>
        <w:t>的，本公司会综合考虑其他相关因素诸如价格波动率 等，判断该权益工具投资是否发生减值。</w:t>
      </w:r>
    </w:p>
    <w:p>
      <w:pPr>
        <w:pStyle w:val="BodyText"/>
        <w:spacing w:line="319" w:lineRule="auto" w:before="71"/>
        <w:ind w:right="1130" w:firstLine="36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值（或采用估值技术）确定；在活跃市场有报价的可供出售权益工具投资的公允价值根据证券交易所期末收盘价确定，除非</w:t>
      </w:r>
      <w:r>
        <w:rPr>
          <w:spacing w:val="-66"/>
        </w:rPr>
        <w:t> </w:t>
      </w:r>
      <w:r>
        <w:rPr>
          <w:spacing w:val="-66"/>
        </w:rPr>
      </w:r>
      <w:r>
        <w:rPr>
          <w:spacing w:val="-2"/>
        </w:rPr>
        <w:t>该项可供出售权益工具投资存在限售期。对于存在限售期的可供出售权益工具投资，按照证券交易所期末收盘价扣除市场参</w:t>
      </w:r>
      <w:r>
        <w:rPr>
          <w:spacing w:val="-63"/>
        </w:rPr>
        <w:t> </w:t>
      </w:r>
      <w:r>
        <w:rPr>
          <w:spacing w:val="-63"/>
        </w:rPr>
      </w:r>
      <w:r>
        <w:rPr/>
        <w:t>与者因承担指定期间内无法在公开市场上出售该权益工具的风险而要求获得的补偿金额后确定。</w:t>
      </w:r>
    </w:p>
    <w:p>
      <w:pPr>
        <w:pStyle w:val="BodyText"/>
        <w:spacing w:line="319" w:lineRule="auto" w:before="55"/>
        <w:ind w:right="113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9" w:lineRule="auto" w:before="55"/>
        <w:ind w:right="1131"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38" w:lineRule="auto" w:before="58"/>
        <w:ind w:left="1494" w:right="0"/>
        <w:jc w:val="left"/>
      </w:pPr>
      <w:r>
        <w:rPr/>
        <w:t>（</w:t>
      </w:r>
      <w:r>
        <w:rPr>
          <w:rFonts w:ascii="Times New Roman" w:hAnsi="Times New Roman" w:cs="Times New Roman" w:eastAsia="Times New Roman" w:hint="default"/>
        </w:rPr>
        <w:t>2</w:t>
      </w:r>
      <w:r>
        <w:rPr/>
        <w:t>）持有至到期投资减值准备 </w:t>
      </w:r>
      <w:r>
        <w:rPr>
          <w:spacing w:val="-2"/>
        </w:rPr>
        <w:t>对于持有至到期投资，有客观证据表明其发生了减值的，根据其账面价值与预计未来现金流量现值之间差额计算确认减</w:t>
      </w:r>
    </w:p>
    <w:p>
      <w:pPr>
        <w:pStyle w:val="BodyText"/>
        <w:spacing w:line="319" w:lineRule="auto" w:before="2"/>
        <w:ind w:left="1134" w:right="1131"/>
        <w:jc w:val="both"/>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spacing w:line="338" w:lineRule="auto" w:before="56"/>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4"/>
        <w:ind w:right="0"/>
        <w:jc w:val="both"/>
      </w:pPr>
      <w:r>
        <w:rPr/>
        <w:t>产负债表内列示：</w:t>
      </w:r>
    </w:p>
    <w:p>
      <w:pPr>
        <w:pStyle w:val="BodyText"/>
        <w:spacing w:line="240" w:lineRule="auto" w:before="116"/>
        <w:ind w:left="1493"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02"/>
        <w:ind w:left="1493"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2"/>
              <w:ind w:left="23" w:right="26"/>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万元），其他应收款期末余</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bl>
    <w:p>
      <w:pPr>
        <w:spacing w:after="0" w:line="30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5"/>
        <w:spacing w:line="240" w:lineRule="auto" w:before="29"/>
        <w:ind w:left="1134" w:right="0"/>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319" w:lineRule="auto" w:before="101"/>
        <w:ind w:left="1134" w:right="1131" w:firstLine="360"/>
        <w:jc w:val="both"/>
      </w:pPr>
      <w:r>
        <w:rPr>
          <w:spacing w:val="-2"/>
        </w:rPr>
        <w:t>存货是指本公司在日常活动中持有以备出售的产成品或商品、处在生产过程中的在产品、在生产过程或提供劳务过程中</w:t>
      </w:r>
      <w:r>
        <w:rPr/>
        <w:t> </w:t>
      </w:r>
      <w:r>
        <w:rPr>
          <w:spacing w:val="-2"/>
        </w:rPr>
        <w:t>耗用的材料和物料等。主要包括原材料、周转材料、委托加工材料、在产品、自制半成品、产成品（库存商品）、发出商品</w:t>
      </w:r>
      <w:r>
        <w:rPr>
          <w:spacing w:val="-64"/>
        </w:rPr>
        <w:t> </w:t>
      </w:r>
      <w:r>
        <w:rPr>
          <w:spacing w:val="-64"/>
        </w:rPr>
      </w:r>
      <w:r>
        <w:rPr/>
        <w:t>等。</w:t>
      </w:r>
    </w:p>
    <w:p>
      <w:pPr>
        <w:pStyle w:val="BodyText"/>
        <w:spacing w:line="340" w:lineRule="auto" w:before="56"/>
        <w:ind w:left="1494" w:right="1032" w:hanging="360"/>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t>存货在取得时，按成本进行初始计量，包括采购成本、加工成本和其他成本。存货发出时按月末一次加权平均法计价。</w:t>
      </w:r>
    </w:p>
    <w:p>
      <w:pPr>
        <w:spacing w:line="338" w:lineRule="auto" w:before="40"/>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240" w:lineRule="auto" w:before="2"/>
        <w:ind w:right="0"/>
        <w:jc w:val="left"/>
      </w:pPr>
      <w:r>
        <w:rPr/>
        <w:t>的材料等直接用于出售的商品存货</w:t>
      </w:r>
      <w:r>
        <w:rPr>
          <w:spacing w:val="-87"/>
        </w:rPr>
        <w:t>，</w:t>
      </w:r>
      <w:r>
        <w:rPr/>
        <w:t>在正常生产经营过程中</w:t>
      </w:r>
      <w:r>
        <w:rPr>
          <w:spacing w:val="-87"/>
        </w:rPr>
        <w:t>，</w:t>
      </w:r>
      <w:r>
        <w:rPr/>
        <w:t>以该存货的估计售价减去估计的销售费用和相关税费后的金额，</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1"/>
        <w:jc w:val="both"/>
      </w:pP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9" w:lineRule="auto" w:before="56"/>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9" w:lineRule="auto" w:before="56"/>
        <w:ind w:right="1133"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38" w:lineRule="auto" w:before="56"/>
        <w:ind w:left="1494" w:right="895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5"/>
        <w:spacing w:line="240" w:lineRule="auto" w:before="43"/>
        <w:ind w:left="1134"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02"/>
        <w:ind w:left="1493"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2"/>
        <w:ind w:left="1493" w:right="0"/>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103"/>
        <w:ind w:left="1494" w:right="0"/>
        <w:jc w:val="left"/>
      </w:pPr>
      <w:r>
        <w:rPr/>
        <w:t>（</w:t>
      </w:r>
      <w:r>
        <w:rPr>
          <w:rFonts w:ascii="Times New Roman" w:hAnsi="Times New Roman" w:cs="Times New Roman" w:eastAsia="Times New Roman" w:hint="default"/>
        </w:rPr>
        <w:t>3</w:t>
      </w:r>
      <w:r>
        <w:rPr/>
        <w:t>）其他周转材料采用一次转销法摊销。</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3、持有待售资产" w:id="179"/>
      <w:bookmarkEnd w:id="17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9"/>
        <w:rPr>
          <w:rFonts w:ascii="宋体" w:hAnsi="宋体" w:cs="宋体" w:eastAsia="宋体" w:hint="default"/>
          <w:b/>
          <w:bCs/>
          <w:sz w:val="26"/>
          <w:szCs w:val="26"/>
        </w:rPr>
      </w:pPr>
    </w:p>
    <w:p>
      <w:pPr>
        <w:spacing w:line="338" w:lineRule="auto" w:before="0"/>
        <w:ind w:left="1494" w:right="427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42"/>
        <w:ind w:left="1493"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2" w:lineRule="auto" w:before="103"/>
        <w:ind w:left="1134" w:right="1132" w:firstLine="360"/>
        <w:jc w:val="both"/>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）出售极可能发生，即本公司已经就一项出售计划作出决议，并已获得监管部门批准（如适用），且获得确定的购买</w:t>
      </w:r>
      <w:r>
        <w:rPr/>
        <w:t> 承诺，预计出售将在一年内完成。</w:t>
      </w:r>
    </w:p>
    <w:p>
      <w:pPr>
        <w:pStyle w:val="BodyText"/>
        <w:spacing w:line="319" w:lineRule="auto" w:before="68"/>
        <w:ind w:left="1134" w:right="1133"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338" w:lineRule="auto" w:before="56"/>
        <w:ind w:left="1494" w:right="0" w:hanging="360"/>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9" w:lineRule="auto" w:before="2"/>
        <w:ind w:left="1134" w:right="0"/>
        <w:jc w:val="left"/>
      </w:pPr>
      <w:r>
        <w:rPr>
          <w:spacing w:val="-2"/>
        </w:rPr>
        <w:t>当将账面价值减记至公允价值减去出售费用后的净额，减记的金额确认为资产减值损失，计入当期损益，同时计提持有待售</w:t>
      </w:r>
      <w:r>
        <w:rPr>
          <w:spacing w:val="-66"/>
        </w:rPr>
        <w:t> </w:t>
      </w:r>
      <w:r>
        <w:rPr>
          <w:spacing w:val="-66"/>
        </w:rPr>
      </w:r>
      <w:r>
        <w:rPr/>
        <w:t>资产减值准备。</w:t>
      </w:r>
    </w:p>
    <w:p>
      <w:pPr>
        <w:pStyle w:val="BodyText"/>
        <w:spacing w:line="319" w:lineRule="auto" w:before="55"/>
        <w:ind w:left="1134" w:right="1131"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9" w:lineRule="auto" w:before="55"/>
        <w:ind w:left="1134" w:right="113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5"/>
        </w:rPr>
        <w:t> </w:t>
      </w:r>
      <w:r>
        <w:rPr>
          <w:spacing w:val="-65"/>
        </w:rPr>
      </w:r>
      <w:r>
        <w:rPr/>
        <w:t>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134"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1134"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2" w:lineRule="auto" w:before="101"/>
        <w:ind w:left="1134" w:right="1131" w:firstLine="360"/>
        <w:jc w:val="both"/>
      </w:pPr>
      <w:r>
        <w:rPr/>
        <w:t>（</w:t>
      </w:r>
      <w:r>
        <w:rPr>
          <w:rFonts w:ascii="Times New Roman" w:hAnsi="Times New Roman" w:cs="Times New Roman" w:eastAsia="Times New Roman" w:hint="default"/>
        </w:rPr>
        <w:t>1</w:t>
      </w:r>
      <w:r>
        <w:rPr/>
        <w:t>）企业合并形成的长期股权投资，具体会计政策详见本附注四／（六）同一控制下和非同一控制下企业合并的会计 处理方法</w:t>
      </w:r>
    </w:p>
    <w:p>
      <w:pPr>
        <w:pStyle w:val="BodyText"/>
        <w:spacing w:line="240" w:lineRule="auto" w:before="69"/>
        <w:ind w:left="1494" w:right="0"/>
        <w:jc w:val="left"/>
      </w:pPr>
      <w:r>
        <w:rPr/>
        <w:t>（</w:t>
      </w:r>
      <w:r>
        <w:rPr>
          <w:rFonts w:ascii="Times New Roman" w:hAnsi="Times New Roman" w:cs="Times New Roman" w:eastAsia="Times New Roman" w:hint="default"/>
        </w:rPr>
        <w:t>2</w:t>
      </w:r>
      <w:r>
        <w:rPr/>
        <w:t>）其他方式取得的长期股权投资</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以支付现金方式取得的长期股权投资，按照实际支付的购买价款作为初始投资成本。初始投资成本包括与取得长期股权</w:t>
      </w:r>
      <w:r>
        <w:rPr/>
        <w:t> 投资直接相关的费用、税金及其他必要支出。</w:t>
      </w:r>
    </w:p>
    <w:p>
      <w:pPr>
        <w:pStyle w:val="BodyText"/>
        <w:spacing w:line="319" w:lineRule="auto" w:before="55"/>
        <w:ind w:right="0" w:firstLine="360"/>
        <w:jc w:val="left"/>
      </w:pPr>
      <w:r>
        <w:rPr>
          <w:spacing w:val="-2"/>
        </w:rPr>
        <w:t>以发行权益性证券取得的长期股权投资，按照发行权益性证券的公允价值作为初始投资成本；发行或取得自身权益工具</w:t>
      </w:r>
      <w:r>
        <w:rPr/>
        <w:t> 时发生的交易费用，可直接归属于权益性交易的从权益中扣减。</w:t>
      </w:r>
    </w:p>
    <w:p>
      <w:pPr>
        <w:pStyle w:val="BodyText"/>
        <w:spacing w:line="319" w:lineRule="auto" w:before="57"/>
        <w:ind w:right="1131"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56"/>
        <w:ind w:left="1493" w:right="0"/>
        <w:jc w:val="left"/>
      </w:pPr>
      <w:r>
        <w:rPr/>
        <w:t>通过债务重组取得的长期股权投资，其初始投资成本按照公允价值为基础确定。</w:t>
      </w:r>
    </w:p>
    <w:p>
      <w:pPr>
        <w:pStyle w:val="Heading5"/>
        <w:spacing w:line="240" w:lineRule="auto" w:before="116"/>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38" w:lineRule="auto" w:before="103"/>
        <w:ind w:left="1493" w:right="1118"/>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7" w:lineRule="auto" w:before="4"/>
        <w:ind w:left="1493" w:right="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25" w:lineRule="exact"/>
        <w:ind w:right="0"/>
        <w:jc w:val="left"/>
      </w:pPr>
      <w:r>
        <w:rPr/>
        <w:t>分派的现金股利或利润确认为当期投资收益。</w:t>
      </w:r>
    </w:p>
    <w:p>
      <w:pPr>
        <w:pStyle w:val="BodyText"/>
        <w:spacing w:line="338" w:lineRule="auto" w:before="117"/>
        <w:ind w:left="1493" w:right="1118"/>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57" w:lineRule="auto" w:before="4"/>
        <w:ind w:left="1493" w:right="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57" w:lineRule="auto"/>
        <w:ind w:left="1493" w:right="0"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224" w:lineRule="exact"/>
        <w:ind w:right="0"/>
        <w:jc w:val="left"/>
      </w:pPr>
      <w:r>
        <w:rPr/>
        <w:t>益和其他综合收益，同时调整长期股权投资的账面价值；并按照被投资单位宣告分派的利润或现金股利计算应享有的部分，</w:t>
      </w:r>
    </w:p>
    <w:p>
      <w:pPr>
        <w:pStyle w:val="BodyText"/>
        <w:spacing w:line="319" w:lineRule="auto" w:before="77"/>
        <w:ind w:right="0"/>
        <w:jc w:val="left"/>
      </w:pP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9" w:lineRule="auto" w:before="55"/>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9" w:lineRule="auto" w:before="55"/>
        <w:ind w:left="1134" w:right="1032"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38" w:lineRule="auto" w:before="56"/>
        <w:ind w:right="0" w:firstLine="360"/>
        <w:jc w:val="left"/>
        <w:rPr>
          <w:rFonts w:ascii="宋体" w:hAnsi="宋体" w:cs="宋体" w:eastAsia="宋体" w:hint="default"/>
        </w:rPr>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 </w:t>
      </w:r>
      <w:r>
        <w:rPr>
          <w:rFonts w:ascii="Times New Roman" w:hAnsi="Times New Roman" w:cs="Times New Roman" w:eastAsia="Times New Roman" w:hint="default"/>
          <w:b/>
          <w:bCs/>
        </w:rPr>
        <w:t>3.</w:t>
      </w:r>
      <w:r>
        <w:rPr>
          <w:rFonts w:ascii="宋体" w:hAnsi="宋体" w:cs="宋体" w:eastAsia="宋体" w:hint="default"/>
          <w:b/>
          <w:bCs/>
        </w:rPr>
        <w:t>长期股权投资核算方法的转换</w:t>
      </w:r>
      <w:r>
        <w:rPr>
          <w:rFonts w:ascii="宋体" w:hAnsi="宋体" w:cs="宋体" w:eastAsia="宋体" w:hint="default"/>
        </w:rPr>
      </w:r>
    </w:p>
    <w:p>
      <w:pPr>
        <w:pStyle w:val="BodyText"/>
        <w:spacing w:line="338" w:lineRule="auto" w:before="20"/>
        <w:ind w:left="1493" w:right="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2" w:lineRule="auto" w:before="2"/>
        <w:ind w:right="1033"/>
        <w:jc w:val="left"/>
      </w:pPr>
      <w:r>
        <w:rPr/>
        <w:t>资，因追加投资等原因能够对被投资单位施加重大影响或实施共同控制但不构成控制的，按照《企业会计准则第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 </w:t>
      </w:r>
      <w:r>
        <w:rPr/>
        <w:t>金融工具确认和计量》确定的原持有的股权投资的公允价值加上新增投资成本之和，作为改按权益法核算的初始投资成本。</w:t>
      </w:r>
    </w:p>
    <w:p>
      <w:pPr>
        <w:pStyle w:val="BodyText"/>
        <w:spacing w:line="319" w:lineRule="auto" w:before="68"/>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9" w:lineRule="auto" w:before="55"/>
        <w:ind w:right="0"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240" w:lineRule="auto" w:before="58"/>
        <w:ind w:left="1493" w:right="0"/>
        <w:jc w:val="left"/>
      </w:pPr>
      <w:r>
        <w:rPr/>
        <w:t>（</w:t>
      </w:r>
      <w:r>
        <w:rPr>
          <w:rFonts w:ascii="Times New Roman" w:hAnsi="Times New Roman" w:cs="Times New Roman" w:eastAsia="Times New Roman" w:hint="default"/>
        </w:rPr>
        <w:t>2</w:t>
      </w:r>
      <w:r>
        <w:rPr/>
        <w:t>）公允价值计量或权益法核算转成本法核算</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1" w:firstLine="360"/>
        <w:jc w:val="both"/>
      </w:pPr>
      <w:r>
        <w:rPr>
          <w:spacing w:val="-2"/>
        </w:rPr>
        <w:t>本公司原持有的对被投资单位不具有控制、共同控制或重大影响的按金融工具确认和计量准则进行会计处理的权益性投</w:t>
      </w:r>
      <w:r>
        <w:rPr/>
        <w:t> </w:t>
      </w: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55"/>
        <w:ind w:right="1131" w:firstLine="360"/>
        <w:jc w:val="both"/>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2" w:lineRule="auto" w:before="56"/>
        <w:ind w:left="1134" w:right="1131" w:firstLine="360"/>
        <w:jc w:val="both"/>
      </w:pPr>
      <w:r>
        <w:rPr/>
        <w:t>购买日之前持有的股权投资按照《企业会计准则第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金融工具确认和计量》的有关规定进行会计处理的，原计 入其他综合收益的累计公允价值变动在改按成本法核算时转入当期损益。</w:t>
      </w:r>
    </w:p>
    <w:p>
      <w:pPr>
        <w:pStyle w:val="BodyText"/>
        <w:spacing w:line="338" w:lineRule="auto" w:before="69"/>
        <w:ind w:left="1493"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2" w:lineRule="auto" w:before="2"/>
        <w:ind w:left="1134" w:right="1114"/>
        <w:jc w:val="left"/>
      </w:pPr>
      <w:r>
        <w:rPr/>
        <w:t>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金融工具确认和计量》核算，其在丧失共同控制或重大影响之日的公允价值与账面价值之间的差额计入当期 损益。</w:t>
      </w:r>
    </w:p>
    <w:p>
      <w:pPr>
        <w:pStyle w:val="BodyText"/>
        <w:spacing w:line="319" w:lineRule="auto" w:before="69"/>
        <w:ind w:left="1134" w:right="1131" w:firstLine="360"/>
        <w:jc w:val="both"/>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56"/>
        <w:ind w:left="1494"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4"/>
        <w:ind w:left="1134" w:right="0"/>
        <w:jc w:val="left"/>
      </w:pPr>
      <w:r>
        <w:rPr/>
        <w:t>被投资单位实施共同控制或施加重大影响的，改按权益法核算，并对该剩余股权视同自取得时即采用权益法核算进行调整。</w:t>
      </w:r>
    </w:p>
    <w:p>
      <w:pPr>
        <w:pStyle w:val="BodyText"/>
        <w:spacing w:line="338" w:lineRule="auto" w:before="117"/>
        <w:ind w:left="1494"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2" w:lineRule="auto" w:before="2"/>
        <w:ind w:left="1134" w:right="1113"/>
        <w:jc w:val="left"/>
      </w:pPr>
      <w:r>
        <w:rPr/>
        <w:t>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 处理，其在丧失控制之日的公允价值与账面价值间的差额计入当期损益。</w:t>
      </w:r>
    </w:p>
    <w:p>
      <w:pPr>
        <w:pStyle w:val="BodyText"/>
        <w:spacing w:line="338" w:lineRule="auto" w:before="69"/>
        <w:ind w:left="1494" w:right="0" w:hanging="360"/>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9" w:lineRule="auto" w:before="2"/>
        <w:ind w:left="1134" w:right="1118"/>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55"/>
        <w:ind w:left="1134"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56"/>
        <w:ind w:left="176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3"/>
        <w:ind w:left="176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2"/>
        <w:ind w:left="176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8" w:lineRule="auto" w:before="102"/>
        <w:ind w:left="1493" w:right="0" w:firstLine="27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4"/>
        <w:ind w:right="0"/>
        <w:jc w:val="left"/>
      </w:pPr>
      <w:r>
        <w:rPr/>
        <w:t>表进行相关会计处理：</w:t>
      </w:r>
    </w:p>
    <w:p>
      <w:pPr>
        <w:pStyle w:val="BodyText"/>
        <w:spacing w:line="307" w:lineRule="auto" w:before="115"/>
        <w:ind w:right="1130"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t>调整；处置后的剩余股权不能对被投资单位实施共同控制或施加重大影响的，改按《企业会计准则第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 认和计量》的有关规定进行会计处理，其在丧失控制之日的公允价值与账面价值间的差额计入当期损益。</w:t>
      </w:r>
    </w:p>
    <w:p>
      <w:pPr>
        <w:pStyle w:val="BodyText"/>
        <w:spacing w:line="314" w:lineRule="auto" w:before="64"/>
        <w:ind w:right="113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spacing w:after="0" w:line="314"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2" w:lineRule="auto" w:before="55"/>
        <w:ind w:right="1123" w:firstLine="36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2" w:lineRule="auto" w:before="69"/>
        <w:ind w:left="1134" w:right="1122" w:firstLine="36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38" w:lineRule="auto" w:before="69"/>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57" w:lineRule="auto" w:before="4"/>
        <w:ind w:left="1493" w:right="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224" w:lineRule="exact"/>
        <w:ind w:right="0"/>
        <w:jc w:val="left"/>
      </w:pPr>
      <w:r>
        <w:rPr/>
        <w:t>业，采用权益法核算。若根据相关约定判断本公司并非对该单独主体的净资产享有权利时，该单独主体作为共同经营，本公</w:t>
      </w:r>
    </w:p>
    <w:p>
      <w:pPr>
        <w:pStyle w:val="BodyText"/>
        <w:spacing w:line="357" w:lineRule="auto" w:before="77"/>
        <w:ind w:left="1493" w:right="0" w:hanging="360"/>
        <w:jc w:val="left"/>
      </w:pPr>
      <w:r>
        <w:rPr/>
        <w:t>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w:t>
      </w:r>
    </w:p>
    <w:p>
      <w:pPr>
        <w:pStyle w:val="BodyText"/>
        <w:spacing w:line="237" w:lineRule="exact"/>
        <w:ind w:right="0"/>
        <w:jc w:val="left"/>
      </w:pPr>
      <w:r>
        <w:rPr/>
        <w:t>这些政策的制定。本公司通过以下一种或多种情形，并综合考虑所有事实和情况后，判断对被投资单位具有重大影响</w:t>
      </w:r>
      <w:r>
        <w:rPr>
          <w:spacing w:val="-90"/>
        </w:rPr>
        <w:t>。</w:t>
      </w:r>
      <w:r>
        <w:rPr>
          <w:spacing w:val="1"/>
        </w:rPr>
        <w:t>（</w:t>
      </w:r>
      <w:r>
        <w:rPr>
          <w:rFonts w:ascii="Times New Roman" w:hAnsi="Times New Roman" w:cs="Times New Roman" w:eastAsia="Times New Roman" w:hint="default"/>
        </w:rPr>
        <w:t>1</w:t>
      </w:r>
      <w:r>
        <w:rPr/>
        <w:t>）</w:t>
      </w:r>
    </w:p>
    <w:p>
      <w:pPr>
        <w:pStyle w:val="BodyText"/>
        <w:spacing w:line="302" w:lineRule="auto" w:before="63"/>
        <w:ind w:right="1117"/>
        <w:jc w:val="left"/>
      </w:pPr>
      <w:r>
        <w:rPr/>
        <w:t>在被投资单位的董事会或类似权力机构中派有代表</w:t>
      </w:r>
      <w:r>
        <w:rPr>
          <w:spacing w:val="-111"/>
        </w:rPr>
        <w:t>；</w:t>
      </w:r>
      <w:r>
        <w:rPr/>
        <w:t>（</w:t>
      </w:r>
      <w:r>
        <w:rPr>
          <w:rFonts w:ascii="Times New Roman" w:hAnsi="Times New Roman" w:cs="Times New Roman" w:eastAsia="Times New Roman" w:hint="default"/>
        </w:rPr>
        <w:t>2</w:t>
      </w:r>
      <w:r>
        <w:rPr>
          <w:spacing w:val="-21"/>
        </w:rPr>
        <w:t>）</w:t>
      </w:r>
      <w:r>
        <w:rPr/>
        <w:t>参与被投资单位财务和经营政策制定过程</w:t>
      </w:r>
      <w:r>
        <w:rPr>
          <w:spacing w:val="-111"/>
        </w:rPr>
        <w:t>；</w:t>
      </w:r>
      <w:r>
        <w:rPr/>
        <w:t>（</w:t>
      </w:r>
      <w:r>
        <w:rPr>
          <w:rFonts w:ascii="Times New Roman" w:hAnsi="Times New Roman" w:cs="Times New Roman" w:eastAsia="Times New Roman" w:hint="default"/>
        </w:rPr>
        <w:t>3</w:t>
      </w:r>
      <w:r>
        <w:rPr>
          <w:spacing w:val="-21"/>
        </w:rPr>
        <w:t>）</w:t>
      </w:r>
      <w:r>
        <w:rPr/>
        <w:t>与被投资单位之间</w:t>
      </w:r>
      <w:r>
        <w:rPr/>
        <w:t> 发生重要交易</w:t>
      </w:r>
      <w:r>
        <w:rPr>
          <w:spacing w:val="-90"/>
        </w:rPr>
        <w:t>；</w:t>
      </w:r>
      <w:r>
        <w:rPr/>
        <w:t>（</w:t>
      </w:r>
      <w:r>
        <w:rPr>
          <w:rFonts w:ascii="Times New Roman" w:hAnsi="Times New Roman" w:cs="Times New Roman" w:eastAsia="Times New Roman" w:hint="default"/>
        </w:rPr>
        <w:t>4</w:t>
      </w:r>
      <w:r>
        <w:rPr/>
        <w:t>）向被投资单位派出管理人员</w:t>
      </w:r>
      <w:r>
        <w:rPr>
          <w:spacing w:val="-90"/>
        </w:rPr>
        <w:t>；</w:t>
      </w:r>
      <w:r>
        <w:rPr/>
        <w:t>（</w:t>
      </w:r>
      <w:r>
        <w:rPr>
          <w:rFonts w:ascii="Times New Roman" w:hAnsi="Times New Roman" w:cs="Times New Roman" w:eastAsia="Times New Roman" w:hint="default"/>
        </w:rPr>
        <w:t>5</w:t>
      </w:r>
      <w:r>
        <w:rPr/>
        <w:t>）向被投资单位提供关键技术资料。</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tabs>
          <w:tab w:pos="3654" w:val="left" w:leader="none"/>
        </w:tabs>
        <w:spacing w:line="300" w:lineRule="auto"/>
        <w:ind w:right="1132" w:firstLine="360"/>
        <w:jc w:val="left"/>
      </w:pPr>
      <w:r>
        <w:rPr>
          <w:rFonts w:ascii="Times New Roman" w:hAnsi="Times New Roman" w:cs="Times New Roman" w:eastAsia="Times New Roman" w:hint="default"/>
        </w:rPr>
        <w:t>1</w:t>
      </w:r>
      <w:r>
        <w:rPr/>
        <w:t>．固定资产确认条件固定资产指为生产商品、提供劳务、出租或经营管理而持有，并且使用寿命超过一个会计年度的 </w:t>
      </w:r>
      <w:r>
        <w:rPr>
          <w:spacing w:val="-5"/>
        </w:rPr>
        <w:t>有形资产。固定资产在同时满足下列条件时予以确认：（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w:t>
      </w:r>
      <w:r>
        <w:rPr>
          <w:spacing w:val="-74"/>
        </w:rPr>
        <w:t> </w:t>
      </w:r>
      <w:r>
        <w:rPr>
          <w:spacing w:val="-74"/>
        </w:rPr>
      </w:r>
      <w:r>
        <w:rPr/>
        <w:t>的成本能够可靠地计量。</w:t>
      </w:r>
      <w:r>
        <w:rPr>
          <w:rFonts w:ascii="Times New Roman" w:hAnsi="Times New Roman" w:cs="Times New Roman" w:eastAsia="Times New Roman" w:hint="default"/>
        </w:rPr>
        <w:t>2</w:t>
      </w:r>
      <w:r>
        <w:rPr/>
        <w:t>．</w:t>
        <w:tab/>
      </w:r>
      <w:r>
        <w:rPr>
          <w:spacing w:val="-4"/>
        </w:rPr>
        <w:t>固定资产初始计量本公司固定资产按成本进行初始计量。（</w:t>
      </w:r>
      <w:r>
        <w:rPr>
          <w:rFonts w:ascii="Times New Roman" w:hAnsi="Times New Roman" w:cs="Times New Roman" w:eastAsia="Times New Roman" w:hint="default"/>
          <w:spacing w:val="-4"/>
        </w:rPr>
        <w:t>1</w:t>
      </w:r>
      <w:r>
        <w:rPr>
          <w:spacing w:val="-4"/>
        </w:rPr>
        <w:t>）</w:t>
      </w:r>
      <w:r>
        <w:rPr/>
        <w:t> </w:t>
      </w:r>
      <w:r>
        <w:rPr>
          <w:spacing w:val="22"/>
        </w:rPr>
        <w:t> </w:t>
      </w:r>
      <w:r>
        <w:rPr/>
        <w:t>外购的固定资产的成本包 </w:t>
      </w:r>
      <w:r>
        <w:rPr>
          <w:spacing w:val="-2"/>
        </w:rPr>
        <w:t>括买价、进口关税等相关税费，以及为使固定资产达到预定可使用状态前所发生的可直接归属于该资产的其他支出。（</w:t>
      </w:r>
      <w:r>
        <w:rPr>
          <w:rFonts w:ascii="Times New Roman" w:hAnsi="Times New Roman" w:cs="Times New Roman" w:eastAsia="Times New Roman" w:hint="default"/>
          <w:spacing w:val="-2"/>
        </w:rPr>
        <w:t>2</w:t>
      </w:r>
      <w:r>
        <w:rPr>
          <w:spacing w:val="-2"/>
        </w:rPr>
        <w:t>）</w:t>
      </w:r>
    </w:p>
    <w:p>
      <w:pPr>
        <w:pStyle w:val="BodyText"/>
        <w:tabs>
          <w:tab w:pos="9535" w:val="left" w:leader="none"/>
          <w:tab w:pos="10375" w:val="left" w:leader="none"/>
        </w:tabs>
        <w:spacing w:line="307" w:lineRule="auto" w:before="13"/>
        <w:ind w:right="1131" w:firstLine="420"/>
        <w:jc w:val="left"/>
      </w:pPr>
      <w:r>
        <w:rPr>
          <w:spacing w:val="-3"/>
        </w:rPr>
        <w:t>自行建造固定资产的成本，由建造该项资产达到预定可使用状态前所发生的必要支出构成。（</w:t>
      </w:r>
      <w:r>
        <w:rPr>
          <w:rFonts w:ascii="Times New Roman" w:hAnsi="Times New Roman" w:cs="Times New Roman" w:eastAsia="Times New Roman" w:hint="default"/>
          <w:spacing w:val="-3"/>
        </w:rPr>
        <w:t>3</w:t>
      </w:r>
      <w:r>
        <w:rPr>
          <w:spacing w:val="-3"/>
        </w:rPr>
        <w:t>）</w:t>
        <w:tab/>
      </w:r>
      <w:r>
        <w:rPr/>
        <w:t>投资者投入的 </w:t>
      </w:r>
      <w:r>
        <w:rPr>
          <w:spacing w:val="-2"/>
        </w:rPr>
        <w:t>固定资产，按投资合同或协议约定的价值作为入账价值，但合同或协议约定价值不公允的按公允价值入账。（</w:t>
      </w:r>
      <w:r>
        <w:rPr>
          <w:rFonts w:ascii="Times New Roman" w:hAnsi="Times New Roman" w:cs="Times New Roman" w:eastAsia="Times New Roman" w:hint="default"/>
          <w:spacing w:val="-2"/>
        </w:rPr>
        <w:t>4</w:t>
      </w:r>
      <w:r>
        <w:rPr>
          <w:spacing w:val="-2"/>
        </w:rPr>
        <w:t>）</w:t>
        <w:tab/>
      </w:r>
      <w:r>
        <w:rPr/>
        <w:t>购买 </w:t>
      </w:r>
      <w:r>
        <w:rPr>
          <w:spacing w:val="-2"/>
        </w:rPr>
        <w:t>固定资产的价款超过正常信用条件延期支付，实质上具有融资性质的，固定资产的成本以购买价款的现值为基础确定。实际</w:t>
      </w:r>
      <w:r>
        <w:rPr>
          <w:spacing w:val="-66"/>
        </w:rPr>
        <w:t> </w:t>
      </w:r>
      <w:r>
        <w:rPr>
          <w:spacing w:val="-66"/>
        </w:rPr>
      </w:r>
      <w:r>
        <w:rPr/>
        <w:t>支付的价款与购买价款的现值之间的差额，除应予资本化的以外，在信用期间内计入当期损益。</w:t>
      </w:r>
      <w:r>
        <w:rPr>
          <w:rFonts w:ascii="Times New Roman" w:hAnsi="Times New Roman" w:cs="Times New Roman" w:eastAsia="Times New Roman" w:hint="default"/>
        </w:rPr>
        <w:t>3</w:t>
      </w:r>
      <w:r>
        <w:rPr/>
        <w:t>．</w:t>
      </w:r>
      <w:r>
        <w:rPr>
          <w:spacing w:val="60"/>
        </w:rPr>
        <w:t> </w:t>
      </w:r>
      <w:r>
        <w:rPr/>
        <w:t>固定资产后续计量及</w:t>
      </w:r>
      <w:r>
        <w:rPr/>
        <w:t> 处置（</w:t>
      </w:r>
      <w:r>
        <w:rPr>
          <w:rFonts w:ascii="Times New Roman" w:hAnsi="Times New Roman" w:cs="Times New Roman" w:eastAsia="Times New Roman" w:hint="default"/>
        </w:rPr>
        <w:t>1</w:t>
      </w:r>
      <w:r>
        <w:rPr/>
        <w:t>）</w:t>
      </w:r>
      <w:r>
        <w:rPr>
          <w:spacing w:val="-78"/>
        </w:rPr>
        <w:t> </w:t>
      </w:r>
      <w:r>
        <w:rPr/>
        <w:t>固定资产折旧固定资产折旧按其入账价值减去预计净残值后在预计使用寿命内计提。对计提了减值准备的固定资</w:t>
      </w:r>
      <w:r>
        <w:rPr/>
        <w:t> </w:t>
      </w:r>
      <w:r>
        <w:rPr>
          <w:spacing w:val="-2"/>
        </w:rPr>
        <w:t>产，则在未来期间按扣除减值准备后的账面价值及依据尚可使用年限确定折旧额；已提足折旧仍继续使用的固定资产不计提</w:t>
      </w:r>
      <w:r>
        <w:rPr>
          <w:spacing w:val="-64"/>
        </w:rPr>
        <w:t> </w:t>
      </w:r>
      <w:r>
        <w:rPr>
          <w:spacing w:val="-64"/>
        </w:rPr>
      </w:r>
      <w:r>
        <w:rPr>
          <w:spacing w:val="-2"/>
        </w:rPr>
        <w:t>折旧。本公司根据固定资产的性质和使用情况，确定固定资产的使用寿命和预计净残值。并在年度终了，对固定资产的使用</w:t>
      </w:r>
      <w:r>
        <w:rPr>
          <w:spacing w:val="-66"/>
        </w:rPr>
        <w:t> </w:t>
      </w:r>
      <w:r>
        <w:rPr>
          <w:spacing w:val="-66"/>
        </w:rPr>
      </w:r>
      <w:r>
        <w:rPr>
          <w:spacing w:val="-3"/>
        </w:rPr>
        <w:t>寿命、预计净残值和折旧方法进行复核，如与原先估计数存在差异的，进行相应的调整。（</w:t>
      </w:r>
      <w:r>
        <w:rPr>
          <w:rFonts w:ascii="Times New Roman" w:hAnsi="Times New Roman" w:cs="Times New Roman" w:eastAsia="Times New Roman" w:hint="default"/>
          <w:spacing w:val="-3"/>
        </w:rPr>
        <w:t>2</w:t>
      </w:r>
      <w:r>
        <w:rPr>
          <w:spacing w:val="-3"/>
        </w:rPr>
        <w:t>）</w:t>
      </w:r>
      <w:r>
        <w:rPr/>
        <w:t> 固定资产的后续支出与固</w:t>
      </w:r>
      <w:r>
        <w:rPr>
          <w:spacing w:val="-54"/>
        </w:rPr>
        <w:t> </w:t>
      </w:r>
      <w:r>
        <w:rPr>
          <w:spacing w:val="-2"/>
        </w:rPr>
        <w:t>定资产有关的后续支出，符合固定资产确认条件的，计入固定资产成本；不符合固定资产确认条件的，在发生时计入当期损</w:t>
      </w:r>
      <w:r>
        <w:rPr>
          <w:spacing w:val="-66"/>
        </w:rPr>
        <w:t> </w:t>
      </w:r>
      <w:r>
        <w:rPr>
          <w:spacing w:val="-66"/>
        </w:rPr>
      </w:r>
      <w:r>
        <w:rPr>
          <w:spacing w:val="-18"/>
        </w:rPr>
        <w:t>益。（</w:t>
      </w:r>
      <w:r>
        <w:rPr>
          <w:rFonts w:ascii="Times New Roman" w:hAnsi="Times New Roman" w:cs="Times New Roman" w:eastAsia="Times New Roman" w:hint="default"/>
          <w:spacing w:val="-18"/>
        </w:rPr>
        <w:t>3</w:t>
      </w:r>
      <w:r>
        <w:rPr>
          <w:spacing w:val="-18"/>
        </w:rPr>
        <w:t>）</w:t>
      </w:r>
      <w:r>
        <w:rPr>
          <w:spacing w:val="53"/>
        </w:rPr>
        <w:t> </w:t>
      </w:r>
      <w:r>
        <w:rPr>
          <w:spacing w:val="-1"/>
        </w:rPr>
        <w:t>固定资产处置当固定资产被处置、或者预期通过使用或处置不能产生经济利益时，终止确认该固定资产。固定资</w:t>
      </w:r>
      <w:r>
        <w:rPr/>
        <w:t> 产出售、转让、报废或毁损的处置收入扣除其账面价值和相关税费后的金额计入当期损益。</w:t>
      </w:r>
    </w:p>
    <w:p>
      <w:pPr>
        <w:spacing w:after="0" w:line="307"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0"/>
        <w:jc w:val="left"/>
      </w:pPr>
      <w:r>
        <w:rPr/>
        <w:t>当本公司租入的固定资产符合下列一项或数项标准时，确认为融资租入固定资产：</w:t>
      </w:r>
    </w:p>
    <w:p>
      <w:pPr>
        <w:pStyle w:val="BodyText"/>
        <w:spacing w:line="240" w:lineRule="auto" w:before="117"/>
        <w:ind w:left="1493" w:right="0"/>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2" w:lineRule="auto" w:before="101"/>
        <w:ind w:left="1134" w:right="1122"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69"/>
        <w:ind w:left="1494" w:right="0"/>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3"/>
        <w:ind w:left="1493" w:right="0"/>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38" w:lineRule="auto" w:before="102"/>
        <w:ind w:left="1493" w:right="0"/>
        <w:jc w:val="left"/>
      </w:pPr>
      <w:r>
        <w:rPr/>
        <w:t>（</w:t>
      </w:r>
      <w:r>
        <w:rPr>
          <w:rFonts w:ascii="Times New Roman" w:hAnsi="Times New Roman" w:cs="Times New Roman" w:eastAsia="Times New Roman" w:hint="default"/>
        </w:rPr>
        <w:t>5</w:t>
      </w:r>
      <w:r>
        <w:rPr/>
        <w:t>）租赁资产性质特殊，如果不作较大改造，只有本公司才能使用。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9" w:lineRule="auto" w:before="2"/>
        <w:ind w:right="1133"/>
        <w:jc w:val="both"/>
      </w:pP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于租赁项目的手续费、律师费、差旅费、印花税等初始直接费用，计入租入资产价值。未确认融资费用在租赁期内各个期间</w:t>
      </w:r>
      <w:r>
        <w:rPr>
          <w:spacing w:val="-66"/>
        </w:rPr>
        <w:t> </w:t>
      </w:r>
      <w:r>
        <w:rPr>
          <w:spacing w:val="-66"/>
        </w:rPr>
      </w:r>
      <w:r>
        <w:rPr/>
        <w:t>采用实际利率法进行分摊。</w:t>
      </w:r>
    </w:p>
    <w:p>
      <w:pPr>
        <w:pStyle w:val="BodyText"/>
        <w:spacing w:line="319" w:lineRule="auto" w:before="56"/>
        <w:ind w:right="1131"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6"/>
        </w:rPr>
        <w:t> </w:t>
      </w:r>
      <w:r>
        <w:rPr>
          <w:spacing w:val="-66"/>
        </w:rPr>
      </w:r>
      <w:r>
        <w:rPr/>
        <w:t>用寿命两者中较短的期间内计提折旧。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0" w:lineRule="auto" w:before="28"/>
        <w:ind w:left="1494" w:right="1032" w:hanging="360"/>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240" w:lineRule="auto" w:before="31"/>
        <w:ind w:left="1134" w:right="0"/>
        <w:jc w:val="left"/>
      </w:pPr>
      <w:r>
        <w:rPr/>
        <w:t>包括工程用物资成本、人工成本、交纳的相关税费、应予资本化的借款费用以及应分摊的间接费用等。</w:t>
      </w:r>
    </w:p>
    <w:p>
      <w:pPr>
        <w:spacing w:line="300" w:lineRule="auto" w:before="76"/>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在建工程项目按建造该项资产达到预定可使用状态前所发生的全部支出，作为固定资产的入账价值。所建造的在建工程</w:t>
      </w:r>
    </w:p>
    <w:p>
      <w:pPr>
        <w:pStyle w:val="BodyText"/>
        <w:spacing w:line="316" w:lineRule="auto" w:before="31"/>
        <w:ind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spacing w:line="338" w:lineRule="auto" w:before="0"/>
        <w:ind w:left="1494"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3" w:right="0"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60" w:lineRule="auto"/>
        <w:ind w:left="1493" w:right="6973" w:hanging="360"/>
        <w:jc w:val="left"/>
      </w:pPr>
      <w:r>
        <w:rPr/>
        <w:t>产、投资性房地产和存货等资产。 借款费用同时满足下列条件时开始资本化：</w:t>
      </w:r>
    </w:p>
    <w:p>
      <w:pPr>
        <w:pStyle w:val="BodyText"/>
        <w:spacing w:line="302" w:lineRule="auto" w:before="25"/>
        <w:ind w:left="1134"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69"/>
        <w:ind w:left="149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149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52" w:lineRule="auto" w:before="102"/>
        <w:ind w:left="1493" w:right="1118" w:hanging="36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29" w:lineRule="exact"/>
        <w:ind w:right="0"/>
        <w:jc w:val="left"/>
      </w:pPr>
      <w:r>
        <w:rPr/>
        <w:t>款费用资本化。</w:t>
      </w:r>
    </w:p>
    <w:p>
      <w:pPr>
        <w:pStyle w:val="Heading5"/>
        <w:spacing w:line="240" w:lineRule="auto" w:before="117"/>
        <w:ind w:right="0"/>
        <w:jc w:val="left"/>
        <w:rPr>
          <w:b w:val="0"/>
          <w:bCs w:val="0"/>
        </w:rPr>
      </w:pPr>
      <w:r>
        <w:rPr>
          <w:rFonts w:ascii="Times New Roman" w:hAnsi="Times New Roman" w:cs="Times New Roman" w:eastAsia="Times New Roman" w:hint="default"/>
        </w:rPr>
        <w:t>3.</w:t>
      </w:r>
      <w:r>
        <w:rPr/>
        <w:t>暂停资本化期间</w:t>
      </w:r>
      <w:r>
        <w:rPr>
          <w:b w:val="0"/>
          <w:bCs w:val="0"/>
        </w:rPr>
      </w:r>
    </w:p>
    <w:p>
      <w:pPr>
        <w:pStyle w:val="BodyText"/>
        <w:spacing w:line="309" w:lineRule="auto" w:before="101"/>
        <w:ind w:right="1030" w:firstLine="360"/>
        <w:jc w:val="left"/>
      </w:pPr>
      <w:r>
        <w:rPr>
          <w:spacing w:val="-3"/>
        </w:rPr>
        <w:t>符合资本化条件的资产在购建或生产过程中发生的非正常中断、且中断时间连续超过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6"/>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38" w:lineRule="auto" w:before="64"/>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57" w:lineRule="auto" w:before="4"/>
        <w:ind w:left="1493" w:right="0"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57" w:lineRule="auto"/>
        <w:ind w:left="1494" w:right="1572"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6"/>
        <w:ind w:left="1134" w:right="1028" w:firstLine="420"/>
        <w:jc w:val="left"/>
      </w:pPr>
      <w:r>
        <w:rPr>
          <w:spacing w:val="-2"/>
        </w:rPr>
        <w:t>无形资产是指本公司拥有或者控制的没有实物形态的可辨认非货币性资产，包括专利权、软件著作权、商标权、软件、</w:t>
      </w:r>
      <w:r>
        <w:rPr/>
        <w:t> 非专利技术。</w:t>
      </w:r>
    </w:p>
    <w:p>
      <w:pPr>
        <w:pStyle w:val="BodyText"/>
        <w:spacing w:line="338" w:lineRule="auto" w:before="59"/>
        <w:ind w:left="1493" w:right="0" w:hanging="360"/>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57" w:lineRule="auto" w:before="4"/>
        <w:ind w:left="149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225" w:lineRule="exact"/>
        <w:ind w:right="0"/>
        <w:jc w:val="left"/>
      </w:pPr>
      <w:r>
        <w:rPr/>
        <w:t>与该用以抵债的无形资产公允价值之间的差额，计入当期损益。</w:t>
      </w:r>
    </w:p>
    <w:p>
      <w:pPr>
        <w:spacing w:after="0" w:line="225" w:lineRule="exact"/>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0"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p>
    <w:p>
      <w:pPr>
        <w:pStyle w:val="BodyText"/>
        <w:spacing w:line="319" w:lineRule="auto" w:before="55"/>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38" w:lineRule="auto" w:before="56"/>
        <w:ind w:right="0" w:firstLine="360"/>
        <w:jc w:val="left"/>
        <w:rPr>
          <w:rFonts w:ascii="宋体" w:hAnsi="宋体" w:cs="宋体" w:eastAsia="宋体" w:hint="default"/>
        </w:rPr>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 </w:t>
      </w: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rPr>
      </w:r>
    </w:p>
    <w:p>
      <w:pPr>
        <w:pStyle w:val="BodyText"/>
        <w:spacing w:line="240" w:lineRule="auto" w:before="20"/>
        <w:ind w:left="1493" w:right="0"/>
        <w:jc w:val="left"/>
      </w:pPr>
      <w:r>
        <w:rPr/>
        <w:t>本公司在取得无形资产时分析判断其使用寿命，划分为使用寿命有限和使用寿命不确定的无形资产。</w:t>
      </w:r>
    </w:p>
    <w:p>
      <w:pPr>
        <w:pStyle w:val="BodyText"/>
        <w:spacing w:line="338" w:lineRule="auto" w:before="117"/>
        <w:ind w:left="1494" w:right="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4"/>
        <w:ind w:left="1134" w:right="0"/>
        <w:jc w:val="left"/>
      </w:pPr>
      <w:r>
        <w:rPr/>
        <w:t>据如下：</w:t>
      </w:r>
    </w:p>
    <w:p>
      <w:pPr>
        <w:pStyle w:val="BodyText"/>
        <w:spacing w:line="240" w:lineRule="auto" w:before="116"/>
        <w:ind w:left="1494" w:right="0"/>
        <w:jc w:val="left"/>
      </w:pPr>
      <w:r>
        <w:rPr>
          <w:rFonts w:ascii="Times New Roman" w:hAnsi="Times New Roman" w:cs="Times New Roman" w:eastAsia="Times New Roman" w:hint="default"/>
        </w:rPr>
        <w:t>1</w:t>
      </w:r>
      <w:r>
        <w:rPr/>
        <w:t>）软件、专利权法律有规定的从法律，合同有规定的从合同，两者都没有规定的按</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年摊销；</w:t>
      </w:r>
    </w:p>
    <w:p>
      <w:pPr>
        <w:pStyle w:val="BodyText"/>
        <w:spacing w:line="240" w:lineRule="auto" w:before="103"/>
        <w:ind w:left="1493" w:right="0"/>
        <w:jc w:val="left"/>
      </w:pPr>
      <w:r>
        <w:rPr>
          <w:rFonts w:ascii="Times New Roman" w:hAnsi="Times New Roman" w:cs="Times New Roman" w:eastAsia="Times New Roman" w:hint="default"/>
        </w:rPr>
        <w:t>2</w:t>
      </w:r>
      <w:r>
        <w:rPr/>
        <w:t>）商标权法律有规定的从法律，合同有规定的从合同，两者都没有规定的按</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240" w:lineRule="auto" w:before="102"/>
        <w:ind w:left="1493" w:right="0"/>
        <w:jc w:val="left"/>
      </w:pPr>
      <w:r>
        <w:rPr>
          <w:rFonts w:ascii="Times New Roman" w:hAnsi="Times New Roman" w:cs="Times New Roman" w:eastAsia="Times New Roman" w:hint="default"/>
        </w:rPr>
        <w:t>3</w:t>
      </w:r>
      <w:r>
        <w:rPr/>
        <w:t>）非专利技术法律有规定的从法律，合同有规定的从合同，两者都没有规定的按</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352" w:lineRule="auto" w:before="102"/>
        <w:ind w:left="1494" w:right="1032"/>
        <w:jc w:val="left"/>
      </w:pPr>
      <w:r>
        <w:rPr>
          <w:rFonts w:ascii="Times New Roman" w:hAnsi="Times New Roman" w:cs="Times New Roman" w:eastAsia="Times New Roman" w:hint="default"/>
        </w:rPr>
        <w:t>4</w:t>
      </w:r>
      <w:r>
        <w:rPr/>
        <w:t>）土地使用权按购置使用年限的规定摊销。 每期末，对使用寿命有限的无形资产的使用寿命及摊销方法进行复核，如与原先估计数存在差异的，进行相应的调整。 经复核，本期期末无形资产的使用寿命及摊销方法与以前估计未有不同。使用寿命不确定的无形资产 </w:t>
      </w:r>
      <w:r>
        <w:rPr>
          <w:spacing w:val="-2"/>
        </w:rPr>
        <w:t>无法预见无形资产为企业带来经济利益期限的，视为使用寿命不确定的无形资产。对于使用寿命不确定的无形资产，在</w:t>
      </w:r>
    </w:p>
    <w:p>
      <w:pPr>
        <w:pStyle w:val="BodyText"/>
        <w:spacing w:line="319" w:lineRule="auto"/>
        <w:ind w:left="1134" w:right="1118"/>
        <w:jc w:val="left"/>
      </w:pPr>
      <w:r>
        <w:rPr>
          <w:spacing w:val="-2"/>
        </w:rPr>
        <w:t>持有期间内不摊销，每期末对无形资产的寿命进行复核。如果期末重新复核后仍为不确定的，在每个会计期间继续进行减值</w:t>
      </w:r>
      <w:r>
        <w:rPr>
          <w:spacing w:val="-66"/>
        </w:rPr>
        <w:t> </w:t>
      </w:r>
      <w:r>
        <w:rPr>
          <w:spacing w:val="-66"/>
        </w:rPr>
      </w:r>
      <w:r>
        <w:rPr/>
        <w:t>测试。</w:t>
      </w:r>
    </w:p>
    <w:p>
      <w:pPr>
        <w:pStyle w:val="BodyText"/>
        <w:spacing w:line="240" w:lineRule="auto" w:before="58"/>
        <w:ind w:left="1494" w:right="0"/>
        <w:jc w:val="left"/>
      </w:pPr>
      <w:r>
        <w:rPr/>
        <w:t>经复核，该类无形资产的使用寿命仍为不确定。</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57" w:lineRule="auto"/>
        <w:ind w:left="1493" w:right="4453" w:hanging="360"/>
        <w:jc w:val="left"/>
      </w:pPr>
      <w:r>
        <w:rPr/>
        <w:t>进的材料、装置、产品等活动的阶段。 内部研究开发项目研究阶段的支出，在发生时计入当期损益。 开发阶段支出符合资本化的具体标准 内部研究开发项目开发阶段的支出，同时满足下列条件时确认为无形资产：</w:t>
      </w:r>
    </w:p>
    <w:p>
      <w:pPr>
        <w:pStyle w:val="BodyText"/>
        <w:spacing w:line="240" w:lineRule="auto" w:before="28"/>
        <w:ind w:left="149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left="149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left="1134"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69"/>
        <w:ind w:left="149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3"/>
        <w:ind w:left="1494" w:right="5802"/>
        <w:jc w:val="left"/>
      </w:pPr>
      <w:r>
        <w:rPr/>
        <w:t>（</w:t>
      </w:r>
      <w:r>
        <w:rPr>
          <w:rFonts w:ascii="Times New Roman" w:hAnsi="Times New Roman" w:cs="Times New Roman" w:eastAsia="Times New Roman" w:hint="default"/>
        </w:rPr>
        <w:t>5</w:t>
      </w:r>
      <w:r>
        <w:rPr/>
        <w:t>）归属于该无形资产开发阶段的支出能够可靠地计量。 内部研究开发支出的资本化时点：研发产品小批量试制。</w:t>
      </w:r>
    </w:p>
    <w:p>
      <w:pPr>
        <w:pStyle w:val="BodyText"/>
        <w:spacing w:line="319" w:lineRule="auto" w:before="41"/>
        <w:ind w:left="1134" w:right="0" w:firstLine="360"/>
        <w:jc w:val="left"/>
      </w:pPr>
      <w:r>
        <w:rPr>
          <w:spacing w:val="-2"/>
        </w:rPr>
        <w:t>不满足上述条件的开发阶段的支出，于发生时计入当期损益。以前期间已计入损益的开发支出不在以后期间重新确认为</w:t>
      </w:r>
      <w:r>
        <w:rPr/>
        <w:t> 资产。已资本化的开发阶段的支出在资产负债表上列示为开发支出，自该项目达到预定用途之日起转为无形资产。</w:t>
      </w:r>
    </w:p>
    <w:p>
      <w:pPr>
        <w:spacing w:after="0" w:line="319"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57" w:lineRule="auto" w:before="57"/>
        <w:ind w:left="1494" w:right="103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224" w:lineRule="exact"/>
        <w:ind w:left="1134" w:right="0"/>
        <w:jc w:val="left"/>
      </w:pPr>
      <w:r>
        <w:rPr/>
        <w:t>记的金额确认为资产减值损失，计入当期损益，同时计提相应的资产减值准备。资产减值损失一经确认，在以后会计期间不</w:t>
      </w:r>
    </w:p>
    <w:p>
      <w:pPr>
        <w:pStyle w:val="BodyText"/>
        <w:spacing w:line="240" w:lineRule="auto" w:before="77"/>
        <w:ind w:left="1134" w:right="0"/>
        <w:jc w:val="left"/>
      </w:pPr>
      <w:r>
        <w:rPr/>
        <w:t>得转回。</w:t>
      </w:r>
    </w:p>
    <w:p>
      <w:pPr>
        <w:pStyle w:val="BodyText"/>
        <w:spacing w:line="319" w:lineRule="auto" w:before="115"/>
        <w:ind w:left="1134" w:right="0" w:firstLine="360"/>
        <w:jc w:val="left"/>
      </w:pPr>
      <w:r>
        <w:rPr>
          <w:spacing w:val="-2"/>
        </w:rPr>
        <w:t>资产减值损失确认后，减值资产的折旧或者摊销费用在未来期间作相应调整，以使该资产在剩余使用寿命内，系统地分</w:t>
      </w:r>
      <w:r>
        <w:rPr/>
        <w:t> </w:t>
      </w:r>
      <w:r>
        <w:rPr>
          <w:spacing w:val="-5"/>
        </w:rPr>
        <w:t>摊调整后的资产账面价值（扣除预计净残值）。</w:t>
      </w:r>
    </w:p>
    <w:p>
      <w:pPr>
        <w:pStyle w:val="BodyText"/>
        <w:spacing w:line="240" w:lineRule="auto" w:before="56"/>
        <w:ind w:left="1494" w:right="0"/>
        <w:jc w:val="left"/>
      </w:pPr>
      <w:r>
        <w:rPr/>
        <w:t>因企业合并所形成的商誉和使用寿命不确定的无形资产，无论是否存在减值迹象，每年都进行减值测试。</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134" w:right="0"/>
        <w:jc w:val="left"/>
        <w:rPr>
          <w:b w:val="0"/>
          <w:bCs w:val="0"/>
        </w:rPr>
      </w:pPr>
      <w:r>
        <w:rPr>
          <w:rFonts w:ascii="Times New Roman" w:hAnsi="Times New Roman" w:cs="Times New Roman" w:eastAsia="Times New Roman" w:hint="default"/>
        </w:rPr>
        <w:t>1.</w:t>
      </w:r>
      <w:r>
        <w:rPr/>
        <w:t>摊销方法</w:t>
      </w:r>
      <w:r>
        <w:rPr>
          <w:b w:val="0"/>
          <w:bCs w:val="0"/>
        </w:rPr>
      </w:r>
    </w:p>
    <w:p>
      <w:pPr>
        <w:pStyle w:val="BodyText"/>
        <w:spacing w:line="300" w:lineRule="auto" w:before="63"/>
        <w:ind w:right="1123"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pStyle w:val="Heading5"/>
        <w:spacing w:line="240" w:lineRule="auto" w:before="31"/>
        <w:ind w:right="0"/>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105" w:type="dxa"/>
        <w:tblLayout w:type="fixed"/>
        <w:tblCellMar>
          <w:top w:w="0" w:type="dxa"/>
          <w:left w:w="0" w:type="dxa"/>
          <w:bottom w:w="0" w:type="dxa"/>
          <w:right w:w="0" w:type="dxa"/>
        </w:tblCellMar>
        <w:tblLook w:val="01E0"/>
      </w:tblPr>
      <w:tblGrid>
        <w:gridCol w:w="3232"/>
        <w:gridCol w:w="3221"/>
        <w:gridCol w:w="3220"/>
      </w:tblGrid>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43" w:firstLine="360"/>
        <w:jc w:val="both"/>
      </w:pPr>
      <w:r>
        <w:rPr>
          <w:spacing w:val="-4"/>
        </w:rPr>
        <w:t>职工薪酬，是指本公司为获得职工提供的服务或解除劳动关系而给予的各种形式的报酬或补偿。职工薪酬包括短期薪酬、</w:t>
      </w:r>
      <w:r>
        <w:rPr/>
        <w:t> 离职后福利、辞退福利和其他长期职工福利。</w:t>
      </w:r>
    </w:p>
    <w:p>
      <w:pPr>
        <w:pStyle w:val="Heading5"/>
        <w:spacing w:line="240" w:lineRule="auto" w:before="19"/>
        <w:ind w:left="1134" w:right="0"/>
        <w:jc w:val="left"/>
        <w:rPr>
          <w:b w:val="0"/>
          <w:bCs w:val="0"/>
        </w:rPr>
      </w:pPr>
      <w:r>
        <w:rPr>
          <w:rFonts w:ascii="宋体" w:hAnsi="宋体" w:cs="宋体" w:eastAsia="宋体" w:hint="default"/>
        </w:rPr>
        <w:t>1.</w:t>
      </w:r>
      <w:r>
        <w:rPr>
          <w:rFonts w:ascii="宋体" w:hAnsi="宋体" w:cs="宋体" w:eastAsia="宋体" w:hint="default"/>
          <w:spacing w:val="86"/>
        </w:rPr>
        <w:t> </w:t>
      </w:r>
      <w:r>
        <w:rPr/>
        <w:t>短期薪酬</w:t>
      </w:r>
      <w:r>
        <w:rPr>
          <w:b w:val="0"/>
          <w:bCs w:val="0"/>
        </w:rPr>
      </w:r>
    </w:p>
    <w:p>
      <w:pPr>
        <w:pStyle w:val="BodyText"/>
        <w:spacing w:line="316" w:lineRule="auto" w:before="76"/>
        <w:ind w:left="1134" w:right="113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50" w:firstLine="360"/>
        <w:jc w:val="both"/>
      </w:pPr>
      <w:r>
        <w:rPr/>
        <w:t>离职后福利是指本公司为获得职工提供的服务而在职工退休或与企业解除劳动关系后，提供的各种形式的报酬和福利， 短期薪酬和辞退福利除外。</w:t>
      </w:r>
    </w:p>
    <w:p>
      <w:pPr>
        <w:pStyle w:val="BodyText"/>
        <w:spacing w:line="319" w:lineRule="auto" w:before="55"/>
        <w:ind w:left="1134" w:right="1131" w:firstLine="360"/>
        <w:jc w:val="both"/>
      </w:pPr>
      <w:r>
        <w:rPr>
          <w:spacing w:val="-2"/>
        </w:rPr>
        <w:t>本公司的离职后福利计划分类为设定提存计划和设定受益计划。离职后福利设定提存计划主要为参加由各地劳动及社会</w:t>
      </w:r>
      <w:r>
        <w:rPr/>
        <w:t> </w:t>
      </w:r>
      <w:r>
        <w:rPr>
          <w:spacing w:val="-2"/>
        </w:rPr>
        <w:t>保障机构组织实施的社会基本养老保险、失业保险等；。在职工为本公司提供服务的会计期间，将根据设定提存计划计算的</w:t>
      </w:r>
      <w:r>
        <w:rPr>
          <w:spacing w:val="-65"/>
        </w:rPr>
        <w:t> </w:t>
      </w:r>
      <w:r>
        <w:rPr>
          <w:spacing w:val="-65"/>
        </w:rPr>
      </w:r>
      <w:r>
        <w:rPr/>
        <w:t>应缴存金额确认为负债，并计入当期损益或相关资产成本。</w:t>
      </w:r>
    </w:p>
    <w:p>
      <w:pPr>
        <w:pStyle w:val="BodyText"/>
        <w:spacing w:line="240" w:lineRule="auto" w:before="58"/>
        <w:ind w:left="1494" w:right="0"/>
        <w:jc w:val="left"/>
      </w:pPr>
      <w:r>
        <w:rPr/>
        <w:t>本公司按照国家规定的标准和年金计划定期缴付上述款项后，不再有其他的支付义务。</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0"/>
        <w:jc w:val="left"/>
      </w:pPr>
      <w:r>
        <w:rPr/>
        <w:t>辞退福利是指本公司在职工劳动合同到期之前解除与职工的劳动关系，或者为鼓励职工自愿接受裁减而给予职工的补</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9" w:lineRule="auto" w:before="55"/>
        <w:ind w:right="0"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0"/>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224" w:lineRule="exact"/>
        <w:ind w:right="0"/>
        <w:jc w:val="left"/>
      </w:pPr>
      <w:r>
        <w:rPr/>
        <w:t>入当期损益或相关资产成本；除上述情形外的其他长期职工福利，在资产负债表日使用预期累计福利单位法进行精算，将设</w:t>
      </w:r>
    </w:p>
    <w:p>
      <w:pPr>
        <w:pStyle w:val="BodyText"/>
        <w:spacing w:line="240" w:lineRule="auto" w:before="77"/>
        <w:ind w:right="0"/>
        <w:jc w:val="left"/>
      </w:pPr>
      <w:r>
        <w:rPr/>
        <w:t>定受益计划产生的福利义务归属于职工提供服务的期间，并计入当期损益或相关资产成本。</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52" w:lineRule="auto"/>
        <w:ind w:left="1493" w:right="4813" w:hanging="36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40" w:lineRule="auto" w:before="32"/>
        <w:ind w:left="1493" w:right="427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9" w:lineRule="auto" w:before="39"/>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7" w:lineRule="auto" w:before="56"/>
        <w:ind w:left="149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ind w:left="149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224" w:lineRule="exact"/>
        <w:ind w:left="1134" w:right="0"/>
        <w:jc w:val="left"/>
      </w:pPr>
      <w:r>
        <w:rPr/>
        <w:t>有事项涉及单个项目的，则最佳估计数按照最可能发生金额确定；如或有事项涉及多个项目的，则最佳估计数按各种可能结</w:t>
      </w:r>
    </w:p>
    <w:p>
      <w:pPr>
        <w:pStyle w:val="BodyText"/>
        <w:spacing w:line="357" w:lineRule="auto" w:before="77"/>
        <w:ind w:left="1494" w:right="1032" w:hanging="360"/>
        <w:jc w:val="left"/>
      </w:pPr>
      <w:r>
        <w:rPr/>
        <w:t>果及相关概率计算确定。 本公司清偿预计负债所需支出全部或部分预期由第三方补偿的，补偿金额在基本确定能够收到时，作为资产单独确认，</w:t>
      </w:r>
    </w:p>
    <w:p>
      <w:pPr>
        <w:pStyle w:val="BodyText"/>
        <w:spacing w:line="225" w:lineRule="exact"/>
        <w:ind w:left="1134" w:right="0"/>
        <w:jc w:val="left"/>
      </w:pPr>
      <w:r>
        <w:rPr/>
        <w:t>确认的补偿金额不超过预计负债的账面价值。</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after="0" w:line="357"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line="338" w:lineRule="auto" w:before="44"/>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9" w:lineRule="auto" w:before="2"/>
        <w:ind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9" w:lineRule="auto" w:before="57"/>
        <w:ind w:left="1134" w:right="0" w:firstLine="360"/>
        <w:jc w:val="left"/>
      </w:pPr>
      <w:r>
        <w:rPr>
          <w:spacing w:val="-2"/>
        </w:rPr>
        <w:t>本公司国内直销收入确认时点为客户在《安装调试、技术培训报告单》签字确认时间；国外直销和经销收入确认时点均</w:t>
      </w:r>
      <w:r>
        <w:rPr/>
        <w:t> 为货物报关出口时间。</w:t>
      </w:r>
    </w:p>
    <w:p>
      <w:pPr>
        <w:pStyle w:val="BodyText"/>
        <w:spacing w:line="319" w:lineRule="auto" w:before="55"/>
        <w:ind w:left="1134" w:right="1118" w:firstLine="360"/>
        <w:jc w:val="left"/>
      </w:pPr>
      <w:r>
        <w:rPr>
          <w:spacing w:val="-2"/>
        </w:rPr>
        <w:t>合同或协议价款的收取采用递延方式，实质上具有融资性质的，按照应收的合同或协议价款的公允价值确定销售商品收</w:t>
      </w:r>
      <w:r>
        <w:rPr/>
        <w:t> 入金额。</w:t>
      </w:r>
    </w:p>
    <w:p>
      <w:pPr>
        <w:spacing w:line="340" w:lineRule="auto" w:before="56"/>
        <w:ind w:left="1494" w:right="103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40"/>
        <w:ind w:left="149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02"/>
        <w:ind w:left="149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8" w:lineRule="auto" w:before="103"/>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57" w:lineRule="auto" w:before="4"/>
        <w:ind w:left="1493" w:right="5533" w:hanging="360"/>
        <w:jc w:val="left"/>
      </w:pPr>
      <w:r>
        <w:rPr/>
        <w:t>依据已完工作的测量确定。 提供劳务交易的结果能够可靠估计，是指同时满足下列条件：</w:t>
      </w:r>
    </w:p>
    <w:p>
      <w:pPr>
        <w:pStyle w:val="BodyText"/>
        <w:spacing w:line="240" w:lineRule="auto" w:before="29"/>
        <w:ind w:left="1493"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2"/>
        <w:ind w:left="149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2"/>
        <w:ind w:left="149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before="103"/>
        <w:ind w:left="1494"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9" w:lineRule="auto" w:before="2"/>
        <w:ind w:left="1134"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56"/>
        <w:ind w:left="1493" w:right="0"/>
        <w:jc w:val="left"/>
      </w:pPr>
      <w:r>
        <w:rPr/>
        <w:t>在资产负债表日提供劳务交易结果不能够可靠估计的，分别下列情况处理：</w:t>
      </w:r>
    </w:p>
    <w:p>
      <w:pPr>
        <w:pStyle w:val="BodyText"/>
        <w:spacing w:line="302" w:lineRule="auto" w:before="116"/>
        <w:ind w:left="1134" w:right="1122"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38" w:lineRule="auto" w:before="69"/>
        <w:ind w:left="1493"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9" w:lineRule="auto" w:before="2"/>
        <w:ind w:right="0"/>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463" w:right="1063"/>
        <w:jc w:val="left"/>
      </w:pPr>
      <w:r>
        <w:rPr/>
        <w:t>与资产相关的政府补助，是指本公司取得的、用于购建或以其他方式形成长期资产的政府补助。 与资产相关的政府补助，确认为递延收益，按照所建造或购买的资产使用年限内按照合理、系统的方法分期计入损益；</w:t>
      </w:r>
    </w:p>
    <w:p>
      <w:pPr>
        <w:spacing w:line="240" w:lineRule="auto" w:before="12"/>
        <w:rPr>
          <w:rFonts w:ascii="宋体" w:hAnsi="宋体" w:cs="宋体" w:eastAsia="宋体" w:hint="default"/>
          <w:sz w:val="19"/>
          <w:szCs w:val="19"/>
        </w:rPr>
      </w:pPr>
    </w:p>
    <w:p>
      <w:pPr>
        <w:pStyle w:val="Heading3"/>
        <w:spacing w:line="240" w:lineRule="auto"/>
        <w:ind w:left="1134"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33" w:right="0"/>
        <w:jc w:val="left"/>
      </w:pPr>
      <w:r>
        <w:rPr/>
        <w:t>与收益相关的政府补助，是指除与资产相关的政府补助之外的政府补助 </w:t>
      </w:r>
      <w:r>
        <w:rPr>
          <w:spacing w:val="-1"/>
        </w:rPr>
        <w:t>与收益相关的政府补助，用于补偿企业以后期间的相关费用或损失的，确认为递延收益，在确认相关费用或损失的期间</w:t>
      </w:r>
    </w:p>
    <w:p>
      <w:pPr>
        <w:spacing w:after="0" w:line="357"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计入当期损益；用于补偿企业已发生的相关费用或损失的，取得时直接计入当期损益。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30"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38" w:lineRule="auto" w:before="69"/>
        <w:ind w:left="149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9" w:lineRule="auto" w:before="2"/>
        <w:ind w:right="0"/>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spacing w:val="-4"/>
        </w:rPr>
        <w:t>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p>
    <w:p>
      <w:pPr>
        <w:pStyle w:val="BodyText"/>
        <w:spacing w:line="319" w:lineRule="auto" w:before="35"/>
        <w:ind w:right="1131" w:firstLine="360"/>
        <w:jc w:val="both"/>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40" w:lineRule="auto" w:before="56"/>
        <w:ind w:left="1493" w:right="337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40"/>
        <w:ind w:left="1493"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02" w:lineRule="auto" w:before="101"/>
        <w:ind w:left="1134" w:right="1131" w:firstLine="36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2" w:lineRule="auto" w:before="69"/>
        <w:ind w:left="1134" w:right="1131" w:firstLine="36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Heading5"/>
        <w:spacing w:line="240" w:lineRule="auto" w:before="69"/>
        <w:ind w:left="1134"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02"/>
        <w:ind w:left="1494"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103"/>
        <w:ind w:left="1134" w:right="1131"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10"/>
        <w:rPr>
          <w:rFonts w:ascii="宋体" w:hAnsi="宋体" w:cs="宋体" w:eastAsia="宋体" w:hint="default"/>
          <w:sz w:val="22"/>
          <w:szCs w:val="22"/>
        </w:rPr>
      </w:pPr>
    </w:p>
    <w:p>
      <w:pPr>
        <w:pStyle w:val="Heading3"/>
        <w:spacing w:line="240" w:lineRule="auto"/>
        <w:ind w:left="1134"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4" w:right="0"/>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57" w:lineRule="auto" w:before="4"/>
        <w:ind w:left="1494" w:right="0"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25" w:lineRule="exact"/>
        <w:ind w:left="1134" w:right="0"/>
        <w:jc w:val="left"/>
      </w:pPr>
      <w:r>
        <w:rPr/>
        <w:t>租赁期内分摊，计入当期费用。</w:t>
      </w:r>
    </w:p>
    <w:p>
      <w:pPr>
        <w:pStyle w:val="BodyText"/>
        <w:spacing w:line="338" w:lineRule="auto" w:before="116"/>
        <w:ind w:left="1494"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9" w:lineRule="auto" w:before="2"/>
        <w:ind w:left="1134" w:right="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9" w:lineRule="auto" w:before="56"/>
        <w:ind w:left="1134" w:right="1131" w:firstLine="360"/>
        <w:jc w:val="both"/>
      </w:pPr>
      <w:r>
        <w:rPr>
          <w:spacing w:val="-2"/>
        </w:rPr>
        <w:t>公司承担了应由承租方承担的与租赁相关的费用时，公司将该部分费用从租金收入总额中扣除，按扣除后的租金费用在</w:t>
      </w:r>
      <w:r>
        <w:rPr/>
        <w:t> 租赁期内分配。</w:t>
      </w:r>
    </w:p>
    <w:p>
      <w:pPr>
        <w:spacing w:after="0" w:line="319"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134" w:right="1131"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账价值，将最低租赁付款额作为长期应付款的入账价值，其差额作为未确认的融资费用。融资租入资产的认定依据、计价和</w:t>
      </w:r>
      <w:r>
        <w:rPr>
          <w:spacing w:val="-66"/>
        </w:rPr>
        <w:t> </w:t>
      </w:r>
      <w:r>
        <w:rPr>
          <w:spacing w:val="-66"/>
        </w:rPr>
      </w:r>
      <w:r>
        <w:rPr/>
        <w:t>折旧方法详见本附注四／（十六）固定资产。</w:t>
      </w:r>
    </w:p>
    <w:p>
      <w:pPr>
        <w:pStyle w:val="BodyText"/>
        <w:spacing w:line="240" w:lineRule="auto" w:before="64"/>
        <w:ind w:left="1494" w:right="0"/>
        <w:jc w:val="left"/>
      </w:pPr>
      <w:r>
        <w:rPr/>
        <w:t>公司采用实际利率法对未确认的融资费用，在资产租赁期间内摊销，计入财务费用。</w:t>
      </w:r>
    </w:p>
    <w:p>
      <w:pPr>
        <w:pStyle w:val="BodyText"/>
        <w:spacing w:line="309" w:lineRule="auto" w:before="116"/>
        <w:ind w:left="1134"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left="1134"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终止经营</w:t>
      </w:r>
      <w:r>
        <w:rPr>
          <w:b w:val="0"/>
          <w:bCs w:val="0"/>
        </w:rPr>
      </w:r>
    </w:p>
    <w:p>
      <w:pPr>
        <w:pStyle w:val="BodyText"/>
        <w:spacing w:line="319" w:lineRule="auto" w:before="101"/>
        <w:ind w:right="0" w:firstLine="360"/>
        <w:jc w:val="left"/>
      </w:pPr>
      <w:r>
        <w:rPr>
          <w:spacing w:val="-2"/>
        </w:rPr>
        <w:t>本公司将满足下列条件之一的，且该组成部分已经处置或划归为持有待售类别的、能够单独区分的组成部分确认为终止</w:t>
      </w:r>
      <w:r>
        <w:rPr/>
        <w:t> 经营组成部分：</w:t>
      </w:r>
    </w:p>
    <w:p>
      <w:pPr>
        <w:pStyle w:val="BodyText"/>
        <w:spacing w:line="240" w:lineRule="auto" w:before="56"/>
        <w:ind w:left="1493"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03"/>
        <w:ind w:left="1493"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38" w:lineRule="auto" w:before="102"/>
        <w:ind w:left="1494" w:right="3192"/>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5671"/>
        <w:gridCol w:w="2410"/>
        <w:gridCol w:w="1489"/>
      </w:tblGrid>
      <w:tr>
        <w:trPr>
          <w:trHeight w:val="402" w:hRule="exact"/>
        </w:trPr>
        <w:tc>
          <w:tcPr>
            <w:tcW w:w="56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75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5671"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27" w:right="55"/>
              <w:jc w:val="left"/>
              <w:rPr>
                <w:rFonts w:ascii="宋体" w:hAnsi="宋体" w:cs="宋体" w:eastAsia="宋体" w:hint="default"/>
                <w:sz w:val="18"/>
                <w:szCs w:val="18"/>
              </w:rPr>
            </w:pPr>
            <w:r>
              <w:rPr>
                <w:rFonts w:ascii="宋体" w:hAnsi="宋体" w:cs="宋体" w:eastAsia="宋体" w:hint="default"/>
                <w:sz w:val="18"/>
                <w:szCs w:val="18"/>
              </w:rPr>
              <w:t>因执行财政部发布的《企业会计准则第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政府补助》，导致本公</w:t>
            </w:r>
            <w:r>
              <w:rPr>
                <w:rFonts w:ascii="宋体" w:hAnsi="宋体" w:cs="宋体" w:eastAsia="宋体" w:hint="default"/>
                <w:sz w:val="18"/>
                <w:szCs w:val="18"/>
              </w:rPr>
              <w:t> 司相关遵循的企业会计政策发生变更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第三届第三十次董事会</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5671"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27" w:right="20"/>
              <w:jc w:val="left"/>
              <w:rPr>
                <w:rFonts w:ascii="宋体" w:hAnsi="宋体" w:cs="宋体" w:eastAsia="宋体" w:hint="default"/>
                <w:sz w:val="18"/>
                <w:szCs w:val="18"/>
              </w:rPr>
            </w:pPr>
            <w:r>
              <w:rPr>
                <w:rFonts w:ascii="宋体" w:hAnsi="宋体" w:cs="宋体" w:eastAsia="宋体" w:hint="default"/>
                <w:sz w:val="18"/>
                <w:szCs w:val="18"/>
              </w:rPr>
              <w:t>因执行财政部发布的《企业会计准则第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 </w:t>
            </w:r>
            <w:r>
              <w:rPr>
                <w:rFonts w:ascii="宋体" w:hAnsi="宋体" w:cs="宋体" w:eastAsia="宋体" w:hint="default"/>
                <w:spacing w:val="-5"/>
                <w:sz w:val="18"/>
                <w:szCs w:val="18"/>
              </w:rPr>
              <w:t>产、处置组和终止经营》，导致本公司相关遵循的企业会计政策发生变更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第三届第三十次董事会</w:t>
            </w:r>
          </w:p>
        </w:tc>
        <w:tc>
          <w:tcPr>
            <w:tcW w:w="1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00" w:lineRule="auto" w:before="10"/>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日，财政部公布了修订后的《企业会计准则第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政府补助》，该准则修订自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日起施</w:t>
      </w:r>
      <w:r>
        <w:rPr/>
        <w:t> </w:t>
      </w:r>
      <w:r>
        <w:rPr>
          <w:spacing w:val="-2"/>
        </w:rPr>
        <w:t>行，同时要求企业对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w:t>
      </w:r>
      <w:r>
        <w:rPr>
          <w:spacing w:val="-52"/>
        </w:rPr>
        <w:t> </w:t>
      </w:r>
      <w:r>
        <w:rPr/>
        <w:t>助根据修订后的准则进行调整。</w:t>
      </w:r>
    </w:p>
    <w:p>
      <w:pPr>
        <w:pStyle w:val="BodyText"/>
        <w:spacing w:line="300" w:lineRule="auto" w:before="31"/>
        <w:ind w:right="1131" w:firstLine="420"/>
        <w:jc w:val="both"/>
      </w:pP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日开始采用该修订后的准则</w:t>
      </w:r>
      <w:r>
        <w:rPr>
          <w:spacing w:val="38"/>
        </w:rPr>
        <w:t> </w:t>
      </w:r>
      <w:r>
        <w:rPr/>
        <w:t>，上述会计政策变化的主要内容为：与企业日常活动相关的政府</w:t>
      </w:r>
      <w:r>
        <w:rPr/>
        <w:t> 补助计入其他收益；与企业日常活动无关的政府补助计入营业外收支。将与企业日常活动相关的政府补助</w:t>
      </w:r>
      <w:r>
        <w:rPr>
          <w:rFonts w:ascii="Times New Roman" w:hAnsi="Times New Roman" w:cs="Times New Roman" w:eastAsia="Times New Roman" w:hint="default"/>
        </w:rPr>
        <w:t>1,515,779.32</w:t>
      </w:r>
      <w:r>
        <w:rPr/>
        <w:t>元计 入其他收益，与企业日常活动无关的政府补助</w:t>
      </w:r>
      <w:r>
        <w:rPr>
          <w:rFonts w:ascii="Times New Roman" w:hAnsi="Times New Roman" w:cs="Times New Roman" w:eastAsia="Times New Roman" w:hint="default"/>
        </w:rPr>
        <w:t>0.00</w:t>
      </w:r>
      <w:r>
        <w:rPr/>
        <w:t>元计入营业外收入。</w:t>
      </w:r>
    </w:p>
    <w:p>
      <w:pPr>
        <w:pStyle w:val="BodyText"/>
        <w:spacing w:line="300" w:lineRule="auto" w:before="13"/>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持有待售的非流动资产、处置组和终止经营》，该准则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 </w:t>
      </w:r>
      <w:r>
        <w:rPr>
          <w:spacing w:val="-2"/>
        </w:rPr>
        <w:t>的规定，在利润表中新增了</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项目，并对净利润按经营持续性进行分类列报。本公司按照《企业会计准则第</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财务报表列报》等的相关规定编制</w:t>
      </w:r>
      <w:r>
        <w:rPr>
          <w:rFonts w:ascii="Times New Roman" w:hAnsi="Times New Roman" w:cs="Times New Roman" w:eastAsia="Times New Roman" w:hint="default"/>
        </w:rPr>
        <w:t>2017</w:t>
      </w:r>
      <w:r>
        <w:rPr/>
        <w:t>年度的财务报表，并对可比期间的比较数据进行了调整。</w:t>
      </w:r>
    </w:p>
    <w:p>
      <w:pPr>
        <w:pStyle w:val="BodyText"/>
        <w:spacing w:line="300" w:lineRule="auto" w:before="13"/>
        <w:ind w:right="1171" w:firstLine="420"/>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财务报表列报》等的相关规定，对可比期间的比较数据进行调整，本期合并财 务报表中无资产处置收益，将上年营业外支出的非流动资产处置损失</w:t>
      </w:r>
      <w:r>
        <w:rPr>
          <w:rFonts w:ascii="Times New Roman" w:hAnsi="Times New Roman" w:cs="Times New Roman" w:eastAsia="Times New Roman" w:hint="default"/>
        </w:rPr>
        <w:t>7,732.77</w:t>
      </w:r>
      <w:r>
        <w:rPr/>
        <w:t>元调整至资产处置收益。</w:t>
      </w:r>
    </w:p>
    <w:p>
      <w:pPr>
        <w:spacing w:after="0" w:line="300"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r>
        <w:rPr/>
        <w:pict>
          <v:shape style="position:absolute;margin-left:217.580002pt;margin-top:113.36367pt;width:317.650pt;height:15.6pt;mso-position-horizontal-relative:page;mso-position-vertical-relative:paragraph;z-index:-725992" type="#_x0000_t202" filled="false" stroked="false">
            <v:textbox inset="0,0,0,0">
              <w:txbxContent>
                <w:p>
                  <w:pPr>
                    <w:pStyle w:val="BodyText"/>
                    <w:spacing w:line="240" w:lineRule="auto" w:before="51"/>
                    <w:ind w:left="0" w:right="0"/>
                    <w:jc w:val="left"/>
                  </w:pPr>
                  <w:r>
                    <w:rPr/>
                    <w:t>境内销售；提供加工、修理修配劳务；以及进口等货物；</w:t>
                  </w:r>
                </w:p>
              </w:txbxContent>
            </v:textbox>
            <w10:wrap type="none"/>
          </v:shape>
        </w:pict>
      </w:r>
      <w:r>
        <w:rPr/>
        <w:pict>
          <v:group style="position:absolute;margin-left:439.73999pt;margin-top:113.36367pt;width:95.5pt;height:15.6pt;mso-position-horizontal-relative:page;mso-position-vertical-relative:paragraph;z-index:-725968" coordorigin="8795,2267" coordsize="1910,312">
            <v:shape style="position:absolute;left:8795;top:2267;width:1910;height:312" coordorigin="8795,2267" coordsize="1910,312" path="m8795,2579l10704,2579,10704,2267,8795,2267,8795,2579xe" filled="true" fillcolor="#ffffff" stroked="false">
              <v:path arrowok="t"/>
              <v:fill type="solid"/>
            </v:shape>
            <w10:wrap type="none"/>
          </v:group>
        </w:pict>
      </w:r>
      <w:bookmarkStart w:name="34、其他" w:id="215"/>
      <w:bookmarkEnd w:id="21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7"/>
      <w:bookmarkEnd w:id="21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3" w:type="dxa"/>
        <w:tblLayout w:type="fixed"/>
        <w:tblCellMar>
          <w:top w:w="0" w:type="dxa"/>
          <w:left w:w="0" w:type="dxa"/>
          <w:bottom w:w="0" w:type="dxa"/>
          <w:right w:w="0" w:type="dxa"/>
        </w:tblCellMar>
        <w:tblLook w:val="01E0"/>
      </w:tblPr>
      <w:tblGrid>
        <w:gridCol w:w="3176"/>
        <w:gridCol w:w="4466"/>
        <w:gridCol w:w="1900"/>
      </w:tblGrid>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6" w:type="dxa"/>
            <w:tcBorders>
              <w:top w:val="single" w:sz="4" w:space="0" w:color="000000"/>
              <w:left w:val="nil" w:sz="6" w:space="0" w:color="auto"/>
              <w:bottom w:val="nil" w:sz="6" w:space="0" w:color="auto"/>
              <w:right w:val="single" w:sz="4" w:space="0" w:color="000000"/>
            </w:tcBorders>
            <w:shd w:val="clear" w:color="auto" w:fill="D2D2D2"/>
          </w:tcPr>
          <w:p>
            <w:pPr/>
          </w:p>
        </w:tc>
        <w:tc>
          <w:tcPr>
            <w:tcW w:w="446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6" w:right="21"/>
              <w:jc w:val="left"/>
              <w:rPr>
                <w:rFonts w:ascii="宋体" w:hAnsi="宋体" w:cs="宋体" w:eastAsia="宋体" w:hint="default"/>
                <w:sz w:val="18"/>
                <w:szCs w:val="18"/>
              </w:rPr>
            </w:pPr>
            <w:r>
              <w:rPr>
                <w:rFonts w:ascii="宋体" w:hAnsi="宋体" w:cs="宋体" w:eastAsia="宋体" w:hint="default"/>
                <w:spacing w:val="-4"/>
                <w:sz w:val="18"/>
                <w:szCs w:val="18"/>
              </w:rPr>
              <w:t>提供有形动产租赁服务；提供不动产租赁服务，销售不动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产，转让土地使用权；其他应税销售服务行为</w:t>
            </w:r>
          </w:p>
        </w:tc>
        <w:tc>
          <w:tcPr>
            <w:tcW w:w="19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7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66" w:type="dxa"/>
            <w:vMerge/>
            <w:tcBorders>
              <w:left w:val="single" w:sz="9" w:space="0" w:color="D2D2D2"/>
              <w:right w:val="single" w:sz="4" w:space="0" w:color="000000"/>
            </w:tcBorders>
          </w:tcPr>
          <w:p>
            <w:pPr/>
          </w:p>
        </w:tc>
        <w:tc>
          <w:tcPr>
            <w:tcW w:w="1900" w:type="dxa"/>
            <w:vMerge/>
            <w:tcBorders>
              <w:left w:val="single" w:sz="4" w:space="0" w:color="000000"/>
              <w:right w:val="nil" w:sz="6" w:space="0" w:color="auto"/>
            </w:tcBorders>
          </w:tcPr>
          <w:p>
            <w:pPr/>
          </w:p>
        </w:tc>
      </w:tr>
      <w:tr>
        <w:trPr>
          <w:trHeight w:val="317" w:hRule="exact"/>
        </w:trPr>
        <w:tc>
          <w:tcPr>
            <w:tcW w:w="3176" w:type="dxa"/>
            <w:tcBorders>
              <w:top w:val="nil" w:sz="6" w:space="0" w:color="auto"/>
              <w:left w:val="nil" w:sz="6" w:space="0" w:color="auto"/>
              <w:bottom w:val="single" w:sz="4" w:space="0" w:color="000000"/>
              <w:right w:val="single" w:sz="4" w:space="0" w:color="000000"/>
            </w:tcBorders>
            <w:shd w:val="clear" w:color="auto" w:fill="D2D2D2"/>
          </w:tcPr>
          <w:p>
            <w:pPr/>
          </w:p>
        </w:tc>
        <w:tc>
          <w:tcPr>
            <w:tcW w:w="4466" w:type="dxa"/>
            <w:vMerge/>
            <w:tcBorders>
              <w:left w:val="single" w:sz="9" w:space="0" w:color="D2D2D2"/>
              <w:bottom w:val="single" w:sz="4" w:space="0" w:color="000000"/>
              <w:right w:val="single" w:sz="4" w:space="0" w:color="000000"/>
            </w:tcBorders>
          </w:tcPr>
          <w:p>
            <w:pPr/>
          </w:p>
        </w:tc>
        <w:tc>
          <w:tcPr>
            <w:tcW w:w="1900" w:type="dxa"/>
            <w:vMerge/>
            <w:tcBorders>
              <w:left w:val="single" w:sz="4" w:space="0" w:color="000000"/>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16.5%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52"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日，本公司取得由湖北省科学技术厅、湖北省财政厅、湖北省国家税务局、湖北省地方税务局联合颁发 的编号为</w:t>
      </w:r>
      <w:r>
        <w:rPr>
          <w:rFonts w:ascii="Times New Roman" w:hAnsi="Times New Roman" w:cs="Times New Roman" w:eastAsia="Times New Roman" w:hint="default"/>
        </w:rPr>
        <w:t>GR201742001980</w:t>
      </w:r>
      <w:r>
        <w:rPr/>
        <w:t>的高新技术企业证书，</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年享受所得税优惠税率</w:t>
      </w:r>
      <w:r>
        <w:rPr>
          <w:rFonts w:ascii="Times New Roman" w:hAnsi="Times New Roman" w:cs="Times New Roman" w:eastAsia="Times New Roman" w:hint="default"/>
        </w:rPr>
        <w:t>15%</w:t>
      </w:r>
      <w:r>
        <w:rPr/>
        <w:t>。</w:t>
      </w:r>
    </w:p>
    <w:p>
      <w:pPr>
        <w:pStyle w:val="BodyText"/>
        <w:spacing w:line="300" w:lineRule="auto" w:before="13"/>
        <w:ind w:left="1134" w:right="1152"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日，上海金萃取得由上海市科学技术委员会、上海市财政局、上海市国家税务局、上海市地方税务局联 合颁发的编号为</w:t>
      </w:r>
      <w:r>
        <w:rPr>
          <w:rFonts w:ascii="Times New Roman" w:hAnsi="Times New Roman" w:cs="Times New Roman" w:eastAsia="Times New Roman" w:hint="default"/>
        </w:rPr>
        <w:t>GR201631001835</w:t>
      </w:r>
      <w:r>
        <w:rPr/>
        <w:t>的高新技术企业证书，</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年享受所得税优惠税率</w:t>
      </w:r>
      <w:r>
        <w:rPr>
          <w:rFonts w:ascii="Times New Roman" w:hAnsi="Times New Roman" w:cs="Times New Roman" w:eastAsia="Times New Roman" w:hint="default"/>
        </w:rPr>
        <w:t>15%</w:t>
      </w:r>
      <w:r>
        <w:rPr/>
        <w:t>。</w:t>
      </w:r>
    </w:p>
    <w:p>
      <w:pPr>
        <w:pStyle w:val="BodyText"/>
        <w:spacing w:line="240" w:lineRule="auto" w:before="13"/>
        <w:ind w:left="1553" w:right="0"/>
        <w:jc w:val="left"/>
      </w:pPr>
      <w:r>
        <w:rPr>
          <w:rFonts w:ascii="Times New Roman" w:hAnsi="Times New Roman" w:cs="Times New Roman" w:eastAsia="Times New Roman" w:hint="default"/>
        </w:rPr>
        <w:t>2017</w:t>
      </w:r>
      <w:r>
        <w:rPr/>
        <w:t>年度东莞汇研、武汉斯利沃、高投金运、金运数字、金运产业发展和金运互动符合小型微利企业的认定条件，适</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用</w:t>
      </w:r>
      <w:r>
        <w:rPr>
          <w:rFonts w:ascii="Times New Roman" w:hAnsi="Times New Roman" w:cs="Times New Roman" w:eastAsia="Times New Roman" w:hint="default"/>
        </w:rPr>
        <w:t>20%</w:t>
      </w:r>
      <w:r>
        <w:rPr/>
        <w:t>的所得税优惠税率并减半征收所得税。</w:t>
      </w:r>
    </w:p>
    <w:p>
      <w:pPr>
        <w:spacing w:line="240" w:lineRule="auto" w:before="11"/>
        <w:rPr>
          <w:rFonts w:ascii="宋体" w:hAnsi="宋体" w:cs="宋体" w:eastAsia="宋体" w:hint="default"/>
          <w:sz w:val="25"/>
          <w:szCs w:val="25"/>
        </w:rPr>
      </w:pPr>
    </w:p>
    <w:p>
      <w:pPr>
        <w:spacing w:line="487" w:lineRule="auto" w:before="0"/>
        <w:ind w:left="1133" w:right="7693"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27,078.12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37,973.44</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56,524,313.64</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121,520,418.87</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2,465,834.00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5,021,752.70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59,017,225.76</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126,580,145.01</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146,650.40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79,938.00</w:t>
            </w:r>
          </w:p>
        </w:tc>
      </w:tr>
    </w:tbl>
    <w:p>
      <w:pPr>
        <w:pStyle w:val="BodyText"/>
        <w:spacing w:line="439" w:lineRule="auto" w:before="51"/>
        <w:ind w:right="8053"/>
        <w:jc w:val="left"/>
      </w:pPr>
      <w:r>
        <w:rPr/>
        <w:pict>
          <v:shape style="position:absolute;margin-left:55.259998pt;margin-top:39.161709pt;width:484.4pt;height:6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2"/>
                    <w:gridCol w:w="2761"/>
                    <w:gridCol w:w="2760"/>
                  </w:tblGrid>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2"/>
                          <w:jc w:val="right"/>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2,465,834.00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5,021,752.70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受冻结的银行存款</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607,278.00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225.37</w:t>
                        </w:r>
                      </w:p>
                    </w:tc>
                  </w:tr>
                  <w:tr>
                    <w:trPr>
                      <w:trHeight w:val="343"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3,073,112.00</w:t>
                        </w:r>
                        <w:r>
                          <w:rPr>
                            <w:rFonts w:ascii="Times New Roman"/>
                            <w:spacing w:val="-1"/>
                            <w:sz w:val="18"/>
                          </w:rPr>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5,021,978.07</w:t>
                        </w:r>
                        <w:r>
                          <w:rPr>
                            <w:rFonts w:ascii="Times New Roman"/>
                            <w:spacing w:val="-1"/>
                            <w:sz w:val="18"/>
                          </w:rPr>
                        </w:r>
                      </w:p>
                    </w:tc>
                  </w:tr>
                </w:tbl>
                <w:p>
                  <w:pPr/>
                </w:p>
              </w:txbxContent>
            </v:textbox>
            <w10:wrap type="none"/>
          </v:shape>
        </w:pict>
      </w:r>
      <w:r>
        <w:rPr/>
        <w:t>其他说明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35"/>
        <w:ind w:left="1134"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3,166,902.00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1,013,032.81</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354,044.36</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3,520,946.36</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1,013,032.81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4759"/>
        <w:gridCol w:w="4782"/>
      </w:tblGrid>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4,104,384.50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1,142,262.00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354,044.36</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4,104,384.50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1,496,306.36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4759"/>
        <w:gridCol w:w="4782"/>
      </w:tblGrid>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459"/>
        <w:gridCol w:w="978"/>
        <w:gridCol w:w="658"/>
        <w:gridCol w:w="952"/>
        <w:gridCol w:w="624"/>
        <w:gridCol w:w="972"/>
        <w:gridCol w:w="937"/>
        <w:gridCol w:w="687"/>
        <w:gridCol w:w="924"/>
        <w:gridCol w:w="560"/>
        <w:gridCol w:w="923"/>
      </w:tblGrid>
      <w:tr>
        <w:trPr>
          <w:trHeight w:val="397" w:hRule="exact"/>
        </w:trPr>
        <w:tc>
          <w:tcPr>
            <w:tcW w:w="1459" w:type="dxa"/>
            <w:vMerge w:val="restart"/>
            <w:tcBorders>
              <w:top w:val="single" w:sz="4" w:space="0" w:color="000000"/>
              <w:left w:val="nil" w:sz="6" w:space="0" w:color="auto"/>
              <w:right w:val="single" w:sz="4" w:space="0" w:color="000000"/>
            </w:tcBorders>
            <w:shd w:val="clear" w:color="auto" w:fill="D2D2D2"/>
          </w:tcPr>
          <w:p>
            <w:pPr/>
          </w:p>
        </w:tc>
        <w:tc>
          <w:tcPr>
            <w:tcW w:w="41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2"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59" w:type="dxa"/>
            <w:vMerge/>
            <w:tcBorders>
              <w:left w:val="nil" w:sz="6" w:space="0" w:color="auto"/>
              <w:bottom w:val="nil" w:sz="6" w:space="0" w:color="auto"/>
              <w:right w:val="single" w:sz="4" w:space="0" w:color="000000"/>
            </w:tcBorders>
            <w:shd w:val="clear" w:color="auto" w:fill="D2D2D2"/>
          </w:tcPr>
          <w:p>
            <w:pPr/>
          </w:p>
        </w:tc>
        <w:tc>
          <w:tcPr>
            <w:tcW w:w="16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2" w:type="dxa"/>
            <w:vMerge w:val="restart"/>
            <w:tcBorders>
              <w:top w:val="single" w:sz="4" w:space="0" w:color="000000"/>
              <w:left w:val="single" w:sz="4" w:space="0" w:color="000000"/>
              <w:right w:val="single" w:sz="4" w:space="0" w:color="000000"/>
            </w:tcBorders>
            <w:shd w:val="clear" w:color="auto" w:fill="D2D2D2"/>
          </w:tcPr>
          <w:p>
            <w:pPr/>
          </w:p>
        </w:tc>
        <w:tc>
          <w:tcPr>
            <w:tcW w:w="16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3"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45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36" w:type="dxa"/>
            <w:gridSpan w:val="2"/>
            <w:vMerge/>
            <w:tcBorders>
              <w:left w:val="single" w:sz="4" w:space="0" w:color="000000"/>
              <w:bottom w:val="single" w:sz="4" w:space="0" w:color="000000"/>
              <w:right w:val="single" w:sz="4" w:space="0" w:color="000000"/>
            </w:tcBorders>
            <w:shd w:val="clear" w:color="auto" w:fill="D2D2D2"/>
          </w:tcPr>
          <w:p>
            <w:pPr/>
          </w:p>
        </w:tc>
        <w:tc>
          <w:tcPr>
            <w:tcW w:w="1576" w:type="dxa"/>
            <w:gridSpan w:val="2"/>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1624" w:type="dxa"/>
            <w:gridSpan w:val="2"/>
            <w:vMerge/>
            <w:tcBorders>
              <w:left w:val="single" w:sz="4" w:space="0" w:color="000000"/>
              <w:bottom w:val="single" w:sz="4" w:space="0" w:color="000000"/>
              <w:right w:val="single" w:sz="4" w:space="0" w:color="000000"/>
            </w:tcBorders>
            <w:shd w:val="clear" w:color="auto" w:fill="D2D2D2"/>
          </w:tcPr>
          <w:p>
            <w:pPr/>
          </w:p>
        </w:tc>
        <w:tc>
          <w:tcPr>
            <w:tcW w:w="1484" w:type="dxa"/>
            <w:gridSpan w:val="2"/>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459" w:type="dxa"/>
            <w:vMerge/>
            <w:tcBorders>
              <w:left w:val="nil" w:sz="6" w:space="0" w:color="auto"/>
              <w:bottom w:val="nil" w:sz="6" w:space="0" w:color="auto"/>
              <w:right w:val="single" w:sz="4" w:space="0" w:color="000000"/>
            </w:tcBorders>
            <w:shd w:val="clear" w:color="auto" w:fill="D2D2D2"/>
          </w:tcPr>
          <w:p>
            <w:pPr/>
          </w:p>
        </w:tc>
        <w:tc>
          <w:tcPr>
            <w:tcW w:w="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17" w:right="3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4"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2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459" w:type="dxa"/>
            <w:vMerge w:val="restart"/>
            <w:tcBorders>
              <w:top w:val="nil" w:sz="6" w:space="0" w:color="auto"/>
              <w:left w:val="nil" w:sz="6" w:space="0" w:color="auto"/>
              <w:right w:val="single" w:sz="4" w:space="0" w:color="000000"/>
            </w:tcBorders>
            <w:shd w:val="clear" w:color="auto" w:fill="D2D2D2"/>
          </w:tcPr>
          <w:p>
            <w:pPr/>
          </w:p>
        </w:tc>
        <w:tc>
          <w:tcPr>
            <w:tcW w:w="9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4" w:type="dxa"/>
            <w:vMerge/>
            <w:tcBorders>
              <w:left w:val="single" w:sz="4" w:space="0" w:color="000000"/>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459" w:type="dxa"/>
            <w:vMerge/>
            <w:tcBorders>
              <w:left w:val="nil" w:sz="6" w:space="0" w:color="auto"/>
              <w:right w:val="single" w:sz="4" w:space="0" w:color="000000"/>
            </w:tcBorders>
            <w:shd w:val="clear" w:color="auto" w:fill="D2D2D2"/>
          </w:tcPr>
          <w:p>
            <w:pPr/>
          </w:p>
        </w:tc>
        <w:tc>
          <w:tcPr>
            <w:tcW w:w="978"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c>
          <w:tcPr>
            <w:tcW w:w="952"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972" w:type="dxa"/>
            <w:vMerge w:val="restart"/>
            <w:tcBorders>
              <w:top w:val="nil" w:sz="6" w:space="0" w:color="auto"/>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459" w:type="dxa"/>
            <w:vMerge/>
            <w:tcBorders>
              <w:left w:val="nil" w:sz="6" w:space="0" w:color="auto"/>
              <w:bottom w:val="single" w:sz="4" w:space="0" w:color="000000"/>
              <w:right w:val="single" w:sz="4" w:space="0" w:color="000000"/>
            </w:tcBorders>
            <w:shd w:val="clear" w:color="auto" w:fill="D2D2D2"/>
          </w:tcPr>
          <w:p>
            <w:pPr/>
          </w:p>
        </w:tc>
        <w:tc>
          <w:tcPr>
            <w:tcW w:w="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4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78"/>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9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721,194.95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1.99%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721,194.95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5"/>
                <w:szCs w:val="15"/>
              </w:rPr>
            </w:pPr>
            <w:r>
              <w:rPr>
                <w:rFonts w:ascii="Times New Roman"/>
                <w:sz w:val="15"/>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3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4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78"/>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9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35,239,951.89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97.19%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9,366,712.22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26.58%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25,873,239.67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5"/>
                <w:szCs w:val="15"/>
              </w:rPr>
            </w:pPr>
            <w:r>
              <w:rPr>
                <w:rFonts w:ascii="Times New Roman"/>
                <w:sz w:val="15"/>
              </w:rPr>
              <w:t>46,880,532.33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9,446,636.64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20.15%</w:t>
            </w:r>
          </w:p>
        </w:tc>
        <w:tc>
          <w:tcPr>
            <w:tcW w:w="9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5"/>
                <w:szCs w:val="15"/>
              </w:rPr>
            </w:pPr>
            <w:r>
              <w:rPr>
                <w:rFonts w:ascii="Times New Roman"/>
                <w:sz w:val="15"/>
              </w:rPr>
              <w:t>37,433,895.69</w:t>
            </w:r>
          </w:p>
        </w:tc>
      </w:tr>
      <w:tr>
        <w:trPr>
          <w:trHeight w:val="1026" w:hRule="exact"/>
        </w:trPr>
        <w:tc>
          <w:tcPr>
            <w:tcW w:w="14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78"/>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9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296,225.44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0.82%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296,225.44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5"/>
                <w:szCs w:val="15"/>
              </w:rPr>
            </w:pPr>
            <w:r>
              <w:rPr>
                <w:rFonts w:ascii="Times New Roman"/>
                <w:sz w:val="15"/>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3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84"/>
        <w:gridCol w:w="967"/>
        <w:gridCol w:w="658"/>
        <w:gridCol w:w="952"/>
        <w:gridCol w:w="624"/>
        <w:gridCol w:w="972"/>
        <w:gridCol w:w="937"/>
        <w:gridCol w:w="687"/>
        <w:gridCol w:w="924"/>
        <w:gridCol w:w="560"/>
        <w:gridCol w:w="937"/>
      </w:tblGrid>
      <w:tr>
        <w:trPr>
          <w:trHeight w:val="402" w:hRule="exact"/>
        </w:trPr>
        <w:tc>
          <w:tcPr>
            <w:tcW w:w="1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0" w:right="0"/>
              <w:jc w:val="left"/>
              <w:rPr>
                <w:rFonts w:ascii="Times New Roman" w:hAnsi="Times New Roman" w:cs="Times New Roman" w:eastAsia="Times New Roman" w:hint="default"/>
                <w:sz w:val="15"/>
                <w:szCs w:val="15"/>
              </w:rPr>
            </w:pPr>
            <w:r>
              <w:rPr>
                <w:rFonts w:ascii="Times New Roman"/>
                <w:sz w:val="15"/>
              </w:rPr>
              <w:t>36,257,372.28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7" w:right="0"/>
              <w:jc w:val="left"/>
              <w:rPr>
                <w:rFonts w:ascii="Times New Roman" w:hAnsi="Times New Roman" w:cs="Times New Roman" w:eastAsia="Times New Roman" w:hint="default"/>
                <w:sz w:val="15"/>
                <w:szCs w:val="15"/>
              </w:rPr>
            </w:pPr>
            <w:r>
              <w:rPr>
                <w:rFonts w:ascii="Times New Roman"/>
                <w:sz w:val="15"/>
              </w:rPr>
              <w:t>100.00%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6" w:right="0"/>
              <w:jc w:val="left"/>
              <w:rPr>
                <w:rFonts w:ascii="Times New Roman" w:hAnsi="Times New Roman" w:cs="Times New Roman" w:eastAsia="Times New Roman" w:hint="default"/>
                <w:sz w:val="15"/>
                <w:szCs w:val="15"/>
              </w:rPr>
            </w:pPr>
            <w:r>
              <w:rPr>
                <w:rFonts w:ascii="Times New Roman"/>
                <w:sz w:val="15"/>
              </w:rPr>
              <w:t>10,384,132.61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9" w:right="0"/>
              <w:jc w:val="left"/>
              <w:rPr>
                <w:rFonts w:ascii="Times New Roman" w:hAnsi="Times New Roman" w:cs="Times New Roman" w:eastAsia="Times New Roman" w:hint="default"/>
                <w:sz w:val="15"/>
                <w:szCs w:val="15"/>
              </w:rPr>
            </w:pPr>
            <w:r>
              <w:rPr>
                <w:rFonts w:ascii="Times New Roman"/>
                <w:sz w:val="15"/>
              </w:rPr>
              <w:t>28.64%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6" w:right="0"/>
              <w:jc w:val="left"/>
              <w:rPr>
                <w:rFonts w:ascii="Times New Roman" w:hAnsi="Times New Roman" w:cs="Times New Roman" w:eastAsia="Times New Roman" w:hint="default"/>
                <w:sz w:val="15"/>
                <w:szCs w:val="15"/>
              </w:rPr>
            </w:pPr>
            <w:r>
              <w:rPr>
                <w:rFonts w:ascii="Times New Roman"/>
                <w:sz w:val="15"/>
              </w:rPr>
              <w:t>25,873,239.67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 w:right="0"/>
              <w:jc w:val="left"/>
              <w:rPr>
                <w:rFonts w:ascii="Times New Roman" w:hAnsi="Times New Roman" w:cs="Times New Roman" w:eastAsia="Times New Roman" w:hint="default"/>
                <w:sz w:val="15"/>
                <w:szCs w:val="15"/>
              </w:rPr>
            </w:pPr>
            <w:r>
              <w:rPr>
                <w:rFonts w:ascii="Times New Roman"/>
                <w:sz w:val="15"/>
              </w:rPr>
              <w:t>46,880,532.33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5" w:right="0"/>
              <w:jc w:val="left"/>
              <w:rPr>
                <w:rFonts w:ascii="Times New Roman" w:hAnsi="Times New Roman" w:cs="Times New Roman" w:eastAsia="Times New Roman" w:hint="default"/>
                <w:sz w:val="15"/>
                <w:szCs w:val="15"/>
              </w:rPr>
            </w:pPr>
            <w:r>
              <w:rPr>
                <w:rFonts w:ascii="Times New Roman"/>
                <w:sz w:val="15"/>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9,446,636.64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4" w:right="0"/>
              <w:jc w:val="left"/>
              <w:rPr>
                <w:rFonts w:ascii="Times New Roman" w:hAnsi="Times New Roman" w:cs="Times New Roman" w:eastAsia="Times New Roman" w:hint="default"/>
                <w:sz w:val="15"/>
                <w:szCs w:val="15"/>
              </w:rPr>
            </w:pPr>
            <w:r>
              <w:rPr>
                <w:rFonts w:ascii="Times New Roman"/>
                <w:sz w:val="15"/>
              </w:rPr>
              <w:t>20.15%</w:t>
            </w:r>
          </w:p>
        </w:tc>
        <w:tc>
          <w:tcPr>
            <w:tcW w:w="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left="41" w:right="0"/>
              <w:jc w:val="left"/>
              <w:rPr>
                <w:rFonts w:ascii="Times New Roman" w:hAnsi="Times New Roman" w:cs="Times New Roman" w:eastAsia="Times New Roman" w:hint="default"/>
                <w:sz w:val="15"/>
                <w:szCs w:val="15"/>
              </w:rPr>
            </w:pPr>
            <w:r>
              <w:rPr>
                <w:rFonts w:ascii="Times New Roman"/>
                <w:sz w:val="15"/>
              </w:rPr>
              <w:t>37,433,895.69</w:t>
            </w:r>
          </w:p>
        </w:tc>
      </w:tr>
    </w:tbl>
    <w:p>
      <w:pPr>
        <w:spacing w:after="0" w:line="240" w:lineRule="auto"/>
        <w:jc w:val="left"/>
        <w:rPr>
          <w:rFonts w:ascii="Times New Roman" w:hAnsi="Times New Roman" w:cs="Times New Roman" w:eastAsia="Times New Roman" w:hint="default"/>
          <w:sz w:val="15"/>
          <w:szCs w:val="15"/>
        </w:rPr>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nil" w:sz="6" w:space="0" w:color="auto"/>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8"/>
              <w:jc w:val="left"/>
              <w:rPr>
                <w:rFonts w:ascii="宋体" w:hAnsi="宋体" w:cs="宋体" w:eastAsia="宋体" w:hint="default"/>
                <w:sz w:val="18"/>
                <w:szCs w:val="18"/>
              </w:rPr>
            </w:pPr>
            <w:r>
              <w:rPr>
                <w:rFonts w:ascii="宋体" w:hAnsi="宋体" w:cs="宋体" w:eastAsia="宋体" w:hint="default"/>
                <w:sz w:val="18"/>
                <w:szCs w:val="18"/>
              </w:rPr>
              <w:t>落地创意（武汉）科技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721,194.95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721,194.95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721,194.95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721,194.95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0"/>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379"/>
        <w:gridCol w:w="2393"/>
        <w:gridCol w:w="2392"/>
        <w:gridCol w:w="2378"/>
      </w:tblGrid>
      <w:tr>
        <w:trPr>
          <w:trHeight w:val="206" w:hRule="exact"/>
        </w:trPr>
        <w:tc>
          <w:tcPr>
            <w:tcW w:w="2379" w:type="dxa"/>
            <w:tcBorders>
              <w:top w:val="single" w:sz="4" w:space="0" w:color="000000"/>
              <w:left w:val="nil" w:sz="6" w:space="0" w:color="auto"/>
              <w:bottom w:val="nil" w:sz="6" w:space="0" w:color="auto"/>
              <w:right w:val="single" w:sz="4" w:space="0" w:color="000000"/>
            </w:tcBorders>
            <w:shd w:val="clear" w:color="auto" w:fill="D2D2D2"/>
          </w:tcPr>
          <w:p>
            <w:pPr/>
          </w:p>
        </w:tc>
        <w:tc>
          <w:tcPr>
            <w:tcW w:w="716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163"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2379" w:type="dxa"/>
            <w:vMerge/>
            <w:tcBorders>
              <w:left w:val="nil" w:sz="6" w:space="0" w:color="auto"/>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nil" w:sz="6" w:space="0" w:color="auto"/>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19,003,400.45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570,102.02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7,987,190.75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1,198,078.61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1,301,658.21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650,829.11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6,947,702.48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6,947,702.48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35,239,951.89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9,366,712.22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26.58%</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121"/>
        <w:ind w:left="1613" w:right="0"/>
        <w:jc w:val="left"/>
      </w:pPr>
      <w:r>
        <w:rPr>
          <w:rFonts w:ascii="宋体" w:hAnsi="宋体" w:cs="宋体" w:eastAsia="宋体" w:hint="default"/>
        </w:rPr>
        <w:t>1.  </w:t>
      </w:r>
      <w:r>
        <w:rPr/>
        <w:t>期末单项金额虽不重大但单独计提坏账准备的应收账款</w:t>
      </w:r>
    </w:p>
    <w:p>
      <w:pPr>
        <w:spacing w:line="240" w:lineRule="auto" w:before="0"/>
        <w:rPr>
          <w:rFonts w:ascii="宋体" w:hAnsi="宋体" w:cs="宋体" w:eastAsia="宋体" w:hint="default"/>
          <w:sz w:val="5"/>
          <w:szCs w:val="5"/>
        </w:rPr>
      </w:pPr>
    </w:p>
    <w:tbl>
      <w:tblPr>
        <w:tblW w:w="0" w:type="auto"/>
        <w:jc w:val="left"/>
        <w:tblInd w:w="1119" w:type="dxa"/>
        <w:tblLayout w:type="fixed"/>
        <w:tblCellMar>
          <w:top w:w="0" w:type="dxa"/>
          <w:left w:w="0" w:type="dxa"/>
          <w:bottom w:w="0" w:type="dxa"/>
          <w:right w:w="0" w:type="dxa"/>
        </w:tblCellMar>
        <w:tblLook w:val="01E0"/>
      </w:tblPr>
      <w:tblGrid>
        <w:gridCol w:w="3173"/>
        <w:gridCol w:w="1594"/>
        <w:gridCol w:w="1847"/>
        <w:gridCol w:w="894"/>
        <w:gridCol w:w="2150"/>
      </w:tblGrid>
      <w:tr>
        <w:trPr>
          <w:trHeight w:val="342" w:hRule="exact"/>
        </w:trPr>
        <w:tc>
          <w:tcPr>
            <w:tcW w:w="3173" w:type="dxa"/>
            <w:vMerge w:val="restart"/>
            <w:tcBorders>
              <w:top w:val="single" w:sz="4" w:space="0" w:color="000000"/>
              <w:left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17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296,225.44</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296,225.44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296,225.44</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296,225.44</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5"/>
        <w:ind w:left="1134"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937,495.97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tbl>
      <w:tblPr>
        <w:tblW w:w="0" w:type="auto"/>
        <w:jc w:val="left"/>
        <w:tblInd w:w="110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4,414,400.00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0" w:right="0"/>
              <w:jc w:val="left"/>
              <w:rPr>
                <w:rFonts w:ascii="Times New Roman" w:hAnsi="Times New Roman" w:cs="Times New Roman" w:eastAsia="Times New Roman" w:hint="default"/>
                <w:sz w:val="18"/>
                <w:szCs w:val="18"/>
              </w:rPr>
            </w:pPr>
            <w:r>
              <w:rPr>
                <w:rFonts w:ascii="Times New Roman"/>
                <w:sz w:val="18"/>
              </w:rPr>
              <w:t>12.18</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662,160.00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2,434,905.00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6" w:right="0"/>
              <w:jc w:val="left"/>
              <w:rPr>
                <w:rFonts w:ascii="Times New Roman" w:hAnsi="Times New Roman" w:cs="Times New Roman" w:eastAsia="Times New Roman" w:hint="default"/>
                <w:sz w:val="18"/>
                <w:szCs w:val="18"/>
              </w:rPr>
            </w:pPr>
            <w:r>
              <w:rPr>
                <w:rFonts w:ascii="Times New Roman"/>
                <w:sz w:val="18"/>
              </w:rPr>
              <w:t>6.72</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73,047.15</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1,711,539.82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6" w:right="0"/>
              <w:jc w:val="left"/>
              <w:rPr>
                <w:rFonts w:ascii="Times New Roman" w:hAnsi="Times New Roman" w:cs="Times New Roman" w:eastAsia="Times New Roman" w:hint="default"/>
                <w:sz w:val="18"/>
                <w:szCs w:val="18"/>
              </w:rPr>
            </w:pPr>
            <w:r>
              <w:rPr>
                <w:rFonts w:ascii="Times New Roman"/>
                <w:sz w:val="18"/>
              </w:rPr>
              <w:t>4.72</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51,346.19</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1,534,000.00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6" w:right="0"/>
              <w:jc w:val="left"/>
              <w:rPr>
                <w:rFonts w:ascii="Times New Roman" w:hAnsi="Times New Roman" w:cs="Times New Roman" w:eastAsia="Times New Roman" w:hint="default"/>
                <w:sz w:val="18"/>
                <w:szCs w:val="18"/>
              </w:rPr>
            </w:pPr>
            <w:r>
              <w:rPr>
                <w:rFonts w:ascii="Times New Roman"/>
                <w:sz w:val="18"/>
              </w:rPr>
              <w:t>4.23</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1,534,000.00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994,827.60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6" w:right="0"/>
              <w:jc w:val="left"/>
              <w:rPr>
                <w:rFonts w:ascii="Times New Roman" w:hAnsi="Times New Roman" w:cs="Times New Roman" w:eastAsia="Times New Roman" w:hint="default"/>
                <w:sz w:val="18"/>
                <w:szCs w:val="18"/>
              </w:rPr>
            </w:pPr>
            <w:r>
              <w:rPr>
                <w:rFonts w:ascii="Times New Roman"/>
                <w:sz w:val="18"/>
              </w:rPr>
              <w:t>2.74</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29,844.83</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11,089,672.42</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80" w:right="0"/>
              <w:jc w:val="left"/>
              <w:rPr>
                <w:rFonts w:ascii="Times New Roman" w:hAnsi="Times New Roman" w:cs="Times New Roman" w:eastAsia="Times New Roman" w:hint="default"/>
                <w:sz w:val="18"/>
                <w:szCs w:val="18"/>
              </w:rPr>
            </w:pPr>
            <w:r>
              <w:rPr>
                <w:rFonts w:ascii="Times New Roman"/>
                <w:b/>
                <w:sz w:val="18"/>
              </w:rPr>
              <w:t>30.59</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b/>
                <w:spacing w:val="-1"/>
                <w:sz w:val="18"/>
              </w:rPr>
              <w:t>2,350,398.17</w:t>
            </w:r>
            <w:r>
              <w:rPr>
                <w:rFonts w:ascii="Times New Roman"/>
                <w:spacing w:val="-1"/>
                <w:sz w:val="18"/>
              </w:rPr>
            </w:r>
          </w:p>
        </w:tc>
      </w:tr>
    </w:tbl>
    <w:p>
      <w:pPr>
        <w:spacing w:line="240" w:lineRule="auto" w:before="7"/>
        <w:rPr>
          <w:rFonts w:ascii="宋体" w:hAnsi="宋体" w:cs="宋体" w:eastAsia="宋体" w:hint="default"/>
          <w:sz w:val="20"/>
          <w:szCs w:val="20"/>
        </w:rPr>
      </w:pPr>
    </w:p>
    <w:p>
      <w:pPr>
        <w:pStyle w:val="Heading3"/>
        <w:spacing w:line="240" w:lineRule="auto" w:before="35"/>
        <w:ind w:left="1134"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887"/>
        <w:gridCol w:w="1927"/>
        <w:gridCol w:w="1914"/>
        <w:gridCol w:w="1914"/>
        <w:gridCol w:w="1915"/>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7,219,491.69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4,303,785.10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59.99%</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151,380.83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987,381.05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13.76%</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38,526.56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1,823,575.94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25.42%</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769,527.53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59,527.53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8,178,926.61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7,174,269.62</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05" w:type="dxa"/>
        <w:tblLayout w:type="fixed"/>
        <w:tblCellMar>
          <w:top w:w="0" w:type="dxa"/>
          <w:left w:w="0" w:type="dxa"/>
          <w:bottom w:w="0" w:type="dxa"/>
          <w:right w:w="0" w:type="dxa"/>
        </w:tblCellMar>
        <w:tblLook w:val="01E0"/>
      </w:tblPr>
      <w:tblGrid>
        <w:gridCol w:w="2866"/>
        <w:gridCol w:w="2186"/>
        <w:gridCol w:w="1507"/>
        <w:gridCol w:w="3114"/>
      </w:tblGrid>
      <w:tr>
        <w:trPr>
          <w:trHeight w:val="34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654"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0"/>
              <w:ind w:left="24" w:right="135"/>
              <w:jc w:val="left"/>
              <w:rPr>
                <w:rFonts w:ascii="宋体" w:hAnsi="宋体" w:cs="宋体" w:eastAsia="宋体" w:hint="default"/>
                <w:sz w:val="18"/>
                <w:szCs w:val="18"/>
              </w:rPr>
            </w:pPr>
            <w:r>
              <w:rPr>
                <w:rFonts w:ascii="宋体" w:hAnsi="宋体" w:cs="宋体" w:eastAsia="宋体" w:hint="default"/>
                <w:sz w:val="18"/>
                <w:szCs w:val="18"/>
              </w:rPr>
              <w:t>武汉锐科光纤激光器技术有限责任 公司</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560,000.00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未验收结算</w:t>
            </w:r>
          </w:p>
        </w:tc>
      </w:tr>
      <w:tr>
        <w:trPr>
          <w:trHeight w:val="34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560,000.00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3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0" w:type="dxa"/>
        <w:tblLayout w:type="fixed"/>
        <w:tblCellMar>
          <w:top w:w="0" w:type="dxa"/>
          <w:left w:w="0" w:type="dxa"/>
          <w:bottom w:w="0" w:type="dxa"/>
          <w:right w:w="0" w:type="dxa"/>
        </w:tblCellMar>
        <w:tblLook w:val="01E0"/>
      </w:tblPr>
      <w:tblGrid>
        <w:gridCol w:w="3990"/>
        <w:gridCol w:w="1445"/>
        <w:gridCol w:w="1285"/>
        <w:gridCol w:w="1125"/>
        <w:gridCol w:w="1829"/>
      </w:tblGrid>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占预付账款总额</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05" w:type="dxa"/>
        <w:tblLayout w:type="fixed"/>
        <w:tblCellMar>
          <w:top w:w="0" w:type="dxa"/>
          <w:left w:w="0" w:type="dxa"/>
          <w:bottom w:w="0" w:type="dxa"/>
          <w:right w:w="0" w:type="dxa"/>
        </w:tblCellMar>
        <w:tblLook w:val="01E0"/>
      </w:tblPr>
      <w:tblGrid>
        <w:gridCol w:w="3990"/>
        <w:gridCol w:w="1445"/>
        <w:gridCol w:w="1285"/>
        <w:gridCol w:w="1125"/>
        <w:gridCol w:w="1829"/>
      </w:tblGrid>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112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阿帕奇（北京）光纤激光技术有限公司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939,588.99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11.49</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武汉锐科光纤激光器技术有限责任公司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560,000.00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6.85</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相干（北京）商业有限公司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176,200.00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2.15</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上海秀轩工贸有限公司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166,854.70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武汉顶浪电气有限公司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1.83</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1,992,643.69</w:t>
            </w:r>
            <w:r>
              <w:rPr>
                <w:rFonts w:ascii="Times New Roman"/>
                <w:spacing w:val="-1"/>
                <w:sz w:val="18"/>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24.36</w:t>
            </w:r>
            <w:r>
              <w:rPr>
                <w:rFonts w:ascii="Times New Roman"/>
                <w:sz w:val="18"/>
              </w:rPr>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8、应收股利" w:id="240"/>
      <w:bookmarkEnd w:id="24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9、其他应收款" w:id="241"/>
      <w:bookmarkEnd w:id="24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42"/>
      <w:bookmarkEnd w:id="2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535"/>
        <w:gridCol w:w="999"/>
        <w:gridCol w:w="617"/>
        <w:gridCol w:w="849"/>
        <w:gridCol w:w="635"/>
        <w:gridCol w:w="893"/>
        <w:gridCol w:w="926"/>
        <w:gridCol w:w="603"/>
        <w:gridCol w:w="896"/>
        <w:gridCol w:w="684"/>
        <w:gridCol w:w="904"/>
      </w:tblGrid>
      <w:tr>
        <w:trPr>
          <w:trHeight w:val="403" w:hRule="exact"/>
        </w:trPr>
        <w:tc>
          <w:tcPr>
            <w:tcW w:w="1535" w:type="dxa"/>
            <w:vMerge w:val="restart"/>
            <w:tcBorders>
              <w:top w:val="single" w:sz="4" w:space="0" w:color="000000"/>
              <w:left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13"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535" w:type="dxa"/>
            <w:vMerge/>
            <w:tcBorders>
              <w:left w:val="nil" w:sz="6" w:space="0" w:color="auto"/>
              <w:bottom w:val="nil" w:sz="6" w:space="0" w:color="auto"/>
              <w:right w:val="single" w:sz="4" w:space="0" w:color="000000"/>
            </w:tcBorders>
            <w:shd w:val="clear" w:color="auto" w:fill="D2D2D2"/>
          </w:tcPr>
          <w:p>
            <w:pPr/>
          </w:p>
        </w:tc>
        <w:tc>
          <w:tcPr>
            <w:tcW w:w="16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3" w:type="dxa"/>
            <w:vMerge w:val="restart"/>
            <w:tcBorders>
              <w:top w:val="single" w:sz="4" w:space="0" w:color="000000"/>
              <w:left w:val="single" w:sz="4" w:space="0" w:color="000000"/>
              <w:right w:val="single" w:sz="4" w:space="0" w:color="000000"/>
            </w:tcBorders>
            <w:shd w:val="clear" w:color="auto" w:fill="D2D2D2"/>
          </w:tcPr>
          <w:p>
            <w:pPr/>
          </w:p>
        </w:tc>
        <w:tc>
          <w:tcPr>
            <w:tcW w:w="15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4"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53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16" w:type="dxa"/>
            <w:gridSpan w:val="2"/>
            <w:vMerge/>
            <w:tcBorders>
              <w:left w:val="single" w:sz="4" w:space="0" w:color="000000"/>
              <w:bottom w:val="single" w:sz="4" w:space="0" w:color="000000"/>
              <w:right w:val="single" w:sz="4" w:space="0" w:color="000000"/>
            </w:tcBorders>
            <w:shd w:val="clear" w:color="auto" w:fill="D2D2D2"/>
          </w:tcPr>
          <w:p>
            <w:pPr/>
          </w:p>
        </w:tc>
        <w:tc>
          <w:tcPr>
            <w:tcW w:w="1484" w:type="dxa"/>
            <w:gridSpan w:val="2"/>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c>
          <w:tcPr>
            <w:tcW w:w="1529" w:type="dxa"/>
            <w:gridSpan w:val="2"/>
            <w:vMerge/>
            <w:tcBorders>
              <w:left w:val="single" w:sz="4" w:space="0" w:color="000000"/>
              <w:bottom w:val="single" w:sz="4" w:space="0" w:color="000000"/>
              <w:right w:val="single" w:sz="4" w:space="0" w:color="000000"/>
            </w:tcBorders>
            <w:shd w:val="clear" w:color="auto" w:fill="D2D2D2"/>
          </w:tcPr>
          <w:p>
            <w:pPr/>
          </w:p>
        </w:tc>
        <w:tc>
          <w:tcPr>
            <w:tcW w:w="1580" w:type="dxa"/>
            <w:gridSpan w:val="2"/>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nil" w:sz="6" w:space="0" w:color="auto"/>
            </w:tcBorders>
            <w:shd w:val="clear" w:color="auto" w:fill="D2D2D2"/>
          </w:tcPr>
          <w:p>
            <w:pPr/>
          </w:p>
        </w:tc>
      </w:tr>
      <w:tr>
        <w:trPr>
          <w:trHeight w:val="159" w:hRule="exact"/>
        </w:trPr>
        <w:tc>
          <w:tcPr>
            <w:tcW w:w="1535" w:type="dxa"/>
            <w:vMerge/>
            <w:tcBorders>
              <w:left w:val="nil" w:sz="6" w:space="0" w:color="auto"/>
              <w:bottom w:val="single" w:sz="4" w:space="0" w:color="FFFFFF"/>
              <w:right w:val="single" w:sz="4" w:space="0" w:color="000000"/>
            </w:tcBorders>
            <w:shd w:val="clear" w:color="auto" w:fill="D2D2D2"/>
          </w:tcPr>
          <w:p>
            <w:pPr/>
          </w:p>
        </w:tc>
        <w:tc>
          <w:tcPr>
            <w:tcW w:w="99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1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2" w:right="4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0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535" w:type="dxa"/>
            <w:vMerge w:val="restart"/>
            <w:tcBorders>
              <w:top w:val="single" w:sz="4" w:space="0" w:color="FFFFFF"/>
              <w:left w:val="nil" w:sz="6" w:space="0" w:color="auto"/>
              <w:right w:val="single" w:sz="4" w:space="0" w:color="000000"/>
            </w:tcBorders>
            <w:shd w:val="clear" w:color="auto" w:fill="D2D2D2"/>
          </w:tcPr>
          <w:p>
            <w:pPr/>
          </w:p>
        </w:tc>
        <w:tc>
          <w:tcPr>
            <w:tcW w:w="9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5" w:type="dxa"/>
            <w:vMerge/>
            <w:tcBorders>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vMerge/>
            <w:tcBorders>
              <w:left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535" w:type="dxa"/>
            <w:vMerge/>
            <w:tcBorders>
              <w:left w:val="nil" w:sz="6" w:space="0" w:color="auto"/>
              <w:right w:val="single" w:sz="4" w:space="0" w:color="000000"/>
            </w:tcBorders>
            <w:shd w:val="clear" w:color="auto" w:fill="D2D2D2"/>
          </w:tcPr>
          <w:p>
            <w:pPr/>
          </w:p>
        </w:tc>
        <w:tc>
          <w:tcPr>
            <w:tcW w:w="999" w:type="dxa"/>
            <w:vMerge/>
            <w:tcBorders>
              <w:left w:val="single" w:sz="4" w:space="0" w:color="000000"/>
              <w:bottom w:val="nil" w:sz="6" w:space="0" w:color="auto"/>
              <w:right w:val="single" w:sz="4" w:space="0" w:color="000000"/>
            </w:tcBorders>
            <w:shd w:val="clear" w:color="auto" w:fill="D2D2D2"/>
          </w:tcPr>
          <w:p>
            <w:pPr/>
          </w:p>
        </w:tc>
        <w:tc>
          <w:tcPr>
            <w:tcW w:w="617" w:type="dxa"/>
            <w:vMerge/>
            <w:tcBorders>
              <w:left w:val="single" w:sz="4" w:space="0" w:color="000000"/>
              <w:bottom w:val="nil" w:sz="6" w:space="0" w:color="auto"/>
              <w:right w:val="single" w:sz="4" w:space="0" w:color="000000"/>
            </w:tcBorders>
            <w:shd w:val="clear" w:color="auto" w:fill="D2D2D2"/>
          </w:tcPr>
          <w:p>
            <w:pPr/>
          </w:p>
        </w:tc>
        <w:tc>
          <w:tcPr>
            <w:tcW w:w="849" w:type="dxa"/>
            <w:vMerge/>
            <w:tcBorders>
              <w:left w:val="single" w:sz="4" w:space="0" w:color="000000"/>
              <w:bottom w:val="nil" w:sz="6" w:space="0" w:color="auto"/>
              <w:right w:val="single" w:sz="4" w:space="0" w:color="000000"/>
            </w:tcBorders>
            <w:shd w:val="clear" w:color="auto" w:fill="D2D2D2"/>
          </w:tcPr>
          <w:p>
            <w:pPr/>
          </w:p>
        </w:tc>
        <w:tc>
          <w:tcPr>
            <w:tcW w:w="635" w:type="dxa"/>
            <w:vMerge/>
            <w:tcBorders>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60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904"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535" w:type="dxa"/>
            <w:vMerge/>
            <w:tcBorders>
              <w:left w:val="nil" w:sz="6" w:space="0" w:color="auto"/>
              <w:bottom w:val="single" w:sz="4" w:space="0" w:color="000000"/>
              <w:right w:val="single" w:sz="4" w:space="0" w:color="000000"/>
            </w:tcBorders>
            <w:shd w:val="clear" w:color="auto" w:fill="D2D2D2"/>
          </w:tcPr>
          <w:p>
            <w:pPr/>
          </w:p>
        </w:tc>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5"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74"/>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4,361,169.40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26.47%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4,361,169.40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0.00%</w:t>
            </w:r>
          </w:p>
        </w:tc>
        <w:tc>
          <w:tcPr>
            <w:tcW w:w="9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z w:val="15"/>
              </w:rPr>
              <w:t>0.00</w:t>
            </w: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7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11,613,891.90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70.49%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5,135,676.82</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48.34%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6,478,215.08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2"/>
                <w:sz w:val="15"/>
              </w:rPr>
              <w:t>11,012,873.11</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2,620,078.30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23.79%</w:t>
            </w:r>
          </w:p>
        </w:tc>
        <w:tc>
          <w:tcPr>
            <w:tcW w:w="9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8,392,794.81</w:t>
            </w: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74"/>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500,000.00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5"/>
                <w:szCs w:val="15"/>
              </w:rPr>
            </w:pPr>
            <w:r>
              <w:rPr>
                <w:rFonts w:ascii="Times New Roman"/>
                <w:sz w:val="15"/>
              </w:rPr>
              <w:t>3.03%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5"/>
                <w:szCs w:val="15"/>
              </w:rPr>
            </w:pPr>
            <w:r>
              <w:rPr>
                <w:rFonts w:ascii="Times New Roman"/>
                <w:sz w:val="15"/>
              </w:rPr>
              <w:t>500,000.00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0.00%</w:t>
            </w:r>
          </w:p>
        </w:tc>
        <w:tc>
          <w:tcPr>
            <w:tcW w:w="9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z w:val="15"/>
              </w:rPr>
              <w:t>0.00</w:t>
            </w:r>
          </w:p>
        </w:tc>
      </w:tr>
      <w:tr>
        <w:trPr>
          <w:trHeight w:val="403"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16,475,061.30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center"/>
              <w:rPr>
                <w:rFonts w:ascii="Times New Roman" w:hAnsi="Times New Roman" w:cs="Times New Roman" w:eastAsia="Times New Roman" w:hint="default"/>
                <w:sz w:val="15"/>
                <w:szCs w:val="15"/>
              </w:rPr>
            </w:pPr>
            <w:r>
              <w:rPr>
                <w:rFonts w:ascii="Times New Roman"/>
                <w:sz w:val="15"/>
              </w:rPr>
              <w:t>100.00%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 w:right="0"/>
              <w:jc w:val="center"/>
              <w:rPr>
                <w:rFonts w:ascii="Times New Roman" w:hAnsi="Times New Roman" w:cs="Times New Roman" w:eastAsia="Times New Roman" w:hint="default"/>
                <w:sz w:val="15"/>
                <w:szCs w:val="15"/>
              </w:rPr>
            </w:pPr>
            <w:r>
              <w:rPr>
                <w:rFonts w:ascii="Times New Roman"/>
                <w:sz w:val="15"/>
              </w:rPr>
              <w:t>9,996,846.22</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60.68%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6,478,215.08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2"/>
                <w:sz w:val="15"/>
              </w:rPr>
              <w:t>11,012,873.11</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2,620,078.30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23.79%</w:t>
            </w:r>
          </w:p>
        </w:tc>
        <w:tc>
          <w:tcPr>
            <w:tcW w:w="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
              <w:jc w:val="right"/>
              <w:rPr>
                <w:rFonts w:ascii="Times New Roman" w:hAnsi="Times New Roman" w:cs="Times New Roman" w:eastAsia="Times New Roman" w:hint="default"/>
                <w:sz w:val="15"/>
                <w:szCs w:val="15"/>
              </w:rPr>
            </w:pPr>
            <w:r>
              <w:rPr>
                <w:rFonts w:ascii="Times New Roman"/>
                <w:spacing w:val="-1"/>
                <w:sz w:val="15"/>
              </w:rPr>
              <w:t>8,392,794.81</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nil" w:sz="6" w:space="0" w:color="auto"/>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7"/>
              <w:jc w:val="left"/>
              <w:rPr>
                <w:rFonts w:ascii="宋体" w:hAnsi="宋体" w:cs="宋体" w:eastAsia="宋体" w:hint="default"/>
                <w:sz w:val="18"/>
                <w:szCs w:val="18"/>
              </w:rPr>
            </w:pPr>
            <w:r>
              <w:rPr>
                <w:rFonts w:ascii="宋体" w:hAnsi="宋体" w:cs="宋体" w:eastAsia="宋体" w:hint="default"/>
                <w:sz w:val="18"/>
                <w:szCs w:val="18"/>
              </w:rPr>
              <w:t>落地创意（武汉）科技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4,361,169.40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4,361,169.40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25"/>
        <w:gridCol w:w="1903"/>
        <w:gridCol w:w="1915"/>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4,361,169.40</w:t>
            </w:r>
          </w:p>
        </w:tc>
        <w:tc>
          <w:tcPr>
            <w:tcW w:w="192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4,361,169.40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8"/>
          <w:pgSz w:w="11910" w:h="16840"/>
          <w:pgMar w:footer="979" w:header="877" w:top="1100" w:bottom="116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378"/>
        <w:gridCol w:w="2393"/>
        <w:gridCol w:w="2392"/>
        <w:gridCol w:w="2378"/>
      </w:tblGrid>
      <w:tr>
        <w:trPr>
          <w:trHeight w:val="205" w:hRule="exact"/>
        </w:trPr>
        <w:tc>
          <w:tcPr>
            <w:tcW w:w="2378" w:type="dxa"/>
            <w:tcBorders>
              <w:top w:val="single" w:sz="4" w:space="0" w:color="000000"/>
              <w:left w:val="nil" w:sz="6" w:space="0" w:color="auto"/>
              <w:bottom w:val="nil" w:sz="6" w:space="0" w:color="auto"/>
              <w:right w:val="single" w:sz="4" w:space="0" w:color="000000"/>
            </w:tcBorders>
            <w:shd w:val="clear" w:color="auto" w:fill="D2D2D2"/>
          </w:tcPr>
          <w:p>
            <w:pPr/>
          </w:p>
        </w:tc>
        <w:tc>
          <w:tcPr>
            <w:tcW w:w="716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63"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378" w:type="dxa"/>
            <w:vMerge/>
            <w:tcBorders>
              <w:left w:val="nil" w:sz="6" w:space="0" w:color="auto"/>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8" w:type="dxa"/>
            <w:tcBorders>
              <w:top w:val="nil" w:sz="6" w:space="0" w:color="auto"/>
              <w:left w:val="nil" w:sz="6" w:space="0" w:color="auto"/>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4,915,191.32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147,455.75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457,657.42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68,648.61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665,334.16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332,667.08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4,586,905.38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4,586,905.38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10,625,088.28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5,135,676.82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48.34%</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、组合中，按无风险及关联方组合计提坏账准备的其他应收款</w:t>
      </w:r>
    </w:p>
    <w:p>
      <w:pPr>
        <w:spacing w:line="240" w:lineRule="auto" w:before="13"/>
        <w:rPr>
          <w:rFonts w:ascii="宋体" w:hAnsi="宋体" w:cs="宋体" w:eastAsia="宋体"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3014"/>
        <w:gridCol w:w="1754"/>
        <w:gridCol w:w="1457"/>
        <w:gridCol w:w="1284"/>
        <w:gridCol w:w="2150"/>
      </w:tblGrid>
      <w:tr>
        <w:trPr>
          <w:trHeight w:val="342" w:hRule="exact"/>
        </w:trPr>
        <w:tc>
          <w:tcPr>
            <w:tcW w:w="3014" w:type="dxa"/>
            <w:vMerge w:val="restart"/>
            <w:tcBorders>
              <w:top w:val="single" w:sz="4" w:space="0" w:color="000000"/>
              <w:left w:val="nil" w:sz="6" w:space="0" w:color="auto"/>
              <w:right w:val="single" w:sz="4"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无风险及关联方组合</w:t>
            </w:r>
          </w:p>
        </w:tc>
        <w:tc>
          <w:tcPr>
            <w:tcW w:w="66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014"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988,803.62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988,803.62</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rFonts w:ascii="Times New Roman" w:hAnsi="Times New Roman" w:cs="Times New Roman" w:eastAsia="Times New Roman" w:hint="default"/>
        </w:rPr>
        <w:t>2</w:t>
      </w:r>
      <w:r>
        <w:rPr/>
        <w:t>、期末单项金额虽不重大但单独计提坏账准备的其他应收款</w:t>
      </w:r>
    </w:p>
    <w:p>
      <w:pPr>
        <w:spacing w:line="240" w:lineRule="auto" w:before="13"/>
        <w:rPr>
          <w:rFonts w:ascii="宋体" w:hAnsi="宋体" w:cs="宋体" w:eastAsia="宋体"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3014"/>
        <w:gridCol w:w="1754"/>
        <w:gridCol w:w="1847"/>
        <w:gridCol w:w="894"/>
        <w:gridCol w:w="2150"/>
      </w:tblGrid>
      <w:tr>
        <w:trPr>
          <w:trHeight w:val="342" w:hRule="exact"/>
        </w:trPr>
        <w:tc>
          <w:tcPr>
            <w:tcW w:w="3014" w:type="dxa"/>
            <w:vMerge w:val="restart"/>
            <w:tcBorders>
              <w:top w:val="single" w:sz="4" w:space="0" w:color="000000"/>
              <w:left w:val="nil" w:sz="6" w:space="0" w:color="auto"/>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6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014"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500,000.00</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500,000.00</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7,376,767.92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其他应收款情况" w:id="244"/>
      <w:bookmarkEnd w:id="24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245"/>
      <w:bookmarkEnd w:id="2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1,389,578.38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2,332,787.90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1,806,855.21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1,640,438.07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959,641.00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467,420.23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9,029,106.16</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4,989,335.75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310,000.00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988,803.62</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1,991,076.93</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1,272,891.16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16,475,061.30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11,012,873.11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46"/>
      <w:bookmarkEnd w:id="24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20"/>
              <w:jc w:val="left"/>
              <w:rPr>
                <w:rFonts w:ascii="宋体" w:hAnsi="宋体" w:cs="宋体" w:eastAsia="宋体" w:hint="default"/>
                <w:sz w:val="18"/>
                <w:szCs w:val="18"/>
              </w:rPr>
            </w:pPr>
            <w:r>
              <w:rPr>
                <w:rFonts w:ascii="宋体" w:hAnsi="宋体" w:cs="宋体" w:eastAsia="宋体" w:hint="default"/>
                <w:spacing w:val="-10"/>
                <w:sz w:val="18"/>
                <w:szCs w:val="18"/>
              </w:rPr>
              <w:t>落地创意（武汉）科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4,361,169.40</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119"/>
              <w:jc w:val="left"/>
              <w:rPr>
                <w:rFonts w:ascii="宋体" w:hAnsi="宋体" w:cs="宋体" w:eastAsia="宋体" w:hint="default"/>
                <w:sz w:val="18"/>
                <w:szCs w:val="18"/>
              </w:rPr>
            </w:pPr>
            <w:r>
              <w:rPr>
                <w:rFonts w:ascii="宋体" w:hAnsi="宋体" w:cs="宋体" w:eastAsia="宋体" w:hint="default"/>
                <w:sz w:val="18"/>
                <w:szCs w:val="18"/>
              </w:rPr>
              <w:t>武汉金运加科技孵 化器有限公司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2,726,751.89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87,588.43</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26"/>
                <w:sz w:val="18"/>
              </w:rPr>
              <w:t> </w:t>
            </w:r>
            <w:r>
              <w:rPr>
                <w:rFonts w:ascii="Times New Roman"/>
                <w:sz w:val="18"/>
              </w:rPr>
              <w:t>FZE</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未结算款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1,329,930.74</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988,803.62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119"/>
              <w:jc w:val="left"/>
              <w:rPr>
                <w:rFonts w:ascii="宋体" w:hAnsi="宋体" w:cs="宋体" w:eastAsia="宋体" w:hint="default"/>
                <w:sz w:val="18"/>
                <w:szCs w:val="18"/>
              </w:rPr>
            </w:pPr>
            <w:r>
              <w:rPr>
                <w:rFonts w:ascii="宋体" w:hAnsi="宋体" w:cs="宋体" w:eastAsia="宋体" w:hint="default"/>
                <w:sz w:val="18"/>
                <w:szCs w:val="18"/>
              </w:rPr>
              <w:t>武汉市东西湖区人 民法院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10,006,655.65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5,796,688.57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47"/>
      <w:bookmarkEnd w:id="24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因金融资产转移而终止确认的其他应收款" w:id="248"/>
      <w:bookmarkEnd w:id="24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249"/>
      <w:bookmarkEnd w:id="24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0、存货" w:id="250"/>
      <w:bookmarkEnd w:id="250"/>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1）存货分类" w:id="251"/>
      <w:bookmarkEnd w:id="25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9"/>
          <w:pgSz w:w="11910" w:h="16840"/>
          <w:pgMar w:footer="979" w:header="877" w:top="1100" w:bottom="1160" w:left="0" w:right="0"/>
          <w:pgNumType w:start="101"/>
        </w:sectPr>
      </w:pPr>
    </w:p>
    <w:p>
      <w:pPr>
        <w:spacing w:line="240" w:lineRule="auto" w:before="6"/>
        <w:rPr>
          <w:rFonts w:ascii="宋体" w:hAnsi="宋体" w:cs="宋体" w:eastAsia="宋体" w:hint="default"/>
          <w:sz w:val="24"/>
          <w:szCs w:val="24"/>
        </w:rPr>
      </w:pPr>
    </w:p>
    <w:tbl>
      <w:tblPr>
        <w:tblW w:w="0" w:type="auto"/>
        <w:jc w:val="left"/>
        <w:tblInd w:w="1136" w:type="dxa"/>
        <w:tblLayout w:type="fixed"/>
        <w:tblCellMar>
          <w:top w:w="0" w:type="dxa"/>
          <w:left w:w="0" w:type="dxa"/>
          <w:bottom w:w="0" w:type="dxa"/>
          <w:right w:w="0" w:type="dxa"/>
        </w:tblCellMar>
        <w:tblLook w:val="01E0"/>
      </w:tblPr>
      <w:tblGrid>
        <w:gridCol w:w="1350"/>
        <w:gridCol w:w="1379"/>
        <w:gridCol w:w="1367"/>
        <w:gridCol w:w="1367"/>
        <w:gridCol w:w="1368"/>
        <w:gridCol w:w="1367"/>
        <w:gridCol w:w="1367"/>
      </w:tblGrid>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41,205,355.08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8,801,430.42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32,403,924.66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47,477,825.24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4,798,316.06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42,679,509.18</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26,194,016.21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22,455,946.69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28,515,282.99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28,515,282.99</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34,783,584.45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7,443,567.24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27,340,017.21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25,192,552.66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25,192,552.66</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0"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12,139,547.24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5,568,489.95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6,571,057.29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12,794,844.66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77,186.62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12,717,658.04</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8,309,548.64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8,309,548.64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6,262,526.86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6,262,526.86</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1,369,140.46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1,369,140.46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124,001,192.08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25,551,557.13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98,449,634.95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120,243,032.41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4,875,502.68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115,367,529.73</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1350"/>
        <w:gridCol w:w="1379"/>
        <w:gridCol w:w="1367"/>
        <w:gridCol w:w="1367"/>
        <w:gridCol w:w="1368"/>
        <w:gridCol w:w="1367"/>
        <w:gridCol w:w="1367"/>
      </w:tblGrid>
      <w:tr>
        <w:trPr>
          <w:trHeight w:val="206" w:hRule="exact"/>
        </w:trPr>
        <w:tc>
          <w:tcPr>
            <w:tcW w:w="1350" w:type="dxa"/>
            <w:tcBorders>
              <w:top w:val="single" w:sz="4" w:space="0" w:color="000000"/>
              <w:left w:val="nil" w:sz="6" w:space="0" w:color="auto"/>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nil" w:sz="6" w:space="0" w:color="auto"/>
            </w:tcBorders>
            <w:shd w:val="clear" w:color="auto" w:fill="D2D2D2"/>
          </w:tcPr>
          <w:p>
            <w:pPr/>
          </w:p>
        </w:tc>
      </w:tr>
      <w:tr>
        <w:trPr>
          <w:trHeight w:val="200" w:hRule="exact"/>
        </w:trPr>
        <w:tc>
          <w:tcPr>
            <w:tcW w:w="1350" w:type="dxa"/>
            <w:vMerge/>
            <w:tcBorders>
              <w:left w:val="nil" w:sz="6" w:space="0" w:color="auto"/>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nil" w:sz="6" w:space="0" w:color="auto"/>
            </w:tcBorders>
            <w:shd w:val="clear" w:color="auto" w:fill="D2D2D2"/>
          </w:tcPr>
          <w:p>
            <w:pPr/>
          </w:p>
        </w:tc>
      </w:tr>
      <w:tr>
        <w:trPr>
          <w:trHeight w:val="206" w:hRule="exact"/>
        </w:trPr>
        <w:tc>
          <w:tcPr>
            <w:tcW w:w="1350"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4,798,316.06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5,894,877.42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8,801,430.42</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3,738,069.52</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7,443,567.24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7,443,567.24</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0"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77,186.62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5,491,303.33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5,568,489.95</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4,875,502.68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22,567,817.51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25,551,557.13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54"/>
      <w:bookmarkEnd w:id="25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4758"/>
        <w:gridCol w:w="4783"/>
      </w:tblGrid>
      <w:tr>
        <w:trPr>
          <w:trHeight w:val="403" w:hRule="exact"/>
        </w:trPr>
        <w:tc>
          <w:tcPr>
            <w:tcW w:w="47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55"/>
      <w:bookmarkEnd w:id="25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2、一年内到期的非流动资产" w:id="256"/>
      <w:bookmarkEnd w:id="25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其他流动资产" w:id="257"/>
      <w:bookmarkEnd w:id="25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2,267,709.91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2,025,889.44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601,207.67</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1,308,711.41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支付宝账户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17,494.18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420.05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2,886,411.76</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3,335,020.90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58"/>
      <w:bookmarkEnd w:id="25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87"/>
        <w:gridCol w:w="1195"/>
        <w:gridCol w:w="1196"/>
        <w:gridCol w:w="1196"/>
        <w:gridCol w:w="1248"/>
        <w:gridCol w:w="1367"/>
        <w:gridCol w:w="1367"/>
      </w:tblGrid>
      <w:tr>
        <w:trPr>
          <w:trHeight w:val="206" w:hRule="exact"/>
        </w:trPr>
        <w:tc>
          <w:tcPr>
            <w:tcW w:w="1987" w:type="dxa"/>
            <w:tcBorders>
              <w:top w:val="single" w:sz="4" w:space="0" w:color="000000"/>
              <w:left w:val="nil" w:sz="6" w:space="0" w:color="auto"/>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7" w:type="dxa"/>
            <w:vMerge/>
            <w:tcBorders>
              <w:left w:val="nil" w:sz="6" w:space="0" w:color="auto"/>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7" w:type="dxa"/>
            <w:tcBorders>
              <w:top w:val="nil" w:sz="6" w:space="0" w:color="auto"/>
              <w:left w:val="nil" w:sz="6" w:space="0" w:color="auto"/>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14,880,000.00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14,880,000.00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14,880,000.00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78"/>
        <w:gridCol w:w="4140"/>
        <w:gridCol w:w="1786"/>
        <w:gridCol w:w="1301"/>
        <w:gridCol w:w="762"/>
      </w:tblGrid>
      <w:tr>
        <w:trPr>
          <w:trHeight w:val="402" w:hRule="exact"/>
        </w:trPr>
        <w:tc>
          <w:tcPr>
            <w:tcW w:w="16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在被投资单位</w:t>
            </w:r>
          </w:p>
        </w:tc>
        <w:tc>
          <w:tcPr>
            <w:tcW w:w="7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本期现</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78"/>
        <w:gridCol w:w="1092"/>
        <w:gridCol w:w="1091"/>
        <w:gridCol w:w="1091"/>
        <w:gridCol w:w="866"/>
        <w:gridCol w:w="341"/>
        <w:gridCol w:w="552"/>
        <w:gridCol w:w="552"/>
        <w:gridCol w:w="341"/>
        <w:gridCol w:w="1301"/>
        <w:gridCol w:w="762"/>
      </w:tblGrid>
      <w:tr>
        <w:trPr>
          <w:trHeight w:val="714" w:hRule="exact"/>
        </w:trPr>
        <w:tc>
          <w:tcPr>
            <w:tcW w:w="1678" w:type="dxa"/>
            <w:tcBorders>
              <w:top w:val="single" w:sz="4" w:space="0" w:color="000000"/>
              <w:left w:val="nil" w:sz="6" w:space="0" w:color="auto"/>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期 初</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9" w:right="9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期 末</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金红利</w:t>
            </w:r>
          </w:p>
        </w:tc>
      </w:tr>
      <w:tr>
        <w:trPr>
          <w:trHeight w:val="714"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苏州德龙激光股份有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14,880,000.00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14,880,000.00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玩偶一号（武汉）科 技有限公司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中安威士（北京）科 技有限公司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w:t>
            </w:r>
          </w:p>
        </w:tc>
        <w:tc>
          <w:tcPr>
            <w:tcW w:w="76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武汉烽火普天信息技 术有限公司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c>
          <w:tcPr>
            <w:tcW w:w="76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14,880,000.00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39,880,000.00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2"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2"/>
      <w:bookmarkEnd w:id="26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5、持有至到期投资" w:id="264"/>
      <w:bookmarkEnd w:id="26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5"/>
      <w:bookmarkEnd w:id="26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重要的持有至到期投资" w:id="266"/>
      <w:bookmarkEnd w:id="26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本期重分类的持有至到期投资" w:id="267"/>
      <w:bookmarkEnd w:id="26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69"/>
      <w:bookmarkEnd w:id="26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因金融资产转移而终止确认的长期应收款" w:id="270"/>
      <w:bookmarkEnd w:id="27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1"/>
      <w:bookmarkEnd w:id="27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2"/>
      <w:bookmarkEnd w:id="272"/>
      <w:r>
        <w:rPr>
          <w:b w:val="0"/>
          <w:bCs w:val="0"/>
        </w:rPr>
      </w:r>
      <w:r>
        <w:rPr>
          <w:rFonts w:ascii="Times New Roman" w:hAnsi="Times New Roman" w:cs="Times New Roman" w:eastAsia="Times New Roman" w:hint="default"/>
        </w:rPr>
        <w:t>17</w:t>
      </w:r>
      <w:r>
        <w:rPr/>
        <w:t>、长期股权投资</w:t>
      </w:r>
      <w:r>
        <w:rPr>
          <w:b w:val="0"/>
          <w:bCs w:val="0"/>
        </w:rPr>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b/>
          <w:bCs/>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783"/>
        <w:gridCol w:w="1053"/>
        <w:gridCol w:w="547"/>
        <w:gridCol w:w="592"/>
        <w:gridCol w:w="987"/>
        <w:gridCol w:w="558"/>
        <w:gridCol w:w="576"/>
        <w:gridCol w:w="987"/>
        <w:gridCol w:w="998"/>
        <w:gridCol w:w="870"/>
        <w:gridCol w:w="122"/>
        <w:gridCol w:w="709"/>
        <w:gridCol w:w="979"/>
      </w:tblGrid>
      <w:tr>
        <w:trPr>
          <w:trHeight w:val="161" w:hRule="exact"/>
        </w:trPr>
        <w:tc>
          <w:tcPr>
            <w:tcW w:w="783" w:type="dxa"/>
            <w:vMerge w:val="restart"/>
            <w:tcBorders>
              <w:top w:val="single" w:sz="4" w:space="0" w:color="000000"/>
              <w:left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6116"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9"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214" w:right="37"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391" w:hRule="exact"/>
        </w:trPr>
        <w:tc>
          <w:tcPr>
            <w:tcW w:w="783" w:type="dxa"/>
            <w:vMerge/>
            <w:tcBorders>
              <w:left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6116" w:type="dxa"/>
            <w:gridSpan w:val="8"/>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79" w:type="dxa"/>
            <w:vMerge/>
            <w:tcBorders>
              <w:left w:val="single" w:sz="4" w:space="0" w:color="000000"/>
              <w:right w:val="nil" w:sz="6" w:space="0" w:color="auto"/>
            </w:tcBorders>
            <w:shd w:val="clear" w:color="auto" w:fill="D2D2D2"/>
          </w:tcPr>
          <w:p>
            <w:pPr/>
          </w:p>
        </w:tc>
      </w:tr>
      <w:tr>
        <w:trPr>
          <w:trHeight w:val="139" w:hRule="exact"/>
        </w:trPr>
        <w:tc>
          <w:tcPr>
            <w:tcW w:w="783" w:type="dxa"/>
            <w:vMerge/>
            <w:tcBorders>
              <w:left w:val="nil" w:sz="6" w:space="0" w:color="auto"/>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6116"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vMerge/>
            <w:tcBorders>
              <w:left w:val="single" w:sz="4" w:space="0" w:color="000000"/>
              <w:bottom w:val="single" w:sz="4" w:space="0" w:color="000000"/>
              <w:right w:val="nil" w:sz="6" w:space="0" w:color="auto"/>
            </w:tcBorders>
            <w:shd w:val="clear" w:color="auto" w:fill="D2D2D2"/>
          </w:tcPr>
          <w:p>
            <w:pPr/>
          </w:p>
        </w:tc>
      </w:tr>
      <w:tr>
        <w:trPr>
          <w:trHeight w:val="161" w:hRule="exact"/>
        </w:trPr>
        <w:tc>
          <w:tcPr>
            <w:tcW w:w="783" w:type="dxa"/>
            <w:vMerge w:val="restart"/>
            <w:tcBorders>
              <w:top w:val="nil" w:sz="6" w:space="0" w:color="auto"/>
              <w:left w:val="nil" w:sz="6" w:space="0" w:color="auto"/>
              <w:right w:val="single" w:sz="4" w:space="0" w:color="000000"/>
            </w:tcBorders>
            <w:shd w:val="clear" w:color="auto" w:fill="D2D2D2"/>
          </w:tcPr>
          <w:p>
            <w:pPr>
              <w:pStyle w:val="TableParagraph"/>
              <w:spacing w:line="319" w:lineRule="auto" w:before="34"/>
              <w:ind w:left="300" w:right="26"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053" w:type="dxa"/>
            <w:vMerge/>
            <w:tcBorders>
              <w:left w:val="single" w:sz="4" w:space="0" w:color="000000"/>
              <w:bottom w:val="nil" w:sz="6" w:space="0" w:color="auto"/>
              <w:right w:val="single" w:sz="4" w:space="0" w:color="000000"/>
            </w:tcBorders>
            <w:shd w:val="clear" w:color="auto" w:fill="D2D2D2"/>
          </w:tcPr>
          <w:p>
            <w:pPr/>
          </w:p>
        </w:tc>
        <w:tc>
          <w:tcPr>
            <w:tcW w:w="547" w:type="dxa"/>
            <w:vMerge w:val="restart"/>
            <w:tcBorders>
              <w:top w:val="single" w:sz="4" w:space="0" w:color="000000"/>
              <w:left w:val="single" w:sz="4" w:space="0" w:color="000000"/>
              <w:right w:val="single" w:sz="4" w:space="0" w:color="000000"/>
            </w:tcBorders>
            <w:shd w:val="clear" w:color="auto" w:fill="D2D2D2"/>
          </w:tcPr>
          <w:p>
            <w:pPr/>
          </w:p>
        </w:tc>
        <w:tc>
          <w:tcPr>
            <w:tcW w:w="592" w:type="dxa"/>
            <w:vMerge w:val="restart"/>
            <w:tcBorders>
              <w:top w:val="single" w:sz="4" w:space="0" w:color="000000"/>
              <w:left w:val="single" w:sz="4" w:space="0" w:color="000000"/>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98" w:right="8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vMerge w:val="restart"/>
            <w:tcBorders>
              <w:top w:val="single" w:sz="4" w:space="0" w:color="000000"/>
              <w:left w:val="single" w:sz="4" w:space="0" w:color="000000"/>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
        </w:tc>
        <w:tc>
          <w:tcPr>
            <w:tcW w:w="830" w:type="dxa"/>
            <w:gridSpan w:val="2"/>
            <w:vMerge w:val="restart"/>
            <w:tcBorders>
              <w:top w:val="single" w:sz="4" w:space="0" w:color="000000"/>
              <w:left w:val="single" w:sz="9" w:space="0" w:color="D2D2D2"/>
              <w:right w:val="single" w:sz="4" w:space="0" w:color="000000"/>
            </w:tcBorders>
          </w:tcPr>
          <w:p>
            <w:pPr/>
          </w:p>
        </w:tc>
        <w:tc>
          <w:tcPr>
            <w:tcW w:w="979" w:type="dxa"/>
            <w:vMerge w:val="restart"/>
            <w:tcBorders>
              <w:top w:val="single" w:sz="4" w:space="0" w:color="000000"/>
              <w:left w:val="single" w:sz="4" w:space="0" w:color="000000"/>
              <w:right w:val="nil" w:sz="6" w:space="0" w:color="auto"/>
            </w:tcBorders>
          </w:tcPr>
          <w:p>
            <w:pPr/>
          </w:p>
        </w:tc>
      </w:tr>
      <w:tr>
        <w:trPr>
          <w:trHeight w:val="168" w:hRule="exact"/>
        </w:trPr>
        <w:tc>
          <w:tcPr>
            <w:tcW w:w="783" w:type="dxa"/>
            <w:vMerge/>
            <w:tcBorders>
              <w:left w:val="nil" w:sz="6" w:space="0" w:color="auto"/>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 w:type="dxa"/>
            <w:vMerge/>
            <w:tcBorders>
              <w:left w:val="single" w:sz="4" w:space="0" w:color="000000"/>
              <w:bottom w:val="nil" w:sz="6" w:space="0" w:color="auto"/>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35" w:right="40"/>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5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106" w:right="97"/>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1" w:right="34"/>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998"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173" w:hRule="exact"/>
        </w:trPr>
        <w:tc>
          <w:tcPr>
            <w:tcW w:w="783" w:type="dxa"/>
            <w:vMerge/>
            <w:tcBorders>
              <w:left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7" w:right="8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7" w:right="112"/>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87"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1" w:right="35"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870" w:type="dxa"/>
            <w:vMerge/>
            <w:tcBorders>
              <w:left w:val="single" w:sz="4" w:space="0" w:color="000000"/>
              <w:bottom w:val="nil" w:sz="6" w:space="0" w:color="auto"/>
              <w:right w:val="single" w:sz="4" w:space="0" w:color="000000"/>
            </w:tcBorders>
            <w:shd w:val="clear" w:color="auto" w:fill="D2D2D2"/>
          </w:tcPr>
          <w:p>
            <w:pP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173" w:hRule="exact"/>
        </w:trPr>
        <w:tc>
          <w:tcPr>
            <w:tcW w:w="783" w:type="dxa"/>
            <w:vMerge/>
            <w:tcBorders>
              <w:left w:val="nil" w:sz="6" w:space="0" w:color="auto"/>
              <w:bottom w:val="nil" w:sz="6" w:space="0" w:color="auto"/>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200" w:hRule="exact"/>
        </w:trPr>
        <w:tc>
          <w:tcPr>
            <w:tcW w:w="783" w:type="dxa"/>
            <w:vMerge w:val="restart"/>
            <w:tcBorders>
              <w:top w:val="nil" w:sz="6" w:space="0" w:color="auto"/>
              <w:left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592"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156" w:hRule="exact"/>
        </w:trPr>
        <w:tc>
          <w:tcPr>
            <w:tcW w:w="783" w:type="dxa"/>
            <w:vMerge/>
            <w:tcBorders>
              <w:left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547" w:type="dxa"/>
            <w:vMerge/>
            <w:tcBorders>
              <w:left w:val="single" w:sz="4" w:space="0" w:color="000000"/>
              <w:bottom w:val="nil" w:sz="6" w:space="0" w:color="auto"/>
              <w:right w:val="single" w:sz="4" w:space="0" w:color="000000"/>
            </w:tcBorders>
            <w:shd w:val="clear" w:color="auto" w:fill="D2D2D2"/>
          </w:tcPr>
          <w:p>
            <w:pPr/>
          </w:p>
        </w:tc>
        <w:tc>
          <w:tcPr>
            <w:tcW w:w="592" w:type="dxa"/>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156" w:hRule="exact"/>
        </w:trPr>
        <w:tc>
          <w:tcPr>
            <w:tcW w:w="783" w:type="dxa"/>
            <w:vMerge/>
            <w:tcBorders>
              <w:left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
        </w:tc>
        <w:tc>
          <w:tcPr>
            <w:tcW w:w="592" w:type="dxa"/>
            <w:vMerge w:val="restart"/>
            <w:tcBorders>
              <w:top w:val="nil" w:sz="6" w:space="0" w:color="auto"/>
              <w:left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30" w:type="dxa"/>
            <w:gridSpan w:val="2"/>
            <w:vMerge/>
            <w:tcBorders>
              <w:left w:val="single" w:sz="9" w:space="0" w:color="D2D2D2"/>
              <w:right w:val="single" w:sz="4" w:space="0" w:color="000000"/>
            </w:tcBorders>
          </w:tcPr>
          <w:p>
            <w:pPr/>
          </w:p>
        </w:tc>
        <w:tc>
          <w:tcPr>
            <w:tcW w:w="979" w:type="dxa"/>
            <w:vMerge/>
            <w:tcBorders>
              <w:left w:val="single" w:sz="4" w:space="0" w:color="000000"/>
              <w:right w:val="nil" w:sz="6" w:space="0" w:color="auto"/>
            </w:tcBorders>
          </w:tcPr>
          <w:p>
            <w:pPr/>
          </w:p>
        </w:tc>
      </w:tr>
      <w:tr>
        <w:trPr>
          <w:trHeight w:val="161" w:hRule="exact"/>
        </w:trPr>
        <w:tc>
          <w:tcPr>
            <w:tcW w:w="783" w:type="dxa"/>
            <w:vMerge/>
            <w:tcBorders>
              <w:left w:val="nil" w:sz="6" w:space="0" w:color="auto"/>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30" w:type="dxa"/>
            <w:gridSpan w:val="2"/>
            <w:vMerge/>
            <w:tcBorders>
              <w:left w:val="single" w:sz="9" w:space="0" w:color="D2D2D2"/>
              <w:bottom w:val="single" w:sz="4" w:space="0" w:color="000000"/>
              <w:right w:val="single" w:sz="4" w:space="0" w:color="000000"/>
            </w:tcBorders>
          </w:tcPr>
          <w:p>
            <w:pPr/>
          </w:p>
        </w:tc>
        <w:tc>
          <w:tcPr>
            <w:tcW w:w="979" w:type="dxa"/>
            <w:vMerge/>
            <w:tcBorders>
              <w:left w:val="single" w:sz="4" w:space="0" w:color="000000"/>
              <w:bottom w:val="single" w:sz="4" w:space="0" w:color="000000"/>
              <w:right w:val="nil" w:sz="6" w:space="0" w:color="auto"/>
            </w:tcBorders>
          </w:tcPr>
          <w:p>
            <w:pPr/>
          </w:p>
        </w:tc>
      </w:tr>
      <w:tr>
        <w:trPr>
          <w:trHeight w:val="402" w:hRule="exact"/>
        </w:trPr>
        <w:tc>
          <w:tcPr>
            <w:tcW w:w="9761"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761"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both"/>
              <w:rPr>
                <w:rFonts w:ascii="宋体" w:hAnsi="宋体" w:cs="宋体" w:eastAsia="宋体" w:hint="default"/>
                <w:sz w:val="18"/>
                <w:szCs w:val="18"/>
              </w:rPr>
            </w:pPr>
            <w:r>
              <w:rPr>
                <w:rFonts w:ascii="宋体" w:hAnsi="宋体" w:cs="宋体" w:eastAsia="宋体" w:hint="default"/>
                <w:sz w:val="18"/>
                <w:szCs w:val="18"/>
              </w:rPr>
              <w:t>落地创意</w:t>
            </w:r>
          </w:p>
          <w:p>
            <w:pPr>
              <w:pStyle w:val="TableParagraph"/>
              <w:spacing w:line="319" w:lineRule="auto" w:before="75"/>
              <w:ind w:left="20" w:right="35"/>
              <w:jc w:val="both"/>
              <w:rPr>
                <w:rFonts w:ascii="宋体" w:hAnsi="宋体" w:cs="宋体" w:eastAsia="宋体" w:hint="default"/>
                <w:sz w:val="18"/>
                <w:szCs w:val="18"/>
              </w:rPr>
            </w:pPr>
            <w:r>
              <w:rPr>
                <w:rFonts w:ascii="宋体" w:hAnsi="宋体" w:cs="宋体" w:eastAsia="宋体" w:hint="default"/>
                <w:sz w:val="18"/>
                <w:szCs w:val="18"/>
              </w:rPr>
              <w:t>（武汉） 科技有限 公司</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4,687,944.24</w:t>
            </w:r>
          </w:p>
        </w:tc>
        <w:tc>
          <w:tcPr>
            <w:tcW w:w="547"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-1,006,200.63</w:t>
            </w:r>
          </w:p>
        </w:tc>
        <w:tc>
          <w:tcPr>
            <w:tcW w:w="55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3,681,743.61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0.00</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3,681,743.61</w:t>
            </w:r>
          </w:p>
        </w:tc>
      </w:tr>
      <w:tr>
        <w:trPr>
          <w:trHeight w:val="1338" w:hRule="exact"/>
        </w:trPr>
        <w:tc>
          <w:tcPr>
            <w:tcW w:w="78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0" w:right="35"/>
              <w:jc w:val="both"/>
              <w:rPr>
                <w:rFonts w:ascii="宋体" w:hAnsi="宋体" w:cs="宋体" w:eastAsia="宋体" w:hint="default"/>
                <w:sz w:val="18"/>
                <w:szCs w:val="18"/>
              </w:rPr>
            </w:pPr>
            <w:r>
              <w:rPr>
                <w:rFonts w:ascii="宋体" w:hAnsi="宋体" w:cs="宋体" w:eastAsia="宋体" w:hint="default"/>
                <w:sz w:val="18"/>
                <w:szCs w:val="18"/>
              </w:rPr>
              <w:t>扬州市金 运环宇激 光设备有 限公司</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195,751.03</w:t>
            </w:r>
          </w:p>
        </w:tc>
        <w:tc>
          <w:tcPr>
            <w:tcW w:w="547"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-25,710.77</w:t>
            </w:r>
          </w:p>
        </w:tc>
        <w:tc>
          <w:tcPr>
            <w:tcW w:w="55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170,040.26</w:t>
            </w:r>
          </w:p>
        </w:tc>
        <w:tc>
          <w:tcPr>
            <w:tcW w:w="979"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78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2"/>
              <w:ind w:left="20" w:right="35"/>
              <w:jc w:val="both"/>
              <w:rPr>
                <w:rFonts w:ascii="宋体" w:hAnsi="宋体" w:cs="宋体" w:eastAsia="宋体" w:hint="default"/>
                <w:sz w:val="18"/>
                <w:szCs w:val="18"/>
              </w:rPr>
            </w:pPr>
            <w:r>
              <w:rPr>
                <w:rFonts w:ascii="宋体" w:hAnsi="宋体" w:cs="宋体" w:eastAsia="宋体" w:hint="default"/>
                <w:sz w:val="18"/>
                <w:szCs w:val="18"/>
              </w:rPr>
              <w:t>新余云尚 投资合伙 企业（有 限合伙）</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9,591,854.10</w:t>
            </w:r>
          </w:p>
        </w:tc>
        <w:tc>
          <w:tcPr>
            <w:tcW w:w="547"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16,042,785.07</w:t>
            </w:r>
          </w:p>
        </w:tc>
        <w:tc>
          <w:tcPr>
            <w:tcW w:w="55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12,914,399.00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7" w:right="0"/>
              <w:jc w:val="left"/>
              <w:rPr>
                <w:rFonts w:ascii="Times New Roman" w:hAnsi="Times New Roman" w:cs="Times New Roman" w:eastAsia="Times New Roman" w:hint="default"/>
                <w:sz w:val="15"/>
                <w:szCs w:val="15"/>
              </w:rPr>
            </w:pPr>
            <w:r>
              <w:rPr>
                <w:rFonts w:ascii="Times New Roman"/>
                <w:sz w:val="15"/>
              </w:rPr>
              <w:t>-12,720,240.17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0.00</w:t>
            </w:r>
          </w:p>
        </w:tc>
        <w:tc>
          <w:tcPr>
            <w:tcW w:w="9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14,475,549.37</w:t>
            </w:r>
          </w:p>
        </w:tc>
        <w:tc>
          <w:tcPr>
            <w:tcW w:w="547"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15,010,873.67</w:t>
            </w:r>
          </w:p>
        </w:tc>
        <w:tc>
          <w:tcPr>
            <w:tcW w:w="55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5"/>
              <w:jc w:val="right"/>
              <w:rPr>
                <w:rFonts w:ascii="Times New Roman" w:hAnsi="Times New Roman" w:cs="Times New Roman" w:eastAsia="Times New Roman" w:hint="default"/>
                <w:sz w:val="15"/>
                <w:szCs w:val="15"/>
              </w:rPr>
            </w:pPr>
            <w:r>
              <w:rPr>
                <w:rFonts w:ascii="Times New Roman"/>
                <w:spacing w:val="-1"/>
                <w:sz w:val="15"/>
              </w:rPr>
              <w:t>12,914,399.00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3,681,743.61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7" w:right="0"/>
              <w:jc w:val="left"/>
              <w:rPr>
                <w:rFonts w:ascii="Times New Roman" w:hAnsi="Times New Roman" w:cs="Times New Roman" w:eastAsia="Times New Roman" w:hint="default"/>
                <w:sz w:val="15"/>
                <w:szCs w:val="15"/>
              </w:rPr>
            </w:pPr>
            <w:r>
              <w:rPr>
                <w:rFonts w:ascii="Times New Roman"/>
                <w:sz w:val="15"/>
              </w:rPr>
              <w:t>-12,720,240.17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170,040.26</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
              <w:jc w:val="right"/>
              <w:rPr>
                <w:rFonts w:ascii="Times New Roman" w:hAnsi="Times New Roman" w:cs="Times New Roman" w:eastAsia="Times New Roman" w:hint="default"/>
                <w:sz w:val="15"/>
                <w:szCs w:val="15"/>
              </w:rPr>
            </w:pPr>
            <w:r>
              <w:rPr>
                <w:rFonts w:ascii="Times New Roman"/>
                <w:spacing w:val="-1"/>
                <w:sz w:val="15"/>
              </w:rPr>
              <w:t>3,681,743.61</w:t>
            </w:r>
          </w:p>
        </w:tc>
      </w:tr>
      <w:tr>
        <w:trPr>
          <w:trHeight w:val="403" w:hRule="exact"/>
        </w:trPr>
        <w:tc>
          <w:tcPr>
            <w:tcW w:w="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14,475,549.37</w:t>
            </w:r>
          </w:p>
        </w:tc>
        <w:tc>
          <w:tcPr>
            <w:tcW w:w="547"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15,010,873.67</w:t>
            </w:r>
          </w:p>
        </w:tc>
        <w:tc>
          <w:tcPr>
            <w:tcW w:w="55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5"/>
              <w:jc w:val="right"/>
              <w:rPr>
                <w:rFonts w:ascii="Times New Roman" w:hAnsi="Times New Roman" w:cs="Times New Roman" w:eastAsia="Times New Roman" w:hint="default"/>
                <w:sz w:val="15"/>
                <w:szCs w:val="15"/>
              </w:rPr>
            </w:pPr>
            <w:r>
              <w:rPr>
                <w:rFonts w:ascii="Times New Roman"/>
                <w:spacing w:val="-1"/>
                <w:sz w:val="15"/>
              </w:rPr>
              <w:t>12,914,399.00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3,681,743.61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7" w:right="0"/>
              <w:jc w:val="left"/>
              <w:rPr>
                <w:rFonts w:ascii="Times New Roman" w:hAnsi="Times New Roman" w:cs="Times New Roman" w:eastAsia="Times New Roman" w:hint="default"/>
                <w:sz w:val="15"/>
                <w:szCs w:val="15"/>
              </w:rPr>
            </w:pPr>
            <w:r>
              <w:rPr>
                <w:rFonts w:ascii="Times New Roman"/>
                <w:sz w:val="15"/>
              </w:rPr>
              <w:t>-12,720,240.17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170,040.26</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
              <w:jc w:val="right"/>
              <w:rPr>
                <w:rFonts w:ascii="Times New Roman" w:hAnsi="Times New Roman" w:cs="Times New Roman" w:eastAsia="Times New Roman" w:hint="default"/>
                <w:sz w:val="15"/>
                <w:szCs w:val="15"/>
              </w:rPr>
            </w:pPr>
            <w:r>
              <w:rPr>
                <w:rFonts w:ascii="Times New Roman"/>
                <w:spacing w:val="-1"/>
                <w:sz w:val="15"/>
              </w:rPr>
              <w:t>3,681,743.61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3"/>
      <w:bookmarkEnd w:id="27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74"/>
      <w:bookmarkEnd w:id="27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5"/>
      <w:bookmarkEnd w:id="27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6"/>
      <w:bookmarkEnd w:id="27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9、固定资产" w:id="277"/>
      <w:bookmarkEnd w:id="27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78"/>
      <w:bookmarkEnd w:id="27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nil" w:sz="6" w:space="0" w:color="auto"/>
              <w:bottom w:val="single" w:sz="4" w:space="0" w:color="000000"/>
              <w:right w:val="single" w:sz="13" w:space="0" w:color="E0FFFF"/>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28,063,199.41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3,054,632.03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7,080,294.96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112,354,753.10</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1,465,894.94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26,319.44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234,071.19</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1,726,285.57</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1,465,894.94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26,319.44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234,071.19</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1,726,285.57</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1,196,581.13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403,567.00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273,705.55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1,873,853.68</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1,196,581.13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403,567.00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273,705.55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1,873,853.68</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28,332,513.22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2,677,384.47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7,040,660.60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112,207,184.99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8,062,613.96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9,868,392.77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2,407,432.52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4,094,762.24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24,433,201.49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1,765,410.60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2,754,825.49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266,093.88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894,204.86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5,680,534.83</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1,765,410.60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2,754,825.49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266,093.88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894,204.86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5,680,534.83</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639,521.48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401,368.65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206,895.08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1,247,785.21</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639,521.48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401,368.65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206,895.08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1,247,785.21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9,828,024.56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11,983,696.78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2,272,157.75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4,782,072.02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28,865,951.11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984,245.52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984,245.52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984,245.52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1,100,412.33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64,328,602.14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16,348,816.44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289,059.91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1,274,343.06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82,240,821.55</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66,094,012.74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18,194,806.64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647,199.51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2,985,532.72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87,921,551.61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2）暂时闲置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通过融资租赁租入的固定资产情况" w:id="280"/>
      <w:bookmarkEnd w:id="28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通过经营租赁租出的固定资产" w:id="281"/>
      <w:bookmarkEnd w:id="28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58,896,163.53</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58,896,163.53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82"/>
      <w:bookmarkEnd w:id="28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0、在建工程" w:id="283"/>
      <w:bookmarkEnd w:id="28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工程物资" w:id="284"/>
      <w:bookmarkEnd w:id="284"/>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2、固定资产清理" w:id="285"/>
      <w:bookmarkEnd w:id="285"/>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3、生产性生物资产" w:id="286"/>
      <w:bookmarkEnd w:id="28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7"/>
      <w:bookmarkEnd w:id="28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8"/>
      <w:bookmarkEnd w:id="28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89"/>
      <w:bookmarkEnd w:id="28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290"/>
      <w:bookmarkEnd w:id="29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91"/>
      <w:bookmarkEnd w:id="29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620"/>
        <w:gridCol w:w="737"/>
        <w:gridCol w:w="486"/>
        <w:gridCol w:w="737"/>
        <w:gridCol w:w="2124"/>
        <w:gridCol w:w="901"/>
        <w:gridCol w:w="867"/>
        <w:gridCol w:w="1091"/>
        <w:gridCol w:w="1091"/>
      </w:tblGrid>
      <w:tr>
        <w:trPr>
          <w:trHeight w:val="162" w:hRule="exact"/>
        </w:trPr>
        <w:tc>
          <w:tcPr>
            <w:tcW w:w="1620" w:type="dxa"/>
            <w:tcBorders>
              <w:top w:val="single" w:sz="4" w:space="0" w:color="000000"/>
              <w:left w:val="nil" w:sz="6" w:space="0" w:color="auto"/>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4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47" w:right="56" w:hanging="90"/>
              <w:jc w:val="left"/>
              <w:rPr>
                <w:rFonts w:ascii="宋体" w:hAnsi="宋体" w:cs="宋体" w:eastAsia="宋体" w:hint="default"/>
                <w:sz w:val="18"/>
                <w:szCs w:val="18"/>
              </w:rPr>
            </w:pPr>
            <w:r>
              <w:rPr>
                <w:rFonts w:ascii="宋体" w:hAnsi="宋体" w:cs="宋体" w:eastAsia="宋体" w:hint="default"/>
                <w:sz w:val="18"/>
                <w:szCs w:val="18"/>
              </w:rPr>
              <w:t>专利 权</w:t>
            </w:r>
          </w:p>
        </w:tc>
        <w:tc>
          <w:tcPr>
            <w:tcW w:w="737" w:type="dxa"/>
            <w:vMerge w:val="restart"/>
            <w:tcBorders>
              <w:top w:val="single" w:sz="4" w:space="0" w:color="000000"/>
              <w:left w:val="single" w:sz="4" w:space="0" w:color="000000"/>
              <w:right w:val="single" w:sz="9" w:space="0" w:color="E0FFFF"/>
            </w:tcBorders>
            <w:shd w:val="clear" w:color="auto" w:fill="D2D2D2"/>
          </w:tcPr>
          <w:p>
            <w:pPr>
              <w:pStyle w:val="TableParagraph"/>
              <w:spacing w:line="316" w:lineRule="auto" w:before="52"/>
              <w:ind w:left="183" w:right="86"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2124" w:type="dxa"/>
            <w:vMerge w:val="restart"/>
            <w:tcBorders>
              <w:top w:val="single" w:sz="4" w:space="0" w:color="000000"/>
              <w:left w:val="single" w:sz="13" w:space="0" w:color="D2D2D2"/>
              <w:right w:val="single" w:sz="4" w:space="0" w:color="000000"/>
            </w:tcBorders>
            <w:shd w:val="clear" w:color="auto" w:fill="E0FFFF"/>
          </w:tcPr>
          <w:p>
            <w:pPr>
              <w:pStyle w:val="TableParagraph"/>
              <w:spacing w:line="316" w:lineRule="auto" w:before="52"/>
              <w:ind w:left="775" w:right="66" w:hanging="721"/>
              <w:jc w:val="left"/>
              <w:rPr>
                <w:rFonts w:ascii="宋体" w:hAnsi="宋体" w:cs="宋体" w:eastAsia="宋体" w:hint="default"/>
                <w:sz w:val="18"/>
                <w:szCs w:val="18"/>
              </w:rPr>
            </w:pPr>
            <w:r>
              <w:rPr>
                <w:rFonts w:ascii="宋体" w:hAnsi="宋体" w:cs="宋体" w:eastAsia="宋体" w:hint="default"/>
                <w:sz w:val="18"/>
                <w:szCs w:val="18"/>
              </w:rPr>
              <w:t>专利权、专有技术及非专 利技术</w:t>
            </w:r>
          </w:p>
        </w:tc>
        <w:tc>
          <w:tcPr>
            <w:tcW w:w="901"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355" w:right="84" w:hanging="270"/>
              <w:jc w:val="left"/>
              <w:rPr>
                <w:rFonts w:ascii="宋体" w:hAnsi="宋体" w:cs="宋体" w:eastAsia="宋体" w:hint="default"/>
                <w:sz w:val="18"/>
                <w:szCs w:val="18"/>
              </w:rPr>
            </w:pPr>
            <w:r>
              <w:rPr>
                <w:rFonts w:ascii="宋体" w:hAnsi="宋体" w:cs="宋体" w:eastAsia="宋体" w:hint="default"/>
                <w:sz w:val="18"/>
                <w:szCs w:val="18"/>
              </w:rPr>
              <w:t>软件著作 权</w:t>
            </w:r>
          </w:p>
        </w:tc>
        <w:tc>
          <w:tcPr>
            <w:tcW w:w="8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9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软件及许可</w:t>
            </w:r>
          </w:p>
        </w:tc>
        <w:tc>
          <w:tcPr>
            <w:tcW w:w="109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62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737" w:type="dxa"/>
            <w:vMerge/>
            <w:tcBorders>
              <w:left w:val="single" w:sz="4" w:space="0" w:color="000000"/>
              <w:right w:val="single" w:sz="4" w:space="0" w:color="000000"/>
            </w:tcBorders>
            <w:shd w:val="clear" w:color="auto" w:fill="D2D2D2"/>
          </w:tcPr>
          <w:p>
            <w:pPr/>
          </w:p>
        </w:tc>
        <w:tc>
          <w:tcPr>
            <w:tcW w:w="486"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9" w:space="0" w:color="E0FFFF"/>
            </w:tcBorders>
            <w:shd w:val="clear" w:color="auto" w:fill="D2D2D2"/>
          </w:tcPr>
          <w:p>
            <w:pPr/>
          </w:p>
        </w:tc>
        <w:tc>
          <w:tcPr>
            <w:tcW w:w="2124" w:type="dxa"/>
            <w:vMerge/>
            <w:tcBorders>
              <w:left w:val="single" w:sz="13" w:space="0" w:color="D2D2D2"/>
              <w:right w:val="single" w:sz="4" w:space="0" w:color="000000"/>
            </w:tcBorders>
            <w:shd w:val="clear" w:color="auto" w:fill="E0FFFF"/>
          </w:tcPr>
          <w:p>
            <w:pPr/>
          </w:p>
        </w:tc>
        <w:tc>
          <w:tcPr>
            <w:tcW w:w="901" w:type="dxa"/>
            <w:vMerge/>
            <w:tcBorders>
              <w:left w:val="single" w:sz="4" w:space="0" w:color="000000"/>
              <w:right w:val="single" w:sz="4" w:space="0" w:color="000000"/>
            </w:tcBorders>
            <w:shd w:val="clear" w:color="auto" w:fill="E0FFFF"/>
          </w:tcPr>
          <w:p>
            <w:pPr/>
          </w:p>
        </w:tc>
        <w:tc>
          <w:tcPr>
            <w:tcW w:w="867" w:type="dxa"/>
            <w:vMerge/>
            <w:tcBorders>
              <w:left w:val="single" w:sz="4" w:space="0" w:color="000000"/>
              <w:right w:val="single" w:sz="4" w:space="0" w:color="000000"/>
            </w:tcBorders>
            <w:shd w:val="clear" w:color="auto" w:fill="E0FFFF"/>
          </w:tcPr>
          <w:p>
            <w:pPr/>
          </w:p>
        </w:tc>
        <w:tc>
          <w:tcPr>
            <w:tcW w:w="1091" w:type="dxa"/>
            <w:vMerge/>
            <w:tcBorders>
              <w:left w:val="single" w:sz="4" w:space="0" w:color="000000"/>
              <w:right w:val="single" w:sz="4" w:space="0" w:color="000000"/>
            </w:tcBorders>
            <w:shd w:val="clear" w:color="auto" w:fill="E0FFFF"/>
          </w:tcPr>
          <w:p>
            <w:pPr/>
          </w:p>
        </w:tc>
        <w:tc>
          <w:tcPr>
            <w:tcW w:w="1091" w:type="dxa"/>
            <w:vMerge/>
            <w:tcBorders>
              <w:left w:val="single" w:sz="4" w:space="0" w:color="000000"/>
              <w:right w:val="nil" w:sz="6" w:space="0" w:color="auto"/>
            </w:tcBorders>
            <w:shd w:val="clear" w:color="auto" w:fill="D2D2D2"/>
          </w:tcPr>
          <w:p>
            <w:pPr/>
          </w:p>
        </w:tc>
      </w:tr>
      <w:tr>
        <w:trPr>
          <w:trHeight w:val="161" w:hRule="exact"/>
        </w:trPr>
        <w:tc>
          <w:tcPr>
            <w:tcW w:w="1620" w:type="dxa"/>
            <w:tcBorders>
              <w:top w:val="nil" w:sz="6" w:space="0" w:color="auto"/>
              <w:left w:val="nil" w:sz="6" w:space="0" w:color="auto"/>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486"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9" w:space="0" w:color="E0FFFF"/>
            </w:tcBorders>
            <w:shd w:val="clear" w:color="auto" w:fill="D2D2D2"/>
          </w:tcPr>
          <w:p>
            <w:pPr/>
          </w:p>
        </w:tc>
        <w:tc>
          <w:tcPr>
            <w:tcW w:w="2124" w:type="dxa"/>
            <w:vMerge/>
            <w:tcBorders>
              <w:left w:val="single" w:sz="13" w:space="0" w:color="D2D2D2"/>
              <w:bottom w:val="single" w:sz="4" w:space="0" w:color="000000"/>
              <w:right w:val="single" w:sz="4" w:space="0" w:color="000000"/>
            </w:tcBorders>
            <w:shd w:val="clear" w:color="auto" w:fill="E0FFFF"/>
          </w:tcPr>
          <w:p>
            <w:pPr/>
          </w:p>
        </w:tc>
        <w:tc>
          <w:tcPr>
            <w:tcW w:w="901" w:type="dxa"/>
            <w:vMerge/>
            <w:tcBorders>
              <w:left w:val="single" w:sz="4" w:space="0" w:color="000000"/>
              <w:bottom w:val="single" w:sz="4" w:space="0" w:color="000000"/>
              <w:right w:val="single" w:sz="4" w:space="0" w:color="000000"/>
            </w:tcBorders>
            <w:shd w:val="clear" w:color="auto" w:fill="E0FFFF"/>
          </w:tcPr>
          <w:p>
            <w:pPr/>
          </w:p>
        </w:tc>
        <w:tc>
          <w:tcPr>
            <w:tcW w:w="867" w:type="dxa"/>
            <w:vMerge/>
            <w:tcBorders>
              <w:left w:val="single" w:sz="4" w:space="0" w:color="000000"/>
              <w:bottom w:val="single" w:sz="4" w:space="0" w:color="000000"/>
              <w:right w:val="single" w:sz="4" w:space="0" w:color="000000"/>
            </w:tcBorders>
            <w:shd w:val="clear" w:color="auto" w:fill="E0FFFF"/>
          </w:tcPr>
          <w:p>
            <w:pPr/>
          </w:p>
        </w:tc>
        <w:tc>
          <w:tcPr>
            <w:tcW w:w="1091" w:type="dxa"/>
            <w:vMerge/>
            <w:tcBorders>
              <w:left w:val="single" w:sz="4" w:space="0" w:color="000000"/>
              <w:bottom w:val="single" w:sz="4" w:space="0" w:color="000000"/>
              <w:right w:val="single" w:sz="4" w:space="0" w:color="000000"/>
            </w:tcBorders>
            <w:shd w:val="clear" w:color="auto" w:fill="E0FFFF"/>
          </w:tcPr>
          <w:p>
            <w:pPr/>
          </w:p>
        </w:tc>
        <w:tc>
          <w:tcPr>
            <w:tcW w:w="1091"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25,922,144.33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347,956.71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10,653,363.90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36,934,664.94</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507,284.62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4,815.54</w:t>
            </w: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512,100.16</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4,815.54</w:t>
            </w: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5,390.54</w:t>
            </w:r>
          </w:p>
        </w:tc>
      </w:tr>
      <w:tr>
        <w:trPr>
          <w:trHeight w:val="714"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506,709.62</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506,709.62</w:t>
            </w:r>
          </w:p>
        </w:tc>
      </w:tr>
      <w:tr>
        <w:trPr>
          <w:trHeight w:val="714"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737" w:type="dxa"/>
            <w:tcBorders>
              <w:top w:val="single" w:sz="4" w:space="0" w:color="000000"/>
              <w:left w:val="single" w:sz="13" w:space="0" w:color="D2D2D2"/>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26,429,428.95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16,015.54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347,956.71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10,653,363.90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37,446,765.10</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3,276,743.67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171,426.10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Times New Roman" w:hAnsi="Times New Roman" w:cs="Times New Roman" w:eastAsia="Times New Roman" w:hint="default"/>
                <w:sz w:val="18"/>
                <w:szCs w:val="18"/>
              </w:rPr>
            </w:pPr>
            <w:r>
              <w:rPr>
                <w:rFonts w:ascii="Times New Roman"/>
                <w:sz w:val="18"/>
              </w:rPr>
              <w:t>2,531,261.18</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5,990,630.95</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2,422,730.30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24,483.60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center"/>
              <w:rPr>
                <w:rFonts w:ascii="Times New Roman" w:hAnsi="Times New Roman" w:cs="Times New Roman" w:eastAsia="Times New Roman" w:hint="default"/>
                <w:sz w:val="18"/>
                <w:szCs w:val="18"/>
              </w:rPr>
            </w:pPr>
            <w:r>
              <w:rPr>
                <w:rFonts w:ascii="Times New Roman"/>
                <w:sz w:val="18"/>
              </w:rPr>
              <w:t>863,821.54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3,311,074.74</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2,422,730.30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24,483.60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center"/>
              <w:rPr>
                <w:rFonts w:ascii="Times New Roman" w:hAnsi="Times New Roman" w:cs="Times New Roman" w:eastAsia="Times New Roman" w:hint="default"/>
                <w:sz w:val="18"/>
                <w:szCs w:val="18"/>
              </w:rPr>
            </w:pPr>
            <w:r>
              <w:rPr>
                <w:rFonts w:ascii="Times New Roman"/>
                <w:sz w:val="18"/>
              </w:rPr>
              <w:t>863,821.54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3,311,074.74</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5,699,473.97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11,239.30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195,909.70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Times New Roman" w:hAnsi="Times New Roman" w:cs="Times New Roman" w:eastAsia="Times New Roman" w:hint="default"/>
                <w:sz w:val="18"/>
                <w:szCs w:val="18"/>
              </w:rPr>
            </w:pPr>
            <w:r>
              <w:rPr>
                <w:rFonts w:ascii="Times New Roman"/>
                <w:sz w:val="18"/>
              </w:rPr>
              <w:t>3,395,082.72</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9,301,705.69</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3,032,800.00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3,032,800.00</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6,227,720.82</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7,218,511.94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13,446,232.76</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6,227,720.82</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7,218,511.94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13,446,232.76</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E0FFF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9,260,520.82</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7,218,511.94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16,479,032.76</w:t>
            </w:r>
          </w:p>
        </w:tc>
      </w:tr>
      <w:tr>
        <w:trPr>
          <w:trHeight w:val="403"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34"/>
        <w:gridCol w:w="737"/>
        <w:gridCol w:w="486"/>
        <w:gridCol w:w="737"/>
        <w:gridCol w:w="2124"/>
        <w:gridCol w:w="901"/>
        <w:gridCol w:w="867"/>
        <w:gridCol w:w="1091"/>
        <w:gridCol w:w="1091"/>
      </w:tblGrid>
      <w:tr>
        <w:trPr>
          <w:trHeight w:val="402"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11,469,434.16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4,776.24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152,047.01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39,769.24</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11,666,026.65</w:t>
            </w:r>
          </w:p>
        </w:tc>
      </w:tr>
      <w:tr>
        <w:trPr>
          <w:trHeight w:val="402"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737"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19,612,600.66</w:t>
            </w:r>
          </w:p>
        </w:tc>
        <w:tc>
          <w:tcPr>
            <w:tcW w:w="90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176,530.61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8,122,102.72</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27,911,233.99</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1.35%</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92"/>
      <w:bookmarkEnd w:id="29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6、开发支出" w:id="293"/>
      <w:bookmarkEnd w:id="29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5" w:type="dxa"/>
        <w:tblLayout w:type="fixed"/>
        <w:tblCellMar>
          <w:top w:w="0" w:type="dxa"/>
          <w:left w:w="0" w:type="dxa"/>
          <w:bottom w:w="0" w:type="dxa"/>
          <w:right w:w="0" w:type="dxa"/>
        </w:tblCellMar>
        <w:tblLook w:val="01E0"/>
      </w:tblPr>
      <w:tblGrid>
        <w:gridCol w:w="991"/>
        <w:gridCol w:w="1298"/>
        <w:gridCol w:w="1473"/>
        <w:gridCol w:w="578"/>
        <w:gridCol w:w="1744"/>
        <w:gridCol w:w="1472"/>
        <w:gridCol w:w="1121"/>
        <w:gridCol w:w="991"/>
      </w:tblGrid>
      <w:tr>
        <w:trPr>
          <w:trHeight w:val="206" w:hRule="exact"/>
        </w:trPr>
        <w:tc>
          <w:tcPr>
            <w:tcW w:w="991" w:type="dxa"/>
            <w:tcBorders>
              <w:top w:val="single" w:sz="4" w:space="0" w:color="000000"/>
              <w:left w:val="nil" w:sz="6" w:space="0" w:color="auto"/>
              <w:bottom w:val="nil" w:sz="6" w:space="0" w:color="auto"/>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43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99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99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51" w:type="dxa"/>
            <w:gridSpan w:val="2"/>
            <w:vMerge/>
            <w:tcBorders>
              <w:left w:val="single" w:sz="4" w:space="0" w:color="000000"/>
              <w:bottom w:val="single" w:sz="4" w:space="0" w:color="000000"/>
              <w:right w:val="single" w:sz="4" w:space="0" w:color="000000"/>
            </w:tcBorders>
            <w:shd w:val="clear" w:color="auto" w:fill="D2D2D2"/>
          </w:tcPr>
          <w:p>
            <w:pPr/>
          </w:p>
        </w:tc>
        <w:tc>
          <w:tcPr>
            <w:tcW w:w="4336" w:type="dxa"/>
            <w:gridSpan w:val="3"/>
            <w:vMerge/>
            <w:tcBorders>
              <w:left w:val="single" w:sz="4" w:space="0" w:color="000000"/>
              <w:bottom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991" w:type="dxa"/>
            <w:vMerge/>
            <w:tcBorders>
              <w:left w:val="nil" w:sz="6" w:space="0" w:color="auto"/>
              <w:bottom w:val="nil" w:sz="6" w:space="0" w:color="auto"/>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78"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4" w:type="dxa"/>
            <w:vMerge w:val="restart"/>
            <w:tcBorders>
              <w:top w:val="single" w:sz="4" w:space="0" w:color="000000"/>
              <w:left w:val="single" w:sz="9" w:space="0" w:color="E0FFFF"/>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21"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991"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991" w:type="dxa"/>
            <w:tcBorders>
              <w:top w:val="nil" w:sz="6" w:space="0" w:color="auto"/>
              <w:left w:val="nil" w:sz="6" w:space="0" w:color="auto"/>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9" w:space="0" w:color="E0FFFF"/>
            </w:tcBorders>
            <w:shd w:val="clear" w:color="auto" w:fill="D2D2D2"/>
          </w:tcPr>
          <w:p>
            <w:pPr/>
          </w:p>
        </w:tc>
        <w:tc>
          <w:tcPr>
            <w:tcW w:w="1744" w:type="dxa"/>
            <w:vMerge/>
            <w:tcBorders>
              <w:left w:val="single" w:sz="9" w:space="0" w:color="E0FFFF"/>
              <w:bottom w:val="single" w:sz="4" w:space="0" w:color="000000"/>
              <w:right w:val="single" w:sz="4" w:space="0" w:color="000000"/>
            </w:tcBorders>
            <w:shd w:val="clear" w:color="auto" w:fill="D2D2D2"/>
          </w:tcPr>
          <w:p>
            <w:pPr/>
          </w:p>
        </w:tc>
        <w:tc>
          <w:tcPr>
            <w:tcW w:w="1472"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13" w:space="0" w:color="D2D2D2"/>
              <w:bottom w:val="single" w:sz="4" w:space="0" w:color="000000"/>
              <w:right w:val="single" w:sz="9" w:space="0" w:color="D2D2D2"/>
            </w:tcBorders>
            <w:shd w:val="clear" w:color="auto" w:fill="E0FFFF"/>
          </w:tcPr>
          <w:p>
            <w:pPr/>
          </w:p>
        </w:tc>
        <w:tc>
          <w:tcPr>
            <w:tcW w:w="991"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99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1,029,873.04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17,663,611.80</w:t>
            </w:r>
          </w:p>
        </w:tc>
        <w:tc>
          <w:tcPr>
            <w:tcW w:w="578" w:type="dxa"/>
            <w:tcBorders>
              <w:top w:val="single" w:sz="4" w:space="0" w:color="000000"/>
              <w:left w:val="single" w:sz="4" w:space="0" w:color="000000"/>
              <w:bottom w:val="single" w:sz="4" w:space="0" w:color="000000"/>
              <w:right w:val="single" w:sz="36" w:space="0" w:color="000000"/>
            </w:tcBorders>
          </w:tcPr>
          <w:p>
            <w:pPr/>
          </w:p>
        </w:tc>
        <w:tc>
          <w:tcPr>
            <w:tcW w:w="1744" w:type="dxa"/>
            <w:tcBorders>
              <w:top w:val="single" w:sz="4" w:space="0" w:color="000000"/>
              <w:left w:val="single" w:sz="36"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506,709.62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17,755,305.03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431,470.19</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9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1,029,873.04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17,663,611.80</w:t>
            </w:r>
          </w:p>
        </w:tc>
        <w:tc>
          <w:tcPr>
            <w:tcW w:w="578" w:type="dxa"/>
            <w:tcBorders>
              <w:top w:val="single" w:sz="4" w:space="0" w:color="000000"/>
              <w:left w:val="single" w:sz="4" w:space="0" w:color="000000"/>
              <w:bottom w:val="single" w:sz="4" w:space="0" w:color="000000"/>
              <w:right w:val="single" w:sz="36" w:space="0" w:color="000000"/>
            </w:tcBorders>
          </w:tcPr>
          <w:p>
            <w:pPr/>
          </w:p>
        </w:tc>
        <w:tc>
          <w:tcPr>
            <w:tcW w:w="1744" w:type="dxa"/>
            <w:tcBorders>
              <w:top w:val="single" w:sz="4" w:space="0" w:color="000000"/>
              <w:left w:val="single" w:sz="36"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506,709.62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17,755,305.03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431,470.19</w:t>
            </w:r>
          </w:p>
        </w:tc>
        <w:tc>
          <w:tcPr>
            <w:tcW w:w="9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7、商誉" w:id="294"/>
      <w:bookmarkEnd w:id="29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8、长期待摊费用" w:id="295"/>
      <w:bookmarkEnd w:id="29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1,152,373.65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394,909.85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993,823.02</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1,152,373.65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394,909.85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993,823.02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296"/>
      <w:bookmarkEnd w:id="29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7"/>
      <w:bookmarkEnd w:id="2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1905"/>
        <w:gridCol w:w="1917"/>
        <w:gridCol w:w="1914"/>
        <w:gridCol w:w="1914"/>
        <w:gridCol w:w="1914"/>
      </w:tblGrid>
      <w:tr>
        <w:trPr>
          <w:trHeight w:val="206" w:hRule="exact"/>
        </w:trPr>
        <w:tc>
          <w:tcPr>
            <w:tcW w:w="1905"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905" w:type="dxa"/>
            <w:vMerge/>
            <w:tcBorders>
              <w:left w:val="nil" w:sz="6" w:space="0" w:color="auto"/>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5" w:type="dxa"/>
            <w:tcBorders>
              <w:top w:val="nil" w:sz="6" w:space="0" w:color="auto"/>
              <w:left w:val="nil" w:sz="6" w:space="0" w:color="auto"/>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67,712,907.42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10,192,572.14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19,975,017.62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3,105,590.78</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467,392.43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871,600.72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178,242.58</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13,954,110.70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3,321,667.49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1,840,526.58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388,362.92</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1,305,966.25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195,894.94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1,561,104.49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234,165.67</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83,440,376.80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13,857,858.11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24,248,249.41</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3,906,361.95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未经抵销的递延所得税负债" w:id="298"/>
      <w:bookmarkEnd w:id="2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以抵销后净额列示的递延所得税资产或负债" w:id="299"/>
      <w:bookmarkEnd w:id="29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10"/>
        <w:gridCol w:w="1905"/>
        <w:gridCol w:w="1914"/>
        <w:gridCol w:w="1914"/>
        <w:gridCol w:w="1914"/>
      </w:tblGrid>
      <w:tr>
        <w:trPr>
          <w:trHeight w:val="162" w:hRule="exact"/>
        </w:trPr>
        <w:tc>
          <w:tcPr>
            <w:tcW w:w="1910" w:type="dxa"/>
            <w:tcBorders>
              <w:top w:val="single" w:sz="4" w:space="0" w:color="000000"/>
              <w:left w:val="nil" w:sz="6" w:space="0" w:color="auto"/>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321" w:right="55"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nil" w:sz="6" w:space="0" w:color="auto"/>
            </w:tcBorders>
            <w:shd w:val="clear" w:color="auto" w:fill="D2D2D2"/>
          </w:tcPr>
          <w:p>
            <w:pPr/>
          </w:p>
        </w:tc>
      </w:tr>
      <w:tr>
        <w:trPr>
          <w:trHeight w:val="161" w:hRule="exact"/>
        </w:trPr>
        <w:tc>
          <w:tcPr>
            <w:tcW w:w="1910" w:type="dxa"/>
            <w:tcBorders>
              <w:top w:val="nil" w:sz="6" w:space="0" w:color="auto"/>
              <w:left w:val="nil" w:sz="6" w:space="0" w:color="auto"/>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2" w:right="0"/>
              <w:jc w:val="left"/>
              <w:rPr>
                <w:rFonts w:ascii="Times New Roman" w:hAnsi="Times New Roman" w:cs="Times New Roman" w:eastAsia="Times New Roman" w:hint="default"/>
                <w:sz w:val="18"/>
                <w:szCs w:val="18"/>
              </w:rPr>
            </w:pPr>
            <w:r>
              <w:rPr>
                <w:rFonts w:ascii="Times New Roman"/>
                <w:sz w:val="18"/>
              </w:rPr>
              <w:t>13,857,858.11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3,906,361.95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00"/>
      <w:bookmarkEnd w:id="30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9,221,913.94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4,322,650.91</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12,242,080.66</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21,463,994.60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4,322,650.91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01"/>
      <w:bookmarkEnd w:id="30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958,474.26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1,147,449.38</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3,175,201.53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3,175,201.53</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5,088,238.15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9,221,913.94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4,322,650.91</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02"/>
      <w:bookmarkEnd w:id="30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12,720,240.17</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92"/>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 业（有限合伙）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24,879,300.60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37,599,540.77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4" w:right="0"/>
        <w:jc w:val="left"/>
        <w:rPr>
          <w:b w:val="0"/>
          <w:bCs w:val="0"/>
        </w:rPr>
      </w:pPr>
      <w:bookmarkStart w:name="31、短期借款" w:id="303"/>
      <w:bookmarkEnd w:id="30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04"/>
      <w:bookmarkEnd w:id="30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51"/>
        <w:ind w:left="1134" w:right="0"/>
        <w:jc w:val="left"/>
      </w:pPr>
      <w:r>
        <w:rPr/>
        <w:t>短期借款分类的说明：</w:t>
      </w:r>
    </w:p>
    <w:p>
      <w:pPr>
        <w:spacing w:line="240" w:lineRule="auto" w:before="12"/>
        <w:rPr>
          <w:rFonts w:ascii="宋体" w:hAnsi="宋体" w:cs="宋体" w:eastAsia="宋体" w:hint="default"/>
          <w:sz w:val="14"/>
          <w:szCs w:val="14"/>
        </w:rPr>
      </w:pPr>
    </w:p>
    <w:p>
      <w:pPr>
        <w:pStyle w:val="BodyText"/>
        <w:spacing w:line="300" w:lineRule="auto"/>
        <w:ind w:left="1290" w:right="0" w:firstLine="157"/>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日，本公司与招商银行武汉循礼门支行签订最高授信额度为贰仟万元整的</w:t>
      </w:r>
      <w:r>
        <w:rPr>
          <w:rFonts w:ascii="Times New Roman" w:hAnsi="Times New Roman" w:cs="Times New Roman" w:eastAsia="Times New Roman" w:hint="default"/>
          <w:spacing w:val="-1"/>
        </w:rPr>
        <w:t>2017</w:t>
      </w:r>
      <w:r>
        <w:rPr>
          <w:spacing w:val="-1"/>
        </w:rPr>
        <w:t>年循授字第</w:t>
      </w:r>
      <w:r>
        <w:rPr>
          <w:rFonts w:ascii="Times New Roman" w:hAnsi="Times New Roman" w:cs="Times New Roman" w:eastAsia="Times New Roman" w:hint="default"/>
          <w:spacing w:val="-1"/>
        </w:rPr>
        <w:t>0215</w:t>
      </w:r>
      <w:r>
        <w:rPr>
          <w:spacing w:val="-1"/>
        </w:rPr>
        <w:t>号《授</w:t>
      </w:r>
      <w:r>
        <w:rPr/>
        <w:t> 信协议》，授信期间为</w:t>
      </w:r>
      <w:r>
        <w:rPr>
          <w:rFonts w:ascii="Times New Roman" w:hAnsi="Times New Roman" w:cs="Times New Roman" w:eastAsia="Times New Roman" w:hint="default"/>
        </w:rPr>
        <w:t>12</w:t>
      </w:r>
      <w:r>
        <w:rPr/>
        <w:t>个月，即从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日起到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日止。</w:t>
      </w:r>
    </w:p>
    <w:p>
      <w:pPr>
        <w:pStyle w:val="BodyText"/>
        <w:spacing w:line="300" w:lineRule="auto" w:before="133"/>
        <w:ind w:right="1122" w:firstLine="420"/>
        <w:jc w:val="left"/>
      </w:pPr>
      <w:r>
        <w:rPr>
          <w:spacing w:val="-1"/>
        </w:rPr>
        <w:t>在该《授信协议》项下，本公司于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21</w:t>
      </w:r>
      <w:r>
        <w:rPr>
          <w:spacing w:val="-1"/>
        </w:rPr>
        <w:t>日与招商银行武汉循礼门支行签订编号</w:t>
      </w:r>
      <w:r>
        <w:rPr>
          <w:rFonts w:ascii="Times New Roman" w:hAnsi="Times New Roman" w:cs="Times New Roman" w:eastAsia="Times New Roman" w:hint="default"/>
          <w:spacing w:val="-1"/>
        </w:rPr>
        <w:t>2017</w:t>
      </w:r>
      <w:r>
        <w:rPr>
          <w:spacing w:val="-1"/>
        </w:rPr>
        <w:t>年循字第</w:t>
      </w:r>
      <w:r>
        <w:rPr>
          <w:rFonts w:ascii="Times New Roman" w:hAnsi="Times New Roman" w:cs="Times New Roman" w:eastAsia="Times New Roman" w:hint="default"/>
          <w:spacing w:val="-1"/>
        </w:rPr>
        <w:t>0219</w:t>
      </w:r>
      <w:r>
        <w:rPr>
          <w:spacing w:val="-1"/>
        </w:rPr>
        <w:t>号《流动资金</w:t>
      </w:r>
      <w:r>
        <w:rPr/>
        <w:t> 借款合同》，获取借款期限为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日的人民币借款</w:t>
      </w:r>
      <w:r>
        <w:rPr>
          <w:rFonts w:ascii="Times New Roman" w:hAnsi="Times New Roman" w:cs="Times New Roman" w:eastAsia="Times New Roman" w:hint="default"/>
        </w:rPr>
        <w:t>10,000,000.00</w:t>
      </w:r>
      <w:r>
        <w:rPr/>
        <w:t>元，借款利率为</w:t>
      </w:r>
      <w:r>
        <w:rPr>
          <w:rFonts w:ascii="Times New Roman" w:hAnsi="Times New Roman" w:cs="Times New Roman" w:eastAsia="Times New Roman" w:hint="default"/>
        </w:rPr>
        <w:t>4.785%</w:t>
      </w:r>
      <w:r>
        <w:rPr/>
        <w:t>。</w:t>
      </w:r>
    </w:p>
    <w:p>
      <w:pPr>
        <w:pStyle w:val="BodyText"/>
        <w:spacing w:line="300" w:lineRule="auto" w:before="133"/>
        <w:ind w:right="0" w:firstLine="217"/>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日，本公司与上海浦东发展银行武汉分行签订了编号</w:t>
      </w:r>
      <w:r>
        <w:rPr>
          <w:rFonts w:ascii="Times New Roman" w:hAnsi="Times New Roman" w:cs="Times New Roman" w:eastAsia="Times New Roman" w:hint="default"/>
          <w:spacing w:val="-1"/>
        </w:rPr>
        <w:t>70012017280673</w:t>
      </w:r>
      <w:r>
        <w:rPr>
          <w:spacing w:val="-1"/>
        </w:rPr>
        <w:t>的《流动资金借款合同》，获取</w:t>
      </w:r>
      <w:r>
        <w:rPr/>
        <w:t> 人民币借款</w:t>
      </w:r>
      <w:r>
        <w:rPr>
          <w:rFonts w:ascii="Times New Roman" w:hAnsi="Times New Roman" w:cs="Times New Roman" w:eastAsia="Times New Roman" w:hint="default"/>
        </w:rPr>
        <w:t>5,000,000.00</w:t>
      </w:r>
      <w:r>
        <w:rPr/>
        <w:t>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日，借款利率为</w:t>
      </w:r>
      <w:r>
        <w:rPr>
          <w:rFonts w:ascii="Times New Roman" w:hAnsi="Times New Roman" w:cs="Times New Roman" w:eastAsia="Times New Roman" w:hint="default"/>
        </w:rPr>
        <w:t>5.220%</w:t>
      </w:r>
      <w:r>
        <w:rPr/>
        <w:t>。</w:t>
      </w:r>
    </w:p>
    <w:p>
      <w:pPr>
        <w:pStyle w:val="BodyText"/>
        <w:spacing w:line="300" w:lineRule="auto" w:before="133"/>
        <w:ind w:left="1290" w:right="1036" w:firstLine="29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日，本公司与上海浦东发展银行武汉分行签订了编号为</w:t>
      </w:r>
      <w:r>
        <w:rPr>
          <w:rFonts w:ascii="Times New Roman" w:hAnsi="Times New Roman" w:cs="Times New Roman" w:eastAsia="Times New Roman" w:hint="default"/>
        </w:rPr>
        <w:t>70012017280747</w:t>
      </w:r>
      <w:r>
        <w:rPr/>
        <w:t>的《流动资金借款合同》， 获取人民币借款</w:t>
      </w:r>
      <w:r>
        <w:rPr>
          <w:rFonts w:ascii="Times New Roman" w:hAnsi="Times New Roman" w:cs="Times New Roman" w:eastAsia="Times New Roman" w:hint="default"/>
        </w:rPr>
        <w:t>5,000,000.00</w:t>
      </w:r>
      <w:r>
        <w:rPr/>
        <w:t>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日，借款利率</w:t>
      </w:r>
      <w:r>
        <w:rPr>
          <w:spacing w:val="-21"/>
        </w:rPr>
        <w:t> </w:t>
      </w:r>
      <w:r>
        <w:rPr/>
        <w:t>为</w:t>
      </w:r>
      <w:r>
        <w:rPr>
          <w:rFonts w:ascii="Times New Roman" w:hAnsi="Times New Roman" w:cs="Times New Roman" w:eastAsia="Times New Roman" w:hint="default"/>
        </w:rPr>
        <w:t>5.220%</w:t>
      </w:r>
      <w:r>
        <w:rPr/>
        <w:t>。</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2）已逾期未偿还的短期借款情况" w:id="305"/>
      <w:bookmarkEnd w:id="30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2、以公允价值计量且其变动计入当期损益的金融负债" w:id="306"/>
      <w:bookmarkEnd w:id="30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衍生金融负债" w:id="307"/>
      <w:bookmarkEnd w:id="30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4、应付票据" w:id="308"/>
      <w:bookmarkEnd w:id="30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5,711,094.00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9,692,685.00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5,711,094.00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9,692,685.00</w:t>
            </w:r>
          </w:p>
        </w:tc>
      </w:tr>
    </w:tbl>
    <w:p>
      <w:pPr>
        <w:pStyle w:val="BodyText"/>
        <w:spacing w:line="240" w:lineRule="auto" w:before="51"/>
        <w:ind w:left="1134" w:right="0"/>
        <w:jc w:val="left"/>
      </w:pPr>
      <w:r>
        <w:rPr/>
        <w:t>本期末已到期未支付的应付票据总额为元。</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5、应付账款" w:id="309"/>
      <w:bookmarkEnd w:id="30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10"/>
      <w:bookmarkEnd w:id="31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31,287,504.52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23,744,703.01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1,246,228.00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241,441.43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185,612.39</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31,558,145.95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25,176,543.40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6、预收款项" w:id="312"/>
      <w:bookmarkEnd w:id="31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13"/>
      <w:bookmarkEnd w:id="31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30,103,103.81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20,490,421.75</w:t>
            </w:r>
          </w:p>
        </w:tc>
      </w:tr>
      <w:tr>
        <w:trPr>
          <w:trHeight w:val="404"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30,103,103.81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20,490,421.75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建造合同形成的已结算未完工项目情况" w:id="315"/>
      <w:bookmarkEnd w:id="31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7、应付职工薪酬" w:id="316"/>
      <w:bookmarkEnd w:id="31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17"/>
      <w:bookmarkEnd w:id="31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4,643,864.57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33,322,855.37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32,150,440.11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5,816,279.83</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2,941,048.52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2,947,474.48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12,643.95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4,662,934.48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36,338,903.89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35,172,914.59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5,828,923.78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18"/>
      <w:bookmarkEnd w:id="31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4,437,553.39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30,008,469.55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28,831,532.94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5,614,490.00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779,384.36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782,588.36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46,680.00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126,377.12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1,558,647.44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155,109.83</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1,434,758.78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1,435,357.79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124,746.51</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70,874.25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41,137.33</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29,955.42</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81,747.12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82,152.32</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407.90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30,050.06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940,625.01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970,675.07</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6,996.30</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4,643,864.57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33,322,855.37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32,150,440.11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5,816,279.83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19"/>
      <w:bookmarkEnd w:id="31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2,847,148.18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2,852,745.19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12,486.40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94,729.29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157.55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2,941,048.52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2,947,474.48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12,643.95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20"/>
      <w:bookmarkEnd w:id="32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74"/>
        <w:gridCol w:w="3194"/>
        <w:gridCol w:w="3175"/>
      </w:tblGrid>
      <w:tr>
        <w:trPr>
          <w:trHeight w:val="402" w:hRule="exact"/>
        </w:trPr>
        <w:tc>
          <w:tcPr>
            <w:tcW w:w="31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450,228.03</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895,489.48</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72,810.25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329,304.05</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158,278.76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210,223.19</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51,573.90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151,782.51</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164,714.21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163,681.87</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14,888.48</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12,274.63</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34,276.99</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61,135.98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81,830.51</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27,737.92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74,690.28</w:t>
            </w:r>
          </w:p>
        </w:tc>
      </w:tr>
      <w:tr>
        <w:trPr>
          <w:trHeight w:val="402" w:hRule="exact"/>
        </w:trPr>
        <w:tc>
          <w:tcPr>
            <w:tcW w:w="3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水利建设基金及其他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7,560.44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27,521.94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1,021,202.60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1,983,689.30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21"/>
      <w:bookmarkEnd w:id="32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43,945.95</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43,945.95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0、应付股利" w:id="322"/>
      <w:bookmarkEnd w:id="32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1、其他应付款" w:id="323"/>
      <w:bookmarkEnd w:id="32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24"/>
      <w:bookmarkEnd w:id="32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1,760,915.00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1,210,930.00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178,139.91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354,710.20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1,415,611.48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531,979.66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诉讼退款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1,748,095.95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2,137,095.95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202,322.54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232,626.23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5,305,084.88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29,467,342.04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2、持有待售的负债" w:id="325"/>
      <w:bookmarkEnd w:id="325"/>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3、一年内到期的非流动负债" w:id="326"/>
      <w:bookmarkEnd w:id="32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4、其他流动负债" w:id="327"/>
      <w:bookmarkEnd w:id="32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5、长期借款" w:id="328"/>
      <w:bookmarkEnd w:id="32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29"/>
      <w:bookmarkEnd w:id="32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6、应付债券" w:id="330"/>
      <w:bookmarkEnd w:id="33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7、长期应付款" w:id="331"/>
      <w:bookmarkEnd w:id="33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48、长期应付职工薪酬" w:id="332"/>
      <w:bookmarkEnd w:id="33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9、专项应付款" w:id="333"/>
      <w:bookmarkEnd w:id="333"/>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0、预计负债" w:id="334"/>
      <w:bookmarkEnd w:id="334"/>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1、递延收益" w:id="335"/>
      <w:bookmarkEnd w:id="335"/>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1,561,104.49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255,138.24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1,305,966.25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1,561,104.49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255,138.24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1,305,966.25</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十大科技产 业化专项项 目</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163,713.92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54,128.14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109,585.78</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牛仔雕花机 研发补贴</w:t>
            </w:r>
            <w:r>
              <w:rPr>
                <w:rFonts w:ascii="Times New Roman" w:hAnsi="Times New Roman" w:cs="Times New Roman" w:eastAsia="Times New Roman" w:hint="default"/>
                <w:sz w:val="18"/>
                <w:szCs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439,814.81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55,555.56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384,259.25</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桥架多功能 一体机项目 研发补贴</w:t>
            </w:r>
            <w:r>
              <w:rPr>
                <w:rFonts w:ascii="Times New Roman" w:hAnsi="Times New Roman" w:cs="Times New Roman" w:eastAsia="Times New Roman" w:hint="default"/>
                <w:sz w:val="18"/>
                <w:szCs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957,575.76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145,454.54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812,121.22</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1,561,104.49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255,138.24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1,305,966.25</w:t>
            </w:r>
          </w:p>
        </w:tc>
        <w:tc>
          <w:tcPr>
            <w:tcW w:w="10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240" w:lineRule="auto" w:before="115"/>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18"/>
        </w:rPr>
        <w:t>、</w:t>
      </w:r>
      <w:r>
        <w:rPr/>
        <w:t>根</w:t>
      </w:r>
      <w:r>
        <w:rPr>
          <w:spacing w:val="-18"/>
        </w:rPr>
        <w:t>据</w:t>
      </w:r>
      <w:r>
        <w:rPr/>
        <w:t>《武</w:t>
      </w:r>
      <w:r>
        <w:rPr>
          <w:spacing w:val="-2"/>
        </w:rPr>
        <w:t>汉</w:t>
      </w:r>
      <w:r>
        <w:rPr/>
        <w:t>市科技局关于下达</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1"/>
        </w:rPr>
        <w:t>十</w:t>
      </w:r>
      <w:r>
        <w:rPr/>
        <w:t>大科技产业化专项项目的通知</w:t>
      </w:r>
      <w:r>
        <w:rPr>
          <w:spacing w:val="-108"/>
        </w:rPr>
        <w:t>》</w:t>
      </w:r>
      <w:r>
        <w:rPr/>
        <w:t>（武科计</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号文件</w:t>
      </w:r>
      <w:r>
        <w:rPr>
          <w:spacing w:val="-17"/>
        </w:rPr>
        <w:t>）</w:t>
      </w:r>
      <w:r>
        <w:rPr/>
        <w:t>规定</w:t>
      </w:r>
      <w:r>
        <w:rPr>
          <w:spacing w:val="-18"/>
        </w:rPr>
        <w:t>，</w:t>
      </w:r>
      <w:r>
        <w:rPr/>
        <w:t>公司</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p>
    <w:p>
      <w:pPr>
        <w:spacing w:after="0" w:line="240" w:lineRule="auto"/>
        <w:jc w:val="left"/>
        <w:rPr>
          <w:rFonts w:ascii="Times New Roman" w:hAnsi="Times New Roman" w:cs="Times New Roman" w:eastAsia="Times New Roman" w:hint="default"/>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5"/>
          <w:szCs w:val="25"/>
        </w:rPr>
      </w:pPr>
    </w:p>
    <w:p>
      <w:pPr>
        <w:pStyle w:val="BodyText"/>
        <w:spacing w:line="240" w:lineRule="auto" w:before="44"/>
        <w:ind w:right="0"/>
        <w:jc w:val="left"/>
      </w:pPr>
      <w:r>
        <w:rPr/>
        <w:t>年收到与资产相关政府补助</w:t>
      </w:r>
      <w:r>
        <w:rPr>
          <w:spacing w:val="-46"/>
        </w:rPr>
        <w:t> </w:t>
      </w:r>
      <w:r>
        <w:rPr>
          <w:rFonts w:ascii="Times New Roman" w:hAnsi="Times New Roman" w:cs="Times New Roman" w:eastAsia="Times New Roman" w:hint="default"/>
        </w:rPr>
        <w:t>44</w:t>
      </w:r>
      <w:r>
        <w:rPr>
          <w:rFonts w:ascii="Times New Roman" w:hAnsi="Times New Roman" w:cs="Times New Roman" w:eastAsia="Times New Roman" w:hint="default"/>
          <w:spacing w:val="-1"/>
        </w:rPr>
        <w:t> </w:t>
      </w:r>
      <w:r>
        <w:rPr/>
        <w:t>万元，已全部用于购买固定资产，并按资产使用年限摊销计入当期损益。</w:t>
      </w:r>
    </w:p>
    <w:p>
      <w:pPr>
        <w:pStyle w:val="BodyText"/>
        <w:spacing w:line="240" w:lineRule="auto" w:before="101"/>
        <w:ind w:left="0" w:right="1042"/>
        <w:jc w:val="right"/>
      </w:pPr>
      <w:r>
        <w:rPr>
          <w:rFonts w:ascii="Times New Roman" w:hAnsi="Times New Roman" w:cs="Times New Roman" w:eastAsia="Times New Roman" w:hint="default"/>
          <w:spacing w:val="-2"/>
        </w:rPr>
        <w:t>*2</w:t>
      </w:r>
      <w:r>
        <w:rPr>
          <w:spacing w:val="-2"/>
        </w:rPr>
        <w:t>、根据《武汉市商务局、武汉市财政局关于</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2"/>
        </w:rPr>
        <w:t>年市外经贸（区域协调）发展促进资金项目（第一期）安排的通知》</w:t>
      </w:r>
    </w:p>
    <w:p>
      <w:pPr>
        <w:pStyle w:val="BodyText"/>
        <w:spacing w:line="302" w:lineRule="auto" w:before="63"/>
        <w:ind w:right="1123"/>
        <w:jc w:val="left"/>
      </w:pPr>
      <w:r>
        <w:rPr/>
        <w:t>（武商务</w:t>
      </w:r>
      <w:r>
        <w:rPr>
          <w:rFonts w:ascii="Times New Roman" w:hAnsi="Times New Roman" w:cs="Times New Roman" w:eastAsia="Times New Roman" w:hint="default"/>
        </w:rPr>
        <w:t>[2015]177</w:t>
      </w:r>
      <w:r>
        <w:rPr>
          <w:rFonts w:ascii="Times New Roman" w:hAnsi="Times New Roman" w:cs="Times New Roman" w:eastAsia="Times New Roman" w:hint="default"/>
          <w:spacing w:val="1"/>
        </w:rPr>
        <w:t> </w:t>
      </w:r>
      <w:r>
        <w:rPr>
          <w:spacing w:val="-4"/>
          <w:w w:val="100"/>
        </w:rPr>
        <w:t>号通知），公司本期收到的关于</w:t>
      </w:r>
      <w:r>
        <w:rPr>
          <w:rFonts w:ascii="Times New Roman" w:hAnsi="Times New Roman" w:cs="Times New Roman" w:eastAsia="Times New Roman" w:hint="default"/>
          <w:spacing w:val="-4"/>
          <w:w w:val="100"/>
        </w:rPr>
        <w:t>“</w:t>
      </w:r>
      <w:r>
        <w:rPr>
          <w:spacing w:val="-4"/>
          <w:w w:val="100"/>
        </w:rPr>
        <w:t>牛仔激光立体雕花机研发</w:t>
      </w:r>
      <w:r>
        <w:rPr>
          <w:rFonts w:ascii="Times New Roman" w:hAnsi="Times New Roman" w:cs="Times New Roman" w:eastAsia="Times New Roman" w:hint="default"/>
          <w:spacing w:val="-4"/>
          <w:w w:val="100"/>
        </w:rPr>
        <w:t>”</w:t>
      </w:r>
      <w:r>
        <w:rPr>
          <w:spacing w:val="-4"/>
          <w:w w:val="100"/>
        </w:rPr>
        <w:t>项目补助</w:t>
      </w:r>
      <w:r>
        <w:rPr>
          <w:spacing w:val="-44"/>
          <w:w w:val="100"/>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3"/>
        </w:rPr>
        <w:t>万元，为对公司已于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年形成 无形资产的研发项目补助，按照该无形资产摊销年限进行摊销。</w:t>
      </w:r>
    </w:p>
    <w:p>
      <w:pPr>
        <w:pStyle w:val="BodyText"/>
        <w:spacing w:line="300" w:lineRule="auto" w:before="69"/>
        <w:ind w:right="1130" w:firstLine="360"/>
        <w:jc w:val="both"/>
      </w:pPr>
      <w:r>
        <w:rPr>
          <w:rFonts w:ascii="Times New Roman" w:hAnsi="Times New Roman" w:cs="Times New Roman" w:eastAsia="Times New Roman" w:hint="default"/>
        </w:rPr>
        <w:t>*3</w:t>
      </w:r>
      <w:r>
        <w:rPr/>
        <w:t>、根据《武汉市科技局关于下达 </w:t>
      </w:r>
      <w:r>
        <w:rPr>
          <w:rFonts w:ascii="Times New Roman" w:hAnsi="Times New Roman" w:cs="Times New Roman" w:eastAsia="Times New Roman" w:hint="default"/>
        </w:rPr>
        <w:t>2015 </w:t>
      </w:r>
      <w:r>
        <w:rPr>
          <w:spacing w:val="-3"/>
        </w:rPr>
        <w:t>年高新技术成果转化及产业化项目的通知》（武科计</w:t>
      </w:r>
      <w:r>
        <w:rPr>
          <w:rFonts w:ascii="Times New Roman" w:hAnsi="Times New Roman" w:cs="Times New Roman" w:eastAsia="Times New Roman" w:hint="default"/>
          <w:spacing w:val="-3"/>
        </w:rPr>
        <w:t>[2015]19</w:t>
      </w:r>
      <w:r>
        <w:rPr>
          <w:rFonts w:ascii="Times New Roman" w:hAnsi="Times New Roman" w:cs="Times New Roman" w:eastAsia="Times New Roman" w:hint="default"/>
          <w:spacing w:val="-17"/>
        </w:rPr>
        <w:t> </w:t>
      </w:r>
      <w:r>
        <w:rPr>
          <w:spacing w:val="-12"/>
        </w:rPr>
        <w:t>号），公司本期收</w:t>
      </w:r>
      <w:r>
        <w:rPr/>
        <w:t> 到的关于</w:t>
      </w:r>
      <w:r>
        <w:rPr>
          <w:rFonts w:ascii="Times New Roman" w:hAnsi="Times New Roman" w:cs="Times New Roman" w:eastAsia="Times New Roman" w:hint="default"/>
        </w:rPr>
        <w:t>“</w:t>
      </w:r>
      <w:r>
        <w:rPr/>
        <w:t>桥架激光刺绣雕花切割一体机产业化</w:t>
      </w:r>
      <w:r>
        <w:rPr>
          <w:rFonts w:ascii="Times New Roman" w:hAnsi="Times New Roman" w:cs="Times New Roman" w:eastAsia="Times New Roman" w:hint="default"/>
        </w:rPr>
        <w:t>”</w:t>
      </w:r>
      <w:r>
        <w:rPr/>
        <w:t>项目补助</w:t>
      </w:r>
      <w:r>
        <w:rPr>
          <w:spacing w:val="-39"/>
        </w:rPr>
        <w:t> </w:t>
      </w:r>
      <w:r>
        <w:rPr>
          <w:rFonts w:ascii="Times New Roman" w:hAnsi="Times New Roman" w:cs="Times New Roman" w:eastAsia="Times New Roman" w:hint="default"/>
        </w:rPr>
        <w:t>120</w:t>
      </w:r>
      <w:r>
        <w:rPr>
          <w:rFonts w:ascii="Times New Roman" w:hAnsi="Times New Roman" w:cs="Times New Roman" w:eastAsia="Times New Roman" w:hint="default"/>
          <w:spacing w:val="6"/>
        </w:rPr>
        <w:t> </w:t>
      </w:r>
      <w:r>
        <w:rPr/>
        <w:t>万元，为对公司已于</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年形成无形资产的研发项目补助， 按照该无形资产摊销年限进行摊销。</w:t>
      </w:r>
    </w:p>
    <w:p>
      <w:pPr>
        <w:pStyle w:val="BodyText"/>
        <w:spacing w:line="240" w:lineRule="auto" w:before="71"/>
        <w:ind w:left="1494" w:right="0"/>
        <w:jc w:val="left"/>
      </w:pPr>
      <w:r>
        <w:rPr/>
        <w:t>本期计入当期损益金额中，计入其他收益</w:t>
      </w:r>
      <w:r>
        <w:rPr>
          <w:spacing w:val="-47"/>
        </w:rPr>
        <w:t> </w:t>
      </w:r>
      <w:r>
        <w:rPr>
          <w:rFonts w:ascii="Times New Roman" w:hAnsi="Times New Roman" w:cs="Times New Roman" w:eastAsia="Times New Roman" w:hint="default"/>
        </w:rPr>
        <w:t>255,138.24</w:t>
      </w:r>
      <w:r>
        <w:rPr>
          <w:rFonts w:ascii="Times New Roman" w:hAnsi="Times New Roman" w:cs="Times New Roman" w:eastAsia="Times New Roman" w:hint="default"/>
          <w:spacing w:val="-1"/>
        </w:rPr>
        <w:t> </w:t>
      </w:r>
      <w:r>
        <w:rPr/>
        <w:t>元，计入营业外收入</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其他非流动负债" w:id="336"/>
      <w:bookmarkEnd w:id="336"/>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3、股本" w:id="337"/>
      <w:bookmarkEnd w:id="337"/>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182"/>
        <w:gridCol w:w="1208"/>
        <w:gridCol w:w="1184"/>
        <w:gridCol w:w="1197"/>
        <w:gridCol w:w="1195"/>
        <w:gridCol w:w="1197"/>
        <w:gridCol w:w="1184"/>
        <w:gridCol w:w="1193"/>
      </w:tblGrid>
      <w:tr>
        <w:trPr>
          <w:trHeight w:val="206" w:hRule="exact"/>
        </w:trPr>
        <w:tc>
          <w:tcPr>
            <w:tcW w:w="1182" w:type="dxa"/>
            <w:tcBorders>
              <w:top w:val="single" w:sz="4" w:space="0" w:color="000000"/>
              <w:left w:val="nil" w:sz="6" w:space="0" w:color="auto"/>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1182" w:type="dxa"/>
            <w:vMerge w:val="restart"/>
            <w:tcBorders>
              <w:top w:val="nil" w:sz="6" w:space="0" w:color="auto"/>
              <w:left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2" w:type="dxa"/>
            <w:vMerge/>
            <w:tcBorders>
              <w:left w:val="nil" w:sz="6" w:space="0" w:color="auto"/>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1182" w:type="dxa"/>
            <w:tcBorders>
              <w:top w:val="nil" w:sz="6" w:space="0" w:color="auto"/>
              <w:left w:val="nil" w:sz="6" w:space="0" w:color="auto"/>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11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126,000,000.00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126,000,000.00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4、其他权益工具" w:id="338"/>
      <w:bookmarkEnd w:id="338"/>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5、资本公积" w:id="339"/>
      <w:bookmarkEnd w:id="33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1,596,163.75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85,222,850.09</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1,596,163.75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85,222,850.09</w:t>
            </w:r>
          </w:p>
        </w:tc>
      </w:tr>
    </w:tbl>
    <w:p>
      <w:pPr>
        <w:pStyle w:val="BodyText"/>
        <w:spacing w:line="240" w:lineRule="auto" w:before="51"/>
        <w:ind w:left="1134" w:right="0"/>
        <w:jc w:val="left"/>
      </w:pPr>
      <w:r>
        <w:rPr/>
        <w:t>其他说明，包括本期增减变动情况、变动原因说明：</w:t>
      </w:r>
    </w:p>
    <w:p>
      <w:pPr>
        <w:pStyle w:val="BodyText"/>
        <w:spacing w:line="302" w:lineRule="auto" w:before="115"/>
        <w:ind w:left="1134" w:right="1122" w:firstLine="360"/>
        <w:jc w:val="left"/>
      </w:pPr>
      <w:r>
        <w:rPr/>
        <w:t>（</w:t>
      </w:r>
      <w:r>
        <w:rPr>
          <w:rFonts w:ascii="Times New Roman" w:hAnsi="Times New Roman" w:cs="Times New Roman" w:eastAsia="Times New Roman" w:hint="default"/>
        </w:rPr>
        <w:t>1</w:t>
      </w:r>
      <w:r>
        <w:rPr/>
        <w:t>）本期因公司控股股东梁伟向公司提供无息借款，按同期银行贷款利率计算的利息，视同控股股东对公司的资本性 投入，计入财务费用和资本公积，金额为</w:t>
      </w:r>
      <w:r>
        <w:rPr>
          <w:spacing w:val="-46"/>
        </w:rPr>
        <w:t> </w:t>
      </w:r>
      <w:r>
        <w:rPr>
          <w:rFonts w:ascii="Times New Roman" w:hAnsi="Times New Roman" w:cs="Times New Roman" w:eastAsia="Times New Roman" w:hint="default"/>
        </w:rPr>
        <w:t>756,416.68 </w:t>
      </w:r>
      <w:r>
        <w:rPr/>
        <w:t>元。</w:t>
      </w:r>
    </w:p>
    <w:p>
      <w:pPr>
        <w:pStyle w:val="BodyText"/>
        <w:spacing w:line="302" w:lineRule="auto" w:before="50"/>
        <w:ind w:left="1134" w:right="1115" w:firstLine="360"/>
        <w:jc w:val="left"/>
      </w:pPr>
      <w:r>
        <w:rPr/>
        <w:t>（</w:t>
      </w:r>
      <w:r>
        <w:rPr>
          <w:rFonts w:ascii="Times New Roman" w:hAnsi="Times New Roman" w:cs="Times New Roman" w:eastAsia="Times New Roman" w:hint="default"/>
        </w:rPr>
        <w:t>2</w:t>
      </w:r>
      <w:r>
        <w:rPr/>
        <w:t>）本期公司收购子公司武汉金之运少数股东权益，合并财务报表确认资本公积</w:t>
      </w:r>
      <w:r>
        <w:rPr>
          <w:spacing w:val="-42"/>
        </w:rPr>
        <w:t> </w:t>
      </w:r>
      <w:r>
        <w:rPr>
          <w:rFonts w:ascii="Times New Roman" w:hAnsi="Times New Roman" w:cs="Times New Roman" w:eastAsia="Times New Roman" w:hint="default"/>
        </w:rPr>
        <w:t>839,747.07</w:t>
      </w:r>
      <w:r>
        <w:rPr>
          <w:rFonts w:ascii="Times New Roman" w:hAnsi="Times New Roman" w:cs="Times New Roman" w:eastAsia="Times New Roman" w:hint="default"/>
          <w:spacing w:val="4"/>
        </w:rPr>
        <w:t> </w:t>
      </w:r>
      <w:r>
        <w:rPr/>
        <w:t>元，详见附注九（二）在 子公司的所有者权益份额发生变化但仍控制子公司的交易。</w:t>
      </w:r>
    </w:p>
    <w:p>
      <w:pPr>
        <w:spacing w:line="240" w:lineRule="auto" w:before="2"/>
        <w:rPr>
          <w:rFonts w:ascii="宋体" w:hAnsi="宋体" w:cs="宋体" w:eastAsia="宋体" w:hint="default"/>
          <w:sz w:val="23"/>
          <w:szCs w:val="23"/>
        </w:rPr>
      </w:pPr>
    </w:p>
    <w:p>
      <w:pPr>
        <w:pStyle w:val="Heading3"/>
        <w:spacing w:line="240" w:lineRule="auto"/>
        <w:ind w:left="1134" w:right="0"/>
        <w:jc w:val="left"/>
        <w:rPr>
          <w:b w:val="0"/>
          <w:bCs w:val="0"/>
        </w:rPr>
      </w:pPr>
      <w:bookmarkStart w:name="56、库存股" w:id="340"/>
      <w:bookmarkEnd w:id="34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7、其他综合收益" w:id="341"/>
      <w:bookmarkEnd w:id="34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2837"/>
        <w:gridCol w:w="1076"/>
        <w:gridCol w:w="938"/>
        <w:gridCol w:w="1158"/>
        <w:gridCol w:w="940"/>
        <w:gridCol w:w="940"/>
        <w:gridCol w:w="940"/>
        <w:gridCol w:w="866"/>
      </w:tblGrid>
      <w:tr>
        <w:trPr>
          <w:trHeight w:val="402" w:hRule="exact"/>
        </w:trPr>
        <w:tc>
          <w:tcPr>
            <w:tcW w:w="2837"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6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37" w:type="dxa"/>
            <w:vMerge/>
            <w:tcBorders>
              <w:left w:val="nil" w:sz="6" w:space="0" w:color="auto"/>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4"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4" w:right="21" w:hanging="262"/>
              <w:jc w:val="left"/>
              <w:rPr>
                <w:rFonts w:ascii="宋体" w:hAnsi="宋体" w:cs="宋体" w:eastAsia="宋体" w:hint="default"/>
                <w:sz w:val="18"/>
                <w:szCs w:val="18"/>
              </w:rPr>
            </w:pPr>
            <w:r>
              <w:rPr>
                <w:rFonts w:ascii="宋体" w:hAnsi="宋体" w:cs="宋体" w:eastAsia="宋体" w:hint="default"/>
                <w:spacing w:val="-4"/>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4" w:right="103"/>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4" w:right="103"/>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66"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2837"/>
        <w:gridCol w:w="1076"/>
        <w:gridCol w:w="938"/>
        <w:gridCol w:w="1158"/>
        <w:gridCol w:w="940"/>
        <w:gridCol w:w="940"/>
        <w:gridCol w:w="940"/>
        <w:gridCol w:w="866"/>
      </w:tblGrid>
      <w:tr>
        <w:trPr>
          <w:trHeight w:val="714" w:hRule="exact"/>
        </w:trPr>
        <w:tc>
          <w:tcPr>
            <w:tcW w:w="28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02"/>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266,400.71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94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260,857.16</w:t>
            </w:r>
          </w:p>
        </w:tc>
      </w:tr>
      <w:tr>
        <w:trPr>
          <w:trHeight w:val="402" w:hRule="exact"/>
        </w:trPr>
        <w:tc>
          <w:tcPr>
            <w:tcW w:w="28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266,400.71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94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260,857.16</w:t>
            </w:r>
          </w:p>
        </w:tc>
      </w:tr>
      <w:tr>
        <w:trPr>
          <w:trHeight w:val="402" w:hRule="exact"/>
        </w:trPr>
        <w:tc>
          <w:tcPr>
            <w:tcW w:w="28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266,400.71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11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94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260,857.16</w:t>
            </w: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42"/>
      <w:bookmarkEnd w:id="34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9、盈余公积" w:id="343"/>
      <w:bookmarkEnd w:id="34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9,985,834.59</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9,985,834.59</w:t>
            </w:r>
          </w:p>
        </w:tc>
      </w:tr>
    </w:tbl>
    <w:p>
      <w:pPr>
        <w:pStyle w:val="BodyText"/>
        <w:spacing w:line="240" w:lineRule="auto" w:before="51"/>
        <w:ind w:left="113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0、未分配利润" w:id="344"/>
      <w:bookmarkEnd w:id="34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8"/>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65,090,532.71</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58,867,893.19</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65,090,532.71</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58,867,893.19</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-42,345,109.04</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6,734,039.01</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511,399.49</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756,000.00</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21,989,423.67</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65,090,532.71</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134"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45"/>
      <w:bookmarkEnd w:id="34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nil" w:sz="6" w:space="0" w:color="auto"/>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169,718,334.20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122,035,952.38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166,690,975.50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108,847,959.66</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15,231,137.16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7,922,802.56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20,639,700.67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9,537,204.33</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184,949,471.36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129,958,754.94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187,330,676.17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118,385,163.99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税金及附加" w:id="346"/>
      <w:bookmarkEnd w:id="34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3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713,104.30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803,795.37</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297,928.50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355,172.02</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357,142.56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328,538.87</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59,553.92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44,665.44</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152,559.37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197,097.56</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125,751.54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120,940.58</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94,116.97</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1,706,040.19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1,944,326.81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47"/>
      <w:bookmarkEnd w:id="34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11,209,063.47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12,252,878.60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运费和报关杂费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6,561,491.72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5,068,095.38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3,929,448.46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4,346,957.36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3,266,442.38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2,384,730.96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1,449,809.54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1,738,401.31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2,875,698.52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3,386,165.57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284,629.43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481,935.32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279,717.24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1,322,597.79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1,368,489.52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2,516,960.37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31,224,790.28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33,498,722.66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48"/>
      <w:bookmarkEnd w:id="34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9,426,798.51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8,223,618.54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4,820,820.68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4,429,900.03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17,755,305.03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4,951,584.77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329,303.57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596,890.80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1,111,191.34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1,256,127.47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596,312.37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636,766.71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1,314,539.74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2,311,726.79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103,579.95</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2,363,933.01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1,022,188.43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37,718,204.25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23,532,383.49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49"/>
      <w:bookmarkEnd w:id="349"/>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2,329,490.00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3,307,809.38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727,347.60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452,330.50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1,471,333.98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-1,278,347.26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236,894.14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156,307.23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3,310,370.52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1,733,438.85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50"/>
      <w:bookmarkEnd w:id="350"/>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8,314,263.88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5,921,197.64</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22,567,817.51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606,723.62</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3,681,743.61</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1,100,412.33</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13,446,232.76</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49,110,470.09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6,527,921.26</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7、公允价值变动收益" w:id="351"/>
      <w:bookmarkEnd w:id="351"/>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8、投资收益" w:id="352"/>
      <w:bookmarkEnd w:id="35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435"/>
        <w:gridCol w:w="3203"/>
        <w:gridCol w:w="2904"/>
      </w:tblGrid>
      <w:tr>
        <w:trPr>
          <w:trHeight w:val="402" w:hRule="exact"/>
        </w:trPr>
        <w:tc>
          <w:tcPr>
            <w:tcW w:w="34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15,055,459.48</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-965,150.61</w:t>
            </w:r>
            <w:r>
              <w:rPr>
                <w:rFonts w:ascii="Times New Roman"/>
                <w:sz w:val="18"/>
              </w:rPr>
            </w:r>
          </w:p>
        </w:tc>
      </w:tr>
      <w:tr>
        <w:trPr>
          <w:trHeight w:val="402" w:hRule="exact"/>
        </w:trPr>
        <w:tc>
          <w:tcPr>
            <w:tcW w:w="34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-6,586.98</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4,036,925.63</w:t>
            </w:r>
          </w:p>
        </w:tc>
      </w:tr>
      <w:tr>
        <w:trPr>
          <w:trHeight w:val="403" w:hRule="exact"/>
        </w:trPr>
        <w:tc>
          <w:tcPr>
            <w:tcW w:w="34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15,048,872.50</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3,071,775.02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53"/>
      <w:bookmarkEnd w:id="353"/>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-7,732.77</w:t>
            </w:r>
            <w:r>
              <w:rPr>
                <w:rFonts w:ascii="Times New Roman"/>
                <w:sz w:val="18"/>
              </w:rPr>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-7,732.77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0、其他收益" w:id="354"/>
      <w:bookmarkEnd w:id="354"/>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1,515,779.32</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1,515,779.32</w:t>
            </w:r>
          </w:p>
        </w:tc>
        <w:tc>
          <w:tcPr>
            <w:tcW w:w="31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1、营业外收入" w:id="355"/>
      <w:bookmarkEnd w:id="355"/>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2383"/>
        <w:gridCol w:w="2396"/>
        <w:gridCol w:w="2392"/>
        <w:gridCol w:w="2378"/>
      </w:tblGrid>
      <w:tr>
        <w:trPr>
          <w:trHeight w:val="161" w:hRule="exact"/>
        </w:trPr>
        <w:tc>
          <w:tcPr>
            <w:tcW w:w="2383" w:type="dxa"/>
            <w:tcBorders>
              <w:top w:val="single" w:sz="4" w:space="0" w:color="000000"/>
              <w:left w:val="nil" w:sz="6" w:space="0" w:color="auto"/>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1"/>
              <w:ind w:left="1100" w:right="10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83" w:type="dxa"/>
            <w:tcBorders>
              <w:top w:val="nil" w:sz="6" w:space="0" w:color="auto"/>
              <w:left w:val="nil" w:sz="6" w:space="0" w:color="auto"/>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3,047,745.24</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30,033.70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30,033.70</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经批准无须支付的应付款项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173,033.95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173,033.95</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50,704.47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9,758.65</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212,826.30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3,098,449.71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212,826.30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2、营业外支出" w:id="356"/>
      <w:bookmarkEnd w:id="356"/>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1100" w:right="11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10,077.49</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诉讼赔款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1,326,011.98</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资产报废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561,533.99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561,533.99</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9,339.22</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571,611.48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1,337,811.20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571,611.48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57"/>
      <w:bookmarkEnd w:id="357"/>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58"/>
      <w:bookmarkEnd w:id="35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859,051.80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784,207.97</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-9,951,496.16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26,681.30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-9,092,444.36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810,889.27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59"/>
      <w:bookmarkEnd w:id="35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4762"/>
        <w:gridCol w:w="4787"/>
      </w:tblGrid>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-51,873,292.27</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-7,780,993.84</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-3,162,943.00</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56,878.96</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142,186.16</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-47,243.78</w:t>
            </w:r>
            <w:r>
              <w:rPr>
                <w:rFonts w:ascii="Times New Roman"/>
                <w:sz w:val="18"/>
              </w:rPr>
            </w:r>
          </w:p>
        </w:tc>
      </w:tr>
      <w:tr>
        <w:trPr>
          <w:trHeight w:val="714"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0"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3,054,950.85</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-1,469,660.42</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前期确认递延本期不满足确认条件的影响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31,102.08</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税率变动对递延所得税余额的影响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83,278.63</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-9,092,444.36</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74、其他综合收益" w:id="360"/>
      <w:bookmarkEnd w:id="360"/>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5、现金流量表项目" w:id="361"/>
      <w:bookmarkEnd w:id="361"/>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2"/>
      <w:bookmarkEnd w:id="36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1,260,641.08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2,792,607.00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727,347.60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452,330.50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1,854,823.09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2,636,986.04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3,842,811.77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5,881,923.54</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63"/>
      <w:bookmarkEnd w:id="36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19,554,999.48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19,923,246.27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15,141,732.16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6,644,779.17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诉讼赔款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328,380.38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236,894.14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156,307.23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3,008,569.11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2,528,976.79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37,942,194.89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29,581,689.84</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64"/>
      <w:bookmarkEnd w:id="36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收回未完成股权变更的增资款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支付的其他与投资活动有关的现金" w:id="365"/>
      <w:bookmarkEnd w:id="36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33,871,697.25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6,292.81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未完成股权变更的增资款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33,871,697.25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15,006,292.81</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66"/>
      <w:bookmarkEnd w:id="36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2,555,918.70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6,237,499.70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2,555,918.70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6,237,499.70</w:t>
            </w: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支付的其他与筹资活动有关的现金" w:id="367"/>
      <w:bookmarkEnd w:id="36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6、现金流量表补充资料" w:id="368"/>
      <w:bookmarkEnd w:id="368"/>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69"/>
      <w:bookmarkEnd w:id="36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302"/>
        <w:gridCol w:w="3069"/>
        <w:gridCol w:w="3170"/>
      </w:tblGrid>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-42,780,847.91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5,722,510.60</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49,110,470.09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6,527,921.26</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5,680,534.83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6,479,029.14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3,311,074.74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3,142,382.35</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394,909.85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893,253.07</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7,732.77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531,500.29</w:t>
            </w:r>
          </w:p>
        </w:tc>
        <w:tc>
          <w:tcPr>
            <w:tcW w:w="31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-224,592.48</w:t>
            </w:r>
            <w:r>
              <w:rPr>
                <w:rFonts w:ascii="Times New Roman"/>
                <w:sz w:val="18"/>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3,307,809.38</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-15,048,872.50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-3,071,775.02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group style="position:absolute;margin-left:223.339996pt;margin-top:71.909981pt;width:151.25pt;height:20.8pt;mso-position-horizontal-relative:page;mso-position-vertical-relative:page;z-index:-725920"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143" w:type="dxa"/>
        <w:tblLayout w:type="fixed"/>
        <w:tblCellMar>
          <w:top w:w="0" w:type="dxa"/>
          <w:left w:w="0" w:type="dxa"/>
          <w:bottom w:w="0" w:type="dxa"/>
          <w:right w:w="0" w:type="dxa"/>
        </w:tblCellMar>
        <w:tblLook w:val="01E0"/>
      </w:tblPr>
      <w:tblGrid>
        <w:gridCol w:w="3302"/>
        <w:gridCol w:w="1055"/>
        <w:gridCol w:w="2014"/>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-9,951,496.16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26,681.30</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-5,649,922.73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2,821,949.81</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40,642.83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-18,977,032.83</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14,364,742.97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13,191,635.14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607,278.00</w:t>
            </w:r>
          </w:p>
        </w:tc>
        <w:tc>
          <w:tcPr>
            <w:tcW w:w="31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385,421.82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20,072,096.97</w:t>
            </w:r>
          </w:p>
        </w:tc>
      </w:tr>
      <w:tr>
        <w:trPr>
          <w:trHeight w:val="161" w:hRule="exact"/>
        </w:trPr>
        <w:tc>
          <w:tcPr>
            <w:tcW w:w="3302" w:type="dxa"/>
            <w:vMerge w:val="restart"/>
            <w:tcBorders>
              <w:top w:val="single" w:sz="4" w:space="0" w:color="000000"/>
              <w:left w:val="nil" w:sz="6" w:space="0" w:color="auto"/>
              <w:right w:val="single" w:sz="4" w:space="0" w:color="000000"/>
            </w:tcBorders>
            <w:shd w:val="clear" w:color="auto" w:fill="D2D2D2"/>
          </w:tcPr>
          <w:p>
            <w:pPr>
              <w:pStyle w:val="TableParagraph"/>
              <w:spacing w:line="302" w:lineRule="auto" w:before="51"/>
              <w:ind w:left="1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3302" w:type="dxa"/>
            <w:vMerge/>
            <w:tcBorders>
              <w:left w:val="nil" w:sz="6" w:space="0" w:color="auto"/>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2" w:type="dxa"/>
            <w:vMerge/>
            <w:tcBorders>
              <w:left w:val="nil" w:sz="6" w:space="0" w:color="auto"/>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55,944,113.76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121,558,166.94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121,558,166.94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71,383,165.29</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-65,614,053.18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50,175,001.65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70"/>
      <w:bookmarkEnd w:id="37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收到的处置子公司的现金净额" w:id="371"/>
      <w:bookmarkEnd w:id="37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24,500,000.00</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58,371,697.25</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33,871,697.25</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重分类至支付其他投资活动有关的现金</w:t>
            </w:r>
          </w:p>
        </w:tc>
        <w:tc>
          <w:tcPr>
            <w:tcW w:w="4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33,871,697.25</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2"/>
      <w:bookmarkEnd w:id="37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55,944,113.76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121,558,166.94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27,078.12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37,973.44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55,917,035.64</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121,520,193.50</w:t>
            </w:r>
          </w:p>
        </w:tc>
      </w:tr>
      <w:tr>
        <w:trPr>
          <w:trHeight w:val="402" w:hRule="exact"/>
        </w:trPr>
        <w:tc>
          <w:tcPr>
            <w:tcW w:w="33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55,944,113.76</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121,558,166.94</w:t>
            </w:r>
          </w:p>
        </w:tc>
      </w:tr>
      <w:tr>
        <w:trPr>
          <w:trHeight w:val="714" w:hRule="exact"/>
        </w:trPr>
        <w:tc>
          <w:tcPr>
            <w:tcW w:w="33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3,073,112.00</w:t>
            </w:r>
          </w:p>
        </w:tc>
        <w:tc>
          <w:tcPr>
            <w:tcW w:w="3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5,021,978.07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373"/>
      <w:bookmarkEnd w:id="373"/>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74"/>
      <w:bookmarkEnd w:id="374"/>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321"/>
        <w:gridCol w:w="3057"/>
        <w:gridCol w:w="3177"/>
      </w:tblGrid>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607,278.00</w:t>
            </w:r>
          </w:p>
        </w:tc>
        <w:tc>
          <w:tcPr>
            <w:tcW w:w="3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法院冻结</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2,465,834.00</w:t>
            </w:r>
          </w:p>
        </w:tc>
        <w:tc>
          <w:tcPr>
            <w:tcW w:w="3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3,073,112.00</w:t>
            </w:r>
          </w:p>
        </w:tc>
        <w:tc>
          <w:tcPr>
            <w:tcW w:w="3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9、外币货币性项目" w:id="375"/>
      <w:bookmarkEnd w:id="375"/>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6"/>
      <w:bookmarkEnd w:id="37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5,807,265.63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37,945,835.08</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70,662.57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551,330.57</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1,010,433.43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6,602,374.12</w:t>
            </w:r>
          </w:p>
        </w:tc>
      </w:tr>
      <w:tr>
        <w:trPr>
          <w:trHeight w:val="403"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1,867.79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77"/>
      <w:bookmarkEnd w:id="37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0、套期" w:id="378"/>
      <w:bookmarkEnd w:id="378"/>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spacing w:line="487" w:lineRule="auto" w:before="35"/>
        <w:ind w:left="1133" w:right="8329" w:firstLine="0"/>
        <w:jc w:val="left"/>
        <w:rPr>
          <w:rFonts w:ascii="宋体" w:hAnsi="宋体" w:cs="宋体" w:eastAsia="宋体" w:hint="default"/>
          <w:sz w:val="21"/>
          <w:szCs w:val="21"/>
        </w:rPr>
      </w:pPr>
      <w:bookmarkStart w:name="81、其他" w:id="379"/>
      <w:bookmarkEnd w:id="379"/>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0"/>
      <w:bookmarkEnd w:id="38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1"/>
      <w:bookmarkEnd w:id="38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82"/>
      <w:bookmarkEnd w:id="38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合并成本及商誉" w:id="383"/>
      <w:bookmarkEnd w:id="38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被购买方于购买日可辨认资产、负债" w:id="384"/>
      <w:bookmarkEnd w:id="38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购买日之前持有的股权按照公允价值重新计量产生的利得或损失" w:id="385"/>
      <w:bookmarkEnd w:id="38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86"/>
      <w:bookmarkEnd w:id="38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87"/>
      <w:bookmarkEnd w:id="38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88"/>
      <w:bookmarkEnd w:id="38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89"/>
      <w:bookmarkEnd w:id="38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合并成本" w:id="390"/>
      <w:bookmarkEnd w:id="39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合并日被合并方资产、负债的账面价值" w:id="391"/>
      <w:bookmarkEnd w:id="39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反向购买" w:id="392"/>
      <w:bookmarkEnd w:id="39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4、处置子公司" w:id="393"/>
      <w:bookmarkEnd w:id="39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94"/>
      <w:bookmarkEnd w:id="39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r>
        <w:rPr/>
        <w:pict>
          <v:group style="position:absolute;margin-left:331.720001pt;margin-top:744.839966pt;width:65.6pt;height:19.6pt;mso-position-horizontal-relative:page;mso-position-vertical-relative:page;z-index:-725896" coordorigin="6634,14897" coordsize="1312,392">
            <v:shape style="position:absolute;left:6634;top:14897;width:1312;height:392" coordorigin="6634,14897" coordsize="1312,392" path="m6634,15288l7946,15288,7946,14897,6634,14897,6634,15288xe" filled="true" fillcolor="#ffffff" stroked="false">
              <v:path arrowok="t"/>
              <v:fill type="solid"/>
            </v:shape>
            <w10:wrap type="none"/>
          </v:group>
        </w:pict>
      </w:r>
    </w:p>
    <w:p>
      <w:pPr>
        <w:pStyle w:val="Heading5"/>
        <w:spacing w:line="240" w:lineRule="auto" w:before="44"/>
        <w:ind w:right="0"/>
        <w:jc w:val="left"/>
        <w:rPr>
          <w:b w:val="0"/>
          <w:bCs w:val="0"/>
        </w:rPr>
      </w:pPr>
      <w:r>
        <w:rPr/>
        <w:t>处置子公司高投基金投资并丧失控制权</w:t>
      </w:r>
      <w:r>
        <w:rPr>
          <w:b w:val="0"/>
          <w:bCs w:val="0"/>
        </w:rPr>
      </w:r>
    </w:p>
    <w:p>
      <w:pPr>
        <w:pStyle w:val="BodyText"/>
        <w:spacing w:line="304" w:lineRule="auto" w:before="115"/>
        <w:ind w:right="104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日，公司召开三届董事会二十五次会议，同意调整高投基金《关于共同设立武汉高投金运激光产业投资 </w:t>
      </w:r>
      <w:r>
        <w:rPr>
          <w:spacing w:val="-2"/>
        </w:rPr>
        <w:t>基金合伙企业（有限合伙）及湖北高投金运激光产业投资管理有限公司的发起人协议》及《武汉高投金运激光产业投资基金</w:t>
      </w:r>
      <w:r>
        <w:rPr>
          <w:spacing w:val="-66"/>
        </w:rPr>
        <w:t> </w:t>
      </w:r>
      <w:r>
        <w:rPr>
          <w:spacing w:val="-66"/>
        </w:rPr>
      </w:r>
      <w:r>
        <w:rPr>
          <w:spacing w:val="-4"/>
        </w:rPr>
        <w:t>合伙企业（有限合伙）合伙协议》的变更，变更的主要内容为：（</w:t>
      </w:r>
      <w:r>
        <w:rPr>
          <w:rFonts w:ascii="Times New Roman" w:hAnsi="Times New Roman" w:cs="Times New Roman" w:eastAsia="Times New Roman" w:hint="default"/>
          <w:spacing w:val="-4"/>
        </w:rPr>
        <w:t>1</w:t>
      </w:r>
      <w:r>
        <w:rPr>
          <w:spacing w:val="-4"/>
        </w:rPr>
        <w:t>）取消如高投基金拟投资的项目是由本公司选定，且对单</w:t>
      </w:r>
      <w:r>
        <w:rPr>
          <w:spacing w:val="-49"/>
        </w:rPr>
        <w:t> </w:t>
      </w:r>
      <w:r>
        <w:rPr>
          <w:spacing w:val="-49"/>
        </w:rPr>
      </w:r>
      <w:r>
        <w:rPr/>
        <w:t>个项目的合计投资金额不超过人民币</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万元时，投委会委托本公司对该项目进行决策并且为最终决策，投资决策结果报 </w:t>
      </w:r>
      <w:r>
        <w:rPr>
          <w:spacing w:val="-1"/>
        </w:rPr>
        <w:t>投委会备案的条款；（</w:t>
      </w:r>
      <w:r>
        <w:rPr>
          <w:rFonts w:ascii="Times New Roman" w:hAnsi="Times New Roman" w:cs="Times New Roman" w:eastAsia="Times New Roman" w:hint="default"/>
          <w:spacing w:val="-1"/>
        </w:rPr>
        <w:t>2</w:t>
      </w:r>
      <w:r>
        <w:rPr>
          <w:spacing w:val="-1"/>
        </w:rPr>
        <w:t>）取消本公司对高投基金所投项目承担回购责任，并保证项目回购年化收益率不低于</w:t>
      </w:r>
      <w:r>
        <w:rPr>
          <w:spacing w:val="32"/>
        </w:rPr>
        <w:t> </w:t>
      </w:r>
      <w:r>
        <w:rPr>
          <w:rFonts w:ascii="Times New Roman" w:hAnsi="Times New Roman" w:cs="Times New Roman" w:eastAsia="Times New Roman" w:hint="default"/>
        </w:rPr>
        <w:t>8.5%</w:t>
      </w:r>
      <w:r>
        <w:rPr/>
        <w:t>的承诺；</w:t>
      </w:r>
    </w:p>
    <w:p>
      <w:pPr>
        <w:pStyle w:val="BodyText"/>
        <w:spacing w:line="240" w:lineRule="auto" w:before="9"/>
        <w:ind w:right="0"/>
        <w:jc w:val="left"/>
      </w:pPr>
      <w:r>
        <w:rPr/>
        <w:t>（</w:t>
      </w:r>
      <w:r>
        <w:rPr>
          <w:rFonts w:ascii="Times New Roman" w:hAnsi="Times New Roman" w:cs="Times New Roman" w:eastAsia="Times New Roman" w:hint="default"/>
        </w:rPr>
        <w:t>3</w:t>
      </w:r>
      <w:r>
        <w:rPr/>
        <w:t>）基金各出资人的出资额调整为：湖北省高新技术产业投资有限公司（下称湖北高投）的出资额人民币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万元、湖</w:t>
      </w:r>
    </w:p>
    <w:p>
      <w:pPr>
        <w:pStyle w:val="BodyText"/>
        <w:spacing w:line="240" w:lineRule="auto" w:before="63"/>
        <w:ind w:right="0"/>
        <w:jc w:val="left"/>
      </w:pPr>
      <w:r>
        <w:rPr/>
        <w:t>北高投资本经营有限公司出资额人民币</w:t>
      </w:r>
      <w:r>
        <w:rPr>
          <w:spacing w:val="-44"/>
        </w:rPr>
        <w:t> </w:t>
      </w:r>
      <w:r>
        <w:rPr>
          <w:rFonts w:ascii="Times New Roman" w:hAnsi="Times New Roman" w:cs="Times New Roman" w:eastAsia="Times New Roman" w:hint="default"/>
        </w:rPr>
        <w:t>500 </w:t>
      </w:r>
      <w:r>
        <w:rPr/>
        <w:t>万元、本公司出资额由人民币</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万元调整为</w:t>
      </w:r>
      <w:r>
        <w:rPr>
          <w:spacing w:val="-44"/>
        </w:rPr>
        <w:t> </w:t>
      </w:r>
      <w:r>
        <w:rPr>
          <w:rFonts w:ascii="Times New Roman" w:hAnsi="Times New Roman" w:cs="Times New Roman" w:eastAsia="Times New Roman" w:hint="default"/>
        </w:rPr>
        <w:t>2,550</w:t>
      </w:r>
      <w:r>
        <w:rPr>
          <w:rFonts w:ascii="Times New Roman" w:hAnsi="Times New Roman" w:cs="Times New Roman" w:eastAsia="Times New Roman" w:hint="default"/>
          <w:spacing w:val="1"/>
        </w:rPr>
        <w:t> </w:t>
      </w:r>
      <w:r>
        <w:rPr/>
        <w:t>万元、高投金运出资额由</w:t>
      </w:r>
    </w:p>
    <w:p>
      <w:pPr>
        <w:pStyle w:val="BodyText"/>
        <w:spacing w:line="338" w:lineRule="auto" w:before="64"/>
        <w:ind w:left="1494" w:right="0" w:hanging="360"/>
        <w:jc w:val="left"/>
      </w:pPr>
      <w:r>
        <w:rPr/>
        <w:t>人民币</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万元调整为</w:t>
      </w:r>
      <w:r>
        <w:rPr>
          <w:spacing w:val="-46"/>
        </w:rPr>
        <w:t> </w:t>
      </w:r>
      <w:r>
        <w:rPr>
          <w:rFonts w:ascii="Times New Roman" w:hAnsi="Times New Roman" w:cs="Times New Roman" w:eastAsia="Times New Roman" w:hint="default"/>
        </w:rPr>
        <w:t>180 </w:t>
      </w:r>
      <w:r>
        <w:rPr/>
        <w:t>万元。 上述条款变更后，本公司不承担投资的主要风险及最大的回报可变性；基于《发起人协议》</w:t>
      </w:r>
      <w:r>
        <w:rPr>
          <w:rFonts w:ascii="Times New Roman" w:hAnsi="Times New Roman" w:cs="Times New Roman" w:eastAsia="Times New Roman" w:hint="default"/>
        </w:rPr>
        <w:t>“</w:t>
      </w:r>
      <w:r>
        <w:rPr/>
        <w:t>高投基金的投资事务由投</w:t>
      </w:r>
    </w:p>
    <w:p>
      <w:pPr>
        <w:pStyle w:val="BodyText"/>
        <w:spacing w:line="230" w:lineRule="exact"/>
        <w:ind w:right="0"/>
        <w:jc w:val="left"/>
      </w:pPr>
      <w:r>
        <w:rPr/>
        <w:t>委会决策，投委会由</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名成员组成，其中本公司推荐</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3"/>
        </w:rPr>
        <w:t>名、湖北高投推荐</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名，得到全体投委会三分之二赞成票的，投资决</w:t>
      </w:r>
    </w:p>
    <w:p>
      <w:pPr>
        <w:pStyle w:val="BodyText"/>
        <w:spacing w:line="302" w:lineRule="auto" w:before="63"/>
        <w:ind w:right="1118"/>
        <w:jc w:val="left"/>
      </w:pPr>
      <w:r>
        <w:rPr/>
        <w:t>策有效</w:t>
      </w:r>
      <w:r>
        <w:rPr>
          <w:rFonts w:ascii="Times New Roman" w:hAnsi="Times New Roman" w:cs="Times New Roman" w:eastAsia="Times New Roman" w:hint="default"/>
        </w:rPr>
        <w:t>”</w:t>
      </w:r>
      <w:r>
        <w:rPr/>
        <w:t>约定，本公司不能对投资事务进行决策，故不再享有对高投基金的控制权，在合并财务报表中不再将其纳入合并范</w:t>
      </w:r>
      <w:r>
        <w:rPr>
          <w:spacing w:val="-77"/>
        </w:rPr>
        <w:t> </w:t>
      </w:r>
      <w:r>
        <w:rPr>
          <w:spacing w:val="-77"/>
        </w:rPr>
      </w:r>
      <w:r>
        <w:rPr/>
        <w:t>围。</w:t>
      </w:r>
    </w:p>
    <w:p>
      <w:pPr>
        <w:pStyle w:val="BodyText"/>
        <w:spacing w:line="240" w:lineRule="auto" w:before="68"/>
        <w:ind w:left="149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日，高投基金完成出资额调整后，本公司实际出资额由</w:t>
      </w:r>
      <w:r>
        <w:rPr>
          <w:spacing w:val="-3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万元变更为</w:t>
      </w:r>
      <w:r>
        <w:rPr>
          <w:spacing w:val="-39"/>
        </w:rPr>
        <w:t> </w:t>
      </w:r>
      <w:r>
        <w:rPr>
          <w:rFonts w:ascii="Times New Roman" w:hAnsi="Times New Roman" w:cs="Times New Roman" w:eastAsia="Times New Roman" w:hint="default"/>
        </w:rPr>
        <w:t>2,550</w:t>
      </w:r>
      <w:r>
        <w:rPr>
          <w:rFonts w:ascii="Times New Roman" w:hAnsi="Times New Roman" w:cs="Times New Roman" w:eastAsia="Times New Roman" w:hint="default"/>
          <w:spacing w:val="5"/>
        </w:rPr>
        <w:t> </w:t>
      </w:r>
      <w:r>
        <w:rPr/>
        <w:t>万元，占合伙企业份额</w:t>
      </w:r>
    </w:p>
    <w:p>
      <w:pPr>
        <w:pStyle w:val="BodyText"/>
        <w:spacing w:line="240" w:lineRule="auto" w:before="63"/>
        <w:ind w:right="0"/>
        <w:jc w:val="left"/>
      </w:pPr>
      <w:r>
        <w:rPr>
          <w:rFonts w:ascii="Times New Roman" w:hAnsi="Times New Roman" w:cs="Times New Roman" w:eastAsia="Times New Roman" w:hint="default"/>
        </w:rPr>
        <w:t>50.5%</w:t>
      </w:r>
      <w:r>
        <w:rPr/>
        <w:t>，湖北高投出资额由</w:t>
      </w:r>
      <w:r>
        <w:rPr>
          <w:spacing w:val="-6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6"/>
        </w:rPr>
        <w:t> </w:t>
      </w:r>
      <w:r>
        <w:rPr/>
        <w:t>万元变更为</w:t>
      </w:r>
      <w:r>
        <w:rPr>
          <w:spacing w:val="-60"/>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5"/>
        </w:rPr>
        <w:t> </w:t>
      </w:r>
      <w:r>
        <w:rPr/>
        <w:t>万元，占合伙企业份额</w:t>
      </w:r>
      <w:r>
        <w:rPr>
          <w:spacing w:val="-61"/>
        </w:rPr>
        <w:t> </w:t>
      </w:r>
      <w:r>
        <w:rPr>
          <w:rFonts w:ascii="Times New Roman" w:hAnsi="Times New Roman" w:cs="Times New Roman" w:eastAsia="Times New Roman" w:hint="default"/>
        </w:rPr>
        <w:t>49.5%</w:t>
      </w:r>
      <w:r>
        <w:rPr/>
        <w:t>，丧失控制权之日，本公司在高投基金所占</w:t>
      </w:r>
    </w:p>
    <w:p>
      <w:pPr>
        <w:pStyle w:val="BodyText"/>
        <w:spacing w:line="240" w:lineRule="auto" w:before="64"/>
        <w:ind w:right="0"/>
        <w:jc w:val="left"/>
      </w:pPr>
      <w:r>
        <w:rPr/>
        <w:t>份额的公允价值为</w:t>
      </w:r>
      <w:r>
        <w:rPr>
          <w:spacing w:val="-47"/>
        </w:rPr>
        <w:t> </w:t>
      </w:r>
      <w:r>
        <w:rPr>
          <w:rFonts w:ascii="Times New Roman" w:hAnsi="Times New Roman" w:cs="Times New Roman" w:eastAsia="Times New Roman" w:hint="default"/>
        </w:rPr>
        <w:t>24,837,214.79</w:t>
      </w:r>
      <w:r>
        <w:rPr>
          <w:rFonts w:ascii="Times New Roman" w:hAnsi="Times New Roman" w:cs="Times New Roman" w:eastAsia="Times New Roman" w:hint="default"/>
          <w:spacing w:val="-1"/>
        </w:rPr>
        <w:t> </w:t>
      </w:r>
      <w:r>
        <w:rPr/>
        <w:t>元，合并财务报表确认投资损失</w:t>
      </w:r>
      <w:r>
        <w:rPr>
          <w:spacing w:val="-47"/>
        </w:rPr>
        <w:t> </w:t>
      </w:r>
      <w:r>
        <w:rPr>
          <w:rFonts w:ascii="Times New Roman" w:hAnsi="Times New Roman" w:cs="Times New Roman" w:eastAsia="Times New Roman" w:hint="default"/>
        </w:rPr>
        <w:t>6,586.98</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spacing w:line="487" w:lineRule="auto" w:before="0"/>
        <w:ind w:left="1133" w:right="7693" w:firstLine="0"/>
        <w:jc w:val="left"/>
        <w:rPr>
          <w:rFonts w:ascii="宋体" w:hAnsi="宋体" w:cs="宋体" w:eastAsia="宋体" w:hint="default"/>
          <w:sz w:val="21"/>
          <w:szCs w:val="21"/>
        </w:rPr>
      </w:pPr>
      <w:bookmarkStart w:name="6、其他" w:id="395"/>
      <w:bookmarkEnd w:id="39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6"/>
      <w:bookmarkEnd w:id="39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7"/>
      <w:bookmarkEnd w:id="39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98"/>
      <w:bookmarkEnd w:id="39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电子设备生产销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激光设备、配件 生产销售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激光设备生产销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激光设备生产销 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激光系统组装、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高投金运</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CORP</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互动传媒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6"/>
                <w:sz w:val="18"/>
                <w:szCs w:val="18"/>
              </w:rPr>
              <w:t>广告设计、制作</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7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14" w:type="dxa"/>
        <w:tblLayout w:type="fixed"/>
        <w:tblCellMar>
          <w:top w:w="0" w:type="dxa"/>
          <w:left w:w="0" w:type="dxa"/>
          <w:bottom w:w="0" w:type="dxa"/>
          <w:right w:w="0" w:type="dxa"/>
        </w:tblCellMar>
        <w:tblLook w:val="01E0"/>
      </w:tblPr>
      <w:tblGrid>
        <w:gridCol w:w="1386"/>
        <w:gridCol w:w="1367"/>
        <w:gridCol w:w="1367"/>
        <w:gridCol w:w="1367"/>
        <w:gridCol w:w="1367"/>
        <w:gridCol w:w="1367"/>
        <w:gridCol w:w="1366"/>
      </w:tblGrid>
      <w:tr>
        <w:trPr>
          <w:trHeight w:val="362" w:hRule="exact"/>
        </w:trPr>
        <w:tc>
          <w:tcPr>
            <w:tcW w:w="1386" w:type="dxa"/>
            <w:tcBorders>
              <w:top w:val="single" w:sz="4" w:space="0" w:color="000000"/>
              <w:left w:val="nil" w:sz="6" w:space="0" w:color="auto"/>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激光设备、配件 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left="1494" w:right="0" w:hanging="360"/>
        <w:jc w:val="left"/>
      </w:pPr>
      <w:r>
        <w:rPr/>
        <w:t>在子公司的持股比例不同于表决权比例的说明： </w:t>
      </w:r>
      <w:r>
        <w:rPr>
          <w:spacing w:val="-2"/>
        </w:rPr>
        <w:t>高投金运为高投基金的基金管理公司，根据《关于共同设立武汉高投金运激光产业投资基金合伙企业（有限合伙）及湖</w:t>
      </w:r>
    </w:p>
    <w:p>
      <w:pPr>
        <w:pStyle w:val="BodyText"/>
        <w:spacing w:line="237" w:lineRule="exact"/>
        <w:ind w:left="1134" w:right="0"/>
        <w:jc w:val="left"/>
      </w:pPr>
      <w:r>
        <w:rPr/>
        <w:t>北高投金运激光产业投资管理有限公司的发起人协议</w:t>
      </w:r>
      <w:r>
        <w:rPr>
          <w:spacing w:val="-90"/>
        </w:rPr>
        <w:t>》</w:t>
      </w:r>
      <w:r>
        <w:rPr/>
        <w:t>，管理公司设董事会，本公司在董事会中享有</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的表决</w:t>
      </w:r>
      <w:r>
        <w:rPr>
          <w:spacing w:val="1"/>
        </w:rPr>
        <w:t>权</w:t>
      </w:r>
      <w:r>
        <w:rPr/>
        <w:t>，能对高</w:t>
      </w:r>
    </w:p>
    <w:p>
      <w:pPr>
        <w:pStyle w:val="BodyText"/>
        <w:spacing w:line="357" w:lineRule="auto" w:before="64"/>
        <w:ind w:left="1134" w:right="2832"/>
        <w:jc w:val="left"/>
      </w:pPr>
      <w:r>
        <w:rPr/>
        <w:t>投金运实施控制，故将其纳入财务报表合并范围。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left="113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2）重要的非全资子公司" w:id="399"/>
      <w:bookmarkEnd w:id="39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重要非全资子公司的主要财务信息" w:id="400"/>
      <w:bookmarkEnd w:id="40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使用企业集团资产和清偿企业集团债务的重大限制" w:id="401"/>
      <w:bookmarkEnd w:id="40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02"/>
      <w:bookmarkEnd w:id="40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03"/>
      <w:bookmarkEnd w:id="40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04"/>
      <w:bookmarkEnd w:id="40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收购武汉金之运</w:t>
      </w:r>
      <w:r>
        <w:rPr>
          <w:spacing w:val="-46"/>
        </w:rPr>
        <w:t> </w:t>
      </w:r>
      <w:r>
        <w:rPr>
          <w:rFonts w:ascii="Times New Roman" w:hAnsi="Times New Roman" w:cs="Times New Roman" w:eastAsia="Times New Roman" w:hint="default"/>
        </w:rPr>
        <w:t>49%</w:t>
      </w:r>
      <w:r>
        <w:rPr/>
        <w:t>股权</w:t>
      </w:r>
    </w:p>
    <w:p>
      <w:pPr>
        <w:pStyle w:val="BodyText"/>
        <w:spacing w:line="240" w:lineRule="auto" w:before="102"/>
        <w:ind w:left="0" w:right="1130"/>
        <w:jc w:val="right"/>
        <w:rPr>
          <w:rFonts w:ascii="Times New Roman" w:hAnsi="Times New Roman" w:cs="Times New Roman" w:eastAsia="Times New Roman" w:hint="default"/>
        </w:rPr>
      </w:pPr>
      <w:r>
        <w:rPr/>
        <w:t>根据沈阳市和平区人民法院（</w:t>
      </w:r>
      <w:r>
        <w:rPr>
          <w:rFonts w:ascii="Times New Roman" w:hAnsi="Times New Roman" w:cs="Times New Roman" w:eastAsia="Times New Roman" w:hint="default"/>
        </w:rPr>
        <w:t>2016</w:t>
      </w:r>
      <w:r>
        <w:rPr/>
        <w:t>）辽 </w:t>
      </w:r>
      <w:r>
        <w:rPr>
          <w:rFonts w:ascii="Times New Roman" w:hAnsi="Times New Roman" w:cs="Times New Roman" w:eastAsia="Times New Roman" w:hint="default"/>
        </w:rPr>
        <w:t>0102 </w:t>
      </w:r>
      <w:r>
        <w:rPr/>
        <w:t>民初 </w:t>
      </w:r>
      <w:r>
        <w:rPr>
          <w:rFonts w:ascii="Times New Roman" w:hAnsi="Times New Roman" w:cs="Times New Roman" w:eastAsia="Times New Roman" w:hint="default"/>
        </w:rPr>
        <w:t>6063 </w:t>
      </w:r>
      <w:r>
        <w:rPr/>
        <w:t>号民事判决书及沈阳市中级人民法院（</w:t>
      </w:r>
      <w:r>
        <w:rPr>
          <w:rFonts w:ascii="Times New Roman" w:hAnsi="Times New Roman" w:cs="Times New Roman" w:eastAsia="Times New Roman" w:hint="default"/>
        </w:rPr>
        <w:t>2017</w:t>
      </w:r>
      <w:r>
        <w:rPr/>
        <w:t>）辽 </w:t>
      </w:r>
      <w:r>
        <w:rPr>
          <w:rFonts w:ascii="Times New Roman" w:hAnsi="Times New Roman" w:cs="Times New Roman" w:eastAsia="Times New Roman" w:hint="default"/>
        </w:rPr>
        <w:t>01 </w:t>
      </w:r>
      <w:r>
        <w:rPr/>
        <w:t>民终</w:t>
      </w:r>
      <w:r>
        <w:rPr>
          <w:spacing w:val="-39"/>
        </w:rPr>
        <w:t> </w:t>
      </w:r>
      <w:r>
        <w:rPr>
          <w:rFonts w:ascii="Times New Roman" w:hAnsi="Times New Roman" w:cs="Times New Roman" w:eastAsia="Times New Roman" w:hint="default"/>
        </w:rPr>
        <w:t>2465</w:t>
      </w:r>
    </w:p>
    <w:p>
      <w:pPr>
        <w:pStyle w:val="BodyText"/>
        <w:spacing w:line="300" w:lineRule="auto" w:before="63"/>
        <w:ind w:right="1132"/>
        <w:jc w:val="both"/>
      </w:pPr>
      <w:r>
        <w:rPr/>
        <w:t>号民事判决书，本公司员工刘锋执行于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年与武汉金之运少数股东王欢、张春杰签订的《股权转让协议》以</w:t>
      </w:r>
      <w:r>
        <w:rPr>
          <w:spacing w:val="-4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元对价受 让武汉金之运</w:t>
      </w:r>
      <w:r>
        <w:rPr>
          <w:spacing w:val="-55"/>
        </w:rPr>
        <w:t> </w:t>
      </w:r>
      <w:r>
        <w:rPr>
          <w:rFonts w:ascii="Times New Roman" w:hAnsi="Times New Roman" w:cs="Times New Roman" w:eastAsia="Times New Roman" w:hint="default"/>
        </w:rPr>
        <w:t>49%</w:t>
      </w:r>
      <w:r>
        <w:rPr/>
        <w:t>股权，受让的股权为刘锋代本公司持有。</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日本次股权转让完成工商变更登记后，本公司持 有武汉金之运</w:t>
      </w:r>
      <w:r>
        <w:rPr>
          <w:spacing w:val="-46"/>
        </w:rPr>
        <w:t> </w:t>
      </w:r>
      <w:r>
        <w:rPr>
          <w:rFonts w:ascii="Times New Roman" w:hAnsi="Times New Roman" w:cs="Times New Roman" w:eastAsia="Times New Roman" w:hint="default"/>
        </w:rPr>
        <w:t>100%</w:t>
      </w:r>
      <w:r>
        <w:rPr/>
        <w:t>股权。截至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日，武汉金之运已无持续经营能力，本公司计划组织对其清算。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bookmarkStart w:name="（2）交易对于少数股东权益及归属于母公司所有者权益的影响" w:id="405"/>
      <w:bookmarkEnd w:id="40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nil" w:sz="6" w:space="0" w:color="auto"/>
            </w:tcBorders>
            <w:shd w:val="clear" w:color="auto" w:fill="E0FFFF"/>
          </w:tcPr>
          <w:p>
            <w:pP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839,747.07</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839,747.07</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839,747.07</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在合营安排或联营企业中的权益" w:id="406"/>
      <w:bookmarkEnd w:id="40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07"/>
      <w:bookmarkEnd w:id="40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5"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1"/>
              <w:ind w:left="48" w:right="50"/>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12"/>
              <w:jc w:val="left"/>
              <w:rPr>
                <w:rFonts w:ascii="宋体" w:hAnsi="宋体" w:cs="宋体" w:eastAsia="宋体" w:hint="default"/>
                <w:sz w:val="18"/>
                <w:szCs w:val="18"/>
              </w:rPr>
            </w:pPr>
            <w:r>
              <w:rPr>
                <w:rFonts w:ascii="宋体" w:hAnsi="宋体" w:cs="宋体" w:eastAsia="宋体" w:hint="default"/>
                <w:spacing w:val="-5"/>
                <w:sz w:val="18"/>
                <w:szCs w:val="18"/>
              </w:rPr>
              <w:t>落地创意（武汉</w:t>
            </w:r>
            <w:r>
              <w:rPr>
                <w:rFonts w:ascii="宋体" w:hAnsi="宋体" w:cs="宋体" w:eastAsia="宋体" w:hint="default"/>
                <w:sz w:val="18"/>
                <w:szCs w:val="18"/>
              </w:rPr>
              <w:t>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武汉市</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7"/>
              <w:jc w:val="both"/>
              <w:rPr>
                <w:rFonts w:ascii="宋体" w:hAnsi="宋体" w:cs="宋体" w:eastAsia="宋体" w:hint="default"/>
                <w:sz w:val="18"/>
                <w:szCs w:val="18"/>
              </w:rPr>
            </w:pPr>
            <w:r>
              <w:rPr>
                <w:rFonts w:ascii="宋体" w:hAnsi="宋体" w:cs="宋体" w:eastAsia="宋体" w:hint="default"/>
                <w:sz w:val="18"/>
                <w:szCs w:val="18"/>
              </w:rPr>
              <w:t>扬州市金运环宇 激光设备有限公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650"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1"/>
              <w:jc w:val="both"/>
              <w:rPr>
                <w:rFonts w:ascii="宋体" w:hAnsi="宋体" w:cs="宋体" w:eastAsia="宋体" w:hint="default"/>
                <w:sz w:val="18"/>
                <w:szCs w:val="18"/>
              </w:rPr>
            </w:pPr>
            <w:r>
              <w:rPr>
                <w:rFonts w:ascii="宋体" w:hAnsi="宋体" w:cs="宋体" w:eastAsia="宋体" w:hint="default"/>
                <w:sz w:val="18"/>
                <w:szCs w:val="18"/>
              </w:rPr>
              <w:t>新余云尚投资合 伙企业（有限合 </w:t>
            </w:r>
            <w:r>
              <w:rPr>
                <w:rFonts w:ascii="宋体" w:hAnsi="宋体" w:cs="宋体" w:eastAsia="宋体" w:hint="default"/>
                <w:spacing w:val="-16"/>
                <w:sz w:val="18"/>
                <w:szCs w:val="18"/>
              </w:rPr>
              <w:t>伙）（曾用名苏州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云联投资合伙企 </w:t>
            </w:r>
            <w:r>
              <w:rPr>
                <w:rFonts w:ascii="宋体" w:hAnsi="宋体" w:cs="宋体" w:eastAsia="宋体" w:hint="default"/>
                <w:spacing w:val="-12"/>
                <w:sz w:val="18"/>
                <w:szCs w:val="18"/>
              </w:rPr>
              <w:t>业（有限合伙））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7"/>
              <w:jc w:val="both"/>
              <w:rPr>
                <w:rFonts w:ascii="宋体" w:hAnsi="宋体" w:cs="宋体" w:eastAsia="宋体" w:hint="default"/>
                <w:sz w:val="18"/>
                <w:szCs w:val="18"/>
              </w:rPr>
            </w:pPr>
            <w:r>
              <w:rPr>
                <w:rFonts w:ascii="宋体" w:hAnsi="宋体" w:cs="宋体" w:eastAsia="宋体" w:hint="default"/>
                <w:sz w:val="18"/>
                <w:szCs w:val="18"/>
              </w:rPr>
              <w:t>武汉高投金运激 光产业投资基金 合伙企业（有限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08"/>
      <w:bookmarkEnd w:id="40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重要联营企业的主要财务信息" w:id="409"/>
      <w:bookmarkEnd w:id="40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165"/>
        <w:gridCol w:w="3203"/>
        <w:gridCol w:w="3176"/>
      </w:tblGrid>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6" w:type="dxa"/>
            <w:tcBorders>
              <w:top w:val="single" w:sz="4" w:space="0" w:color="000000"/>
              <w:left w:val="single" w:sz="4" w:space="0" w:color="000000"/>
              <w:bottom w:val="single" w:sz="4" w:space="0" w:color="000000"/>
              <w:right w:val="nil" w:sz="6" w:space="0" w:color="auto"/>
            </w:tcBorders>
            <w:shd w:val="clear" w:color="auto" w:fill="E0FFFF"/>
          </w:tcPr>
          <w:p>
            <w:pP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32,424,905.30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280,729.62</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36,424,905.30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22,280,729.62</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36,424,905.30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22,280,729.62</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12,720,240.17</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9,591,854.10</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12,720,240.17</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9,591,854.10</w:t>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44,659,087.08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-539,324.53</w:t>
            </w:r>
            <w:r>
              <w:rPr>
                <w:rFonts w:ascii="Times New Roman"/>
                <w:sz w:val="18"/>
              </w:rPr>
            </w:r>
          </w:p>
        </w:tc>
      </w:tr>
      <w:tr>
        <w:trPr>
          <w:trHeight w:val="402"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44,659,087.08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-539,324.53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12,914,399.00</w:t>
            </w:r>
          </w:p>
        </w:tc>
        <w:tc>
          <w:tcPr>
            <w:tcW w:w="319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10"/>
      <w:bookmarkEnd w:id="41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合营企业或联营企业向本公司转移资金的能力存在重大限制的说明" w:id="411"/>
      <w:bookmarkEnd w:id="41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12"/>
      <w:bookmarkEnd w:id="41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与合营企业投资相关的未确认承诺" w:id="413"/>
      <w:bookmarkEnd w:id="41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14"/>
      <w:bookmarkEnd w:id="41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15"/>
      <w:bookmarkEnd w:id="41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416"/>
      <w:bookmarkEnd w:id="41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2"/>
        <w:spacing w:line="477" w:lineRule="auto" w:before="35"/>
        <w:ind w:right="7693"/>
        <w:jc w:val="left"/>
        <w:rPr>
          <w:b w:val="0"/>
          <w:bCs w:val="0"/>
        </w:rPr>
      </w:pPr>
      <w:bookmarkStart w:name="6、其他" w:id="417"/>
      <w:bookmarkEnd w:id="417"/>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18"/>
      <w:bookmarkEnd w:id="418"/>
      <w:r>
        <w:rPr>
          <w:spacing w:val="1"/>
          <w:w w:val="99"/>
          <w:sz w:val="21"/>
          <w:szCs w:val="21"/>
        </w:rPr>
      </w:r>
      <w:r>
        <w:rPr>
          <w:w w:val="95"/>
        </w:rPr>
        <w:t>十、与金融工具相关的风险</w:t>
      </w:r>
      <w:r>
        <w:rPr>
          <w:spacing w:val="18"/>
          <w:w w:val="95"/>
        </w:rPr>
        <w:t> </w:t>
      </w:r>
      <w:r>
        <w:rPr>
          <w:spacing w:val="18"/>
          <w:w w:val="95"/>
        </w:rPr>
      </w:r>
      <w:bookmarkStart w:name="十一、公允价值的披露" w:id="419"/>
      <w:bookmarkEnd w:id="419"/>
      <w:r>
        <w:rPr/>
        <w:t>十一、公允价值的披露</w:t>
      </w:r>
      <w:r>
        <w:rPr>
          <w:b w:val="0"/>
          <w:bCs w:val="0"/>
        </w:rPr>
      </w:r>
    </w:p>
    <w:p>
      <w:pPr>
        <w:pStyle w:val="Heading3"/>
        <w:spacing w:line="240" w:lineRule="auto" w:before="84"/>
        <w:ind w:right="0"/>
        <w:jc w:val="left"/>
        <w:rPr>
          <w:b w:val="0"/>
          <w:bCs w:val="0"/>
        </w:rPr>
      </w:pPr>
      <w:bookmarkStart w:name="1、以公允价值计量的资产和负债的期末公允价值" w:id="420"/>
      <w:bookmarkEnd w:id="42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持续和非持续第一层次公允价值计量项目市价的确定依据" w:id="421"/>
      <w:bookmarkEnd w:id="42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22"/>
      <w:bookmarkEnd w:id="42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持续和非持续第三层次公允价值计量项目，采用的估值技术和重要参数的定性及定量信" w:id="423"/>
      <w:bookmarkEnd w:id="42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5、持续的第三层次公允价值计量项目，期初与期末账面价值间的调节信息及不可观察参数" w:id="424"/>
      <w:bookmarkEnd w:id="42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持续的公允价值计量项目，本期内发生各层级之间转换的，转换的原因及确定转换时点" w:id="425"/>
      <w:bookmarkEnd w:id="42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本期内发生的估值技术变更及变更原因" w:id="426"/>
      <w:bookmarkEnd w:id="42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不以公允价值计量的金融资产和金融负债的公允价值情况" w:id="427"/>
      <w:bookmarkEnd w:id="42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28"/>
      <w:bookmarkEnd w:id="42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29"/>
      <w:bookmarkEnd w:id="42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0"/>
      <w:bookmarkEnd w:id="43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57" w:lineRule="auto" w:before="108"/>
        <w:ind w:left="1134" w:right="6793"/>
        <w:jc w:val="left"/>
      </w:pPr>
      <w:r>
        <w:rPr/>
        <w:t>本企业的母公司情况的说明 本企业最终控制方是梁伟。</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2、本企业的子公司情况" w:id="431"/>
      <w:bookmarkEnd w:id="43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本企业子公司的情况详见附注附注九（一）在子公司中的权益。</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本企业合营和联营企业情况" w:id="432"/>
      <w:bookmarkEnd w:id="43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2292"/>
        <w:jc w:val="left"/>
      </w:pPr>
      <w:r>
        <w:rPr/>
        <w:t>本企业重要的合营或联营企业详见附注附注九（三）在合营安排或联营企业中的权益。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58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9"/>
        <w:ind w:left="1134" w:right="0"/>
        <w:jc w:val="left"/>
      </w:pPr>
      <w:r>
        <w:rPr/>
        <w:t>其他说明</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其他关联方情况" w:id="433"/>
      <w:bookmarkEnd w:id="43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董事长、董事、股东、总经理</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董事、股东、高级管理人员</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李秉成、施先旺</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聂金萍、李爱静、于潇潇</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李丹、陈维斯、石慧</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岳萍芳</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实际控制人梁伟的配偶</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实际控制人梁伟的姐姐</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梁浩东</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实际控制人梁伟的儿子</w:t>
            </w:r>
          </w:p>
        </w:tc>
      </w:tr>
      <w:tr>
        <w:trPr>
          <w:trHeight w:val="714"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武汉金运云智能网络有限公司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、实际控制人梁伟的配偶岳萍芳持 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武汉金好运设备制造有限公司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实际控制人梁伟的儿子控制的公司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梁芳控制的公司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中山市古镇意造三维科技有限公司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长沙落地创意文化传播有限公司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竺一鸣</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日前为公司监事会主席，后离任</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好看好玩网（武汉）科技有限公司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好玩好看网（武汉）科技有限公司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武汉精灵购网络科技有限公司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武汉金运约租网络科技有限公司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梦回自然（武汉）数字科技有限公司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在家看房网（武汉）科技有限公司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竺一鸣为公司大股东</w:t>
            </w:r>
          </w:p>
        </w:tc>
      </w:tr>
    </w:tbl>
    <w:p>
      <w:pPr>
        <w:pStyle w:val="BodyText"/>
        <w:spacing w:line="240" w:lineRule="auto" w:before="51"/>
        <w:ind w:left="1134" w:right="0"/>
        <w:jc w:val="left"/>
      </w:pPr>
      <w:r>
        <w:rPr/>
        <w:t>其他说明</w:t>
      </w:r>
    </w:p>
    <w:p>
      <w:pPr>
        <w:pStyle w:val="BodyText"/>
        <w:spacing w:line="300" w:lineRule="auto" w:before="116"/>
        <w:ind w:right="11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竺一鸣自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日（即离任届满</w:t>
      </w:r>
      <w:r>
        <w:rPr>
          <w:rFonts w:ascii="Times New Roman" w:hAnsi="Times New Roman" w:cs="Times New Roman" w:eastAsia="Times New Roman" w:hint="default"/>
        </w:rPr>
        <w:t>12</w:t>
      </w:r>
      <w:r>
        <w:rPr/>
        <w:t>个月）起不再为公司关联自然人，其作为大股东的公司自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日起不再 为公司关联法人。</w:t>
      </w:r>
    </w:p>
    <w:p>
      <w:pPr>
        <w:spacing w:after="0" w:line="30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关联交易情况" w:id="434"/>
      <w:bookmarkEnd w:id="43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35"/>
      <w:bookmarkEnd w:id="43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562"/>
        <w:gridCol w:w="1475"/>
        <w:gridCol w:w="1473"/>
        <w:gridCol w:w="1729"/>
        <w:gridCol w:w="1730"/>
        <w:gridCol w:w="1727"/>
      </w:tblGrid>
      <w:tr>
        <w:trPr>
          <w:trHeight w:val="402" w:hRule="exact"/>
        </w:trPr>
        <w:tc>
          <w:tcPr>
            <w:tcW w:w="15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2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87"/>
              <w:jc w:val="left"/>
              <w:rPr>
                <w:rFonts w:ascii="宋体" w:hAnsi="宋体" w:cs="宋体" w:eastAsia="宋体" w:hint="default"/>
                <w:sz w:val="18"/>
                <w:szCs w:val="18"/>
              </w:rPr>
            </w:pPr>
            <w:r>
              <w:rPr>
                <w:rFonts w:ascii="宋体" w:hAnsi="宋体" w:cs="宋体" w:eastAsia="宋体" w:hint="default"/>
                <w:sz w:val="18"/>
                <w:szCs w:val="18"/>
              </w:rPr>
              <w:t>落地创意（武汉） 科技有限公司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9,353.03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40,020.68</w:t>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87"/>
              <w:jc w:val="left"/>
              <w:rPr>
                <w:rFonts w:ascii="宋体" w:hAnsi="宋体" w:cs="宋体" w:eastAsia="宋体" w:hint="default"/>
                <w:sz w:val="18"/>
                <w:szCs w:val="18"/>
              </w:rPr>
            </w:pPr>
            <w:r>
              <w:rPr>
                <w:rFonts w:ascii="宋体" w:hAnsi="宋体" w:cs="宋体" w:eastAsia="宋体" w:hint="default"/>
                <w:sz w:val="18"/>
                <w:szCs w:val="18"/>
              </w:rPr>
              <w:t>武汉记梦馆三维科 技有限公司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5,448.75</w:t>
            </w:r>
          </w:p>
        </w:tc>
        <w:tc>
          <w:tcPr>
            <w:tcW w:w="1729"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87"/>
              <w:jc w:val="left"/>
              <w:rPr>
                <w:rFonts w:ascii="宋体" w:hAnsi="宋体" w:cs="宋体" w:eastAsia="宋体" w:hint="default"/>
                <w:sz w:val="18"/>
                <w:szCs w:val="18"/>
              </w:rPr>
            </w:pPr>
            <w:r>
              <w:rPr>
                <w:rFonts w:ascii="宋体" w:hAnsi="宋体" w:cs="宋体" w:eastAsia="宋体" w:hint="default"/>
                <w:sz w:val="18"/>
                <w:szCs w:val="18"/>
              </w:rPr>
              <w:t>中山市古镇意造三 维科技有限公司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43,985.23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58,787.01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40,020.68</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5365"/>
        <w:gridCol w:w="1974"/>
        <w:gridCol w:w="1178"/>
        <w:gridCol w:w="1177"/>
      </w:tblGrid>
      <w:tr>
        <w:trPr>
          <w:trHeight w:val="402" w:hRule="exact"/>
        </w:trPr>
        <w:tc>
          <w:tcPr>
            <w:tcW w:w="53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好玩好看网（武汉）科技有限公司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5,046,037.73</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1,037,735.85</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2,169,811.32</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材料销售及相关服务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590,062.31</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165,449.33</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打印服务费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66,891.53</w:t>
            </w:r>
          </w:p>
        </w:tc>
        <w:tc>
          <w:tcPr>
            <w:tcW w:w="117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中山市古镇意造三维科技有限公司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材料销售及相关服务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37,339.08</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39,448.03</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1,417,090.55</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1,131,396.58</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武汉高投金运激光产业投资基金合伙企业（有限合伙）</w:t>
            </w:r>
            <w:r>
              <w:rPr>
                <w:rFonts w:ascii="Times New Roman" w:hAnsi="Times New Roman" w:cs="Times New Roman" w:eastAsia="Times New Roman" w:hint="default"/>
                <w:sz w:val="18"/>
                <w:szCs w:val="18"/>
              </w:rPr>
              <w:t>*1</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1,478,175.73</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970,873.79</w:t>
            </w:r>
          </w:p>
        </w:tc>
      </w:tr>
      <w:tr>
        <w:trPr>
          <w:trHeight w:val="402" w:hRule="exact"/>
        </w:trPr>
        <w:tc>
          <w:tcPr>
            <w:tcW w:w="5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4,627,295.05</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9,523,016.78</w:t>
            </w:r>
          </w:p>
        </w:tc>
      </w:tr>
    </w:tbl>
    <w:p>
      <w:pPr>
        <w:pStyle w:val="BodyText"/>
        <w:spacing w:line="240" w:lineRule="auto" w:before="51"/>
        <w:ind w:left="1134" w:right="0"/>
        <w:jc w:val="left"/>
      </w:pPr>
      <w:r>
        <w:rPr/>
        <w:t>购销商品、提供和接受劳务的关联交易说明</w:t>
      </w:r>
    </w:p>
    <w:p>
      <w:pPr>
        <w:spacing w:line="240" w:lineRule="auto" w:before="0"/>
        <w:rPr>
          <w:rFonts w:ascii="宋体" w:hAnsi="宋体" w:cs="宋体" w:eastAsia="宋体" w:hint="default"/>
          <w:sz w:val="15"/>
          <w:szCs w:val="15"/>
        </w:rPr>
      </w:pPr>
    </w:p>
    <w:p>
      <w:pPr>
        <w:pStyle w:val="BodyText"/>
        <w:spacing w:line="300" w:lineRule="auto"/>
        <w:ind w:left="1134" w:right="151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日，公司对高投基金丧失控制权，自丧失控制权之日至资产负债表日期间，发生的基金管理费为 </w:t>
      </w:r>
      <w:r>
        <w:rPr>
          <w:rFonts w:ascii="Times New Roman" w:hAnsi="Times New Roman" w:cs="Times New Roman" w:eastAsia="Times New Roman" w:hint="default"/>
        </w:rPr>
        <w:t>475,945.21</w:t>
      </w:r>
      <w:r>
        <w:rPr/>
        <w:t>元</w:t>
      </w:r>
      <w:r>
        <w:rPr>
          <w:spacing w:val="-20"/>
        </w:rPr>
        <w:t> </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关联受托管理/承包及委托管理/出包情况" w:id="436"/>
      <w:bookmarkEnd w:id="43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关联租赁情况" w:id="437"/>
      <w:bookmarkEnd w:id="43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536"/>
        <w:gridCol w:w="1560"/>
        <w:gridCol w:w="2300"/>
        <w:gridCol w:w="2299"/>
      </w:tblGrid>
      <w:tr>
        <w:trPr>
          <w:trHeight w:val="402" w:hRule="exact"/>
        </w:trPr>
        <w:tc>
          <w:tcPr>
            <w:tcW w:w="35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2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2,514,285.72</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2,391,397.14</w:t>
            </w:r>
          </w:p>
        </w:tc>
      </w:tr>
      <w:tr>
        <w:trPr>
          <w:trHeight w:val="402" w:hRule="exact"/>
        </w:trPr>
        <w:tc>
          <w:tcPr>
            <w:tcW w:w="3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2,514,285.72</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2,391,397.14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357" w:lineRule="auto" w:before="44"/>
        <w:ind w:right="9133"/>
        <w:jc w:val="left"/>
      </w:pPr>
      <w:r>
        <w:rPr/>
        <w:t>本公司作为承租方： 关联租赁情况说明</w:t>
      </w:r>
    </w:p>
    <w:p>
      <w:pPr>
        <w:pStyle w:val="BodyText"/>
        <w:spacing w:line="300" w:lineRule="auto" w:before="108"/>
        <w:ind w:right="0" w:firstLine="360"/>
        <w:jc w:val="left"/>
      </w:pPr>
      <w:r>
        <w:rPr>
          <w:spacing w:val="-2"/>
        </w:rPr>
        <w:t>武汉金运加科技孵化器有限公司自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日起不再为公司关联方，自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日期间的租赁收</w:t>
      </w:r>
      <w:r>
        <w:rPr/>
        <w:t> 入为</w:t>
      </w:r>
      <w:r>
        <w:rPr>
          <w:rFonts w:ascii="Times New Roman" w:hAnsi="Times New Roman" w:cs="Times New Roman" w:eastAsia="Times New Roman" w:hint="default"/>
        </w:rPr>
        <w:t>952,995.39</w:t>
      </w:r>
      <w:r>
        <w:rPr/>
        <w:t>元。</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4）关联担保情况" w:id="438"/>
      <w:bookmarkEnd w:id="43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关联方资金拆借" w:id="439"/>
      <w:bookmarkEnd w:id="43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免收利息</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免收利息</w:t>
            </w:r>
          </w:p>
        </w:tc>
      </w:tr>
      <w:tr>
        <w:trPr>
          <w:trHeight w:val="402" w:hRule="exact"/>
        </w:trPr>
        <w:tc>
          <w:tcPr>
            <w:tcW w:w="9571"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资产转让、债务重组情况" w:id="440"/>
      <w:bookmarkEnd w:id="44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关键管理人员报酬" w:id="441"/>
      <w:bookmarkEnd w:id="44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942,716.00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794,638.00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42"/>
      <w:bookmarkEnd w:id="44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43"/>
      <w:bookmarkEnd w:id="44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44"/>
      <w:bookmarkEnd w:id="44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168"/>
        <w:gridCol w:w="3804"/>
        <w:gridCol w:w="1222"/>
        <w:gridCol w:w="1223"/>
        <w:gridCol w:w="1220"/>
        <w:gridCol w:w="1057"/>
      </w:tblGrid>
      <w:tr>
        <w:trPr>
          <w:trHeight w:val="402" w:hRule="exact"/>
        </w:trPr>
        <w:tc>
          <w:tcPr>
            <w:tcW w:w="11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8"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68" w:type="dxa"/>
            <w:vMerge/>
            <w:tcBorders>
              <w:left w:val="nil" w:sz="6" w:space="0" w:color="auto"/>
              <w:bottom w:val="single" w:sz="4" w:space="0" w:color="000000"/>
              <w:right w:val="single" w:sz="4" w:space="0" w:color="000000"/>
            </w:tcBorders>
            <w:shd w:val="clear" w:color="auto" w:fill="D2D2D2"/>
          </w:tcPr>
          <w:p>
            <w:pPr/>
          </w:p>
        </w:tc>
        <w:tc>
          <w:tcPr>
            <w:tcW w:w="3804" w:type="dxa"/>
            <w:vMerge/>
            <w:tcBorders>
              <w:left w:val="single" w:sz="4" w:space="0" w:color="000000"/>
              <w:bottom w:val="single" w:sz="4" w:space="0" w:color="000000"/>
              <w:right w:val="single" w:sz="4" w:space="0" w:color="000000"/>
            </w:tcBorders>
            <w:shd w:val="clear" w:color="auto" w:fill="D2D2D2"/>
          </w:tcPr>
          <w:p>
            <w:pP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0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954,242.00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28,627.26</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721,194.95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721,194.95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235,860.64</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7,075.82</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296,225.44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296,225.44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225,320.42</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6,759.61</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994,827.60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29,844.83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1,674,027.60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50,220.83</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好玩好看网（武汉）科技有限公司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4,414,400.00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662,160.00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4,414,400.00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132,432.00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87" w:type="dxa"/>
        <w:tblLayout w:type="fixed"/>
        <w:tblCellMar>
          <w:top w:w="0" w:type="dxa"/>
          <w:left w:w="0" w:type="dxa"/>
          <w:bottom w:w="0" w:type="dxa"/>
          <w:right w:w="0" w:type="dxa"/>
        </w:tblCellMar>
        <w:tblLook w:val="01E0"/>
      </w:tblPr>
      <w:tblGrid>
        <w:gridCol w:w="1182"/>
        <w:gridCol w:w="3804"/>
        <w:gridCol w:w="1222"/>
        <w:gridCol w:w="1223"/>
        <w:gridCol w:w="1220"/>
        <w:gridCol w:w="1057"/>
      </w:tblGrid>
      <w:tr>
        <w:trPr>
          <w:trHeight w:val="402" w:hRule="exact"/>
        </w:trPr>
        <w:tc>
          <w:tcPr>
            <w:tcW w:w="1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0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82"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9,300.00</w:t>
            </w:r>
          </w:p>
        </w:tc>
      </w:tr>
      <w:tr>
        <w:trPr>
          <w:trHeight w:val="402" w:hRule="exact"/>
        </w:trPr>
        <w:tc>
          <w:tcPr>
            <w:tcW w:w="1182"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2,726,751.89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87,588.43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48,215.60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1,446.47</w:t>
            </w:r>
          </w:p>
        </w:tc>
      </w:tr>
      <w:tr>
        <w:trPr>
          <w:trHeight w:val="402" w:hRule="exact"/>
        </w:trPr>
        <w:tc>
          <w:tcPr>
            <w:tcW w:w="1182"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182"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4,728,804.75</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498,097.02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445"/>
      <w:bookmarkEnd w:id="44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220"/>
        <w:gridCol w:w="5579"/>
        <w:gridCol w:w="1448"/>
        <w:gridCol w:w="1448"/>
      </w:tblGrid>
      <w:tr>
        <w:trPr>
          <w:trHeight w:val="402" w:hRule="exact"/>
        </w:trPr>
        <w:tc>
          <w:tcPr>
            <w:tcW w:w="12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44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57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56,177.22</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51,893.19</w:t>
            </w: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557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145,758.00</w:t>
            </w: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57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220" w:type="dxa"/>
            <w:tcBorders>
              <w:top w:val="single" w:sz="4" w:space="0" w:color="000000"/>
              <w:left w:val="nil" w:sz="6" w:space="0" w:color="auto"/>
              <w:bottom w:val="single" w:sz="4" w:space="0" w:color="000000"/>
              <w:right w:val="single" w:sz="4" w:space="0" w:color="000000"/>
            </w:tcBorders>
          </w:tcPr>
          <w:p>
            <w:pP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1,449,315.00</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1,449,315.00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46"/>
      <w:bookmarkEnd w:id="44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47"/>
      <w:bookmarkEnd w:id="44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48"/>
      <w:bookmarkEnd w:id="44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49"/>
      <w:bookmarkEnd w:id="44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50"/>
      <w:bookmarkEnd w:id="45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51"/>
      <w:bookmarkEnd w:id="45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股份支付的修改、终止情况" w:id="452"/>
      <w:bookmarkEnd w:id="45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53"/>
      <w:bookmarkEnd w:id="45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4"/>
      <w:bookmarkEnd w:id="454"/>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55"/>
      <w:bookmarkEnd w:id="4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line="240" w:lineRule="auto" w:before="0"/>
        <w:rPr>
          <w:rFonts w:ascii="宋体" w:hAnsi="宋体" w:cs="宋体" w:eastAsia="宋体" w:hint="default"/>
          <w:sz w:val="15"/>
          <w:szCs w:val="15"/>
        </w:rPr>
      </w:pPr>
    </w:p>
    <w:p>
      <w:pPr>
        <w:pStyle w:val="Heading5"/>
        <w:spacing w:line="240" w:lineRule="auto"/>
        <w:ind w:left="1613"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已签订的正在或准备履行的租赁合同及财务影响</w:t>
      </w:r>
      <w:r>
        <w:rPr>
          <w:b w:val="0"/>
          <w:bCs w:val="0"/>
        </w:rPr>
      </w:r>
    </w:p>
    <w:p>
      <w:pPr>
        <w:spacing w:line="240" w:lineRule="auto" w:before="12"/>
        <w:rPr>
          <w:rFonts w:ascii="宋体" w:hAnsi="宋体" w:cs="宋体" w:eastAsia="宋体" w:hint="default"/>
          <w:b/>
          <w:bCs/>
          <w:sz w:val="3"/>
          <w:szCs w:val="3"/>
        </w:rPr>
      </w:pPr>
    </w:p>
    <w:tbl>
      <w:tblPr>
        <w:tblW w:w="0" w:type="auto"/>
        <w:jc w:val="left"/>
        <w:tblInd w:w="1105" w:type="dxa"/>
        <w:tblLayout w:type="fixed"/>
        <w:tblCellMar>
          <w:top w:w="0" w:type="dxa"/>
          <w:left w:w="0" w:type="dxa"/>
          <w:bottom w:w="0" w:type="dxa"/>
          <w:right w:w="0" w:type="dxa"/>
        </w:tblCellMar>
        <w:tblLook w:val="01E0"/>
      </w:tblPr>
      <w:tblGrid>
        <w:gridCol w:w="4813"/>
        <w:gridCol w:w="4860"/>
      </w:tblGrid>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2,960,540.00</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2,269,000.00</w:t>
            </w:r>
          </w:p>
        </w:tc>
      </w:tr>
      <w:tr>
        <w:trPr>
          <w:trHeight w:val="343"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5,229,540.00</w:t>
            </w:r>
            <w:r>
              <w:rPr>
                <w:rFonts w:ascii="Times New Roman"/>
                <w:spacing w:val="-1"/>
                <w:sz w:val="18"/>
              </w:rPr>
            </w:r>
          </w:p>
        </w:tc>
      </w:tr>
    </w:tbl>
    <w:p>
      <w:pPr>
        <w:spacing w:line="240" w:lineRule="auto" w:before="8"/>
        <w:rPr>
          <w:rFonts w:ascii="宋体" w:hAnsi="宋体" w:cs="宋体" w:eastAsia="宋体" w:hint="default"/>
          <w:b/>
          <w:bCs/>
          <w:sz w:val="6"/>
          <w:szCs w:val="6"/>
        </w:rPr>
      </w:pPr>
    </w:p>
    <w:p>
      <w:pPr>
        <w:pStyle w:val="Heading5"/>
        <w:spacing w:line="240" w:lineRule="auto" w:before="44"/>
        <w:ind w:left="1556"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除存在上述承诺事项外，截至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2、或有事项" w:id="456"/>
      <w:bookmarkEnd w:id="45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57"/>
      <w:bookmarkEnd w:id="45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t>未决诉讼或仲裁形成的或有事项及其财务影响</w:t>
      </w:r>
      <w:r>
        <w:rPr>
          <w:b w:val="0"/>
          <w:bCs w:val="0"/>
        </w:rPr>
      </w:r>
    </w:p>
    <w:p>
      <w:pPr>
        <w:spacing w:line="240" w:lineRule="auto" w:before="0"/>
        <w:rPr>
          <w:rFonts w:ascii="宋体" w:hAnsi="宋体" w:cs="宋体" w:eastAsia="宋体" w:hint="default"/>
          <w:b/>
          <w:bCs/>
          <w:sz w:val="5"/>
          <w:szCs w:val="5"/>
        </w:rPr>
      </w:pPr>
    </w:p>
    <w:tbl>
      <w:tblPr>
        <w:tblW w:w="0" w:type="auto"/>
        <w:jc w:val="left"/>
        <w:tblInd w:w="1105" w:type="dxa"/>
        <w:tblLayout w:type="fixed"/>
        <w:tblCellMar>
          <w:top w:w="0" w:type="dxa"/>
          <w:left w:w="0" w:type="dxa"/>
          <w:bottom w:w="0" w:type="dxa"/>
          <w:right w:w="0" w:type="dxa"/>
        </w:tblCellMar>
        <w:tblLook w:val="01E0"/>
      </w:tblPr>
      <w:tblGrid>
        <w:gridCol w:w="1102"/>
        <w:gridCol w:w="1638"/>
        <w:gridCol w:w="1894"/>
        <w:gridCol w:w="2567"/>
        <w:gridCol w:w="1356"/>
        <w:gridCol w:w="1116"/>
      </w:tblGrid>
      <w:tr>
        <w:trPr>
          <w:trHeight w:val="342"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标的额</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342"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广州番禺区人民法院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294.35</w:t>
            </w:r>
            <w:r>
              <w:rPr>
                <w:rFonts w:ascii="宋体" w:hAnsi="宋体" w:cs="宋体" w:eastAsia="宋体" w:hint="default"/>
                <w:sz w:val="18"/>
                <w:szCs w:val="18"/>
              </w:rPr>
              <w:t>万元</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2"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丁鏖</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变更公司登记</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上海市松江区人民法院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万元</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2"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张春杰、王欢</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借款纠纷</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湖北省高级人民法院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8"/>
        <w:rPr>
          <w:rFonts w:ascii="宋体" w:hAnsi="宋体" w:cs="宋体" w:eastAsia="宋体" w:hint="default"/>
          <w:b/>
          <w:bCs/>
          <w:sz w:val="6"/>
          <w:szCs w:val="6"/>
        </w:rPr>
      </w:pPr>
    </w:p>
    <w:p>
      <w:pPr>
        <w:pStyle w:val="Heading5"/>
        <w:spacing w:line="240" w:lineRule="auto" w:before="44"/>
        <w:ind w:left="1556" w:right="0"/>
        <w:jc w:val="left"/>
        <w:rPr>
          <w:b w:val="0"/>
          <w:bCs w:val="0"/>
        </w:rPr>
      </w:pPr>
      <w:r>
        <w:rPr/>
        <w:t>除存在上述或有事项外，截止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2）公司没有需要披露的重要或有事项，也应予以说明" w:id="458"/>
      <w:bookmarkEnd w:id="45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59"/>
      <w:bookmarkEnd w:id="4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0"/>
      <w:bookmarkEnd w:id="46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1"/>
      <w:bookmarkEnd w:id="46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0"/>
        <w:jc w:val="left"/>
        <w:rPr>
          <w:b w:val="0"/>
          <w:bCs w:val="0"/>
        </w:rPr>
      </w:pPr>
      <w:bookmarkStart w:name="2、利润分配情况" w:id="462"/>
      <w:bookmarkEnd w:id="46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销售退回" w:id="463"/>
      <w:bookmarkEnd w:id="46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7696" w:firstLine="0"/>
        <w:jc w:val="left"/>
        <w:rPr>
          <w:rFonts w:ascii="宋体" w:hAnsi="宋体" w:cs="宋体" w:eastAsia="宋体" w:hint="default"/>
          <w:sz w:val="21"/>
          <w:szCs w:val="21"/>
        </w:rPr>
      </w:pPr>
      <w:bookmarkStart w:name="4、其他资产负债表日后事项说明" w:id="464"/>
      <w:bookmarkEnd w:id="4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65"/>
      <w:bookmarkEnd w:id="465"/>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6"/>
      <w:bookmarkEnd w:id="4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67"/>
      <w:bookmarkEnd w:id="46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未来适用法" w:id="468"/>
      <w:bookmarkEnd w:id="46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469"/>
      <w:bookmarkEnd w:id="46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0"/>
      <w:bookmarkEnd w:id="47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1"/>
      <w:bookmarkEnd w:id="47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72"/>
      <w:bookmarkEnd w:id="47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73"/>
      <w:bookmarkEnd w:id="47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74"/>
      <w:bookmarkEnd w:id="47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75"/>
      <w:bookmarkEnd w:id="47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76"/>
      <w:bookmarkEnd w:id="47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77"/>
      <w:bookmarkEnd w:id="47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不能披露各报告分部的资产总额和负债总额的，应说明原因" w:id="478"/>
      <w:bookmarkEnd w:id="47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79"/>
      <w:bookmarkEnd w:id="47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0"/>
      <w:bookmarkEnd w:id="48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793" w:firstLine="0"/>
        <w:jc w:val="left"/>
        <w:rPr>
          <w:rFonts w:ascii="宋体" w:hAnsi="宋体" w:cs="宋体" w:eastAsia="宋体" w:hint="default"/>
          <w:sz w:val="21"/>
          <w:szCs w:val="21"/>
        </w:rPr>
      </w:pPr>
      <w:bookmarkStart w:name="8、其他" w:id="481"/>
      <w:bookmarkEnd w:id="4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2"/>
      <w:bookmarkEnd w:id="48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83"/>
      <w:bookmarkEnd w:id="48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134" w:right="0"/>
        <w:jc w:val="left"/>
        <w:rPr>
          <w:b w:val="0"/>
          <w:bCs w:val="0"/>
        </w:rPr>
      </w:pPr>
      <w:bookmarkStart w:name="（1）应收账款分类披露" w:id="484"/>
      <w:bookmarkEnd w:id="48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1609"/>
        <w:gridCol w:w="775"/>
        <w:gridCol w:w="762"/>
        <w:gridCol w:w="762"/>
        <w:gridCol w:w="762"/>
        <w:gridCol w:w="790"/>
        <w:gridCol w:w="654"/>
        <w:gridCol w:w="762"/>
        <w:gridCol w:w="813"/>
        <w:gridCol w:w="932"/>
        <w:gridCol w:w="918"/>
      </w:tblGrid>
      <w:tr>
        <w:trPr>
          <w:trHeight w:val="397" w:hRule="exact"/>
        </w:trPr>
        <w:tc>
          <w:tcPr>
            <w:tcW w:w="1609" w:type="dxa"/>
            <w:vMerge w:val="restart"/>
            <w:tcBorders>
              <w:top w:val="single" w:sz="4" w:space="0" w:color="000000"/>
              <w:left w:val="nil" w:sz="6" w:space="0" w:color="auto"/>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09" w:type="dxa"/>
            <w:vMerge/>
            <w:tcBorders>
              <w:left w:val="nil" w:sz="6" w:space="0" w:color="auto"/>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0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09" w:type="dxa"/>
            <w:vMerge/>
            <w:tcBorders>
              <w:left w:val="nil" w:sz="6" w:space="0" w:color="auto"/>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09" w:type="dxa"/>
            <w:vMerge w:val="restart"/>
            <w:tcBorders>
              <w:top w:val="single" w:sz="4" w:space="0" w:color="FFFFFF"/>
              <w:left w:val="nil" w:sz="6" w:space="0" w:color="auto"/>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09" w:type="dxa"/>
            <w:vMerge/>
            <w:tcBorders>
              <w:left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09" w:type="dxa"/>
            <w:vMerge/>
            <w:tcBorders>
              <w:left w:val="nil" w:sz="6" w:space="0" w:color="auto"/>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47,541,5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7,787,14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39,754,35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53,798,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592.53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8,367,544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15.55%</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45,431,047.</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592,240.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1609" w:type="dxa"/>
            <w:tcBorders>
              <w:top w:val="single" w:sz="4" w:space="0" w:color="000000"/>
              <w:left w:val="nil" w:sz="6" w:space="0" w:color="auto"/>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48,133,7</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42.68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8,379,38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17.41%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39,754,35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53,798,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592.53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8,367,544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15.55%</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45,431,047.</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60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09" w:type="dxa"/>
            <w:tcBorders>
              <w:top w:val="nil" w:sz="6" w:space="0" w:color="auto"/>
              <w:left w:val="nil" w:sz="6" w:space="0" w:color="auto"/>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2480"/>
        <w:gridCol w:w="2295"/>
        <w:gridCol w:w="2390"/>
        <w:gridCol w:w="2376"/>
      </w:tblGrid>
      <w:tr>
        <w:trPr>
          <w:trHeight w:val="206" w:hRule="exact"/>
        </w:trPr>
        <w:tc>
          <w:tcPr>
            <w:tcW w:w="2480" w:type="dxa"/>
            <w:tcBorders>
              <w:top w:val="single" w:sz="4" w:space="0" w:color="000000"/>
              <w:left w:val="nil" w:sz="6" w:space="0" w:color="auto"/>
              <w:bottom w:val="nil" w:sz="6" w:space="0" w:color="auto"/>
              <w:right w:val="single" w:sz="4" w:space="0" w:color="000000"/>
            </w:tcBorders>
            <w:shd w:val="clear" w:color="auto" w:fill="D2D2D2"/>
          </w:tcPr>
          <w:p>
            <w:pPr/>
          </w:p>
        </w:tc>
        <w:tc>
          <w:tcPr>
            <w:tcW w:w="7061"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61"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2480" w:type="dxa"/>
            <w:vMerge/>
            <w:tcBorders>
              <w:left w:val="nil" w:sz="6" w:space="0" w:color="auto"/>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0" w:type="dxa"/>
            <w:tcBorders>
              <w:top w:val="nil" w:sz="6" w:space="0" w:color="auto"/>
              <w:left w:val="nil" w:sz="6" w:space="0" w:color="auto"/>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11,614,291.10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348,428.74</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4,808,982.00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721,347.30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711,240.14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355,620.07</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6,361,751.08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6,361,751.08</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23,496,264.32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7,787,147.19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33.14%</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121"/>
        <w:ind w:right="0"/>
        <w:jc w:val="left"/>
      </w:pPr>
      <w:r>
        <w:rPr>
          <w:rFonts w:ascii="Times New Roman" w:hAnsi="Times New Roman" w:cs="Times New Roman" w:eastAsia="Times New Roman" w:hint="default"/>
        </w:rPr>
        <w:t>1</w:t>
      </w:r>
      <w:r>
        <w:rPr/>
        <w:t>、采用无风险及关联方法计提坏账准备的应收账款</w:t>
      </w:r>
    </w:p>
    <w:p>
      <w:pPr>
        <w:spacing w:line="240" w:lineRule="auto" w:before="13"/>
        <w:rPr>
          <w:rFonts w:ascii="宋体" w:hAnsi="宋体" w:cs="宋体" w:eastAsia="宋体"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2825"/>
        <w:gridCol w:w="2225"/>
        <w:gridCol w:w="1429"/>
        <w:gridCol w:w="1271"/>
        <w:gridCol w:w="1908"/>
      </w:tblGrid>
      <w:tr>
        <w:trPr>
          <w:trHeight w:val="342" w:hRule="exact"/>
        </w:trPr>
        <w:tc>
          <w:tcPr>
            <w:tcW w:w="2825" w:type="dxa"/>
            <w:vMerge w:val="restart"/>
            <w:tcBorders>
              <w:top w:val="single" w:sz="4" w:space="0" w:color="000000"/>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3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825" w:type="dxa"/>
            <w:vMerge/>
            <w:tcBorders>
              <w:left w:val="nil" w:sz="6" w:space="0" w:color="auto"/>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18,444,958.41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2,332,803.01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产业发展</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946,834.40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1,217,771.89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1,102,870.26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24,045,237.97</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w:t>
      </w:r>
      <w:r>
        <w:rPr/>
        <w:t>、期末单项金额虽不重大但单独计提坏账准备的应收账款</w:t>
      </w:r>
    </w:p>
    <w:p>
      <w:pPr>
        <w:spacing w:line="240" w:lineRule="auto" w:before="13"/>
        <w:rPr>
          <w:rFonts w:ascii="宋体" w:hAnsi="宋体" w:cs="宋体" w:eastAsia="宋体"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3173"/>
        <w:gridCol w:w="1594"/>
        <w:gridCol w:w="1847"/>
        <w:gridCol w:w="894"/>
        <w:gridCol w:w="2150"/>
      </w:tblGrid>
      <w:tr>
        <w:trPr>
          <w:trHeight w:val="342" w:hRule="exact"/>
        </w:trPr>
        <w:tc>
          <w:tcPr>
            <w:tcW w:w="3173" w:type="dxa"/>
            <w:vMerge w:val="restart"/>
            <w:tcBorders>
              <w:top w:val="single" w:sz="4" w:space="0" w:color="000000"/>
              <w:left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17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296,014.95</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296,014.95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296,225.44</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296,225.44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592,240.39</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592,240.39</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计提、收回或转回的坏账准备情况" w:id="485"/>
      <w:bookmarkEnd w:id="48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50"/>
        </w:rPr>
        <w:t> </w:t>
      </w:r>
      <w:r>
        <w:rPr>
          <w:rFonts w:ascii="Times New Roman" w:hAnsi="Times New Roman" w:cs="Times New Roman" w:eastAsia="Times New Roman" w:hint="default"/>
        </w:rPr>
        <w:t>11,842.83</w:t>
      </w:r>
      <w:r>
        <w:rPr>
          <w:rFonts w:ascii="Times New Roman" w:hAnsi="Times New Roman" w:cs="Times New Roman" w:eastAsia="Times New Roman" w:hint="default"/>
          <w:spacing w:val="-5"/>
        </w:rPr>
        <w:t> </w:t>
      </w:r>
      <w:r>
        <w:rPr/>
        <w:t>元；本期收回或转回坏账准备金额元。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486"/>
      <w:bookmarkEnd w:id="48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名的应收账款情况" w:id="487"/>
      <w:bookmarkEnd w:id="48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18,444,958.41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z w:val="18"/>
              </w:rPr>
              <w:t>38.32</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2,360,000.00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z w:val="18"/>
              </w:rPr>
              <w:t>4.90</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354,000.00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2,332,803.01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z w:val="18"/>
              </w:rPr>
              <w:t>4.85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1,937,205.00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z w:val="18"/>
              </w:rPr>
              <w:t>4.02</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58,116.15</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1,711,539.82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3"/>
              <w:jc w:val="right"/>
              <w:rPr>
                <w:rFonts w:ascii="Times New Roman" w:hAnsi="Times New Roman" w:cs="Times New Roman" w:eastAsia="Times New Roman" w:hint="default"/>
                <w:sz w:val="18"/>
                <w:szCs w:val="18"/>
              </w:rPr>
            </w:pPr>
            <w:r>
              <w:rPr>
                <w:rFonts w:ascii="Times New Roman"/>
                <w:sz w:val="18"/>
              </w:rPr>
              <w:t>3.56</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51,346.19</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26,786,506.24</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23"/>
              <w:jc w:val="right"/>
              <w:rPr>
                <w:rFonts w:ascii="Times New Roman" w:hAnsi="Times New Roman" w:cs="Times New Roman" w:eastAsia="Times New Roman" w:hint="default"/>
                <w:sz w:val="18"/>
                <w:szCs w:val="18"/>
              </w:rPr>
            </w:pPr>
            <w:r>
              <w:rPr>
                <w:rFonts w:ascii="Times New Roman"/>
                <w:b/>
                <w:sz w:val="18"/>
              </w:rPr>
              <w:t>55.65</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463,462.34</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5）因金融资产转移而终止确认的应收账款" w:id="488"/>
      <w:bookmarkEnd w:id="48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489"/>
      <w:bookmarkEnd w:id="48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其他应收款" w:id="490"/>
      <w:bookmarkEnd w:id="49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491"/>
      <w:bookmarkEnd w:id="49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632"/>
        <w:gridCol w:w="752"/>
        <w:gridCol w:w="762"/>
        <w:gridCol w:w="762"/>
        <w:gridCol w:w="751"/>
        <w:gridCol w:w="800"/>
        <w:gridCol w:w="655"/>
        <w:gridCol w:w="762"/>
        <w:gridCol w:w="813"/>
        <w:gridCol w:w="932"/>
        <w:gridCol w:w="918"/>
      </w:tblGrid>
      <w:tr>
        <w:trPr>
          <w:trHeight w:val="397" w:hRule="exact"/>
        </w:trPr>
        <w:tc>
          <w:tcPr>
            <w:tcW w:w="1632" w:type="dxa"/>
            <w:vMerge w:val="restart"/>
            <w:tcBorders>
              <w:top w:val="single" w:sz="4" w:space="0" w:color="000000"/>
              <w:left w:val="nil" w:sz="6" w:space="0" w:color="auto"/>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0"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2" w:type="dxa"/>
            <w:vMerge/>
            <w:tcBorders>
              <w:left w:val="nil" w:sz="6" w:space="0" w:color="auto"/>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3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32" w:type="dxa"/>
            <w:vMerge/>
            <w:tcBorders>
              <w:left w:val="nil" w:sz="6" w:space="0" w:color="auto"/>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2" w:type="dxa"/>
            <w:vMerge w:val="restart"/>
            <w:tcBorders>
              <w:top w:val="single" w:sz="4" w:space="0" w:color="FFFFFF"/>
              <w:left w:val="nil" w:sz="6" w:space="0" w:color="auto"/>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32" w:type="dxa"/>
            <w:vMerge/>
            <w:tcBorders>
              <w:left w:val="nil" w:sz="6" w:space="0" w:color="auto"/>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32" w:type="dxa"/>
            <w:vMerge/>
            <w:tcBorders>
              <w:left w:val="nil" w:sz="6" w:space="0" w:color="auto"/>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6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71"/>
              <w:ind w:left="13" w:right="171"/>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4,111,169</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4,111,16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9.40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29,225,3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4,013,71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25,211,61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26,853,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2,229,113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w:t>
            </w:r>
          </w:p>
        </w:tc>
        <w:tc>
          <w:tcPr>
            <w:tcW w:w="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24,624,805.</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33,836,5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8,624,88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25.49%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25,211,61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26,853,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2,229,113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w:t>
            </w:r>
          </w:p>
        </w:tc>
        <w:tc>
          <w:tcPr>
            <w:tcW w:w="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24,624,805.</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nil" w:sz="6" w:space="0" w:color="auto"/>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23"/>
              <w:jc w:val="left"/>
              <w:rPr>
                <w:rFonts w:ascii="宋体" w:hAnsi="宋体" w:cs="宋体" w:eastAsia="宋体" w:hint="default"/>
                <w:sz w:val="18"/>
                <w:szCs w:val="18"/>
              </w:rPr>
            </w:pPr>
            <w:r>
              <w:rPr>
                <w:rFonts w:ascii="宋体" w:hAnsi="宋体" w:cs="宋体" w:eastAsia="宋体" w:hint="default"/>
                <w:spacing w:val="-4"/>
                <w:sz w:val="18"/>
                <w:szCs w:val="18"/>
              </w:rPr>
              <w:t>落地创意（武汉）科技有</w:t>
            </w:r>
            <w:r>
              <w:rPr>
                <w:rFonts w:ascii="宋体" w:hAnsi="宋体" w:cs="宋体" w:eastAsia="宋体" w:hint="default"/>
                <w:sz w:val="18"/>
                <w:szCs w:val="18"/>
              </w:rPr>
              <w:t>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474"/>
        <w:gridCol w:w="2301"/>
        <w:gridCol w:w="2390"/>
        <w:gridCol w:w="2376"/>
      </w:tblGrid>
      <w:tr>
        <w:trPr>
          <w:trHeight w:val="206" w:hRule="exact"/>
        </w:trPr>
        <w:tc>
          <w:tcPr>
            <w:tcW w:w="2474" w:type="dxa"/>
            <w:tcBorders>
              <w:top w:val="single" w:sz="4" w:space="0" w:color="000000"/>
              <w:left w:val="nil" w:sz="6" w:space="0" w:color="auto"/>
              <w:bottom w:val="nil" w:sz="6" w:space="0" w:color="auto"/>
              <w:right w:val="single" w:sz="4" w:space="0" w:color="000000"/>
            </w:tcBorders>
            <w:shd w:val="clear" w:color="auto" w:fill="D2D2D2"/>
          </w:tcPr>
          <w:p>
            <w:pPr/>
          </w:p>
        </w:tc>
        <w:tc>
          <w:tcPr>
            <w:tcW w:w="7067"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67"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474" w:type="dxa"/>
            <w:vMerge/>
            <w:tcBorders>
              <w:left w:val="nil" w:sz="6" w:space="0" w:color="auto"/>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4" w:type="dxa"/>
            <w:tcBorders>
              <w:top w:val="nil" w:sz="6" w:space="0" w:color="auto"/>
              <w:left w:val="nil" w:sz="6" w:space="0" w:color="auto"/>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3,991,419.52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119,742.59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446,677.42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67,001.61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270,652.99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135,326.50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3,691,647.00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3,691,647.00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8,400,396.93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4,013,717.70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47.78%</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1.  </w:t>
      </w:r>
      <w:r>
        <w:rPr/>
        <w:t>组合中，采用无风险及关联方法计提坏账准备的其他应收款</w:t>
      </w:r>
    </w:p>
    <w:p>
      <w:pPr>
        <w:spacing w:line="240" w:lineRule="auto" w:before="0"/>
        <w:rPr>
          <w:rFonts w:ascii="宋体" w:hAnsi="宋体" w:cs="宋体" w:eastAsia="宋体" w:hint="default"/>
          <w:sz w:val="5"/>
          <w:szCs w:val="5"/>
        </w:rPr>
      </w:pPr>
    </w:p>
    <w:tbl>
      <w:tblPr>
        <w:tblW w:w="0" w:type="auto"/>
        <w:jc w:val="left"/>
        <w:tblInd w:w="1119" w:type="dxa"/>
        <w:tblLayout w:type="fixed"/>
        <w:tblCellMar>
          <w:top w:w="0" w:type="dxa"/>
          <w:left w:w="0" w:type="dxa"/>
          <w:bottom w:w="0" w:type="dxa"/>
          <w:right w:w="0" w:type="dxa"/>
        </w:tblCellMar>
        <w:tblLook w:val="01E0"/>
      </w:tblPr>
      <w:tblGrid>
        <w:gridCol w:w="2852"/>
        <w:gridCol w:w="1766"/>
        <w:gridCol w:w="1606"/>
        <w:gridCol w:w="1445"/>
        <w:gridCol w:w="1991"/>
      </w:tblGrid>
      <w:tr>
        <w:trPr>
          <w:trHeight w:val="342" w:hRule="exact"/>
        </w:trPr>
        <w:tc>
          <w:tcPr>
            <w:tcW w:w="2852" w:type="dxa"/>
            <w:vMerge w:val="restart"/>
            <w:tcBorders>
              <w:top w:val="single" w:sz="4" w:space="0" w:color="000000"/>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852"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16" w:right="0"/>
              <w:jc w:val="left"/>
              <w:rPr>
                <w:rFonts w:ascii="Times New Roman" w:hAnsi="Times New Roman" w:cs="Times New Roman" w:eastAsia="Times New Roman" w:hint="default"/>
                <w:sz w:val="18"/>
                <w:szCs w:val="18"/>
              </w:rPr>
            </w:pPr>
            <w:r>
              <w:rPr>
                <w:rFonts w:ascii="Times New Roman"/>
                <w:sz w:val="18"/>
              </w:rPr>
              <w:t>16,289,449.07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19" w:type="dxa"/>
        <w:tblLayout w:type="fixed"/>
        <w:tblCellMar>
          <w:top w:w="0" w:type="dxa"/>
          <w:left w:w="0" w:type="dxa"/>
          <w:bottom w:w="0" w:type="dxa"/>
          <w:right w:w="0" w:type="dxa"/>
        </w:tblCellMar>
        <w:tblLook w:val="01E0"/>
      </w:tblPr>
      <w:tblGrid>
        <w:gridCol w:w="2852"/>
        <w:gridCol w:w="1766"/>
        <w:gridCol w:w="1606"/>
        <w:gridCol w:w="1445"/>
        <w:gridCol w:w="1991"/>
      </w:tblGrid>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730,427.56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298,745.31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3,245.70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2,584.00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2,508,184.82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互动传媒</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3,493.72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988,803.62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20,824,933.80</w:t>
            </w:r>
            <w:r>
              <w:rPr>
                <w:rFonts w:ascii="Times New Roman"/>
                <w:spacing w:val="-1"/>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rFonts w:ascii="Times New Roman" w:hAnsi="Times New Roman" w:cs="Times New Roman" w:eastAsia="Times New Roman" w:hint="default"/>
        </w:rPr>
        <w:t>2.</w:t>
      </w:r>
      <w:r>
        <w:rPr/>
        <w:t>期末单项金额虽不重大但单独计提坏账准备的其他应收款</w:t>
      </w:r>
    </w:p>
    <w:p>
      <w:pPr>
        <w:spacing w:line="240" w:lineRule="auto" w:before="13"/>
        <w:rPr>
          <w:rFonts w:ascii="宋体" w:hAnsi="宋体" w:cs="宋体" w:eastAsia="宋体"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3014"/>
        <w:gridCol w:w="1754"/>
        <w:gridCol w:w="1847"/>
        <w:gridCol w:w="894"/>
        <w:gridCol w:w="2150"/>
      </w:tblGrid>
      <w:tr>
        <w:trPr>
          <w:trHeight w:val="342" w:hRule="exact"/>
        </w:trPr>
        <w:tc>
          <w:tcPr>
            <w:tcW w:w="3014" w:type="dxa"/>
            <w:vMerge w:val="restart"/>
            <w:tcBorders>
              <w:top w:val="single" w:sz="4" w:space="0" w:color="000000"/>
              <w:left w:val="nil" w:sz="6" w:space="0" w:color="auto"/>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6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014"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3"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500,000.00</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500,000.00</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计提、收回或转回的坏账准备情况" w:id="492"/>
      <w:bookmarkEnd w:id="49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6,395,773.40</w:t>
      </w:r>
      <w:r>
        <w:rPr>
          <w:rFonts w:ascii="Times New Roman" w:hAnsi="Times New Roman" w:cs="Times New Roman" w:eastAsia="Times New Roman" w:hint="default"/>
          <w:spacing w:val="-2"/>
        </w:rPr>
        <w:t> </w:t>
      </w:r>
      <w:r>
        <w:rPr/>
        <w:t>元；本期收回或转回坏账准备金额元。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3）本期实际核销的其他应收款情况" w:id="493"/>
      <w:bookmarkEnd w:id="49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应收款按款项性质分类情况" w:id="494"/>
      <w:bookmarkEnd w:id="49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19,836,130.18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17,425,480.09</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非合并内关联方往来款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7,648,086.29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4,978,804.75</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1,213,821.78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1,824,493.34</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1,654,258.42</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974,172.42</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387,998.49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142,516.83</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988,803.62</w:t>
            </w:r>
          </w:p>
        </w:tc>
        <w:tc>
          <w:tcPr>
            <w:tcW w:w="31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2,107,401.35</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1,508,451.86</w:t>
            </w:r>
          </w:p>
        </w:tc>
      </w:tr>
      <w:tr>
        <w:trPr>
          <w:trHeight w:val="403"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33,836,500.13</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26,853,919.29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495"/>
      <w:bookmarkEnd w:id="49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1707"/>
        <w:gridCol w:w="1571"/>
        <w:gridCol w:w="1572"/>
        <w:gridCol w:w="1572"/>
        <w:gridCol w:w="1637"/>
        <w:gridCol w:w="1636"/>
      </w:tblGrid>
      <w:tr>
        <w:trPr>
          <w:trHeight w:val="714" w:hRule="exact"/>
        </w:trPr>
        <w:tc>
          <w:tcPr>
            <w:tcW w:w="17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707"/>
        <w:gridCol w:w="1571"/>
        <w:gridCol w:w="1572"/>
        <w:gridCol w:w="1572"/>
        <w:gridCol w:w="1637"/>
        <w:gridCol w:w="1636"/>
      </w:tblGrid>
      <w:tr>
        <w:trPr>
          <w:trHeight w:val="714"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落地创意（武汉）科 技有限公司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12.15%</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4,111,169.40</w:t>
            </w:r>
          </w:p>
        </w:tc>
      </w:tr>
      <w:tr>
        <w:trPr>
          <w:trHeight w:val="714"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武汉金运加科技孵化 器有限公司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2,726,751.89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87,588.43</w:t>
            </w:r>
          </w:p>
        </w:tc>
      </w:tr>
      <w:tr>
        <w:trPr>
          <w:trHeight w:val="40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16,289,449.07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48.14%</w:t>
            </w:r>
          </w:p>
        </w:tc>
        <w:tc>
          <w:tcPr>
            <w:tcW w:w="16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2,508,184.82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6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988,803.62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63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26,624,358.80</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78.69%</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4,198,757.83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496"/>
      <w:bookmarkEnd w:id="49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因金融资产转移而终止确认的其他应收款" w:id="497"/>
      <w:bookmarkEnd w:id="49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498"/>
      <w:bookmarkEnd w:id="49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99"/>
      <w:bookmarkEnd w:id="49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43"/>
        <w:gridCol w:w="1379"/>
        <w:gridCol w:w="1367"/>
        <w:gridCol w:w="1367"/>
        <w:gridCol w:w="1368"/>
        <w:gridCol w:w="1367"/>
        <w:gridCol w:w="1367"/>
      </w:tblGrid>
      <w:tr>
        <w:trPr>
          <w:trHeight w:val="207"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43"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36,519,076.57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36,519,076.57</w:t>
            </w:r>
          </w:p>
        </w:tc>
      </w:tr>
      <w:tr>
        <w:trPr>
          <w:trHeight w:val="714"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59,242,868.76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59,242,868.76</w:t>
            </w: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95,761,945.33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95,761,945.33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00"/>
      <w:bookmarkEnd w:id="50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598" w:right="6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1,065,727.00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1,065,727.00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8,668,033.25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8,668,033.25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8,668,033.25</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8,668,033.25</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9,725,316.32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9,725,316.32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互动传媒</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产业发展</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36,519,076.57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37,769,076.57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13,768,033.25</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13,768,033.25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01"/>
      <w:bookmarkEnd w:id="50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33" w:type="dxa"/>
        <w:tblLayout w:type="fixed"/>
        <w:tblCellMar>
          <w:top w:w="0" w:type="dxa"/>
          <w:left w:w="0" w:type="dxa"/>
          <w:bottom w:w="0" w:type="dxa"/>
          <w:right w:w="0" w:type="dxa"/>
        </w:tblCellMar>
        <w:tblLook w:val="01E0"/>
      </w:tblPr>
      <w:tblGrid>
        <w:gridCol w:w="791"/>
        <w:gridCol w:w="798"/>
        <w:gridCol w:w="797"/>
        <w:gridCol w:w="798"/>
        <w:gridCol w:w="798"/>
        <w:gridCol w:w="798"/>
        <w:gridCol w:w="798"/>
        <w:gridCol w:w="798"/>
        <w:gridCol w:w="798"/>
        <w:gridCol w:w="798"/>
        <w:gridCol w:w="798"/>
        <w:gridCol w:w="791"/>
      </w:tblGrid>
      <w:tr>
        <w:trPr>
          <w:trHeight w:val="402" w:hRule="exact"/>
        </w:trPr>
        <w:tc>
          <w:tcPr>
            <w:tcW w:w="79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1" w:type="dxa"/>
            <w:vMerge/>
            <w:tcBorders>
              <w:left w:val="nil" w:sz="6" w:space="0" w:color="auto"/>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9562"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武汉高投 金运激光 产业投资 基金合伙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49,651,01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-271,714.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-24,879,3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791" w:type="dxa"/>
            <w:tcBorders>
              <w:top w:val="single" w:sz="4" w:space="0" w:color="000000"/>
              <w:left w:val="nil" w:sz="6" w:space="0" w:color="auto"/>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49,651,01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4.67</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-271,714.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-24,879,3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00.60</w:t>
            </w:r>
          </w:p>
        </w:tc>
        <w:tc>
          <w:tcPr>
            <w:tcW w:w="798" w:type="dxa"/>
            <w:vMerge w:val="restart"/>
            <w:tcBorders>
              <w:top w:val="single" w:sz="4" w:space="0" w:color="000000"/>
              <w:left w:val="single" w:sz="4" w:space="0" w:color="000000"/>
              <w:right w:val="single" w:sz="4" w:space="0" w:color="000000"/>
            </w:tcBorders>
          </w:tcPr>
          <w:p>
            <w:pPr/>
          </w:p>
        </w:tc>
        <w:tc>
          <w:tcPr>
            <w:tcW w:w="791" w:type="dxa"/>
            <w:vMerge w:val="restart"/>
            <w:tcBorders>
              <w:top w:val="single" w:sz="4" w:space="0" w:color="000000"/>
              <w:left w:val="single" w:sz="4" w:space="0" w:color="000000"/>
              <w:right w:val="nil" w:sz="6" w:space="0" w:color="auto"/>
            </w:tcBorders>
          </w:tcPr>
          <w:p>
            <w:pPr/>
          </w:p>
        </w:tc>
      </w:tr>
      <w:tr>
        <w:trPr>
          <w:trHeight w:val="392" w:hRule="exact"/>
        </w:trPr>
        <w:tc>
          <w:tcPr>
            <w:tcW w:w="79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1" w:type="dxa"/>
            <w:vMerge/>
            <w:tcBorders>
              <w:left w:val="single" w:sz="4" w:space="0" w:color="000000"/>
              <w:right w:val="nil" w:sz="6" w:space="0" w:color="auto"/>
            </w:tcBorders>
          </w:tcPr>
          <w:p>
            <w:pPr/>
          </w:p>
        </w:tc>
      </w:tr>
      <w:tr>
        <w:trPr>
          <w:trHeight w:val="161" w:hRule="exact"/>
        </w:trPr>
        <w:tc>
          <w:tcPr>
            <w:tcW w:w="791" w:type="dxa"/>
            <w:tcBorders>
              <w:top w:val="nil" w:sz="6" w:space="0" w:color="auto"/>
              <w:left w:val="nil" w:sz="6" w:space="0" w:color="auto"/>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1" w:type="dxa"/>
            <w:vMerge/>
            <w:tcBorders>
              <w:left w:val="single" w:sz="4" w:space="0" w:color="000000"/>
              <w:bottom w:val="single" w:sz="4" w:space="0" w:color="000000"/>
              <w:right w:val="nil" w:sz="6" w:space="0" w:color="auto"/>
            </w:tcBorders>
          </w:tcPr>
          <w:p>
            <w:pPr/>
          </w:p>
        </w:tc>
      </w:tr>
      <w:tr>
        <w:trPr>
          <w:trHeight w:val="402" w:hRule="exact"/>
        </w:trPr>
        <w:tc>
          <w:tcPr>
            <w:tcW w:w="9562"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新余云尚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9,591,854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16,042,78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12,914,39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-12,720,2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9,591,854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16,042,78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12,914,39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-12,720,2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59,242,86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15,771,07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12,914,39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-37,599,5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02"/>
      <w:bookmarkEnd w:id="50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03"/>
      <w:bookmarkEnd w:id="5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1981"/>
        <w:gridCol w:w="1838"/>
        <w:gridCol w:w="1913"/>
        <w:gridCol w:w="1913"/>
        <w:gridCol w:w="1899"/>
      </w:tblGrid>
      <w:tr>
        <w:trPr>
          <w:trHeight w:val="205" w:hRule="exact"/>
        </w:trPr>
        <w:tc>
          <w:tcPr>
            <w:tcW w:w="1981" w:type="dxa"/>
            <w:tcBorders>
              <w:top w:val="single" w:sz="4" w:space="0" w:color="000000"/>
              <w:left w:val="nil" w:sz="6" w:space="0" w:color="auto"/>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1" w:type="dxa"/>
            <w:vMerge/>
            <w:tcBorders>
              <w:left w:val="nil" w:sz="6" w:space="0" w:color="auto"/>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1" w:type="dxa"/>
            <w:tcBorders>
              <w:top w:val="nil" w:sz="6" w:space="0" w:color="auto"/>
              <w:left w:val="nil" w:sz="6" w:space="0" w:color="auto"/>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106,711,806.39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73,307,308.20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108,356,221.08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73,762,038.05</w:t>
            </w:r>
          </w:p>
        </w:tc>
      </w:tr>
      <w:tr>
        <w:trPr>
          <w:trHeight w:val="401"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17,402,862.27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11,871,422.13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23,207,209.66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15,446,190.21</w:t>
            </w:r>
          </w:p>
        </w:tc>
      </w:tr>
      <w:tr>
        <w:trPr>
          <w:trHeight w:val="403"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124,114,668.66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85,178,730.33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131,563,430.74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89,208,228.26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04"/>
      <w:bookmarkEnd w:id="5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15,771,071.01</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-320,527.68</w:t>
            </w:r>
            <w:r>
              <w:rPr>
                <w:rFonts w:ascii="Times New Roman"/>
                <w:sz w:val="18"/>
              </w:rPr>
            </w:r>
          </w:p>
        </w:tc>
      </w:tr>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15,771,071.01</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-320,527.68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05"/>
      <w:bookmarkEnd w:id="50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06"/>
      <w:bookmarkEnd w:id="50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7"/>
      <w:bookmarkEnd w:id="5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3"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17,665,610.73</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1,515,779.32</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211,256.19</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2,908,893.15</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2,085.14</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16,481,667.95</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8"/>
      <w:bookmarkEnd w:id="5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2648"/>
        <w:gridCol w:w="3081"/>
        <w:gridCol w:w="1913"/>
        <w:gridCol w:w="1899"/>
      </w:tblGrid>
      <w:tr>
        <w:trPr>
          <w:trHeight w:val="206" w:hRule="exact"/>
        </w:trPr>
        <w:tc>
          <w:tcPr>
            <w:tcW w:w="2648" w:type="dxa"/>
            <w:tcBorders>
              <w:top w:val="single" w:sz="4" w:space="0" w:color="000000"/>
              <w:left w:val="nil" w:sz="6" w:space="0" w:color="auto"/>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4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648" w:type="dxa"/>
            <w:vMerge/>
            <w:tcBorders>
              <w:left w:val="nil" w:sz="6" w:space="0" w:color="auto"/>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48" w:type="dxa"/>
            <w:tcBorders>
              <w:top w:val="nil" w:sz="6" w:space="0" w:color="auto"/>
              <w:left w:val="nil" w:sz="6" w:space="0" w:color="auto"/>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-0.3361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-0.3361</w:t>
            </w:r>
          </w:p>
        </w:tc>
      </w:tr>
      <w:tr>
        <w:trPr>
          <w:trHeight w:val="714"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-0.4669</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-0.4669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境内外会计准则下会计数据差异" w:id="509"/>
      <w:bookmarkEnd w:id="50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10"/>
      <w:bookmarkEnd w:id="51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11"/>
      <w:bookmarkEnd w:id="51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12"/>
      <w:bookmarkEnd w:id="51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13"/>
      <w:bookmarkEnd w:id="51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right="1536"/>
        <w:jc w:val="center"/>
        <w:rPr>
          <w:b w:val="0"/>
          <w:bCs w:val="0"/>
        </w:rPr>
      </w:pPr>
      <w:bookmarkStart w:name="第十二节 备查文件目录" w:id="514"/>
      <w:bookmarkEnd w:id="514"/>
      <w:r>
        <w:rPr>
          <w:b w:val="0"/>
          <w:bCs w:val="0"/>
        </w:rPr>
      </w:r>
      <w:bookmarkStart w:name="_bookmark11" w:id="515"/>
      <w:bookmarkEnd w:id="51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Heading4"/>
        <w:spacing w:line="408" w:lineRule="auto"/>
        <w:ind w:right="1933"/>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444" w:lineRule="auto"/>
        <w:ind w:left="7524" w:right="1894" w:hanging="52"/>
        <w:jc w:val="left"/>
      </w:pPr>
      <w:r>
        <w:rPr/>
        <w:t>武汉金运激光股份有限公司 法定代表人：梁萍</w:t>
      </w:r>
    </w:p>
    <w:p>
      <w:pPr>
        <w:pStyle w:val="Heading4"/>
        <w:spacing w:line="240" w:lineRule="auto" w:before="54"/>
        <w:ind w:left="7692" w:right="0"/>
        <w:jc w:val="left"/>
      </w:pPr>
      <w:r>
        <w:rPr>
          <w:rFonts w:ascii="Times New Roman" w:hAnsi="Times New Roman" w:cs="Times New Roman" w:eastAsia="Times New Roman" w:hint="default"/>
        </w:rPr>
        <w:t>2018</w:t>
      </w:r>
      <w:r>
        <w:rPr/>
        <w:t>年</w:t>
      </w:r>
      <w:r>
        <w:rPr>
          <w:rFonts w:ascii="宋体" w:hAnsi="宋体" w:cs="宋体" w:eastAsia="宋体" w:hint="default"/>
        </w:rPr>
        <w:t>4</w:t>
      </w:r>
      <w:r>
        <w:rPr/>
        <w:t>月</w:t>
      </w:r>
      <w:r>
        <w:rPr>
          <w:rFonts w:ascii="宋体" w:hAnsi="宋体" w:cs="宋体" w:eastAsia="宋体" w:hint="default"/>
        </w:rPr>
        <w:t>11</w:t>
      </w:r>
      <w:r>
        <w:rPr/>
        <w:t>日</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26376" type="#_x0000_t75" stroked="false">
          <v:imagedata r:id="rId1" o:title=""/>
        </v:shape>
      </w:pict>
    </w:r>
    <w:r>
      <w:rPr/>
      <w:pict>
        <v:shape style="position:absolute;margin-left:533.179993pt;margin-top:795.517944pt;width:6.5pt;height:11pt;mso-position-horizontal-relative:page;mso-position-vertical-relative:page;z-index:-726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26328" type="#_x0000_t75" stroked="false">
          <v:imagedata r:id="rId1" o:title=""/>
        </v:shape>
      </w:pict>
    </w:r>
    <w:r>
      <w:rPr/>
      <w:pict>
        <v:shape style="position:absolute;margin-left:527.679993pt;margin-top:781.957947pt;width:13pt;height:11pt;mso-position-horizontal-relative:page;mso-position-vertical-relative:page;z-index:-726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26256" type="#_x0000_t75" stroked="false">
          <v:imagedata r:id="rId1" o:title=""/>
        </v:shape>
      </w:pict>
    </w:r>
    <w:r>
      <w:rPr/>
      <w:pict>
        <v:shape style="position:absolute;margin-left:758.97998pt;margin-top:535.357971pt;width:13pt;height:11pt;mso-position-horizontal-relative:page;mso-position-vertical-relative:page;z-index:-726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26160" type="#_x0000_t75" stroked="false">
          <v:imagedata r:id="rId1" o:title=""/>
        </v:shape>
      </w:pict>
    </w:r>
    <w:r>
      <w:rPr/>
      <w:pict>
        <v:shape style="position:absolute;margin-left:527.679993pt;margin-top:781.957947pt;width:13pt;height:11pt;mso-position-horizontal-relative:page;mso-position-vertical-relative:page;z-index:-726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26112" type="#_x0000_t75" stroked="false">
          <v:imagedata r:id="rId1" o:title=""/>
        </v:shape>
      </w:pict>
    </w:r>
    <w:r>
      <w:rPr/>
      <w:pict>
        <v:shape style="position:absolute;margin-left:524.179993pt;margin-top:781.957947pt;width:15.5pt;height:11pt;mso-position-horizontal-relative:page;mso-position-vertical-relative:page;z-index:-726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26064" type="#_x0000_t75" stroked="false">
          <v:imagedata r:id="rId1" o:title=""/>
        </v:shape>
      </w:pict>
    </w:r>
    <w:r>
      <w:rPr/>
      <w:pict>
        <v:shape style="position:absolute;margin-left:523.179993pt;margin-top:781.957947pt;width:17.5pt;height:11pt;mso-position-horizontal-relative:page;mso-position-vertical-relative:page;z-index:-726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26400"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726280"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262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726184"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53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553"/>
      <w:outlineLvl w:val="4"/>
    </w:pPr>
    <w:rPr>
      <w:rFonts w:ascii="宋体" w:hAnsi="宋体" w:eastAsia="宋体"/>
      <w:sz w:val="21"/>
      <w:szCs w:val="21"/>
    </w:rPr>
  </w:style>
  <w:style w:styleId="Heading5" w:type="paragraph">
    <w:name w:val="Heading 5"/>
    <w:basedOn w:val="Normal"/>
    <w:uiPriority w:val="1"/>
    <w:qFormat/>
    <w:pPr>
      <w:ind w:left="113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dm2015@163.com" TargetMode="External"/><Relationship Id="rId11" Type="http://schemas.openxmlformats.org/officeDocument/2006/relationships/hyperlink" Target="mailto:smh1399@163.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武汉金运激光股份有限公司</dc:creator>
  <dc:title>武汉金运激光股份有限公司2017年年度报告全文</dc:title>
  <dcterms:created xsi:type="dcterms:W3CDTF">2020-05-03T00:15:55Z</dcterms:created>
  <dcterms:modified xsi:type="dcterms:W3CDTF">2020-05-03T00:15:55Z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2018-05-02T00:00:00Z</vt:filetime>
  </property>
  <property fmtid="{D5CDD505-2E9C-101B-9397-08002B2CF9AE}" pid="3" name="Creator">
    <vt:lpwstr>Microsoft® Office Word 2007</vt:lpwstr>
  </property>
  <property fmtid="{D5CDD505-2E9C-101B-9397-08002B2CF9AE}" pid="4" name="LastSaved">
    <vt:filetime>2020-05-02T00:00:00Z</vt:filetime>
  </property>
</Properties>
</file>