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983" w:lineRule="exact"/>
        <w:ind w:left="342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9"/>
          <w:sz w:val="20"/>
          <w:szCs w:val="20"/>
        </w:rPr>
        <w:drawing>
          <wp:inline distT="0" distB="0" distL="0" distR="0">
            <wp:extent cx="1961163" cy="1894522"/>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961163" cy="1894522"/>
                    </a:xfrm>
                    <a:prstGeom prst="rect">
                      <a:avLst/>
                    </a:prstGeom>
                  </pic:spPr>
                </pic:pic>
              </a:graphicData>
            </a:graphic>
          </wp:inline>
        </w:drawing>
      </w:r>
      <w:r>
        <w:rPr>
          <w:rFonts w:ascii="Times New Roman" w:hAnsi="Times New Roman" w:cs="Times New Roman" w:eastAsia="Times New Roman" w:hint="default"/>
          <w:position w:val="-5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spacing w:line="460" w:lineRule="exact" w:before="0"/>
        <w:ind w:left="2786" w:right="3763" w:firstLine="0"/>
        <w:jc w:val="center"/>
        <w:rPr>
          <w:rFonts w:ascii="宋体" w:hAnsi="宋体" w:cs="宋体" w:eastAsia="宋体" w:hint="default"/>
          <w:sz w:val="36"/>
          <w:szCs w:val="36"/>
        </w:rPr>
      </w:pPr>
      <w:r>
        <w:rPr>
          <w:rFonts w:ascii="宋体" w:hAnsi="宋体" w:cs="宋体" w:eastAsia="宋体" w:hint="default"/>
          <w:b/>
          <w:bCs/>
          <w:sz w:val="36"/>
          <w:szCs w:val="36"/>
        </w:rPr>
        <w:t>武汉金运激光股份有限公司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7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7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141" w:firstLine="562"/>
        <w:jc w:val="both"/>
        <w:rPr>
          <w:b w:val="0"/>
          <w:bCs w:val="0"/>
        </w:rPr>
      </w:pPr>
      <w:r>
        <w:rPr>
          <w:spacing w:val="3"/>
          <w:w w:val="95"/>
        </w:rPr>
        <w:t>公司董事会、监事会及董事、监事、高级管理人员保证年度报告内容的真</w:t>
      </w:r>
      <w:r>
        <w:rPr>
          <w:w w:val="99"/>
        </w:rPr>
        <w:t> </w:t>
      </w:r>
      <w:r>
        <w:rPr>
          <w:spacing w:val="3"/>
          <w:w w:val="95"/>
        </w:rPr>
        <w:t>实、准确、完整，不存在虚假记载、误导性陈述或重大遗漏，并承担个别和连</w:t>
      </w:r>
      <w:r>
        <w:rPr>
          <w:spacing w:val="23"/>
          <w:w w:val="95"/>
        </w:rPr>
        <w:t> </w:t>
      </w:r>
      <w:r>
        <w:rPr>
          <w:spacing w:val="23"/>
          <w:w w:val="95"/>
        </w:rPr>
      </w:r>
      <w:r>
        <w:rPr/>
        <w:t>带的法律责任。</w:t>
      </w:r>
      <w:r>
        <w:rPr>
          <w:b w:val="0"/>
          <w:bCs w:val="0"/>
        </w:rPr>
      </w:r>
    </w:p>
    <w:p>
      <w:pPr>
        <w:pStyle w:val="Heading2"/>
        <w:spacing w:line="386" w:lineRule="auto" w:before="161"/>
        <w:ind w:right="1134" w:firstLine="562"/>
        <w:jc w:val="both"/>
        <w:rPr>
          <w:b w:val="0"/>
          <w:bCs w:val="0"/>
        </w:rPr>
      </w:pPr>
      <w:r>
        <w:rPr>
          <w:w w:val="95"/>
        </w:rPr>
        <w:t>公司负责人梁萍、主管会计工作负责人廖琨及会计机构负责人</w:t>
      </w:r>
      <w:r>
        <w:rPr>
          <w:rFonts w:ascii="Times New Roman" w:hAnsi="Times New Roman" w:cs="Times New Roman" w:eastAsia="Times New Roman" w:hint="default"/>
          <w:w w:val="95"/>
        </w:rPr>
        <w:t>(</w:t>
      </w:r>
      <w:r>
        <w:rPr>
          <w:w w:val="95"/>
        </w:rPr>
        <w:t>会计主管人</w:t>
      </w:r>
      <w:r>
        <w:rPr>
          <w:w w:val="99"/>
        </w:rPr>
        <w:t> </w:t>
      </w:r>
      <w:r>
        <w:rPr/>
        <w:t>员</w:t>
      </w:r>
      <w:r>
        <w:rPr>
          <w:rFonts w:ascii="Times New Roman" w:hAnsi="Times New Roman" w:cs="Times New Roman" w:eastAsia="Times New Roman" w:hint="default"/>
        </w:rPr>
        <w:t>)</w:t>
      </w:r>
      <w:r>
        <w:rPr/>
        <w:t>吴学林声明：保证年度报告中财务报告的真实、准确、完整。</w:t>
      </w:r>
      <w:r>
        <w:rPr>
          <w:b w:val="0"/>
          <w:bCs w:val="0"/>
        </w:rPr>
      </w:r>
    </w:p>
    <w:p>
      <w:pPr>
        <w:pStyle w:val="Heading2"/>
        <w:spacing w:line="240" w:lineRule="auto" w:before="147"/>
        <w:ind w:left="716" w:right="0"/>
        <w:jc w:val="left"/>
        <w:rPr>
          <w:b w:val="0"/>
          <w:bCs w:val="0"/>
        </w:rPr>
      </w:pPr>
      <w:r>
        <w:rPr/>
        <w:t>所有董事均已出席了审议本报告的董事会会议。</w:t>
      </w:r>
      <w:r>
        <w:rPr>
          <w:b w:val="0"/>
          <w:bCs w:val="0"/>
        </w:rPr>
      </w:r>
    </w:p>
    <w:p>
      <w:pPr>
        <w:spacing w:line="240" w:lineRule="auto" w:before="3"/>
        <w:rPr>
          <w:rFonts w:ascii="宋体" w:hAnsi="宋体" w:cs="宋体" w:eastAsia="宋体" w:hint="default"/>
          <w:b/>
          <w:bCs/>
          <w:sz w:val="27"/>
          <w:szCs w:val="27"/>
        </w:rPr>
      </w:pPr>
    </w:p>
    <w:p>
      <w:pPr>
        <w:pStyle w:val="Heading2"/>
        <w:spacing w:line="400" w:lineRule="auto"/>
        <w:ind w:right="1139" w:firstLine="562"/>
        <w:jc w:val="both"/>
        <w:rPr>
          <w:b w:val="0"/>
          <w:bCs w:val="0"/>
        </w:rPr>
      </w:pPr>
      <w:r>
        <w:rPr>
          <w:rFonts w:ascii="Times New Roman" w:hAnsi="Times New Roman" w:cs="Times New Roman" w:eastAsia="Times New Roman" w:hint="default"/>
          <w:spacing w:val="-2"/>
          <w:w w:val="95"/>
        </w:rPr>
        <w:t>1</w:t>
      </w:r>
      <w:r>
        <w:rPr>
          <w:spacing w:val="-2"/>
          <w:w w:val="95"/>
        </w:rPr>
        <w:t>、宏观经济的不确定性</w:t>
      </w:r>
      <w:r>
        <w:rPr>
          <w:rFonts w:ascii="Times New Roman" w:hAnsi="Times New Roman" w:cs="Times New Roman" w:eastAsia="Times New Roman" w:hint="default"/>
          <w:spacing w:val="-2"/>
          <w:w w:val="95"/>
        </w:rPr>
        <w:t>——</w:t>
      </w:r>
      <w:r>
        <w:rPr>
          <w:spacing w:val="-2"/>
          <w:w w:val="95"/>
        </w:rPr>
        <w:t>国际经济贸易环境动荡不安，国内经济因供给</w:t>
      </w:r>
      <w:r>
        <w:rPr>
          <w:w w:val="99"/>
        </w:rPr>
        <w:t> </w:t>
      </w:r>
      <w:r>
        <w:rPr>
          <w:spacing w:val="3"/>
          <w:w w:val="95"/>
        </w:rPr>
        <w:t>侧改革的深入及去杠杆措施的施行，使得市场环境日益严峻，公司主要产品的</w:t>
      </w:r>
      <w:r>
        <w:rPr>
          <w:spacing w:val="23"/>
          <w:w w:val="95"/>
        </w:rPr>
        <w:t> </w:t>
      </w:r>
      <w:r>
        <w:rPr>
          <w:spacing w:val="23"/>
          <w:w w:val="95"/>
        </w:rPr>
      </w:r>
      <w:r>
        <w:rPr>
          <w:spacing w:val="3"/>
          <w:w w:val="95"/>
        </w:rPr>
        <w:t>下游行业景气度下降，客户抵御经济周期波动的能力较弱，故公司业务存在着</w:t>
      </w:r>
      <w:r>
        <w:rPr>
          <w:spacing w:val="23"/>
          <w:w w:val="95"/>
        </w:rPr>
        <w:t> </w:t>
      </w:r>
      <w:r>
        <w:rPr>
          <w:spacing w:val="23"/>
          <w:w w:val="95"/>
        </w:rPr>
      </w:r>
      <w:r>
        <w:rPr/>
        <w:t>订单下降、退货的风险以及新业务投入风险。</w:t>
      </w:r>
      <w:r>
        <w:rPr>
          <w:b w:val="0"/>
          <w:bCs w:val="0"/>
        </w:rPr>
      </w:r>
    </w:p>
    <w:p>
      <w:pPr>
        <w:pStyle w:val="Heading2"/>
        <w:spacing w:line="400" w:lineRule="auto" w:before="169"/>
        <w:ind w:right="1137" w:firstLine="562"/>
        <w:jc w:val="both"/>
        <w:rPr>
          <w:b w:val="0"/>
          <w:bCs w:val="0"/>
        </w:rPr>
      </w:pPr>
      <w:r>
        <w:rPr>
          <w:rFonts w:ascii="Times New Roman" w:hAnsi="Times New Roman" w:cs="Times New Roman" w:eastAsia="Times New Roman" w:hint="default"/>
          <w:spacing w:val="-2"/>
        </w:rPr>
        <w:t>2</w:t>
      </w:r>
      <w:r>
        <w:rPr>
          <w:spacing w:val="-2"/>
        </w:rPr>
        <w:t>、高端数字激光装备制造业务进展的不确定性</w:t>
      </w:r>
      <w:r>
        <w:rPr>
          <w:rFonts w:ascii="Times New Roman" w:hAnsi="Times New Roman" w:cs="Times New Roman" w:eastAsia="Times New Roman" w:hint="default"/>
          <w:spacing w:val="-2"/>
        </w:rPr>
        <w:t>——</w:t>
      </w:r>
      <w:r>
        <w:rPr>
          <w:spacing w:val="-2"/>
        </w:rPr>
        <w:t>为应对国际贸易环境变</w:t>
      </w:r>
      <w:r>
        <w:rPr>
          <w:w w:val="99"/>
        </w:rPr>
        <w:t> </w:t>
      </w:r>
      <w:r>
        <w:rPr>
          <w:spacing w:val="3"/>
          <w:w w:val="95"/>
        </w:rPr>
        <w:t>化、为满足客户对产业提档升级的需求，公司一方面调整销售策略，一方面继</w:t>
      </w:r>
      <w:r>
        <w:rPr>
          <w:spacing w:val="23"/>
          <w:w w:val="95"/>
        </w:rPr>
        <w:t> </w:t>
      </w:r>
      <w:r>
        <w:rPr>
          <w:spacing w:val="23"/>
          <w:w w:val="95"/>
        </w:rPr>
      </w:r>
      <w:r>
        <w:rPr>
          <w:spacing w:val="3"/>
          <w:w w:val="95"/>
        </w:rPr>
        <w:t>续加大激光产品的研发力度，通过创新、智能、定制满足市场需求，但由于市</w:t>
      </w:r>
      <w:r>
        <w:rPr>
          <w:spacing w:val="23"/>
          <w:w w:val="95"/>
        </w:rPr>
        <w:t> </w:t>
      </w:r>
      <w:r>
        <w:rPr>
          <w:spacing w:val="23"/>
          <w:w w:val="95"/>
        </w:rPr>
      </w:r>
      <w:r>
        <w:rPr/>
        <w:t>场不确定性的存在，可能出现意外情况或进展不如计划理想等情况。</w:t>
      </w:r>
      <w:r>
        <w:rPr>
          <w:b w:val="0"/>
          <w:bCs w:val="0"/>
        </w:rPr>
      </w:r>
    </w:p>
    <w:p>
      <w:pPr>
        <w:pStyle w:val="Heading2"/>
        <w:spacing w:line="391" w:lineRule="auto" w:before="168"/>
        <w:ind w:right="1130" w:firstLine="562"/>
        <w:jc w:val="both"/>
        <w:rPr>
          <w:b w:val="0"/>
          <w:bCs w:val="0"/>
        </w:rPr>
      </w:pPr>
      <w:r>
        <w:rPr>
          <w:rFonts w:ascii="Times New Roman" w:hAnsi="Times New Roman" w:cs="Times New Roman" w:eastAsia="Times New Roman" w:hint="default"/>
          <w:spacing w:val="-2"/>
        </w:rPr>
        <w:t>3</w:t>
      </w:r>
      <w:r>
        <w:rPr>
          <w:spacing w:val="-2"/>
        </w:rPr>
        <w:t>、三维数字技术商业化应用业务存在的不确定性</w:t>
      </w:r>
      <w:r>
        <w:rPr>
          <w:rFonts w:ascii="Times New Roman" w:hAnsi="Times New Roman" w:cs="Times New Roman" w:eastAsia="Times New Roman" w:hint="default"/>
          <w:spacing w:val="-2"/>
        </w:rPr>
        <w:t>——</w:t>
      </w:r>
      <w:r>
        <w:rPr>
          <w:spacing w:val="-2"/>
        </w:rPr>
        <w:t>通过智能零售终端应</w:t>
      </w:r>
      <w:r>
        <w:rPr>
          <w:w w:val="99"/>
        </w:rPr>
        <w:t> </w:t>
      </w:r>
      <w:r>
        <w:rPr>
          <w:spacing w:val="-3"/>
        </w:rPr>
        <w:t>用（以制造集多项数字技术的智能无人零售终端为切入点，同时提供</w:t>
      </w:r>
      <w:r>
        <w:rPr>
          <w:spacing w:val="-74"/>
        </w:rPr>
        <w:t> </w:t>
      </w:r>
      <w:r>
        <w:rPr>
          <w:rFonts w:ascii="Times New Roman" w:hAnsi="Times New Roman" w:cs="Times New Roman" w:eastAsia="Times New Roman" w:hint="default"/>
        </w:rPr>
        <w:t>SaaS</w:t>
      </w:r>
      <w:r>
        <w:rPr>
          <w:rFonts w:ascii="Times New Roman" w:hAnsi="Times New Roman" w:cs="Times New Roman" w:eastAsia="Times New Roman" w:hint="default"/>
          <w:spacing w:val="-12"/>
        </w:rPr>
        <w:t> </w:t>
      </w:r>
      <w:r>
        <w:rPr/>
        <w:t>软件</w:t>
      </w:r>
      <w:r>
        <w:rPr>
          <w:spacing w:val="1"/>
          <w:w w:val="99"/>
        </w:rPr>
        <w:t> </w:t>
      </w:r>
      <w:r>
        <w:rPr>
          <w:spacing w:val="-5"/>
        </w:rPr>
        <w:t>服务）聚焦在</w:t>
      </w:r>
      <w:r>
        <w:rPr>
          <w:spacing w:val="-94"/>
        </w:rPr>
        <w:t> </w:t>
      </w:r>
      <w:r>
        <w:rPr>
          <w:rFonts w:ascii="Times New Roman" w:hAnsi="Times New Roman" w:cs="Times New Roman" w:eastAsia="Times New Roman" w:hint="default"/>
        </w:rPr>
        <w:t>IP</w:t>
      </w:r>
      <w:r>
        <w:rPr>
          <w:rFonts w:ascii="Times New Roman" w:hAnsi="Times New Roman" w:cs="Times New Roman" w:eastAsia="Times New Roman" w:hint="default"/>
          <w:spacing w:val="-25"/>
        </w:rPr>
        <w:t> </w:t>
      </w:r>
      <w:r>
        <w:rPr/>
        <w:t>及衍生品推广和销售领域，该业务的下游用户目前主要为关联</w:t>
      </w:r>
      <w:r>
        <w:rPr>
          <w:w w:val="99"/>
        </w:rPr>
        <w:t> </w:t>
      </w:r>
      <w:r>
        <w:rPr>
          <w:spacing w:val="3"/>
          <w:w w:val="95"/>
        </w:rPr>
        <w:t>公司，则业务的市场拓展能力有一定不确定性，且未来发展多个用户尚需成功</w:t>
      </w:r>
      <w:r>
        <w:rPr>
          <w:spacing w:val="23"/>
          <w:w w:val="95"/>
        </w:rPr>
        <w:t> </w:t>
      </w:r>
      <w:r>
        <w:rPr>
          <w:spacing w:val="23"/>
          <w:w w:val="95"/>
        </w:rPr>
      </w:r>
      <w:r>
        <w:rPr>
          <w:spacing w:val="3"/>
          <w:w w:val="95"/>
        </w:rPr>
        <w:t>案例示范和推广时间。对此，公司主要采取谨慎的态度，密切关注外部环境的</w:t>
      </w:r>
      <w:r>
        <w:rPr>
          <w:b w:val="0"/>
          <w:bCs w:val="0"/>
          <w:spacing w:val="3"/>
        </w:rPr>
      </w:r>
    </w:p>
    <w:p>
      <w:pPr>
        <w:spacing w:after="0" w:line="391" w:lineRule="auto"/>
        <w:jc w:val="both"/>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pStyle w:val="Heading2"/>
        <w:spacing w:line="410" w:lineRule="auto" w:before="13"/>
        <w:ind w:right="0"/>
        <w:jc w:val="left"/>
        <w:rPr>
          <w:b w:val="0"/>
          <w:bCs w:val="0"/>
        </w:rPr>
      </w:pPr>
      <w:r>
        <w:rPr>
          <w:spacing w:val="3"/>
          <w:w w:val="95"/>
        </w:rPr>
        <w:t>变化，结合自身实际情况，建立风险识别、分析和评估体系，提高应急水平，</w:t>
      </w:r>
      <w:r>
        <w:rPr>
          <w:spacing w:val="23"/>
          <w:w w:val="95"/>
        </w:rPr>
        <w:t> </w:t>
      </w:r>
      <w:r>
        <w:rPr>
          <w:spacing w:val="23"/>
          <w:w w:val="95"/>
        </w:rPr>
      </w:r>
      <w:r>
        <w:rPr/>
        <w:t>增强抗风险能力，最大限度地控制风险。</w:t>
      </w:r>
      <w:r>
        <w:rPr>
          <w:b w:val="0"/>
          <w:bCs w:val="0"/>
        </w:rPr>
      </w:r>
    </w:p>
    <w:p>
      <w:pPr>
        <w:pStyle w:val="Heading2"/>
        <w:spacing w:line="240" w:lineRule="auto" w:before="157"/>
        <w:ind w:left="716" w:right="0"/>
        <w:jc w:val="left"/>
        <w:rPr>
          <w:b w:val="0"/>
          <w:bCs w:val="0"/>
        </w:rPr>
      </w:pPr>
      <w:r>
        <w:rPr/>
        <w:t>公司经本次董事会审议通过的利润分配预案为：以</w:t>
      </w:r>
      <w:r>
        <w:rPr>
          <w:spacing w:val="-80"/>
        </w:rPr>
        <w:t> </w:t>
      </w:r>
      <w:r>
        <w:rPr>
          <w:rFonts w:ascii="Times New Roman" w:hAnsi="Times New Roman" w:cs="Times New Roman" w:eastAsia="Times New Roman" w:hint="default"/>
        </w:rPr>
        <w:t>126,000,000</w:t>
      </w:r>
      <w:r>
        <w:rPr>
          <w:rFonts w:ascii="Times New Roman" w:hAnsi="Times New Roman" w:cs="Times New Roman" w:eastAsia="Times New Roman" w:hint="default"/>
          <w:spacing w:val="-15"/>
        </w:rPr>
        <w:t> </w:t>
      </w:r>
      <w:r>
        <w:rPr/>
        <w:t>股为基数，</w:t>
      </w:r>
      <w:r>
        <w:rPr>
          <w:b w:val="0"/>
          <w:bCs w:val="0"/>
        </w:rPr>
      </w:r>
    </w:p>
    <w:p>
      <w:pPr>
        <w:pStyle w:val="Heading2"/>
        <w:spacing w:line="240" w:lineRule="auto" w:before="236"/>
        <w:ind w:right="0"/>
        <w:jc w:val="left"/>
        <w:rPr>
          <w:b w:val="0"/>
          <w:bCs w:val="0"/>
        </w:rPr>
      </w:pPr>
      <w:r>
        <w:rPr>
          <w:w w:val="99"/>
        </w:rPr>
        <w:t>向全体</w:t>
      </w:r>
      <w:r>
        <w:rPr>
          <w:spacing w:val="2"/>
          <w:w w:val="99"/>
        </w:rPr>
        <w:t>股</w:t>
      </w:r>
      <w:r>
        <w:rPr>
          <w:w w:val="99"/>
        </w:rPr>
        <w:t>东每</w:t>
      </w:r>
      <w:r>
        <w:rPr>
          <w:spacing w:val="-68"/>
        </w:rPr>
        <w:t> </w:t>
      </w:r>
      <w:r>
        <w:rPr>
          <w:rFonts w:ascii="Times New Roman" w:hAnsi="Times New Roman" w:cs="Times New Roman" w:eastAsia="Times New Roman" w:hint="default"/>
          <w:w w:val="99"/>
        </w:rPr>
        <w:t>10</w:t>
      </w:r>
      <w:r>
        <w:rPr>
          <w:rFonts w:ascii="Times New Roman" w:hAnsi="Times New Roman" w:cs="Times New Roman" w:eastAsia="Times New Roman" w:hint="default"/>
        </w:rPr>
        <w:t> </w:t>
      </w:r>
      <w:r>
        <w:rPr>
          <w:w w:val="99"/>
        </w:rPr>
        <w:t>股派发</w:t>
      </w:r>
      <w:r>
        <w:rPr>
          <w:spacing w:val="2"/>
          <w:w w:val="99"/>
        </w:rPr>
        <w:t>现</w:t>
      </w:r>
      <w:r>
        <w:rPr>
          <w:w w:val="99"/>
        </w:rPr>
        <w:t>金红利</w:t>
      </w:r>
      <w:r>
        <w:rPr>
          <w:spacing w:val="-67"/>
        </w:rPr>
        <w:t> </w:t>
      </w:r>
      <w:r>
        <w:rPr>
          <w:rFonts w:ascii="Times New Roman" w:hAnsi="Times New Roman" w:cs="Times New Roman" w:eastAsia="Times New Roman" w:hint="default"/>
          <w:w w:val="99"/>
        </w:rPr>
        <w:t>0.06</w:t>
      </w:r>
      <w:r>
        <w:rPr>
          <w:rFonts w:ascii="Times New Roman" w:hAnsi="Times New Roman" w:cs="Times New Roman" w:eastAsia="Times New Roman" w:hint="default"/>
          <w:spacing w:val="1"/>
        </w:rPr>
        <w:t> </w:t>
      </w:r>
      <w:r>
        <w:rPr>
          <w:spacing w:val="-30"/>
          <w:w w:val="99"/>
        </w:rPr>
        <w:t>元</w:t>
      </w:r>
      <w:r>
        <w:rPr>
          <w:w w:val="99"/>
        </w:rPr>
        <w:t>（含税</w:t>
      </w:r>
      <w:r>
        <w:rPr>
          <w:spacing w:val="-140"/>
          <w:w w:val="99"/>
        </w:rPr>
        <w:t>）</w:t>
      </w:r>
      <w:r>
        <w:rPr>
          <w:spacing w:val="-30"/>
          <w:w w:val="99"/>
        </w:rPr>
        <w:t>，</w:t>
      </w:r>
      <w:r>
        <w:rPr>
          <w:w w:val="99"/>
        </w:rPr>
        <w:t>送红股</w:t>
      </w:r>
      <w:r>
        <w:rPr>
          <w:spacing w:val="-68"/>
        </w:rPr>
        <w:t> </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32"/>
          <w:w w:val="99"/>
        </w:rPr>
        <w:t>股</w:t>
      </w:r>
      <w:r>
        <w:rPr>
          <w:w w:val="99"/>
        </w:rPr>
        <w:t>（含税</w:t>
      </w:r>
      <w:r>
        <w:rPr>
          <w:spacing w:val="-140"/>
          <w:w w:val="99"/>
        </w:rPr>
        <w:t>）</w:t>
      </w:r>
      <w:r>
        <w:rPr>
          <w:spacing w:val="-30"/>
          <w:w w:val="99"/>
        </w:rPr>
        <w:t>，</w:t>
      </w:r>
      <w:r>
        <w:rPr>
          <w:w w:val="99"/>
        </w:rPr>
        <w:t>以</w:t>
      </w:r>
      <w:r>
        <w:rPr>
          <w:spacing w:val="2"/>
          <w:w w:val="99"/>
        </w:rPr>
        <w:t>资</w:t>
      </w:r>
      <w:r>
        <w:rPr>
          <w:w w:val="99"/>
        </w:rPr>
        <w:t>本</w:t>
      </w:r>
      <w:r>
        <w:rPr>
          <w:b w:val="0"/>
          <w:bCs w:val="0"/>
        </w:rPr>
      </w:r>
    </w:p>
    <w:p>
      <w:pPr>
        <w:pStyle w:val="Heading2"/>
        <w:spacing w:line="240" w:lineRule="auto" w:before="237"/>
        <w:ind w:right="0"/>
        <w:jc w:val="left"/>
        <w:rPr>
          <w:b w:val="0"/>
          <w:bCs w:val="0"/>
        </w:rPr>
      </w:pPr>
      <w:r>
        <w:rPr/>
        <w:t>公积金向全体股东每</w:t>
      </w:r>
      <w:r>
        <w:rPr>
          <w:spacing w:val="-72"/>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7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股。</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2786"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148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786"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19"/>
          <w:szCs w:val="19"/>
        </w:rPr>
      </w:pPr>
    </w:p>
    <w:p>
      <w:pPr>
        <w:pStyle w:val="BodyText"/>
        <w:spacing w:line="240" w:lineRule="auto"/>
        <w:ind w:left="0" w:right="1140"/>
        <w:jc w:val="right"/>
      </w:pPr>
      <w:r>
        <w:rPr/>
        <w:pict>
          <v:shape style="position:absolute;margin-left:57.149994pt;margin-top:-134.748306pt;width:477.85pt;height:399.8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3"/>
                    <w:gridCol w:w="827"/>
                    <w:gridCol w:w="6732"/>
                  </w:tblGrid>
                  <w:tr>
                    <w:trPr>
                      <w:trHeight w:val="402" w:hRule="exact"/>
                    </w:trPr>
                    <w:tc>
                      <w:tcPr>
                        <w:tcW w:w="19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1983"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金运激光</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p>
                    </w:tc>
                  </w:tr>
                  <w:tr>
                    <w:trPr>
                      <w:trHeight w:val="402" w:hRule="exact"/>
                    </w:trPr>
                    <w:tc>
                      <w:tcPr>
                        <w:tcW w:w="1983"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梁伟</w:t>
                        </w:r>
                      </w:p>
                    </w:tc>
                  </w:tr>
                  <w:tr>
                    <w:trPr>
                      <w:trHeight w:val="402" w:hRule="exact"/>
                    </w:trPr>
                    <w:tc>
                      <w:tcPr>
                        <w:tcW w:w="1983" w:type="dxa"/>
                        <w:tcBorders>
                          <w:top w:val="single" w:sz="4" w:space="0" w:color="000000"/>
                          <w:left w:val="nil" w:sz="6" w:space="0" w:color="auto"/>
                          <w:bottom w:val="single" w:sz="4" w:space="0" w:color="000000"/>
                          <w:right w:val="single" w:sz="13" w:space="0" w:color="D2D2D2"/>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《武汉金运激光股份有限公司章程》</w:t>
                        </w:r>
                      </w:p>
                    </w:tc>
                  </w:tr>
                  <w:tr>
                    <w:trPr>
                      <w:trHeight w:val="317" w:hRule="exact"/>
                    </w:trPr>
                    <w:tc>
                      <w:tcPr>
                        <w:tcW w:w="1983"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 w:right="0"/>
                          <w:jc w:val="left"/>
                          <w:rPr>
                            <w:rFonts w:ascii="宋体" w:hAnsi="宋体" w:cs="宋体" w:eastAsia="宋体" w:hint="default"/>
                            <w:sz w:val="18"/>
                            <w:szCs w:val="18"/>
                          </w:rPr>
                        </w:pPr>
                        <w:r>
                          <w:rPr>
                            <w:rFonts w:ascii="宋体" w:hAnsi="宋体" w:cs="宋体" w:eastAsia="宋体" w:hint="default"/>
                            <w:sz w:val="18"/>
                            <w:szCs w:val="18"/>
                          </w:rPr>
                          <w:t>激光切割</w:t>
                        </w: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32" w:type="dxa"/>
                        <w:vMerge w:val="restart"/>
                        <w:tcBorders>
                          <w:top w:val="single" w:sz="4" w:space="0" w:color="000000"/>
                          <w:left w:val="single" w:sz="9" w:space="0" w:color="D2D2D2"/>
                          <w:right w:val="nil" w:sz="6" w:space="0" w:color="auto"/>
                        </w:tcBorders>
                      </w:tcPr>
                      <w:p>
                        <w:pPr>
                          <w:pStyle w:val="TableParagraph"/>
                          <w:spacing w:line="316" w:lineRule="auto" w:before="51"/>
                          <w:ind w:left="28" w:right="30"/>
                          <w:jc w:val="both"/>
                          <w:rPr>
                            <w:rFonts w:ascii="宋体" w:hAnsi="宋体" w:cs="宋体" w:eastAsia="宋体" w:hint="default"/>
                            <w:sz w:val="18"/>
                            <w:szCs w:val="18"/>
                          </w:rPr>
                        </w:pPr>
                        <w:r>
                          <w:rPr>
                            <w:rFonts w:ascii="宋体" w:hAnsi="宋体" w:cs="宋体" w:eastAsia="宋体" w:hint="default"/>
                            <w:sz w:val="18"/>
                            <w:szCs w:val="18"/>
                          </w:rPr>
                          <w:t>激光切割是指将高功率密度的激光束聚焦后照射到被切割工件上，在极短时间内将材 料加热到极高温度，使材料熔化或气化，再用高压气体将熔化或气化物质从切缝中吹 走，以达到切割材料目的的一种激光加工方式。</w:t>
                        </w:r>
                      </w:p>
                    </w:tc>
                  </w:tr>
                  <w:tr>
                    <w:trPr>
                      <w:trHeight w:val="392" w:hRule="exact"/>
                    </w:trPr>
                    <w:tc>
                      <w:tcPr>
                        <w:tcW w:w="1983" w:type="dxa"/>
                        <w:vMerge/>
                        <w:tcBorders>
                          <w:left w:val="nil" w:sz="6" w:space="0" w:color="auto"/>
                          <w:right w:val="single" w:sz="9" w:space="0" w:color="D2D2D2"/>
                        </w:tcBorders>
                      </w:tcPr>
                      <w:p>
                        <w:pPr/>
                      </w:p>
                    </w:tc>
                    <w:tc>
                      <w:tcPr>
                        <w:tcW w:w="8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2" w:type="dxa"/>
                        <w:vMerge/>
                        <w:tcBorders>
                          <w:left w:val="single" w:sz="9" w:space="0" w:color="D2D2D2"/>
                          <w:right w:val="nil" w:sz="6" w:space="0" w:color="auto"/>
                        </w:tcBorders>
                      </w:tcPr>
                      <w:p>
                        <w:pPr/>
                      </w:p>
                    </w:tc>
                  </w:tr>
                  <w:tr>
                    <w:trPr>
                      <w:trHeight w:val="317" w:hRule="exact"/>
                    </w:trPr>
                    <w:tc>
                      <w:tcPr>
                        <w:tcW w:w="1983" w:type="dxa"/>
                        <w:vMerge/>
                        <w:tcBorders>
                          <w:left w:val="nil" w:sz="6" w:space="0" w:color="auto"/>
                          <w:bottom w:val="single" w:sz="4" w:space="0" w:color="000000"/>
                          <w:right w:val="single" w:sz="9" w:space="0" w:color="D2D2D2"/>
                        </w:tcBorders>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32" w:type="dxa"/>
                        <w:vMerge/>
                        <w:tcBorders>
                          <w:left w:val="single" w:sz="9" w:space="0" w:color="D2D2D2"/>
                          <w:bottom w:val="single" w:sz="4" w:space="0" w:color="000000"/>
                          <w:right w:val="nil" w:sz="6" w:space="0" w:color="auto"/>
                        </w:tcBorders>
                      </w:tcPr>
                      <w:p>
                        <w:pPr/>
                      </w:p>
                    </w:tc>
                  </w:tr>
                  <w:tr>
                    <w:trPr>
                      <w:trHeight w:val="629" w:hRule="exact"/>
                    </w:trPr>
                    <w:tc>
                      <w:tcPr>
                        <w:tcW w:w="1983"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w:t>
                        </w: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32" w:type="dxa"/>
                        <w:vMerge w:val="restart"/>
                        <w:tcBorders>
                          <w:top w:val="single" w:sz="4" w:space="0" w:color="000000"/>
                          <w:left w:val="single" w:sz="9" w:space="0" w:color="D2D2D2"/>
                          <w:right w:val="nil" w:sz="6" w:space="0" w:color="auto"/>
                        </w:tcBorders>
                      </w:tcPr>
                      <w:p>
                        <w:pPr>
                          <w:pStyle w:val="TableParagraph"/>
                          <w:spacing w:line="304" w:lineRule="auto" w:before="51"/>
                          <w:ind w:left="28" w:right="3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3D</w:t>
                        </w:r>
                        <w:r>
                          <w:rPr>
                            <w:rFonts w:ascii="Times New Roman" w:hAnsi="Times New Roman" w:cs="Times New Roman" w:eastAsia="Times New Roman" w:hint="default"/>
                            <w:spacing w:val="-7"/>
                            <w:w w:val="99"/>
                            <w:sz w:val="18"/>
                            <w:szCs w:val="18"/>
                          </w:rPr>
                          <w:t> </w:t>
                        </w:r>
                        <w:r>
                          <w:rPr>
                            <w:rFonts w:ascii="宋体" w:hAnsi="宋体" w:cs="宋体" w:eastAsia="宋体" w:hint="default"/>
                            <w:spacing w:val="-13"/>
                            <w:w w:val="99"/>
                            <w:sz w:val="18"/>
                            <w:szCs w:val="18"/>
                          </w:rPr>
                          <w:t>打印技术亦被称为</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增材制造（</w:t>
                        </w:r>
                        <w:r>
                          <w:rPr>
                            <w:rFonts w:ascii="Times New Roman" w:hAnsi="Times New Roman" w:cs="Times New Roman" w:eastAsia="Times New Roman" w:hint="default"/>
                            <w:spacing w:val="-13"/>
                            <w:w w:val="99"/>
                            <w:sz w:val="18"/>
                            <w:szCs w:val="18"/>
                          </w:rPr>
                          <w:t>"</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z w:val="18"/>
                            <w:szCs w:val="18"/>
                          </w:rPr>
                          <w:t>Additive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1"/>
                            <w:w w:val="99"/>
                            <w:sz w:val="18"/>
                            <w:szCs w:val="18"/>
                          </w:rPr>
                          <w:t>Manufacturing),</w:t>
                        </w:r>
                        <w:r>
                          <w:rPr>
                            <w:rFonts w:ascii="Times New Roman" w:hAnsi="Times New Roman" w:cs="Times New Roman" w:eastAsia="Times New Roman" w:hint="default"/>
                            <w:spacing w:val="6"/>
                            <w:w w:val="99"/>
                            <w:sz w:val="18"/>
                            <w:szCs w:val="18"/>
                          </w:rPr>
                          <w:t> </w:t>
                        </w:r>
                        <w:r>
                          <w:rPr>
                            <w:rFonts w:ascii="宋体" w:hAnsi="宋体" w:cs="宋体" w:eastAsia="宋体" w:hint="default"/>
                            <w:w w:val="99"/>
                            <w:sz w:val="18"/>
                            <w:szCs w:val="18"/>
                          </w:rPr>
                          <w:t>是在现代</w:t>
                        </w:r>
                        <w:r>
                          <w:rPr>
                            <w:rFonts w:ascii="宋体" w:hAnsi="宋体" w:cs="宋体" w:eastAsia="宋体" w:hint="default"/>
                            <w:spacing w:val="-51"/>
                            <w:w w:val="99"/>
                            <w:sz w:val="18"/>
                            <w:szCs w:val="18"/>
                          </w:rPr>
                          <w:t> </w:t>
                        </w:r>
                        <w:r>
                          <w:rPr>
                            <w:rFonts w:ascii="Times New Roman" w:hAnsi="Times New Roman" w:cs="Times New Roman" w:eastAsia="Times New Roman" w:hint="default"/>
                            <w:spacing w:val="-1"/>
                            <w:w w:val="99"/>
                            <w:sz w:val="18"/>
                            <w:szCs w:val="18"/>
                          </w:rPr>
                          <w:t>CAD/CAM</w:t>
                        </w:r>
                        <w:r>
                          <w:rPr>
                            <w:rFonts w:ascii="Times New Roman" w:hAnsi="Times New Roman" w:cs="Times New Roman" w:eastAsia="Times New Roman" w:hint="default"/>
                            <w:spacing w:val="-7"/>
                            <w:w w:val="99"/>
                            <w:sz w:val="18"/>
                            <w:szCs w:val="18"/>
                          </w:rPr>
                          <w:t> </w:t>
                        </w:r>
                        <w:r>
                          <w:rPr>
                            <w:rFonts w:ascii="宋体" w:hAnsi="宋体" w:cs="宋体" w:eastAsia="宋体" w:hint="default"/>
                            <w:sz w:val="18"/>
                            <w:szCs w:val="18"/>
                          </w:rPr>
                          <w:t>技术</w:t>
                        </w:r>
                        <w:r>
                          <w:rPr>
                            <w:rFonts w:ascii="宋体" w:hAnsi="宋体" w:cs="宋体" w:eastAsia="宋体" w:hint="default"/>
                            <w:spacing w:val="-84"/>
                            <w:sz w:val="18"/>
                            <w:szCs w:val="18"/>
                          </w:rPr>
                          <w:t> </w:t>
                        </w:r>
                        <w:r>
                          <w:rPr>
                            <w:rFonts w:ascii="宋体" w:hAnsi="宋体" w:cs="宋体" w:eastAsia="宋体" w:hint="default"/>
                            <w:sz w:val="18"/>
                            <w:szCs w:val="18"/>
                          </w:rPr>
                          <w:t>激光技术、计算机数控技术、精密伺服驱动技术以及新材料等技术的基础上集成发展 起来的一项数字化制造技术，其采用</w:t>
                        </w:r>
                        <w:r>
                          <w:rPr>
                            <w:rFonts w:ascii="Times New Roman" w:hAnsi="Times New Roman" w:cs="Times New Roman" w:eastAsia="Times New Roman" w:hint="default"/>
                            <w:sz w:val="18"/>
                            <w:szCs w:val="18"/>
                          </w:rPr>
                          <w:t>"</w:t>
                        </w:r>
                        <w:r>
                          <w:rPr>
                            <w:rFonts w:ascii="宋体" w:hAnsi="宋体" w:cs="宋体" w:eastAsia="宋体" w:hint="default"/>
                            <w:sz w:val="18"/>
                            <w:szCs w:val="18"/>
                          </w:rPr>
                          <w:t>分层制造，逐层叠加</w:t>
                        </w:r>
                        <w:r>
                          <w:rPr>
                            <w:rFonts w:ascii="Times New Roman" w:hAnsi="Times New Roman" w:cs="Times New Roman" w:eastAsia="Times New Roman" w:hint="default"/>
                            <w:sz w:val="18"/>
                            <w:szCs w:val="18"/>
                          </w:rPr>
                          <w:t>"</w:t>
                        </w:r>
                        <w:r>
                          <w:rPr>
                            <w:rFonts w:ascii="宋体" w:hAnsi="宋体" w:cs="宋体" w:eastAsia="宋体" w:hint="default"/>
                            <w:sz w:val="18"/>
                            <w:szCs w:val="18"/>
                          </w:rPr>
                          <w:t>的原理直接将设计模型转 化为三维实体，由传统制造的</w:t>
                        </w:r>
                        <w:r>
                          <w:rPr>
                            <w:rFonts w:ascii="Times New Roman" w:hAnsi="Times New Roman" w:cs="Times New Roman" w:eastAsia="Times New Roman" w:hint="default"/>
                            <w:sz w:val="18"/>
                            <w:szCs w:val="18"/>
                          </w:rPr>
                          <w:t>"</w:t>
                        </w:r>
                        <w:r>
                          <w:rPr>
                            <w:rFonts w:ascii="宋体" w:hAnsi="宋体" w:cs="宋体" w:eastAsia="宋体" w:hint="default"/>
                            <w:sz w:val="18"/>
                            <w:szCs w:val="18"/>
                          </w:rPr>
                          <w:t>去除法</w:t>
                        </w:r>
                        <w:r>
                          <w:rPr>
                            <w:rFonts w:ascii="Times New Roman" w:hAnsi="Times New Roman" w:cs="Times New Roman" w:eastAsia="Times New Roman" w:hint="default"/>
                            <w:sz w:val="18"/>
                            <w:szCs w:val="18"/>
                          </w:rPr>
                          <w:t>"</w:t>
                        </w:r>
                        <w:r>
                          <w:rPr>
                            <w:rFonts w:ascii="宋体" w:hAnsi="宋体" w:cs="宋体" w:eastAsia="宋体" w:hint="default"/>
                            <w:sz w:val="18"/>
                            <w:szCs w:val="18"/>
                          </w:rPr>
                          <w:t>转变为</w:t>
                        </w:r>
                        <w:r>
                          <w:rPr>
                            <w:rFonts w:ascii="Times New Roman" w:hAnsi="Times New Roman" w:cs="Times New Roman" w:eastAsia="Times New Roman" w:hint="default"/>
                            <w:sz w:val="18"/>
                            <w:szCs w:val="18"/>
                          </w:rPr>
                          <w:t>"</w:t>
                        </w:r>
                        <w:r>
                          <w:rPr>
                            <w:rFonts w:ascii="宋体" w:hAnsi="宋体" w:cs="宋体" w:eastAsia="宋体" w:hint="default"/>
                            <w:sz w:val="18"/>
                            <w:szCs w:val="18"/>
                          </w:rPr>
                          <w:t>增长法</w:t>
                        </w:r>
                        <w:r>
                          <w:rPr>
                            <w:rFonts w:ascii="Times New Roman" w:hAnsi="Times New Roman" w:cs="Times New Roman" w:eastAsia="Times New Roman" w:hint="default"/>
                            <w:sz w:val="18"/>
                            <w:szCs w:val="18"/>
                          </w:rPr>
                          <w:t>"</w:t>
                        </w:r>
                        <w:r>
                          <w:rPr>
                            <w:rFonts w:ascii="宋体" w:hAnsi="宋体" w:cs="宋体" w:eastAsia="宋体" w:hint="default"/>
                            <w:sz w:val="18"/>
                            <w:szCs w:val="18"/>
                          </w:rPr>
                          <w:t>，使产品设计、制造的周期大 大缩短，产品开发的成本大大降低，给制造业带来了颠覆性的变化。</w:t>
                        </w:r>
                      </w:p>
                    </w:tc>
                  </w:tr>
                  <w:tr>
                    <w:trPr>
                      <w:trHeight w:val="392" w:hRule="exact"/>
                    </w:trPr>
                    <w:tc>
                      <w:tcPr>
                        <w:tcW w:w="1983" w:type="dxa"/>
                        <w:vMerge/>
                        <w:tcBorders>
                          <w:left w:val="nil" w:sz="6" w:space="0" w:color="auto"/>
                          <w:right w:val="single" w:sz="9" w:space="0" w:color="D2D2D2"/>
                        </w:tcBorders>
                      </w:tcPr>
                      <w:p>
                        <w:pPr/>
                      </w:p>
                    </w:tc>
                    <w:tc>
                      <w:tcPr>
                        <w:tcW w:w="8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2" w:type="dxa"/>
                        <w:vMerge/>
                        <w:tcBorders>
                          <w:left w:val="single" w:sz="9" w:space="0" w:color="D2D2D2"/>
                          <w:right w:val="nil" w:sz="6" w:space="0" w:color="auto"/>
                        </w:tcBorders>
                      </w:tcPr>
                      <w:p>
                        <w:pPr/>
                      </w:p>
                    </w:tc>
                  </w:tr>
                  <w:tr>
                    <w:trPr>
                      <w:trHeight w:val="629" w:hRule="exact"/>
                    </w:trPr>
                    <w:tc>
                      <w:tcPr>
                        <w:tcW w:w="1983" w:type="dxa"/>
                        <w:vMerge/>
                        <w:tcBorders>
                          <w:left w:val="nil" w:sz="6" w:space="0" w:color="auto"/>
                          <w:bottom w:val="single" w:sz="4" w:space="0" w:color="000000"/>
                          <w:right w:val="single" w:sz="9" w:space="0" w:color="D2D2D2"/>
                        </w:tcBorders>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32" w:type="dxa"/>
                        <w:vMerge/>
                        <w:tcBorders>
                          <w:left w:val="single" w:sz="9" w:space="0" w:color="D2D2D2"/>
                          <w:bottom w:val="single" w:sz="4" w:space="0" w:color="000000"/>
                          <w:right w:val="nil" w:sz="6" w:space="0" w:color="auto"/>
                        </w:tcBorders>
                      </w:tcPr>
                      <w:p>
                        <w:pPr/>
                      </w:p>
                    </w:tc>
                  </w:tr>
                  <w:tr>
                    <w:trPr>
                      <w:trHeight w:val="473" w:hRule="exact"/>
                    </w:trPr>
                    <w:tc>
                      <w:tcPr>
                        <w:tcW w:w="1983"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 w:right="0"/>
                          <w:jc w:val="left"/>
                          <w:rPr>
                            <w:rFonts w:ascii="Times New Roman" w:hAnsi="Times New Roman" w:cs="Times New Roman" w:eastAsia="Times New Roman" w:hint="default"/>
                            <w:sz w:val="18"/>
                            <w:szCs w:val="18"/>
                          </w:rPr>
                        </w:pPr>
                        <w:r>
                          <w:rPr>
                            <w:rFonts w:ascii="Times New Roman"/>
                            <w:sz w:val="18"/>
                          </w:rPr>
                          <w:t>SaaS</w:t>
                        </w: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32" w:type="dxa"/>
                        <w:vMerge w:val="restart"/>
                        <w:tcBorders>
                          <w:top w:val="single" w:sz="4" w:space="0" w:color="000000"/>
                          <w:left w:val="single" w:sz="9" w:space="0" w:color="D2D2D2"/>
                          <w:right w:val="nil" w:sz="6" w:space="0" w:color="auto"/>
                        </w:tcBorders>
                      </w:tcPr>
                      <w:p>
                        <w:pPr>
                          <w:pStyle w:val="TableParagraph"/>
                          <w:spacing w:line="312" w:lineRule="auto" w:before="51"/>
                          <w:ind w:left="28" w:right="3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Software-as-a-Service</w:t>
                        </w:r>
                        <w:r>
                          <w:rPr>
                            <w:rFonts w:ascii="宋体" w:hAnsi="宋体" w:cs="宋体" w:eastAsia="宋体" w:hint="default"/>
                            <w:sz w:val="18"/>
                            <w:szCs w:val="18"/>
                          </w:rPr>
                          <w:t>（软件即服务）的简称，是一种通过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Internet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提供软件的模式</w:t>
                        </w:r>
                        <w:r>
                          <w:rPr>
                            <w:rFonts w:ascii="宋体" w:hAnsi="宋体" w:cs="宋体" w:eastAsia="宋体" w:hint="default"/>
                            <w:w w:val="99"/>
                            <w:sz w:val="18"/>
                            <w:szCs w:val="18"/>
                          </w:rPr>
                          <w:t> </w:t>
                        </w:r>
                        <w:r>
                          <w:rPr>
                            <w:rFonts w:ascii="宋体" w:hAnsi="宋体" w:cs="宋体" w:eastAsia="宋体" w:hint="default"/>
                            <w:sz w:val="18"/>
                            <w:szCs w:val="18"/>
                          </w:rPr>
                          <w:t>厂商将应用软件统一部署在自己的服务器上，客户可以根据自己实际需求，通过互联</w:t>
                        </w:r>
                        <w:r>
                          <w:rPr>
                            <w:rFonts w:ascii="宋体" w:hAnsi="宋体" w:cs="宋体" w:eastAsia="宋体" w:hint="default"/>
                            <w:w w:val="99"/>
                            <w:sz w:val="18"/>
                            <w:szCs w:val="18"/>
                          </w:rPr>
                          <w:t> </w:t>
                        </w:r>
                        <w:r>
                          <w:rPr>
                            <w:rFonts w:ascii="宋体" w:hAnsi="宋体" w:cs="宋体" w:eastAsia="宋体" w:hint="default"/>
                            <w:sz w:val="18"/>
                            <w:szCs w:val="18"/>
                          </w:rPr>
                          <w:t>网向厂商定购所需的应用软件服务，按定购的服务多少和时间长短向厂商支付费用，</w:t>
                        </w:r>
                        <w:r>
                          <w:rPr>
                            <w:rFonts w:ascii="宋体" w:hAnsi="宋体" w:cs="宋体" w:eastAsia="宋体" w:hint="default"/>
                            <w:w w:val="99"/>
                            <w:sz w:val="18"/>
                            <w:szCs w:val="18"/>
                          </w:rPr>
                          <w:t> </w:t>
                        </w:r>
                        <w:r>
                          <w:rPr>
                            <w:rFonts w:ascii="宋体" w:hAnsi="宋体" w:cs="宋体" w:eastAsia="宋体" w:hint="default"/>
                            <w:sz w:val="18"/>
                            <w:szCs w:val="18"/>
                          </w:rPr>
                          <w:t>并通过互联网获得厂商提供的服务。</w:t>
                        </w:r>
                      </w:p>
                    </w:tc>
                  </w:tr>
                  <w:tr>
                    <w:trPr>
                      <w:trHeight w:val="393" w:hRule="exact"/>
                    </w:trPr>
                    <w:tc>
                      <w:tcPr>
                        <w:tcW w:w="1983" w:type="dxa"/>
                        <w:vMerge/>
                        <w:tcBorders>
                          <w:left w:val="nil" w:sz="6" w:space="0" w:color="auto"/>
                          <w:right w:val="single" w:sz="9" w:space="0" w:color="D2D2D2"/>
                        </w:tcBorders>
                      </w:tcPr>
                      <w:p>
                        <w:pPr/>
                      </w:p>
                    </w:tc>
                    <w:tc>
                      <w:tcPr>
                        <w:tcW w:w="8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2" w:type="dxa"/>
                        <w:vMerge/>
                        <w:tcBorders>
                          <w:left w:val="single" w:sz="9" w:space="0" w:color="D2D2D2"/>
                          <w:right w:val="nil" w:sz="6" w:space="0" w:color="auto"/>
                        </w:tcBorders>
                      </w:tcPr>
                      <w:p>
                        <w:pPr/>
                      </w:p>
                    </w:tc>
                  </w:tr>
                  <w:tr>
                    <w:trPr>
                      <w:trHeight w:val="473" w:hRule="exact"/>
                    </w:trPr>
                    <w:tc>
                      <w:tcPr>
                        <w:tcW w:w="1983" w:type="dxa"/>
                        <w:vMerge/>
                        <w:tcBorders>
                          <w:left w:val="nil" w:sz="6" w:space="0" w:color="auto"/>
                          <w:bottom w:val="single" w:sz="4" w:space="0" w:color="000000"/>
                          <w:right w:val="single" w:sz="9" w:space="0" w:color="D2D2D2"/>
                        </w:tcBorders>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32" w:type="dxa"/>
                        <w:vMerge/>
                        <w:tcBorders>
                          <w:left w:val="single" w:sz="9" w:space="0" w:color="D2D2D2"/>
                          <w:bottom w:val="single" w:sz="4" w:space="0" w:color="000000"/>
                          <w:right w:val="nil" w:sz="6" w:space="0" w:color="auto"/>
                        </w:tcBorders>
                      </w:tcPr>
                      <w:p>
                        <w:pPr/>
                      </w:p>
                    </w:tc>
                  </w:tr>
                  <w:tr>
                    <w:trPr>
                      <w:trHeight w:val="161" w:hRule="exact"/>
                    </w:trPr>
                    <w:tc>
                      <w:tcPr>
                        <w:tcW w:w="1983" w:type="dxa"/>
                        <w:vMerge w:val="restart"/>
                        <w:tcBorders>
                          <w:top w:val="single" w:sz="4" w:space="0" w:color="000000"/>
                          <w:left w:val="nil" w:sz="6" w:space="0" w:color="auto"/>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left"/>
                          <w:rPr>
                            <w:rFonts w:ascii="Times New Roman" w:hAnsi="Times New Roman" w:cs="Times New Roman" w:eastAsia="Times New Roman" w:hint="default"/>
                            <w:sz w:val="18"/>
                            <w:szCs w:val="18"/>
                          </w:rPr>
                        </w:pPr>
                        <w:r>
                          <w:rPr>
                            <w:rFonts w:ascii="Times New Roman"/>
                            <w:sz w:val="18"/>
                          </w:rPr>
                          <w:t>IP</w:t>
                        </w: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32" w:type="dxa"/>
                        <w:vMerge w:val="restart"/>
                        <w:tcBorders>
                          <w:top w:val="single" w:sz="4" w:space="0" w:color="000000"/>
                          <w:left w:val="single" w:sz="9" w:space="0" w:color="D2D2D2"/>
                          <w:right w:val="nil" w:sz="6" w:space="0" w:color="auto"/>
                        </w:tcBorders>
                      </w:tcPr>
                      <w:p>
                        <w:pPr>
                          <w:pStyle w:val="TableParagraph"/>
                          <w:spacing w:line="300" w:lineRule="auto" w:before="51"/>
                          <w:ind w:left="28" w:right="86"/>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Intelle</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w w:val="99"/>
                            <w:sz w:val="18"/>
                            <w:szCs w:val="18"/>
                          </w:rPr>
                          <w:t>tual</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w w:val="99"/>
                            <w:sz w:val="18"/>
                            <w:szCs w:val="18"/>
                          </w:rPr>
                          <w:t>Pro</w:t>
                        </w:r>
                        <w:r>
                          <w:rPr>
                            <w:rFonts w:ascii="Times New Roman" w:hAnsi="Times New Roman" w:cs="Times New Roman" w:eastAsia="Times New Roman" w:hint="default"/>
                            <w:spacing w:val="-2"/>
                            <w:w w:val="99"/>
                            <w:sz w:val="18"/>
                            <w:szCs w:val="18"/>
                          </w:rPr>
                          <w:t>p</w:t>
                        </w:r>
                        <w:r>
                          <w:rPr>
                            <w:rFonts w:ascii="Times New Roman" w:hAnsi="Times New Roman" w:cs="Times New Roman" w:eastAsia="Times New Roman" w:hint="default"/>
                            <w:w w:val="99"/>
                            <w:sz w:val="18"/>
                            <w:szCs w:val="18"/>
                          </w:rPr>
                          <w:t>ert</w:t>
                        </w:r>
                        <w:r>
                          <w:rPr>
                            <w:rFonts w:ascii="Times New Roman" w:hAnsi="Times New Roman" w:cs="Times New Roman" w:eastAsia="Times New Roman" w:hint="default"/>
                            <w:spacing w:val="1"/>
                            <w:w w:val="99"/>
                            <w:sz w:val="18"/>
                            <w:szCs w:val="18"/>
                          </w:rPr>
                          <w:t>y</w:t>
                        </w:r>
                        <w:r>
                          <w:rPr>
                            <w:rFonts w:ascii="宋体" w:hAnsi="宋体" w:cs="宋体" w:eastAsia="宋体" w:hint="default"/>
                            <w:w w:val="99"/>
                            <w:sz w:val="18"/>
                            <w:szCs w:val="18"/>
                          </w:rPr>
                          <w:t>（知识产</w:t>
                        </w:r>
                        <w:r>
                          <w:rPr>
                            <w:rFonts w:ascii="宋体" w:hAnsi="宋体" w:cs="宋体" w:eastAsia="宋体" w:hint="default"/>
                            <w:spacing w:val="-2"/>
                            <w:w w:val="99"/>
                            <w:sz w:val="18"/>
                            <w:szCs w:val="18"/>
                          </w:rPr>
                          <w:t>权</w:t>
                        </w:r>
                        <w:r>
                          <w:rPr>
                            <w:rFonts w:ascii="宋体" w:hAnsi="宋体" w:cs="宋体" w:eastAsia="宋体" w:hint="default"/>
                            <w:spacing w:val="-90"/>
                            <w:w w:val="99"/>
                            <w:sz w:val="18"/>
                            <w:szCs w:val="18"/>
                          </w:rPr>
                          <w:t>）</w:t>
                        </w:r>
                        <w:r>
                          <w:rPr>
                            <w:rFonts w:ascii="宋体" w:hAnsi="宋体" w:cs="宋体" w:eastAsia="宋体" w:hint="default"/>
                            <w:w w:val="99"/>
                            <w:sz w:val="18"/>
                            <w:szCs w:val="18"/>
                          </w:rPr>
                          <w:t>，系用户情感的承载介质，它可以是文学、音乐、动</w:t>
                        </w:r>
                        <w:r>
                          <w:rPr>
                            <w:rFonts w:ascii="宋体" w:hAnsi="宋体" w:cs="宋体" w:eastAsia="宋体" w:hint="default"/>
                            <w:w w:val="99"/>
                            <w:sz w:val="18"/>
                            <w:szCs w:val="18"/>
                          </w:rPr>
                          <w:t> 漫、网剧、影视、游戏等领域的内容（或者叫产品</w:t>
                        </w:r>
                        <w:r>
                          <w:rPr>
                            <w:rFonts w:ascii="宋体" w:hAnsi="宋体" w:cs="宋体" w:eastAsia="宋体" w:hint="default"/>
                            <w:spacing w:val="-90"/>
                            <w:w w:val="99"/>
                            <w:sz w:val="18"/>
                            <w:szCs w:val="18"/>
                          </w:rPr>
                          <w:t>）</w:t>
                        </w:r>
                        <w:r>
                          <w:rPr>
                            <w:rFonts w:ascii="宋体" w:hAnsi="宋体" w:cs="宋体" w:eastAsia="宋体" w:hint="default"/>
                            <w:w w:val="99"/>
                            <w:sz w:val="18"/>
                            <w:szCs w:val="18"/>
                          </w:rPr>
                          <w:t>。</w:t>
                        </w:r>
                        <w:r>
                          <w:rPr>
                            <w:rFonts w:ascii="宋体" w:hAnsi="宋体" w:cs="宋体" w:eastAsia="宋体" w:hint="default"/>
                            <w:sz w:val="18"/>
                            <w:szCs w:val="18"/>
                          </w:rPr>
                        </w:r>
                      </w:p>
                    </w:tc>
                  </w:tr>
                  <w:tr>
                    <w:trPr>
                      <w:trHeight w:val="392" w:hRule="exact"/>
                    </w:trPr>
                    <w:tc>
                      <w:tcPr>
                        <w:tcW w:w="1983" w:type="dxa"/>
                        <w:vMerge/>
                        <w:tcBorders>
                          <w:left w:val="nil" w:sz="6" w:space="0" w:color="auto"/>
                          <w:right w:val="single" w:sz="9" w:space="0" w:color="D2D2D2"/>
                        </w:tcBorders>
                      </w:tcPr>
                      <w:p>
                        <w:pPr/>
                      </w:p>
                    </w:tc>
                    <w:tc>
                      <w:tcPr>
                        <w:tcW w:w="8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2" w:type="dxa"/>
                        <w:vMerge/>
                        <w:tcBorders>
                          <w:left w:val="single" w:sz="9" w:space="0" w:color="D2D2D2"/>
                          <w:right w:val="nil" w:sz="6" w:space="0" w:color="auto"/>
                        </w:tcBorders>
                      </w:tcPr>
                      <w:p>
                        <w:pPr/>
                      </w:p>
                    </w:tc>
                  </w:tr>
                  <w:tr>
                    <w:trPr>
                      <w:trHeight w:val="161" w:hRule="exact"/>
                    </w:trPr>
                    <w:tc>
                      <w:tcPr>
                        <w:tcW w:w="1983" w:type="dxa"/>
                        <w:vMerge/>
                        <w:tcBorders>
                          <w:left w:val="nil" w:sz="6" w:space="0" w:color="auto"/>
                          <w:bottom w:val="single" w:sz="4" w:space="0" w:color="000000"/>
                          <w:right w:val="single" w:sz="9" w:space="0" w:color="D2D2D2"/>
                        </w:tcBorders>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32" w:type="dxa"/>
                        <w:vMerge/>
                        <w:tcBorders>
                          <w:left w:val="single" w:sz="9" w:space="0" w:color="D2D2D2"/>
                          <w:bottom w:val="single" w:sz="4" w:space="0" w:color="000000"/>
                          <w:right w:val="nil" w:sz="6" w:space="0" w:color="auto"/>
                        </w:tcBorders>
                      </w:tcPr>
                      <w:p>
                        <w:pPr/>
                      </w:p>
                    </w:tc>
                  </w:tr>
                  <w:tr>
                    <w:trPr>
                      <w:trHeight w:val="629" w:hRule="exact"/>
                    </w:trPr>
                    <w:tc>
                      <w:tcPr>
                        <w:tcW w:w="1983" w:type="dxa"/>
                        <w:vMerge w:val="restart"/>
                        <w:tcBorders>
                          <w:top w:val="single" w:sz="4" w:space="0" w:color="000000"/>
                          <w:left w:val="nil" w:sz="6" w:space="0" w:color="auto"/>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 w:right="0"/>
                          <w:jc w:val="left"/>
                          <w:rPr>
                            <w:rFonts w:ascii="Times New Roman" w:hAnsi="Times New Roman" w:cs="Times New Roman" w:eastAsia="Times New Roman" w:hint="default"/>
                            <w:sz w:val="18"/>
                            <w:szCs w:val="18"/>
                          </w:rPr>
                        </w:pPr>
                        <w:r>
                          <w:rPr>
                            <w:rFonts w:ascii="Times New Roman"/>
                            <w:sz w:val="18"/>
                          </w:rPr>
                          <w:t>WMS</w:t>
                        </w: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32" w:type="dxa"/>
                        <w:vMerge w:val="restart"/>
                        <w:tcBorders>
                          <w:top w:val="single" w:sz="4" w:space="0" w:color="000000"/>
                          <w:left w:val="single" w:sz="9" w:space="0" w:color="D2D2D2"/>
                          <w:right w:val="nil" w:sz="6" w:space="0" w:color="auto"/>
                        </w:tcBorders>
                      </w:tcPr>
                      <w:p>
                        <w:pPr>
                          <w:pStyle w:val="TableParagraph"/>
                          <w:spacing w:line="316" w:lineRule="auto" w:before="51"/>
                          <w:ind w:left="28" w:right="29"/>
                          <w:jc w:val="both"/>
                          <w:rPr>
                            <w:rFonts w:ascii="宋体" w:hAnsi="宋体" w:cs="宋体" w:eastAsia="宋体" w:hint="default"/>
                            <w:sz w:val="18"/>
                            <w:szCs w:val="18"/>
                          </w:rPr>
                        </w:pPr>
                        <w:r>
                          <w:rPr>
                            <w:rFonts w:ascii="宋体" w:hAnsi="宋体" w:cs="宋体" w:eastAsia="宋体" w:hint="default"/>
                            <w:sz w:val="18"/>
                            <w:szCs w:val="18"/>
                          </w:rPr>
                          <w:t>仓库管理系统是通过入库业务、出库业务、仓库调拨、库存调拨和虚仓管理等功能， 对批次管理、物料对应、库存盘点、质检管理、虚仓管理和即时库存管理等功能综合 运用的管理系统，有效控制并跟踪仓库业务的物流和成本管理全过程，实现或完善的 企业仓储信息管理。该系统可以独立执行库存操作，也可与其他系统的单据和凭证等 结合使用，可为企业提供更为完整企业物流管理流程和财务管理信息。</w:t>
                        </w:r>
                      </w:p>
                    </w:tc>
                  </w:tr>
                  <w:tr>
                    <w:trPr>
                      <w:trHeight w:val="392" w:hRule="exact"/>
                    </w:trPr>
                    <w:tc>
                      <w:tcPr>
                        <w:tcW w:w="1983" w:type="dxa"/>
                        <w:vMerge/>
                        <w:tcBorders>
                          <w:left w:val="nil" w:sz="6" w:space="0" w:color="auto"/>
                          <w:right w:val="single" w:sz="9" w:space="0" w:color="D2D2D2"/>
                        </w:tcBorders>
                      </w:tcPr>
                      <w:p>
                        <w:pPr/>
                      </w:p>
                    </w:tc>
                    <w:tc>
                      <w:tcPr>
                        <w:tcW w:w="8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2" w:type="dxa"/>
                        <w:vMerge/>
                        <w:tcBorders>
                          <w:left w:val="single" w:sz="9" w:space="0" w:color="D2D2D2"/>
                          <w:right w:val="nil" w:sz="6" w:space="0" w:color="auto"/>
                        </w:tcBorders>
                      </w:tcPr>
                      <w:p>
                        <w:pPr/>
                      </w:p>
                    </w:tc>
                  </w:tr>
                  <w:tr>
                    <w:trPr>
                      <w:trHeight w:val="629" w:hRule="exact"/>
                    </w:trPr>
                    <w:tc>
                      <w:tcPr>
                        <w:tcW w:w="1983" w:type="dxa"/>
                        <w:vMerge/>
                        <w:tcBorders>
                          <w:left w:val="nil" w:sz="6" w:space="0" w:color="auto"/>
                          <w:bottom w:val="single" w:sz="4" w:space="0" w:color="000000"/>
                          <w:right w:val="single" w:sz="9" w:space="0" w:color="D2D2D2"/>
                        </w:tcBorders>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32" w:type="dxa"/>
                        <w:vMerge/>
                        <w:tcBorders>
                          <w:left w:val="single" w:sz="9" w:space="0" w:color="D2D2D2"/>
                          <w:bottom w:val="single" w:sz="4" w:space="0" w:color="000000"/>
                          <w:right w:val="nil" w:sz="6" w:space="0" w:color="auto"/>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44"/>
        <w:ind w:left="0" w:right="1138"/>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733912"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金运激光</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300220</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武汉金运激光股份有限公司</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金运激光</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Wuhan Golden Laser Co.,</w:t>
            </w:r>
            <w:r>
              <w:rPr>
                <w:rFonts w:ascii="Times New Roman"/>
                <w:spacing w:val="-11"/>
                <w:sz w:val="18"/>
              </w:rPr>
              <w:t> </w:t>
            </w:r>
            <w:r>
              <w:rPr>
                <w:rFonts w:ascii="Times New Roman"/>
                <w:sz w:val="18"/>
              </w:rPr>
              <w:t>Ltd</w:t>
            </w:r>
          </w:p>
        </w:tc>
      </w:tr>
      <w:tr>
        <w:trPr>
          <w:trHeight w:val="402" w:hRule="exact"/>
        </w:trPr>
        <w:tc>
          <w:tcPr>
            <w:tcW w:w="2273" w:type="dxa"/>
            <w:tcBorders>
              <w:top w:val="single" w:sz="4" w:space="0" w:color="000000"/>
              <w:left w:val="nil" w:sz="6" w:space="0" w:color="auto"/>
              <w:bottom w:val="single" w:sz="4" w:space="0" w:color="000000"/>
              <w:right w:val="single" w:sz="13" w:space="0" w:color="FFFFFF"/>
            </w:tcBorders>
            <w:shd w:val="clear" w:color="auto" w:fill="D2D2D2"/>
          </w:tcPr>
          <w:p>
            <w:pPr>
              <w:pStyle w:val="TableParagraph"/>
              <w:spacing w:line="240" w:lineRule="auto" w:before="52"/>
              <w:ind w:left="27"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nil" w:sz="6" w:space="0" w:color="auto"/>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Golden</w:t>
            </w:r>
            <w:r>
              <w:rPr>
                <w:rFonts w:ascii="Times New Roman"/>
                <w:spacing w:val="-2"/>
                <w:sz w:val="18"/>
              </w:rPr>
              <w:t> </w:t>
            </w:r>
            <w:r>
              <w:rPr>
                <w:rFonts w:ascii="Times New Roman"/>
                <w:sz w:val="18"/>
              </w:rPr>
              <w:t>Laser</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梁萍</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武汉市江岸区后湖街石桥一路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430012</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武汉市江岸区后湖街石桥一路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栋金运激光大厦</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430012</w:t>
            </w:r>
          </w:p>
        </w:tc>
      </w:tr>
      <w:tr>
        <w:trPr>
          <w:trHeight w:val="402"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http://www.goldenlaser.cn</w:t>
              </w:r>
            </w:hyperlink>
          </w:p>
        </w:tc>
      </w:tr>
      <w:tr>
        <w:trPr>
          <w:trHeight w:val="403" w:hRule="exact"/>
        </w:trPr>
        <w:tc>
          <w:tcPr>
            <w:tcW w:w="227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nil" w:sz="6" w:space="0" w:color="auto"/>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whjydm2015@163.com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3" w:type="dxa"/>
        <w:tblLayout w:type="fixed"/>
        <w:tblCellMar>
          <w:top w:w="0" w:type="dxa"/>
          <w:left w:w="0" w:type="dxa"/>
          <w:bottom w:w="0" w:type="dxa"/>
          <w:right w:w="0" w:type="dxa"/>
        </w:tblCellMar>
        <w:tblLook w:val="01E0"/>
      </w:tblPr>
      <w:tblGrid>
        <w:gridCol w:w="3176"/>
        <w:gridCol w:w="3190"/>
        <w:gridCol w:w="3176"/>
      </w:tblGrid>
      <w:tr>
        <w:trPr>
          <w:trHeight w:val="402"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石慧</w:t>
            </w:r>
          </w:p>
        </w:tc>
      </w:tr>
      <w:tr>
        <w:trPr>
          <w:trHeight w:val="161" w:hRule="exact"/>
        </w:trPr>
        <w:tc>
          <w:tcPr>
            <w:tcW w:w="3176" w:type="dxa"/>
            <w:tcBorders>
              <w:top w:val="single" w:sz="4" w:space="0" w:color="000000"/>
              <w:left w:val="nil" w:sz="6" w:space="0" w:color="auto"/>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96"/>
              <w:jc w:val="left"/>
              <w:rPr>
                <w:rFonts w:ascii="宋体" w:hAnsi="宋体" w:cs="宋体" w:eastAsia="宋体" w:hint="default"/>
                <w:sz w:val="18"/>
                <w:szCs w:val="18"/>
              </w:rPr>
            </w:pPr>
            <w:r>
              <w:rPr>
                <w:rFonts w:ascii="宋体" w:hAnsi="宋体" w:cs="宋体" w:eastAsia="宋体" w:hint="default"/>
                <w:sz w:val="18"/>
                <w:szCs w:val="18"/>
              </w:rPr>
              <w:t>武汉市江岸区后湖街石桥一路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 金运激光大厦</w:t>
            </w:r>
          </w:p>
        </w:tc>
        <w:tc>
          <w:tcPr>
            <w:tcW w:w="3176" w:type="dxa"/>
            <w:vMerge w:val="restart"/>
            <w:tcBorders>
              <w:top w:val="single" w:sz="4" w:space="0" w:color="000000"/>
              <w:left w:val="single" w:sz="4" w:space="0" w:color="000000"/>
              <w:right w:val="nil" w:sz="6" w:space="0" w:color="auto"/>
            </w:tcBorders>
          </w:tcPr>
          <w:p>
            <w:pPr>
              <w:pStyle w:val="TableParagraph"/>
              <w:spacing w:line="300"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武汉市江岸区后湖街石桥一路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 金运激光大厦</w:t>
            </w:r>
          </w:p>
        </w:tc>
      </w:tr>
      <w:tr>
        <w:trPr>
          <w:trHeight w:val="392" w:hRule="exact"/>
        </w:trPr>
        <w:tc>
          <w:tcPr>
            <w:tcW w:w="3176"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76" w:type="dxa"/>
            <w:vMerge/>
            <w:tcBorders>
              <w:left w:val="single" w:sz="4" w:space="0" w:color="000000"/>
              <w:right w:val="nil" w:sz="6" w:space="0" w:color="auto"/>
            </w:tcBorders>
          </w:tcPr>
          <w:p>
            <w:pPr/>
          </w:p>
        </w:tc>
      </w:tr>
      <w:tr>
        <w:trPr>
          <w:trHeight w:val="161" w:hRule="exact"/>
        </w:trPr>
        <w:tc>
          <w:tcPr>
            <w:tcW w:w="3176" w:type="dxa"/>
            <w:tcBorders>
              <w:top w:val="nil" w:sz="6" w:space="0" w:color="auto"/>
              <w:left w:val="nil" w:sz="6" w:space="0" w:color="auto"/>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76" w:type="dxa"/>
            <w:vMerge/>
            <w:tcBorders>
              <w:left w:val="single" w:sz="4" w:space="0" w:color="000000"/>
              <w:bottom w:val="single" w:sz="4" w:space="0" w:color="000000"/>
              <w:right w:val="nil" w:sz="6" w:space="0" w:color="auto"/>
            </w:tcBorders>
          </w:tcPr>
          <w:p>
            <w:pPr/>
          </w:p>
        </w:tc>
      </w:tr>
      <w:tr>
        <w:trPr>
          <w:trHeight w:val="402"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027-82943465</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027-82943465</w:t>
            </w:r>
          </w:p>
        </w:tc>
      </w:tr>
      <w:tr>
        <w:trPr>
          <w:trHeight w:val="402"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027-82943465</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027-82943465</w:t>
            </w:r>
          </w:p>
        </w:tc>
      </w:tr>
      <w:tr>
        <w:trPr>
          <w:trHeight w:val="402"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whjydm2015@163.com</w:t>
              </w:r>
            </w:hyperlink>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smh1399@163.com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9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pPr>
      <w:r>
        <w:rPr/>
        <w:t>公司聘请的会计师事务所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深圳市福田区联合广场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李轶芳、陈瑜星</w:t>
            </w:r>
          </w:p>
        </w:tc>
      </w:tr>
    </w:tbl>
    <w:p>
      <w:pPr>
        <w:pStyle w:val="Heading5"/>
        <w:spacing w:line="240" w:lineRule="auto" w:before="26"/>
        <w:ind w:right="0"/>
        <w:jc w:val="left"/>
      </w:pPr>
      <w:r>
        <w:rPr/>
        <w:t>公司聘请的报告期内履行持续督导职责的保荐机构</w:t>
      </w:r>
    </w:p>
    <w:p>
      <w:pPr>
        <w:pStyle w:val="Heading5"/>
        <w:spacing w:line="290" w:lineRule="auto" w:before="78"/>
        <w:ind w:right="6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公司聘请的报告期内履行持续督导职责的财务顾问</w:t>
      </w:r>
    </w:p>
    <w:p>
      <w:pPr>
        <w:pStyle w:val="Heading5"/>
        <w:spacing w:line="240" w:lineRule="auto" w:before="3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pPr>
      <w:r>
        <w:rPr/>
        <w:t>公司是否需追溯调整或重述以前年度会计数据</w:t>
      </w:r>
    </w:p>
    <w:p>
      <w:pPr>
        <w:pStyle w:val="Heading5"/>
        <w:spacing w:line="240" w:lineRule="auto" w:before="7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2596"/>
        <w:gridCol w:w="1751"/>
        <w:gridCol w:w="1736"/>
        <w:gridCol w:w="1738"/>
        <w:gridCol w:w="1721"/>
      </w:tblGrid>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2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212,787,605.82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184,949,471.36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15.05%</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187,330,676.17</w:t>
            </w:r>
          </w:p>
        </w:tc>
      </w:tr>
      <w:tr>
        <w:trPr>
          <w:trHeight w:val="714"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7,142,042.20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-42,345,109.04</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6,734,039.01</w:t>
            </w:r>
          </w:p>
        </w:tc>
      </w:tr>
      <w:tr>
        <w:trPr>
          <w:trHeight w:val="714"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5,448,679.21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-58,826,776.99</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1,084,174.20</w:t>
            </w:r>
          </w:p>
        </w:tc>
      </w:tr>
      <w:tr>
        <w:trPr>
          <w:trHeight w:val="714"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29,702,997.01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385,421.82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7,606.62%</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20,072,096.97</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-0.34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0.0534</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-0.34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0.0534</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-16.02%</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2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355,306,950.77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351,232,710.55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1.16%</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465,573,632.18</w:t>
            </w:r>
          </w:p>
        </w:tc>
      </w:tr>
      <w:tr>
        <w:trPr>
          <w:trHeight w:val="715"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250,605,441.91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243,458,965.51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284,969,454.35</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3" w:type="dxa"/>
        <w:tblLayout w:type="fixed"/>
        <w:tblCellMar>
          <w:top w:w="0" w:type="dxa"/>
          <w:left w:w="0" w:type="dxa"/>
          <w:bottom w:w="0" w:type="dxa"/>
          <w:right w:w="0" w:type="dxa"/>
        </w:tblCellMar>
        <w:tblLook w:val="01E0"/>
      </w:tblPr>
      <w:tblGrid>
        <w:gridCol w:w="2596"/>
        <w:gridCol w:w="1752"/>
        <w:gridCol w:w="1739"/>
        <w:gridCol w:w="1740"/>
        <w:gridCol w:w="1715"/>
      </w:tblGrid>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56,608,253.54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43,802,570.85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50,283,826.56</w:t>
            </w:r>
          </w:p>
        </w:tc>
        <w:tc>
          <w:tcPr>
            <w:tcW w:w="1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62,092,954.87</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4,271,827.05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3,886,996.31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1,601,113.52</w:t>
            </w:r>
          </w:p>
        </w:tc>
        <w:tc>
          <w:tcPr>
            <w:tcW w:w="1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-2,617,894.68</w:t>
            </w:r>
          </w:p>
        </w:tc>
      </w:tr>
      <w:tr>
        <w:trPr>
          <w:trHeight w:val="714"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4,067,909.47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3,170,597.12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1,476,472.05</w:t>
            </w:r>
          </w:p>
        </w:tc>
        <w:tc>
          <w:tcPr>
            <w:tcW w:w="1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-3,266,299.43</w:t>
            </w:r>
          </w:p>
        </w:tc>
      </w:tr>
      <w:tr>
        <w:trPr>
          <w:trHeight w:val="402" w:hRule="exact"/>
        </w:trPr>
        <w:tc>
          <w:tcPr>
            <w:tcW w:w="259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-7,489,951.55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8,999,531.10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12,303,964.26</w:t>
            </w:r>
          </w:p>
        </w:tc>
        <w:tc>
          <w:tcPr>
            <w:tcW w:w="1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15,889,453.20</w:t>
            </w:r>
          </w:p>
        </w:tc>
      </w:tr>
    </w:tbl>
    <w:p>
      <w:pPr>
        <w:pStyle w:val="BodyText"/>
        <w:spacing w:line="240" w:lineRule="auto" w:before="51"/>
        <w:ind w:right="0"/>
        <w:jc w:val="left"/>
      </w:pPr>
      <w:r>
        <w:rPr/>
        <w:t>上述财务指标或其加总数是否与公司已披露季度报告、半年度报告相关财务指标存在重大差异</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4"/>
          <w:szCs w:val="24"/>
        </w:rPr>
      </w:pPr>
    </w:p>
    <w:p>
      <w:pPr>
        <w:pStyle w:val="Heading5"/>
        <w:spacing w:line="290" w:lineRule="auto"/>
        <w:ind w:right="13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2"/>
          <w:szCs w:val="22"/>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0"/>
        <w:rPr>
          <w:rFonts w:ascii="宋体" w:hAnsi="宋体" w:cs="宋体" w:eastAsia="宋体" w:hint="default"/>
          <w:b/>
          <w:bCs/>
          <w:sz w:val="24"/>
          <w:szCs w:val="24"/>
        </w:rPr>
      </w:pPr>
    </w:p>
    <w:p>
      <w:pPr>
        <w:pStyle w:val="Heading5"/>
        <w:spacing w:line="290" w:lineRule="auto"/>
        <w:ind w:right="13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pStyle w:val="Heading5"/>
        <w:spacing w:line="240" w:lineRule="auto" w:before="35"/>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1762" w:space="7158"/>
            <w:col w:w="2010"/>
          </w:cols>
        </w:sectPr>
      </w:pP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271"/>
        <w:gridCol w:w="1532"/>
        <w:gridCol w:w="1520"/>
        <w:gridCol w:w="1522"/>
        <w:gridCol w:w="1710"/>
      </w:tblGrid>
      <w:tr>
        <w:trPr>
          <w:trHeight w:val="402"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-43,698.16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17,665,610.73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4,029,192.86</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1,904,831.31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1,515,779.32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3,025,345.24</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17,998.99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180,188.58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211,256.19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-1,287,106.73</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-50,000.00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315,423.76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2,908,893.15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457,087.91</w:t>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533.97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2,085.14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-339,521.35</w:t>
            </w:r>
            <w:r>
              <w:rPr>
                <w:rFonts w:ascii="Times New Roman"/>
                <w:sz w:val="18"/>
              </w:rPr>
            </w: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1,693,362.99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16,481,667.95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5,649,864.81</w:t>
            </w:r>
          </w:p>
        </w:tc>
        <w:tc>
          <w:tcPr>
            <w:tcW w:w="171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8"/>
        <w:rPr>
          <w:rFonts w:ascii="宋体" w:hAnsi="宋体" w:cs="宋体" w:eastAsia="宋体" w:hint="default"/>
          <w:b/>
          <w:bCs/>
          <w:sz w:val="24"/>
          <w:szCs w:val="24"/>
        </w:rPr>
      </w:pPr>
    </w:p>
    <w:p>
      <w:pPr>
        <w:pStyle w:val="Heading5"/>
        <w:spacing w:line="307" w:lineRule="auto"/>
        <w:ind w:right="7182"/>
        <w:jc w:val="left"/>
      </w:pPr>
      <w:r>
        <w:rPr/>
        <w:t>公司是否需要遵守特殊行业的披露要求 否</w:t>
      </w:r>
    </w:p>
    <w:p>
      <w:pPr>
        <w:pStyle w:val="Heading5"/>
        <w:spacing w:line="331" w:lineRule="auto" w:before="90"/>
        <w:ind w:right="0" w:firstLine="420"/>
        <w:jc w:val="left"/>
      </w:pPr>
      <w:r>
        <w:rPr>
          <w:spacing w:val="-1"/>
        </w:rPr>
        <w:t>本公司属计算机、通信和其他电子设备制造行业。目前公司主要产品为高端数字化金属管板激光加工</w:t>
      </w:r>
      <w:r>
        <w:rPr/>
        <w:t> 设备、非金属工业柔性材料激光加工设备，以及各类智能零售终端。</w:t>
      </w:r>
    </w:p>
    <w:p>
      <w:pPr>
        <w:pStyle w:val="Heading5"/>
        <w:spacing w:line="331" w:lineRule="auto" w:before="24"/>
        <w:ind w:right="1023" w:firstLine="420"/>
        <w:jc w:val="left"/>
      </w:pPr>
      <w:r>
        <w:rPr/>
        <w:t>当今世界经济正处于一个转型重构期，数字化智能化技术将是今后技术进步的发展主线。公司在既定 的数字技术商业化大战略方向下，进一步围绕数字技术在工业智能和商业智能领域做应用，聚焦产品和服 </w:t>
      </w:r>
      <w:r>
        <w:rPr>
          <w:spacing w:val="-3"/>
        </w:rPr>
        <w:t>务，通过打造明星产品和特色服务，为行业提供高端数字激光加工设备、智能零售终端及相应的解决方案。</w:t>
      </w:r>
      <w:r>
        <w:rPr>
          <w:spacing w:val="-90"/>
        </w:rPr>
        <w:t> </w:t>
      </w:r>
      <w:r>
        <w:rPr>
          <w:spacing w:val="-90"/>
        </w:rPr>
      </w:r>
      <w:r>
        <w:rPr/>
        <w:t>公司已初步形成了持续稳定的发展趋势，为后期的快速增长奠定了良好坚实的基础。</w:t>
      </w:r>
    </w:p>
    <w:p>
      <w:pPr>
        <w:pStyle w:val="Heading5"/>
        <w:spacing w:line="319" w:lineRule="auto" w:before="25"/>
        <w:ind w:right="0" w:firstLine="420"/>
        <w:jc w:val="left"/>
      </w:pPr>
      <w:r>
        <w:rPr>
          <w:spacing w:val="-2"/>
          <w:w w:val="100"/>
        </w:rPr>
        <w:t>在工业智能应用中，公司着力打造了</w:t>
      </w:r>
      <w:r>
        <w:rPr>
          <w:rFonts w:ascii="Times New Roman" w:hAnsi="Times New Roman" w:cs="Times New Roman" w:eastAsia="Times New Roman" w:hint="default"/>
          <w:spacing w:val="-2"/>
          <w:w w:val="100"/>
        </w:rPr>
        <w:t>“</w:t>
      </w:r>
      <w:r>
        <w:rPr>
          <w:spacing w:val="-2"/>
          <w:w w:val="100"/>
        </w:rPr>
        <w:t>高端数字激光金属管材切割设备</w:t>
      </w:r>
      <w:r>
        <w:rPr>
          <w:rFonts w:ascii="Times New Roman" w:hAnsi="Times New Roman" w:cs="Times New Roman" w:eastAsia="Times New Roman" w:hint="default"/>
          <w:spacing w:val="-2"/>
          <w:w w:val="100"/>
        </w:rPr>
        <w:t>”</w:t>
      </w:r>
      <w:r>
        <w:rPr>
          <w:spacing w:val="-2"/>
          <w:w w:val="100"/>
        </w:rPr>
        <w:t>和</w:t>
      </w:r>
      <w:r>
        <w:rPr>
          <w:rFonts w:ascii="Times New Roman" w:hAnsi="Times New Roman" w:cs="Times New Roman" w:eastAsia="Times New Roman" w:hint="default"/>
          <w:spacing w:val="-2"/>
          <w:w w:val="100"/>
        </w:rPr>
        <w:t>“</w:t>
      </w:r>
      <w:r>
        <w:rPr>
          <w:spacing w:val="-2"/>
          <w:w w:val="100"/>
        </w:rPr>
        <w:t>高端数字激光柔性面料激光</w:t>
      </w:r>
      <w:r>
        <w:rPr/>
        <w:t> </w:t>
      </w:r>
      <w:r>
        <w:rPr>
          <w:spacing w:val="-1"/>
        </w:rPr>
        <w:t>裁床</w:t>
      </w:r>
      <w:r>
        <w:rPr>
          <w:rFonts w:ascii="Times New Roman" w:hAnsi="Times New Roman" w:cs="Times New Roman" w:eastAsia="Times New Roman" w:hint="default"/>
          <w:spacing w:val="-1"/>
        </w:rPr>
        <w:t>”</w:t>
      </w:r>
      <w:r>
        <w:rPr>
          <w:spacing w:val="-1"/>
        </w:rPr>
        <w:t>两款明星产品，通过持续的改进和迭代升级使产品的性能有大幅的提升，并朝设备自动化、智能化、</w:t>
      </w:r>
      <w:r>
        <w:rPr>
          <w:spacing w:val="-69"/>
        </w:rPr>
        <w:t> </w:t>
      </w:r>
      <w:r>
        <w:rPr>
          <w:spacing w:val="-69"/>
        </w:rPr>
      </w:r>
      <w:r>
        <w:rPr/>
        <w:t>一体化方向发展。公司希望通过深耕产品、做重服务，提高这两款产品的市场占有率和品牌影响力，从而</w:t>
      </w:r>
      <w:r>
        <w:rPr/>
        <w:t> 带动激光产品其它的工业应用。</w:t>
      </w:r>
    </w:p>
    <w:p>
      <w:pPr>
        <w:pStyle w:val="Heading5"/>
        <w:spacing w:line="316" w:lineRule="auto" w:before="36"/>
        <w:ind w:right="1127" w:firstLine="420"/>
        <w:jc w:val="left"/>
      </w:pPr>
      <w:r>
        <w:rPr>
          <w:spacing w:val="-1"/>
        </w:rPr>
        <w:t>在商业智能应用中，智能零售终端通过前期的研发和迭代，逐步形成了适用于不同商业场景的系列产</w:t>
      </w:r>
      <w:r>
        <w:rPr/>
        <w:t> </w:t>
      </w:r>
      <w:r>
        <w:rPr>
          <w:spacing w:val="-1"/>
        </w:rPr>
        <w:t>品，并开发出了基于分布式记账区块链技术的智能终端，应用</w:t>
      </w:r>
      <w:r>
        <w:rPr>
          <w:rFonts w:ascii="Times New Roman" w:hAnsi="Times New Roman" w:cs="Times New Roman" w:eastAsia="Times New Roman" w:hint="default"/>
          <w:spacing w:val="-1"/>
        </w:rPr>
        <w:t>AI</w:t>
      </w:r>
      <w:r>
        <w:rPr>
          <w:spacing w:val="-1"/>
        </w:rPr>
        <w:t>技术为零售终端提升销售额提供数据支撑</w:t>
      </w:r>
      <w:r>
        <w:rPr>
          <w:spacing w:val="-93"/>
        </w:rPr>
        <w:t> </w:t>
      </w:r>
      <w:r>
        <w:rPr>
          <w:spacing w:val="-93"/>
        </w:rPr>
      </w:r>
      <w:r>
        <w:rPr/>
        <w:t>和人机互动语音交互。至目前，智能终端的前端、后端、</w:t>
      </w:r>
      <w:r>
        <w:rPr>
          <w:rFonts w:ascii="Times New Roman" w:hAnsi="Times New Roman" w:cs="Times New Roman" w:eastAsia="Times New Roman" w:hint="default"/>
        </w:rPr>
        <w:t>Saas</w:t>
      </w:r>
      <w:r>
        <w:rPr/>
        <w:t>软件、管理分析软件均已开发完毕；后期， </w:t>
      </w:r>
      <w:r>
        <w:rPr>
          <w:spacing w:val="-1"/>
        </w:rPr>
        <w:t>将在应用中优化迭代。结合无人零售终端的特点，公司从用户需求出发，自</w:t>
      </w:r>
      <w:r>
        <w:rPr>
          <w:rFonts w:ascii="Times New Roman" w:hAnsi="Times New Roman" w:cs="Times New Roman" w:eastAsia="Times New Roman" w:hint="default"/>
          <w:spacing w:val="-1"/>
        </w:rPr>
        <w:t>2018</w:t>
      </w:r>
      <w:r>
        <w:rPr>
          <w:spacing w:val="-1"/>
        </w:rPr>
        <w:t>年底，立项开发系列适合</w:t>
      </w:r>
      <w:r>
        <w:rPr>
          <w:spacing w:val="-83"/>
        </w:rPr>
        <w:t> </w:t>
      </w:r>
      <w:r>
        <w:rPr>
          <w:spacing w:val="-83"/>
        </w:rPr>
      </w:r>
      <w:r>
        <w:rPr/>
        <w:t>商业场景的激光个性雕刻及</w:t>
      </w:r>
      <w:r>
        <w:rPr>
          <w:rFonts w:ascii="Times New Roman" w:hAnsi="Times New Roman" w:cs="Times New Roman" w:eastAsia="Times New Roman" w:hint="default"/>
        </w:rPr>
        <w:t>3D</w:t>
      </w:r>
      <w:r>
        <w:rPr/>
        <w:t>打印定制售卖机，创新地将激光创意雕刻及</w:t>
      </w:r>
      <w:r>
        <w:rPr>
          <w:rFonts w:ascii="Times New Roman" w:hAnsi="Times New Roman" w:cs="Times New Roman" w:eastAsia="Times New Roman" w:hint="default"/>
        </w:rPr>
        <w:t>3D</w:t>
      </w:r>
      <w:r>
        <w:rPr/>
        <w:t>打印同无人零售进行有效的 </w:t>
      </w:r>
      <w:r>
        <w:rPr>
          <w:spacing w:val="-1"/>
        </w:rPr>
        <w:t>融合，希望引领激光在商业应用领域的潮流，成为激光</w:t>
      </w:r>
      <w:r>
        <w:rPr>
          <w:rFonts w:ascii="Times New Roman" w:hAnsi="Times New Roman" w:cs="Times New Roman" w:eastAsia="Times New Roman" w:hint="default"/>
          <w:spacing w:val="-1"/>
        </w:rPr>
        <w:t>&amp;3D</w:t>
      </w:r>
      <w:r>
        <w:rPr>
          <w:spacing w:val="-1"/>
        </w:rPr>
        <w:t>打印商业应用的领先品牌，成为公司新的增长</w:t>
      </w:r>
      <w:r>
        <w:rPr>
          <w:spacing w:val="-82"/>
        </w:rPr>
        <w:t> </w:t>
      </w:r>
      <w:r>
        <w:rPr>
          <w:spacing w:val="-82"/>
        </w:rPr>
      </w:r>
      <w:r>
        <w:rPr/>
        <w:t>点。</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3038"/>
        <w:gridCol w:w="6503"/>
      </w:tblGrid>
      <w:tr>
        <w:trPr>
          <w:trHeight w:val="187" w:hRule="exact"/>
        </w:trPr>
        <w:tc>
          <w:tcPr>
            <w:tcW w:w="3038" w:type="dxa"/>
            <w:tcBorders>
              <w:top w:val="single" w:sz="4" w:space="0" w:color="000000"/>
              <w:left w:val="nil" w:sz="6" w:space="0" w:color="auto"/>
              <w:bottom w:val="nil" w:sz="6" w:space="0" w:color="auto"/>
              <w:right w:val="single" w:sz="4" w:space="0" w:color="000000"/>
            </w:tcBorders>
            <w:shd w:val="clear" w:color="auto" w:fill="D2D2D2"/>
          </w:tcPr>
          <w:p>
            <w:pPr/>
          </w:p>
        </w:tc>
        <w:tc>
          <w:tcPr>
            <w:tcW w:w="6503"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1" w:hRule="exact"/>
        </w:trPr>
        <w:tc>
          <w:tcPr>
            <w:tcW w:w="303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03"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38" w:type="dxa"/>
            <w:tcBorders>
              <w:top w:val="nil" w:sz="6" w:space="0" w:color="auto"/>
              <w:left w:val="nil" w:sz="6" w:space="0" w:color="auto"/>
              <w:bottom w:val="single" w:sz="4" w:space="0" w:color="000000"/>
              <w:right w:val="single" w:sz="4" w:space="0" w:color="000000"/>
            </w:tcBorders>
            <w:shd w:val="clear" w:color="auto" w:fill="D2D2D2"/>
          </w:tcPr>
          <w:p>
            <w:pPr/>
          </w:p>
        </w:tc>
        <w:tc>
          <w:tcPr>
            <w:tcW w:w="6503"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303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0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报告期内被投资企业实现利润导致期末长期股权投资金额小幅增加。</w:t>
            </w:r>
          </w:p>
        </w:tc>
      </w:tr>
      <w:tr>
        <w:trPr>
          <w:trHeight w:val="402" w:hRule="exact"/>
        </w:trPr>
        <w:tc>
          <w:tcPr>
            <w:tcW w:w="303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0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报告期内固定资产计提折旧导致期末固定资产金额减少。</w:t>
            </w:r>
          </w:p>
        </w:tc>
      </w:tr>
      <w:tr>
        <w:trPr>
          <w:trHeight w:val="161" w:hRule="exact"/>
        </w:trPr>
        <w:tc>
          <w:tcPr>
            <w:tcW w:w="3038" w:type="dxa"/>
            <w:tcBorders>
              <w:top w:val="single" w:sz="4" w:space="0" w:color="000000"/>
              <w:left w:val="nil" w:sz="6" w:space="0" w:color="auto"/>
              <w:bottom w:val="nil" w:sz="6" w:space="0" w:color="auto"/>
              <w:right w:val="single" w:sz="4" w:space="0" w:color="000000"/>
            </w:tcBorders>
            <w:shd w:val="clear" w:color="auto" w:fill="D2D2D2"/>
          </w:tcPr>
          <w:p>
            <w:pPr/>
          </w:p>
        </w:tc>
        <w:tc>
          <w:tcPr>
            <w:tcW w:w="6503" w:type="dxa"/>
            <w:vMerge w:val="restart"/>
            <w:tcBorders>
              <w:top w:val="single" w:sz="4" w:space="0" w:color="000000"/>
              <w:left w:val="single" w:sz="9" w:space="0" w:color="D2D2D2"/>
              <w:right w:val="nil" w:sz="6" w:space="0" w:color="auto"/>
            </w:tcBorders>
          </w:tcPr>
          <w:p>
            <w:pPr>
              <w:pStyle w:val="TableParagraph"/>
              <w:spacing w:line="319" w:lineRule="auto" w:before="51"/>
              <w:ind w:left="16" w:right="173"/>
              <w:jc w:val="left"/>
              <w:rPr>
                <w:rFonts w:ascii="宋体" w:hAnsi="宋体" w:cs="宋体" w:eastAsia="宋体" w:hint="default"/>
                <w:sz w:val="18"/>
                <w:szCs w:val="18"/>
              </w:rPr>
            </w:pPr>
            <w:r>
              <w:rPr>
                <w:rFonts w:ascii="宋体" w:hAnsi="宋体" w:cs="宋体" w:eastAsia="宋体" w:hint="default"/>
                <w:sz w:val="18"/>
                <w:szCs w:val="18"/>
              </w:rPr>
              <w:t>报告期研发支出资本化以及无形资产摊销综合因素导致期末无形资产金额小幅减 少。</w:t>
            </w:r>
          </w:p>
        </w:tc>
      </w:tr>
      <w:tr>
        <w:trPr>
          <w:trHeight w:val="393" w:hRule="exact"/>
        </w:trPr>
        <w:tc>
          <w:tcPr>
            <w:tcW w:w="303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03" w:type="dxa"/>
            <w:vMerge/>
            <w:tcBorders>
              <w:left w:val="single" w:sz="9" w:space="0" w:color="D2D2D2"/>
              <w:right w:val="nil" w:sz="6" w:space="0" w:color="auto"/>
            </w:tcBorders>
          </w:tcPr>
          <w:p>
            <w:pPr/>
          </w:p>
        </w:tc>
      </w:tr>
      <w:tr>
        <w:trPr>
          <w:trHeight w:val="161" w:hRule="exact"/>
        </w:trPr>
        <w:tc>
          <w:tcPr>
            <w:tcW w:w="3038" w:type="dxa"/>
            <w:tcBorders>
              <w:top w:val="nil" w:sz="6" w:space="0" w:color="auto"/>
              <w:left w:val="nil" w:sz="6" w:space="0" w:color="auto"/>
              <w:bottom w:val="single" w:sz="4" w:space="0" w:color="000000"/>
              <w:right w:val="single" w:sz="4" w:space="0" w:color="000000"/>
            </w:tcBorders>
            <w:shd w:val="clear" w:color="auto" w:fill="D2D2D2"/>
          </w:tcPr>
          <w:p>
            <w:pPr/>
          </w:p>
        </w:tc>
        <w:tc>
          <w:tcPr>
            <w:tcW w:w="6503" w:type="dxa"/>
            <w:vMerge/>
            <w:tcBorders>
              <w:left w:val="single" w:sz="9" w:space="0" w:color="D2D2D2"/>
              <w:bottom w:val="single" w:sz="4" w:space="0" w:color="000000"/>
              <w:right w:val="nil" w:sz="6" w:space="0" w:color="auto"/>
            </w:tcBorders>
          </w:tcPr>
          <w:p>
            <w:pPr/>
          </w:p>
        </w:tc>
      </w:tr>
      <w:tr>
        <w:trPr>
          <w:trHeight w:val="402" w:hRule="exact"/>
        </w:trPr>
        <w:tc>
          <w:tcPr>
            <w:tcW w:w="303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0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报告期增加设备投资导致期末在建工程金额小幅增加。</w:t>
            </w:r>
          </w:p>
        </w:tc>
      </w:tr>
      <w:tr>
        <w:trPr>
          <w:trHeight w:val="402" w:hRule="exact"/>
        </w:trPr>
        <w:tc>
          <w:tcPr>
            <w:tcW w:w="3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1"/>
                <w:sz w:val="18"/>
                <w:szCs w:val="18"/>
              </w:rPr>
              <w:t>报告期的销售收入增加、采购付款票据结算占比增加等综合因素使经营活动产生的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34" w:type="dxa"/>
        <w:tblLayout w:type="fixed"/>
        <w:tblCellMar>
          <w:top w:w="0" w:type="dxa"/>
          <w:left w:w="0" w:type="dxa"/>
          <w:bottom w:w="0" w:type="dxa"/>
          <w:right w:w="0" w:type="dxa"/>
        </w:tblCellMar>
        <w:tblLook w:val="01E0"/>
      </w:tblPr>
      <w:tblGrid>
        <w:gridCol w:w="3066"/>
        <w:gridCol w:w="6517"/>
      </w:tblGrid>
      <w:tr>
        <w:trPr>
          <w:trHeight w:val="362" w:hRule="exact"/>
        </w:trPr>
        <w:tc>
          <w:tcPr>
            <w:tcW w:w="3066" w:type="dxa"/>
            <w:tcBorders>
              <w:top w:val="single" w:sz="4" w:space="0" w:color="000000"/>
              <w:left w:val="nil" w:sz="6" w:space="0" w:color="auto"/>
              <w:bottom w:val="single" w:sz="4" w:space="0" w:color="000000"/>
              <w:right w:val="single" w:sz="4" w:space="0" w:color="000000"/>
            </w:tcBorders>
          </w:tcPr>
          <w:p>
            <w:pPr/>
          </w:p>
        </w:tc>
        <w:tc>
          <w:tcPr>
            <w:tcW w:w="6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现金流量净额增加，故期末货币资金金额增加。</w:t>
            </w:r>
          </w:p>
        </w:tc>
      </w:tr>
      <w:tr>
        <w:trPr>
          <w:trHeight w:val="402" w:hRule="exact"/>
        </w:trPr>
        <w:tc>
          <w:tcPr>
            <w:tcW w:w="3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报告期内采购款项结算增加，导致预付款项减少。</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4"/>
          <w:szCs w:val="24"/>
        </w:rPr>
      </w:pPr>
    </w:p>
    <w:p>
      <w:pPr>
        <w:pStyle w:val="Heading5"/>
        <w:spacing w:line="307" w:lineRule="auto"/>
        <w:ind w:right="7182"/>
        <w:jc w:val="left"/>
      </w:pPr>
      <w:r>
        <w:rPr/>
        <w:t>公司是否需要遵守特殊行业的披露要求 否</w:t>
      </w:r>
    </w:p>
    <w:p>
      <w:pPr>
        <w:pStyle w:val="Heading5"/>
        <w:spacing w:line="240" w:lineRule="auto" w:before="91"/>
        <w:ind w:left="574" w:right="0"/>
        <w:jc w:val="left"/>
      </w:pPr>
      <w:r>
        <w:rPr/>
        <w:t>报告期内，公司新申请专利</w:t>
      </w:r>
      <w:r>
        <w:rPr>
          <w:rFonts w:ascii="Times New Roman" w:hAnsi="Times New Roman" w:cs="Times New Roman" w:eastAsia="Times New Roman" w:hint="default"/>
        </w:rPr>
        <w:t>29</w:t>
      </w:r>
      <w:r>
        <w:rPr/>
        <w:t>件，商标</w:t>
      </w:r>
      <w:r>
        <w:rPr>
          <w:rFonts w:ascii="Times New Roman" w:hAnsi="Times New Roman" w:cs="Times New Roman" w:eastAsia="Times New Roman" w:hint="default"/>
        </w:rPr>
        <w:t>2</w:t>
      </w:r>
      <w:r>
        <w:rPr/>
        <w:t>件，软著</w:t>
      </w:r>
      <w:r>
        <w:rPr>
          <w:rFonts w:ascii="Times New Roman" w:hAnsi="Times New Roman" w:cs="Times New Roman" w:eastAsia="Times New Roman" w:hint="default"/>
        </w:rPr>
        <w:t>14</w:t>
      </w:r>
      <w:r>
        <w:rPr/>
        <w:t>件；新获权专利</w:t>
      </w:r>
      <w:r>
        <w:rPr>
          <w:rFonts w:ascii="Times New Roman" w:hAnsi="Times New Roman" w:cs="Times New Roman" w:eastAsia="Times New Roman" w:hint="default"/>
        </w:rPr>
        <w:t>19</w:t>
      </w:r>
      <w:r>
        <w:rPr/>
        <w:t>件，商标</w:t>
      </w:r>
      <w:r>
        <w:rPr>
          <w:rFonts w:ascii="Times New Roman" w:hAnsi="Times New Roman" w:cs="Times New Roman" w:eastAsia="Times New Roman" w:hint="default"/>
        </w:rPr>
        <w:t>7</w:t>
      </w:r>
      <w:r>
        <w:rPr/>
        <w:t>件，软著</w:t>
      </w:r>
      <w:r>
        <w:rPr>
          <w:rFonts w:ascii="Times New Roman" w:hAnsi="Times New Roman" w:cs="Times New Roman" w:eastAsia="Times New Roman" w:hint="default"/>
        </w:rPr>
        <w:t>14</w:t>
      </w:r>
      <w:r>
        <w:rPr/>
        <w:t>件。截止</w:t>
      </w:r>
    </w:p>
    <w:p>
      <w:pPr>
        <w:pStyle w:val="Heading5"/>
        <w:spacing w:line="240" w:lineRule="auto" w:before="88"/>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日，公司及其全资子公司共拥有专利总数</w:t>
      </w:r>
      <w:r>
        <w:rPr>
          <w:rFonts w:ascii="Times New Roman" w:hAnsi="Times New Roman" w:cs="Times New Roman" w:eastAsia="Times New Roman" w:hint="default"/>
        </w:rPr>
        <w:t>134</w:t>
      </w:r>
      <w:r>
        <w:rPr/>
        <w:t>件，其中发明</w:t>
      </w:r>
      <w:r>
        <w:rPr>
          <w:rFonts w:ascii="Times New Roman" w:hAnsi="Times New Roman" w:cs="Times New Roman" w:eastAsia="Times New Roman" w:hint="default"/>
        </w:rPr>
        <w:t>33</w:t>
      </w:r>
      <w:r>
        <w:rPr/>
        <w:t>件，实用新型</w:t>
      </w:r>
      <w:r>
        <w:rPr>
          <w:rFonts w:ascii="Times New Roman" w:hAnsi="Times New Roman" w:cs="Times New Roman" w:eastAsia="Times New Roman" w:hint="default"/>
        </w:rPr>
        <w:t>68</w:t>
      </w:r>
      <w:r>
        <w:rPr/>
        <w:t>件，外观设计</w:t>
      </w:r>
    </w:p>
    <w:p>
      <w:pPr>
        <w:pStyle w:val="Heading5"/>
        <w:spacing w:line="314" w:lineRule="auto" w:before="89"/>
        <w:ind w:left="574" w:right="2667" w:hanging="420"/>
        <w:jc w:val="left"/>
      </w:pPr>
      <w:r>
        <w:rPr>
          <w:rFonts w:ascii="Times New Roman" w:hAnsi="Times New Roman" w:cs="Times New Roman" w:eastAsia="Times New Roman" w:hint="default"/>
        </w:rPr>
        <w:t>33</w:t>
      </w:r>
      <w:r>
        <w:rPr/>
        <w:t>件；拥有注册商标</w:t>
      </w:r>
      <w:r>
        <w:rPr>
          <w:rFonts w:ascii="Times New Roman" w:hAnsi="Times New Roman" w:cs="Times New Roman" w:eastAsia="Times New Roman" w:hint="default"/>
        </w:rPr>
        <w:t>106</w:t>
      </w:r>
      <w:r>
        <w:rPr/>
        <w:t>件，其中国内商标</w:t>
      </w:r>
      <w:r>
        <w:rPr>
          <w:rFonts w:ascii="Times New Roman" w:hAnsi="Times New Roman" w:cs="Times New Roman" w:eastAsia="Times New Roman" w:hint="default"/>
        </w:rPr>
        <w:t>100</w:t>
      </w:r>
      <w:r>
        <w:rPr/>
        <w:t>件，国外商标</w:t>
      </w:r>
      <w:r>
        <w:rPr>
          <w:rFonts w:ascii="Times New Roman" w:hAnsi="Times New Roman" w:cs="Times New Roman" w:eastAsia="Times New Roman" w:hint="default"/>
        </w:rPr>
        <w:t>6</w:t>
      </w:r>
      <w:r>
        <w:rPr/>
        <w:t>件；拥有软件著作权</w:t>
      </w:r>
      <w:r>
        <w:rPr>
          <w:rFonts w:ascii="Times New Roman" w:hAnsi="Times New Roman" w:cs="Times New Roman" w:eastAsia="Times New Roman" w:hint="default"/>
        </w:rPr>
        <w:t>55</w:t>
      </w:r>
      <w:r>
        <w:rPr/>
        <w:t>件。 一、专利</w:t>
      </w:r>
    </w:p>
    <w:p>
      <w:pPr>
        <w:pStyle w:val="Heading5"/>
        <w:spacing w:line="240" w:lineRule="auto" w:before="39"/>
        <w:ind w:left="574" w:right="0"/>
        <w:jc w:val="left"/>
      </w:pPr>
      <w:r>
        <w:rPr>
          <w:rFonts w:ascii="Times New Roman" w:hAnsi="Times New Roman" w:cs="Times New Roman" w:eastAsia="Times New Roman" w:hint="default"/>
        </w:rPr>
        <w:t>1</w:t>
      </w:r>
      <w:r>
        <w:rPr/>
        <w:t>、截止至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日，公司及其全资子公司专利情况如下：</w:t>
      </w:r>
    </w:p>
    <w:p>
      <w:pPr>
        <w:pStyle w:val="Heading5"/>
        <w:spacing w:line="240" w:lineRule="auto" w:before="89"/>
        <w:ind w:left="574" w:right="0"/>
        <w:jc w:val="left"/>
      </w:pPr>
      <w:r>
        <w:rPr>
          <w:rFonts w:ascii="Times New Roman" w:hAnsi="Times New Roman" w:cs="Times New Roman" w:eastAsia="Times New Roman" w:hint="default"/>
        </w:rPr>
        <w:t>1</w:t>
      </w:r>
      <w:r>
        <w:rPr/>
        <w:t>）、拥有授权专利的总数为</w:t>
      </w:r>
      <w:r>
        <w:rPr>
          <w:rFonts w:ascii="Times New Roman" w:hAnsi="Times New Roman" w:cs="Times New Roman" w:eastAsia="Times New Roman" w:hint="default"/>
        </w:rPr>
        <w:t>98</w:t>
      </w:r>
      <w:r>
        <w:rPr/>
        <w:t>件，其中发明</w:t>
      </w:r>
      <w:r>
        <w:rPr>
          <w:rFonts w:ascii="Times New Roman" w:hAnsi="Times New Roman" w:cs="Times New Roman" w:eastAsia="Times New Roman" w:hint="default"/>
        </w:rPr>
        <w:t>12</w:t>
      </w:r>
      <w:r>
        <w:rPr/>
        <w:t>件，实用新型</w:t>
      </w:r>
      <w:r>
        <w:rPr>
          <w:rFonts w:ascii="Times New Roman" w:hAnsi="Times New Roman" w:cs="Times New Roman" w:eastAsia="Times New Roman" w:hint="default"/>
        </w:rPr>
        <w:t>57</w:t>
      </w:r>
      <w:r>
        <w:rPr/>
        <w:t>件，外观设计</w:t>
      </w:r>
      <w:r>
        <w:rPr>
          <w:rFonts w:ascii="Times New Roman" w:hAnsi="Times New Roman" w:cs="Times New Roman" w:eastAsia="Times New Roman" w:hint="default"/>
        </w:rPr>
        <w:t>29</w:t>
      </w:r>
      <w:r>
        <w:rPr/>
        <w:t>件；</w:t>
      </w:r>
    </w:p>
    <w:p>
      <w:pPr>
        <w:pStyle w:val="Heading5"/>
        <w:spacing w:line="240" w:lineRule="auto" w:before="89"/>
        <w:ind w:left="574" w:right="0"/>
        <w:jc w:val="left"/>
      </w:pPr>
      <w:r>
        <w:rPr>
          <w:rFonts w:ascii="Times New Roman" w:hAnsi="Times New Roman" w:cs="Times New Roman" w:eastAsia="Times New Roman" w:hint="default"/>
        </w:rPr>
        <w:t>2</w:t>
      </w:r>
      <w:r>
        <w:rPr/>
        <w:t>）、正在申请的专利数量为</w:t>
      </w:r>
      <w:r>
        <w:rPr>
          <w:rFonts w:ascii="Times New Roman" w:hAnsi="Times New Roman" w:cs="Times New Roman" w:eastAsia="Times New Roman" w:hint="default"/>
        </w:rPr>
        <w:t>36</w:t>
      </w:r>
      <w:r>
        <w:rPr/>
        <w:t>件，其中发明</w:t>
      </w:r>
      <w:r>
        <w:rPr>
          <w:rFonts w:ascii="Times New Roman" w:hAnsi="Times New Roman" w:cs="Times New Roman" w:eastAsia="Times New Roman" w:hint="default"/>
        </w:rPr>
        <w:t>21</w:t>
      </w:r>
      <w:r>
        <w:rPr/>
        <w:t>项，实用新型</w:t>
      </w:r>
      <w:r>
        <w:rPr>
          <w:rFonts w:ascii="Times New Roman" w:hAnsi="Times New Roman" w:cs="Times New Roman" w:eastAsia="Times New Roman" w:hint="default"/>
        </w:rPr>
        <w:t>11</w:t>
      </w:r>
      <w:r>
        <w:rPr/>
        <w:t>项，外观设计</w:t>
      </w:r>
      <w:r>
        <w:rPr>
          <w:rFonts w:ascii="Times New Roman" w:hAnsi="Times New Roman" w:cs="Times New Roman" w:eastAsia="Times New Roman" w:hint="default"/>
        </w:rPr>
        <w:t>4</w:t>
      </w:r>
      <w:r>
        <w:rPr/>
        <w:t>项。</w:t>
      </w:r>
    </w:p>
    <w:p>
      <w:pPr>
        <w:spacing w:line="240" w:lineRule="auto" w:before="4"/>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4130"/>
        <w:gridCol w:w="1344"/>
        <w:gridCol w:w="1564"/>
        <w:gridCol w:w="1040"/>
        <w:gridCol w:w="1580"/>
      </w:tblGrid>
      <w:tr>
        <w:trPr>
          <w:trHeight w:val="342"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3"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状态</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342" w:hRule="exact"/>
        </w:trPr>
        <w:tc>
          <w:tcPr>
            <w:tcW w:w="4130" w:type="dxa"/>
            <w:vMerge w:val="restart"/>
            <w:tcBorders>
              <w:top w:val="single" w:sz="4" w:space="0" w:color="000000"/>
              <w:left w:val="nil" w:sz="6" w:space="0" w:color="auto"/>
              <w:right w:val="single" w:sz="4" w:space="0" w:color="000000"/>
            </w:tcBorders>
          </w:tcPr>
          <w:p>
            <w:pPr>
              <w:pStyle w:val="TableParagraph"/>
              <w:spacing w:line="271" w:lineRule="exact"/>
              <w:ind w:left="804" w:right="0"/>
              <w:jc w:val="left"/>
              <w:rPr>
                <w:rFonts w:ascii="宋体" w:hAnsi="宋体" w:cs="宋体" w:eastAsia="宋体" w:hint="default"/>
                <w:sz w:val="21"/>
                <w:szCs w:val="21"/>
              </w:rPr>
            </w:pPr>
            <w:r>
              <w:rPr>
                <w:rFonts w:ascii="宋体" w:hAnsi="宋体" w:cs="宋体" w:eastAsia="宋体" w:hint="default"/>
                <w:sz w:val="21"/>
                <w:szCs w:val="21"/>
              </w:rPr>
              <w:t>武汉金运激光股份有限公司</w:t>
            </w:r>
          </w:p>
        </w:tc>
        <w:tc>
          <w:tcPr>
            <w:tcW w:w="1344" w:type="dxa"/>
            <w:vMerge w:val="restart"/>
            <w:tcBorders>
              <w:top w:val="single" w:sz="4" w:space="0" w:color="000000"/>
              <w:left w:val="single" w:sz="4" w:space="0" w:color="000000"/>
              <w:right w:val="single" w:sz="4" w:space="0" w:color="000000"/>
            </w:tcBorders>
          </w:tcPr>
          <w:p>
            <w:pPr>
              <w:pStyle w:val="TableParagraph"/>
              <w:spacing w:line="271" w:lineRule="exact"/>
              <w:ind w:left="351" w:right="0"/>
              <w:jc w:val="left"/>
              <w:rPr>
                <w:rFonts w:ascii="宋体" w:hAnsi="宋体" w:cs="宋体" w:eastAsia="宋体" w:hint="default"/>
                <w:sz w:val="21"/>
                <w:szCs w:val="21"/>
              </w:rPr>
            </w:pPr>
            <w:r>
              <w:rPr>
                <w:rFonts w:ascii="宋体" w:hAnsi="宋体" w:cs="宋体" w:eastAsia="宋体" w:hint="default"/>
                <w:sz w:val="21"/>
                <w:szCs w:val="21"/>
              </w:rPr>
              <w:t>已授权</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10</w:t>
            </w:r>
          </w:p>
        </w:tc>
        <w:tc>
          <w:tcPr>
            <w:tcW w:w="1580" w:type="dxa"/>
            <w:vMerge w:val="restart"/>
            <w:tcBorders>
              <w:top w:val="single" w:sz="4" w:space="0" w:color="000000"/>
              <w:left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88</w:t>
            </w:r>
          </w:p>
        </w:tc>
      </w:tr>
      <w:tr>
        <w:trPr>
          <w:trHeight w:val="342" w:hRule="exact"/>
        </w:trPr>
        <w:tc>
          <w:tcPr>
            <w:tcW w:w="4130" w:type="dxa"/>
            <w:vMerge/>
            <w:tcBorders>
              <w:left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51</w:t>
            </w:r>
          </w:p>
        </w:tc>
        <w:tc>
          <w:tcPr>
            <w:tcW w:w="1580" w:type="dxa"/>
            <w:vMerge/>
            <w:tcBorders>
              <w:left w:val="single" w:sz="4" w:space="0" w:color="000000"/>
              <w:right w:val="nil" w:sz="6" w:space="0" w:color="auto"/>
            </w:tcBorders>
          </w:tcPr>
          <w:p>
            <w:pPr/>
          </w:p>
        </w:tc>
      </w:tr>
      <w:tr>
        <w:trPr>
          <w:trHeight w:val="342" w:hRule="exact"/>
        </w:trPr>
        <w:tc>
          <w:tcPr>
            <w:tcW w:w="4130" w:type="dxa"/>
            <w:vMerge/>
            <w:tcBorders>
              <w:left w:val="nil" w:sz="6" w:space="0" w:color="auto"/>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27</w:t>
            </w:r>
          </w:p>
        </w:tc>
        <w:tc>
          <w:tcPr>
            <w:tcW w:w="1580" w:type="dxa"/>
            <w:vMerge/>
            <w:tcBorders>
              <w:left w:val="single" w:sz="4" w:space="0" w:color="000000"/>
              <w:bottom w:val="single" w:sz="4" w:space="0" w:color="000000"/>
              <w:right w:val="nil" w:sz="6" w:space="0" w:color="auto"/>
            </w:tcBorders>
          </w:tcPr>
          <w:p>
            <w:pPr/>
          </w:p>
        </w:tc>
      </w:tr>
      <w:tr>
        <w:trPr>
          <w:trHeight w:val="342" w:hRule="exact"/>
        </w:trPr>
        <w:tc>
          <w:tcPr>
            <w:tcW w:w="4130" w:type="dxa"/>
            <w:vMerge/>
            <w:tcBorders>
              <w:left w:val="nil" w:sz="6" w:space="0" w:color="auto"/>
              <w:right w:val="single" w:sz="4" w:space="0" w:color="000000"/>
            </w:tcBorders>
          </w:tcPr>
          <w:p>
            <w:pPr/>
          </w:p>
        </w:tc>
        <w:tc>
          <w:tcPr>
            <w:tcW w:w="1344" w:type="dxa"/>
            <w:vMerge w:val="restart"/>
            <w:tcBorders>
              <w:top w:val="single" w:sz="4" w:space="0" w:color="000000"/>
              <w:left w:val="single" w:sz="4" w:space="0" w:color="000000"/>
              <w:right w:val="single" w:sz="4" w:space="0" w:color="000000"/>
            </w:tcBorders>
          </w:tcPr>
          <w:p>
            <w:pPr>
              <w:pStyle w:val="TableParagraph"/>
              <w:spacing w:line="271" w:lineRule="exact"/>
              <w:ind w:left="351" w:right="0"/>
              <w:jc w:val="left"/>
              <w:rPr>
                <w:rFonts w:ascii="宋体" w:hAnsi="宋体" w:cs="宋体" w:eastAsia="宋体" w:hint="default"/>
                <w:sz w:val="21"/>
                <w:szCs w:val="21"/>
              </w:rPr>
            </w:pPr>
            <w:r>
              <w:rPr>
                <w:rFonts w:ascii="宋体" w:hAnsi="宋体" w:cs="宋体" w:eastAsia="宋体" w:hint="default"/>
                <w:sz w:val="21"/>
                <w:szCs w:val="21"/>
              </w:rPr>
              <w:t>申请中</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14</w:t>
            </w:r>
          </w:p>
        </w:tc>
        <w:tc>
          <w:tcPr>
            <w:tcW w:w="1580" w:type="dxa"/>
            <w:vMerge w:val="restart"/>
            <w:tcBorders>
              <w:top w:val="single" w:sz="4" w:space="0" w:color="000000"/>
              <w:left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w:t>
            </w:r>
          </w:p>
        </w:tc>
      </w:tr>
      <w:tr>
        <w:trPr>
          <w:trHeight w:val="342" w:hRule="exact"/>
        </w:trPr>
        <w:tc>
          <w:tcPr>
            <w:tcW w:w="4130" w:type="dxa"/>
            <w:vMerge/>
            <w:tcBorders>
              <w:left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1580" w:type="dxa"/>
            <w:vMerge/>
            <w:tcBorders>
              <w:left w:val="single" w:sz="4" w:space="0" w:color="000000"/>
              <w:right w:val="nil" w:sz="6" w:space="0" w:color="auto"/>
            </w:tcBorders>
          </w:tcPr>
          <w:p>
            <w:pPr/>
          </w:p>
        </w:tc>
      </w:tr>
      <w:tr>
        <w:trPr>
          <w:trHeight w:val="342" w:hRule="exact"/>
        </w:trPr>
        <w:tc>
          <w:tcPr>
            <w:tcW w:w="4130" w:type="dxa"/>
            <w:vMerge/>
            <w:tcBorders>
              <w:left w:val="nil" w:sz="6" w:space="0" w:color="auto"/>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w:t>
            </w:r>
          </w:p>
        </w:tc>
        <w:tc>
          <w:tcPr>
            <w:tcW w:w="1580" w:type="dxa"/>
            <w:vMerge/>
            <w:tcBorders>
              <w:left w:val="single" w:sz="4" w:space="0" w:color="000000"/>
              <w:bottom w:val="single" w:sz="4" w:space="0" w:color="000000"/>
              <w:right w:val="nil" w:sz="6" w:space="0" w:color="auto"/>
            </w:tcBorders>
          </w:tcPr>
          <w:p>
            <w:pPr/>
          </w:p>
        </w:tc>
      </w:tr>
      <w:tr>
        <w:trPr>
          <w:trHeight w:val="342" w:hRule="exact"/>
        </w:trPr>
        <w:tc>
          <w:tcPr>
            <w:tcW w:w="4130" w:type="dxa"/>
            <w:vMerge w:val="restart"/>
            <w:tcBorders>
              <w:top w:val="single" w:sz="4" w:space="0" w:color="000000"/>
              <w:left w:val="nil" w:sz="6" w:space="0" w:color="auto"/>
              <w:right w:val="single" w:sz="4" w:space="0" w:color="000000"/>
            </w:tcBorders>
          </w:tcPr>
          <w:p>
            <w:pPr>
              <w:pStyle w:val="TableParagraph"/>
              <w:spacing w:line="271" w:lineRule="exact"/>
              <w:ind w:left="594" w:right="0"/>
              <w:jc w:val="left"/>
              <w:rPr>
                <w:rFonts w:ascii="宋体" w:hAnsi="宋体" w:cs="宋体" w:eastAsia="宋体" w:hint="default"/>
                <w:sz w:val="21"/>
                <w:szCs w:val="21"/>
              </w:rPr>
            </w:pPr>
            <w:r>
              <w:rPr>
                <w:rFonts w:ascii="宋体" w:hAnsi="宋体" w:cs="宋体" w:eastAsia="宋体" w:hint="default"/>
                <w:sz w:val="21"/>
                <w:szCs w:val="21"/>
              </w:rPr>
              <w:t>武汉金运激光产业发展有限公司</w:t>
            </w:r>
          </w:p>
        </w:tc>
        <w:tc>
          <w:tcPr>
            <w:tcW w:w="1344" w:type="dxa"/>
            <w:vMerge w:val="restart"/>
            <w:tcBorders>
              <w:top w:val="single" w:sz="4" w:space="0" w:color="000000"/>
              <w:left w:val="single" w:sz="4" w:space="0" w:color="000000"/>
              <w:right w:val="single" w:sz="4" w:space="0" w:color="000000"/>
            </w:tcBorders>
          </w:tcPr>
          <w:p>
            <w:pPr>
              <w:pStyle w:val="TableParagraph"/>
              <w:spacing w:line="271" w:lineRule="exact"/>
              <w:ind w:left="351" w:right="0"/>
              <w:jc w:val="left"/>
              <w:rPr>
                <w:rFonts w:ascii="宋体" w:hAnsi="宋体" w:cs="宋体" w:eastAsia="宋体" w:hint="default"/>
                <w:sz w:val="21"/>
                <w:szCs w:val="21"/>
              </w:rPr>
            </w:pPr>
            <w:r>
              <w:rPr>
                <w:rFonts w:ascii="宋体" w:hAnsi="宋体" w:cs="宋体" w:eastAsia="宋体" w:hint="default"/>
                <w:sz w:val="21"/>
                <w:szCs w:val="21"/>
              </w:rPr>
              <w:t>已授权</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w:t>
            </w:r>
          </w:p>
        </w:tc>
        <w:tc>
          <w:tcPr>
            <w:tcW w:w="1580" w:type="dxa"/>
            <w:vMerge w:val="restart"/>
            <w:tcBorders>
              <w:top w:val="single" w:sz="4" w:space="0" w:color="000000"/>
              <w:left w:val="single" w:sz="4" w:space="0" w:color="000000"/>
              <w:right w:val="nil" w:sz="6" w:space="0" w:color="auto"/>
            </w:tcBorders>
          </w:tcPr>
          <w:p>
            <w:pPr>
              <w:pStyle w:val="TableParagraph"/>
              <w:spacing w:line="240" w:lineRule="auto" w:before="45"/>
              <w:ind w:right="2"/>
              <w:jc w:val="center"/>
              <w:rPr>
                <w:rFonts w:ascii="Times New Roman" w:hAnsi="Times New Roman" w:cs="Times New Roman" w:eastAsia="Times New Roman" w:hint="default"/>
                <w:sz w:val="21"/>
                <w:szCs w:val="21"/>
              </w:rPr>
            </w:pPr>
            <w:r>
              <w:rPr>
                <w:rFonts w:ascii="Times New Roman"/>
                <w:sz w:val="21"/>
              </w:rPr>
              <w:t>3</w:t>
            </w:r>
          </w:p>
        </w:tc>
      </w:tr>
      <w:tr>
        <w:trPr>
          <w:trHeight w:val="342" w:hRule="exact"/>
        </w:trPr>
        <w:tc>
          <w:tcPr>
            <w:tcW w:w="4130" w:type="dxa"/>
            <w:vMerge/>
            <w:tcBorders>
              <w:left w:val="nil" w:sz="6" w:space="0" w:color="auto"/>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w:t>
            </w:r>
          </w:p>
        </w:tc>
        <w:tc>
          <w:tcPr>
            <w:tcW w:w="1580" w:type="dxa"/>
            <w:vMerge/>
            <w:tcBorders>
              <w:left w:val="single" w:sz="4" w:space="0" w:color="000000"/>
              <w:bottom w:val="single" w:sz="4" w:space="0" w:color="000000"/>
              <w:right w:val="nil" w:sz="6" w:space="0" w:color="auto"/>
            </w:tcBorders>
          </w:tcPr>
          <w:p>
            <w:pPr/>
          </w:p>
        </w:tc>
      </w:tr>
      <w:tr>
        <w:trPr>
          <w:trHeight w:val="342" w:hRule="exact"/>
        </w:trPr>
        <w:tc>
          <w:tcPr>
            <w:tcW w:w="4130" w:type="dxa"/>
            <w:vMerge/>
            <w:tcBorders>
              <w:left w:val="nil" w:sz="6" w:space="0" w:color="auto"/>
              <w:right w:val="single" w:sz="4" w:space="0" w:color="000000"/>
            </w:tcBorders>
          </w:tcPr>
          <w:p>
            <w:pPr/>
          </w:p>
        </w:tc>
        <w:tc>
          <w:tcPr>
            <w:tcW w:w="1344" w:type="dxa"/>
            <w:vMerge w:val="restart"/>
            <w:tcBorders>
              <w:top w:val="single" w:sz="4" w:space="0" w:color="000000"/>
              <w:left w:val="single" w:sz="4" w:space="0" w:color="000000"/>
              <w:right w:val="single" w:sz="4" w:space="0" w:color="000000"/>
            </w:tcBorders>
          </w:tcPr>
          <w:p>
            <w:pPr>
              <w:pStyle w:val="TableParagraph"/>
              <w:spacing w:line="271" w:lineRule="exact"/>
              <w:ind w:left="351" w:right="0"/>
              <w:jc w:val="left"/>
              <w:rPr>
                <w:rFonts w:ascii="宋体" w:hAnsi="宋体" w:cs="宋体" w:eastAsia="宋体" w:hint="default"/>
                <w:sz w:val="21"/>
                <w:szCs w:val="21"/>
              </w:rPr>
            </w:pPr>
            <w:r>
              <w:rPr>
                <w:rFonts w:ascii="宋体" w:hAnsi="宋体" w:cs="宋体" w:eastAsia="宋体" w:hint="default"/>
                <w:sz w:val="21"/>
                <w:szCs w:val="21"/>
              </w:rPr>
              <w:t>申请中</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w:t>
            </w:r>
          </w:p>
        </w:tc>
        <w:tc>
          <w:tcPr>
            <w:tcW w:w="1580" w:type="dxa"/>
            <w:vMerge w:val="restart"/>
            <w:tcBorders>
              <w:top w:val="single" w:sz="4" w:space="0" w:color="000000"/>
              <w:left w:val="single" w:sz="4" w:space="0" w:color="000000"/>
              <w:right w:val="nil" w:sz="6" w:space="0" w:color="auto"/>
            </w:tcBorders>
          </w:tcPr>
          <w:p>
            <w:pPr>
              <w:pStyle w:val="TableParagraph"/>
              <w:spacing w:line="240" w:lineRule="auto" w:before="45"/>
              <w:ind w:right="2"/>
              <w:jc w:val="center"/>
              <w:rPr>
                <w:rFonts w:ascii="Times New Roman" w:hAnsi="Times New Roman" w:cs="Times New Roman" w:eastAsia="Times New Roman" w:hint="default"/>
                <w:sz w:val="21"/>
                <w:szCs w:val="21"/>
              </w:rPr>
            </w:pPr>
            <w:r>
              <w:rPr>
                <w:rFonts w:ascii="Times New Roman"/>
                <w:sz w:val="21"/>
              </w:rPr>
              <w:t>8</w:t>
            </w:r>
          </w:p>
        </w:tc>
      </w:tr>
      <w:tr>
        <w:trPr>
          <w:trHeight w:val="342" w:hRule="exact"/>
        </w:trPr>
        <w:tc>
          <w:tcPr>
            <w:tcW w:w="4130" w:type="dxa"/>
            <w:vMerge/>
            <w:tcBorders>
              <w:left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w:t>
            </w:r>
          </w:p>
        </w:tc>
        <w:tc>
          <w:tcPr>
            <w:tcW w:w="1580" w:type="dxa"/>
            <w:vMerge/>
            <w:tcBorders>
              <w:left w:val="single" w:sz="4" w:space="0" w:color="000000"/>
              <w:right w:val="nil" w:sz="6" w:space="0" w:color="auto"/>
            </w:tcBorders>
          </w:tcPr>
          <w:p>
            <w:pPr/>
          </w:p>
        </w:tc>
      </w:tr>
      <w:tr>
        <w:trPr>
          <w:trHeight w:val="343" w:hRule="exact"/>
        </w:trPr>
        <w:tc>
          <w:tcPr>
            <w:tcW w:w="4130" w:type="dxa"/>
            <w:vMerge/>
            <w:tcBorders>
              <w:left w:val="nil" w:sz="6" w:space="0" w:color="auto"/>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w:t>
            </w:r>
          </w:p>
        </w:tc>
        <w:tc>
          <w:tcPr>
            <w:tcW w:w="1580" w:type="dxa"/>
            <w:vMerge/>
            <w:tcBorders>
              <w:left w:val="single" w:sz="4" w:space="0" w:color="000000"/>
              <w:bottom w:val="single" w:sz="4" w:space="0" w:color="000000"/>
              <w:right w:val="nil" w:sz="6" w:space="0" w:color="auto"/>
            </w:tcBorders>
          </w:tcPr>
          <w:p>
            <w:pPr/>
          </w:p>
        </w:tc>
      </w:tr>
      <w:tr>
        <w:trPr>
          <w:trHeight w:val="342" w:hRule="exact"/>
        </w:trPr>
        <w:tc>
          <w:tcPr>
            <w:tcW w:w="4130" w:type="dxa"/>
            <w:vMerge w:val="restart"/>
            <w:tcBorders>
              <w:top w:val="single" w:sz="4" w:space="0" w:color="000000"/>
              <w:left w:val="nil" w:sz="6" w:space="0" w:color="auto"/>
              <w:right w:val="single" w:sz="4" w:space="0" w:color="000000"/>
            </w:tcBorders>
          </w:tcPr>
          <w:p>
            <w:pPr>
              <w:pStyle w:val="TableParagraph"/>
              <w:spacing w:line="270" w:lineRule="exact"/>
              <w:ind w:left="594" w:right="0"/>
              <w:jc w:val="left"/>
              <w:rPr>
                <w:rFonts w:ascii="宋体" w:hAnsi="宋体" w:cs="宋体" w:eastAsia="宋体" w:hint="default"/>
                <w:sz w:val="21"/>
                <w:szCs w:val="21"/>
              </w:rPr>
            </w:pPr>
            <w:r>
              <w:rPr>
                <w:rFonts w:ascii="宋体" w:hAnsi="宋体" w:cs="宋体" w:eastAsia="宋体" w:hint="default"/>
                <w:sz w:val="21"/>
                <w:szCs w:val="21"/>
              </w:rPr>
              <w:t>武汉唯拓光纤激光工程有限公司</w:t>
            </w:r>
          </w:p>
        </w:tc>
        <w:tc>
          <w:tcPr>
            <w:tcW w:w="1344" w:type="dxa"/>
            <w:vMerge w:val="restart"/>
            <w:tcBorders>
              <w:top w:val="single" w:sz="4" w:space="0" w:color="000000"/>
              <w:left w:val="single" w:sz="4" w:space="0" w:color="000000"/>
              <w:right w:val="single" w:sz="4" w:space="0" w:color="000000"/>
            </w:tcBorders>
          </w:tcPr>
          <w:p>
            <w:pPr>
              <w:pStyle w:val="TableParagraph"/>
              <w:spacing w:line="270" w:lineRule="exact"/>
              <w:ind w:left="351" w:right="0"/>
              <w:jc w:val="left"/>
              <w:rPr>
                <w:rFonts w:ascii="宋体" w:hAnsi="宋体" w:cs="宋体" w:eastAsia="宋体" w:hint="default"/>
                <w:sz w:val="21"/>
                <w:szCs w:val="21"/>
              </w:rPr>
            </w:pPr>
            <w:r>
              <w:rPr>
                <w:rFonts w:ascii="宋体" w:hAnsi="宋体" w:cs="宋体" w:eastAsia="宋体" w:hint="default"/>
                <w:sz w:val="21"/>
                <w:szCs w:val="21"/>
              </w:rPr>
              <w:t>已授权</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w:t>
            </w:r>
          </w:p>
        </w:tc>
        <w:tc>
          <w:tcPr>
            <w:tcW w:w="1580" w:type="dxa"/>
            <w:vMerge w:val="restart"/>
            <w:tcBorders>
              <w:top w:val="single" w:sz="4" w:space="0" w:color="000000"/>
              <w:left w:val="single" w:sz="4"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7</w:t>
            </w:r>
          </w:p>
        </w:tc>
      </w:tr>
      <w:tr>
        <w:trPr>
          <w:trHeight w:val="342" w:hRule="exact"/>
        </w:trPr>
        <w:tc>
          <w:tcPr>
            <w:tcW w:w="4130" w:type="dxa"/>
            <w:vMerge/>
            <w:tcBorders>
              <w:left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w:t>
            </w:r>
          </w:p>
        </w:tc>
        <w:tc>
          <w:tcPr>
            <w:tcW w:w="1580" w:type="dxa"/>
            <w:vMerge/>
            <w:tcBorders>
              <w:left w:val="single" w:sz="4" w:space="0" w:color="000000"/>
              <w:right w:val="nil" w:sz="6" w:space="0" w:color="auto"/>
            </w:tcBorders>
          </w:tcPr>
          <w:p>
            <w:pPr/>
          </w:p>
        </w:tc>
      </w:tr>
      <w:tr>
        <w:trPr>
          <w:trHeight w:val="342" w:hRule="exact"/>
        </w:trPr>
        <w:tc>
          <w:tcPr>
            <w:tcW w:w="4130" w:type="dxa"/>
            <w:vMerge/>
            <w:tcBorders>
              <w:left w:val="nil" w:sz="6" w:space="0" w:color="auto"/>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w:t>
            </w:r>
          </w:p>
        </w:tc>
        <w:tc>
          <w:tcPr>
            <w:tcW w:w="1580" w:type="dxa"/>
            <w:vMerge/>
            <w:tcBorders>
              <w:left w:val="single" w:sz="4" w:space="0" w:color="000000"/>
              <w:bottom w:val="single" w:sz="4" w:space="0" w:color="000000"/>
              <w:right w:val="nil" w:sz="6" w:space="0" w:color="auto"/>
            </w:tcBorders>
          </w:tcPr>
          <w:p>
            <w:pPr/>
          </w:p>
        </w:tc>
      </w:tr>
      <w:tr>
        <w:trPr>
          <w:trHeight w:val="342" w:hRule="exact"/>
        </w:trPr>
        <w:tc>
          <w:tcPr>
            <w:tcW w:w="4130" w:type="dxa"/>
            <w:vMerge/>
            <w:tcBorders>
              <w:left w:val="nil" w:sz="6" w:space="0" w:color="auto"/>
              <w:right w:val="single" w:sz="4" w:space="0" w:color="000000"/>
            </w:tcBorders>
          </w:tcPr>
          <w:p>
            <w:pPr/>
          </w:p>
        </w:tc>
        <w:tc>
          <w:tcPr>
            <w:tcW w:w="1344" w:type="dxa"/>
            <w:vMerge w:val="restart"/>
            <w:tcBorders>
              <w:top w:val="single" w:sz="4" w:space="0" w:color="000000"/>
              <w:left w:val="single" w:sz="4" w:space="0" w:color="000000"/>
              <w:right w:val="single" w:sz="4" w:space="0" w:color="000000"/>
            </w:tcBorders>
          </w:tcPr>
          <w:p>
            <w:pPr>
              <w:pStyle w:val="TableParagraph"/>
              <w:spacing w:line="270" w:lineRule="exact"/>
              <w:ind w:left="351" w:right="0"/>
              <w:jc w:val="left"/>
              <w:rPr>
                <w:rFonts w:ascii="宋体" w:hAnsi="宋体" w:cs="宋体" w:eastAsia="宋体" w:hint="default"/>
                <w:sz w:val="21"/>
                <w:szCs w:val="21"/>
              </w:rPr>
            </w:pPr>
            <w:r>
              <w:rPr>
                <w:rFonts w:ascii="宋体" w:hAnsi="宋体" w:cs="宋体" w:eastAsia="宋体" w:hint="default"/>
                <w:sz w:val="21"/>
                <w:szCs w:val="21"/>
              </w:rPr>
              <w:t>申请中</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w:t>
            </w:r>
          </w:p>
        </w:tc>
        <w:tc>
          <w:tcPr>
            <w:tcW w:w="1580" w:type="dxa"/>
            <w:vMerge w:val="restart"/>
            <w:tcBorders>
              <w:top w:val="single" w:sz="4" w:space="0" w:color="000000"/>
              <w:left w:val="single" w:sz="4"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8</w:t>
            </w:r>
          </w:p>
        </w:tc>
      </w:tr>
      <w:tr>
        <w:trPr>
          <w:trHeight w:val="342" w:hRule="exact"/>
        </w:trPr>
        <w:tc>
          <w:tcPr>
            <w:tcW w:w="4130" w:type="dxa"/>
            <w:vMerge/>
            <w:tcBorders>
              <w:left w:val="nil" w:sz="6" w:space="0" w:color="auto"/>
              <w:right w:val="single" w:sz="4" w:space="0" w:color="000000"/>
            </w:tcBorders>
          </w:tcPr>
          <w:p>
            <w:pPr/>
          </w:p>
        </w:tc>
        <w:tc>
          <w:tcPr>
            <w:tcW w:w="1344" w:type="dxa"/>
            <w:vMerge/>
            <w:tcBorders>
              <w:left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w:t>
            </w:r>
          </w:p>
        </w:tc>
        <w:tc>
          <w:tcPr>
            <w:tcW w:w="1580" w:type="dxa"/>
            <w:vMerge/>
            <w:tcBorders>
              <w:left w:val="single" w:sz="4" w:space="0" w:color="000000"/>
              <w:right w:val="nil" w:sz="6" w:space="0" w:color="auto"/>
            </w:tcBorders>
          </w:tcPr>
          <w:p>
            <w:pPr/>
          </w:p>
        </w:tc>
      </w:tr>
      <w:tr>
        <w:trPr>
          <w:trHeight w:val="342" w:hRule="exact"/>
        </w:trPr>
        <w:tc>
          <w:tcPr>
            <w:tcW w:w="4130" w:type="dxa"/>
            <w:vMerge/>
            <w:tcBorders>
              <w:left w:val="nil" w:sz="6" w:space="0" w:color="auto"/>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w:t>
            </w:r>
          </w:p>
        </w:tc>
        <w:tc>
          <w:tcPr>
            <w:tcW w:w="1580" w:type="dxa"/>
            <w:vMerge/>
            <w:tcBorders>
              <w:left w:val="single" w:sz="4" w:space="0" w:color="000000"/>
              <w:bottom w:val="single" w:sz="4" w:space="0" w:color="000000"/>
              <w:right w:val="nil" w:sz="6" w:space="0" w:color="auto"/>
            </w:tcBorders>
          </w:tcPr>
          <w:p>
            <w:pPr/>
          </w:p>
        </w:tc>
      </w:tr>
    </w:tbl>
    <w:p>
      <w:pPr>
        <w:spacing w:line="240" w:lineRule="auto" w:before="8"/>
        <w:rPr>
          <w:rFonts w:ascii="宋体" w:hAnsi="宋体" w:cs="宋体" w:eastAsia="宋体" w:hint="default"/>
          <w:sz w:val="25"/>
          <w:szCs w:val="25"/>
        </w:rPr>
      </w:pPr>
    </w:p>
    <w:p>
      <w:pPr>
        <w:pStyle w:val="Heading5"/>
        <w:spacing w:line="240" w:lineRule="auto" w:before="35"/>
        <w:ind w:left="57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年全年，公司及其全资子公司专利情况如下：</w:t>
      </w:r>
    </w:p>
    <w:p>
      <w:pPr>
        <w:pStyle w:val="Heading5"/>
        <w:spacing w:line="240" w:lineRule="auto" w:before="89"/>
        <w:ind w:left="57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年获授权专利数量总数为</w:t>
      </w:r>
      <w:r>
        <w:rPr>
          <w:rFonts w:ascii="Times New Roman" w:hAnsi="Times New Roman" w:cs="Times New Roman" w:eastAsia="Times New Roman" w:hint="default"/>
        </w:rPr>
        <w:t>19</w:t>
      </w:r>
      <w:r>
        <w:rPr/>
        <w:t>件：发明</w:t>
      </w:r>
      <w:r>
        <w:rPr>
          <w:rFonts w:ascii="Times New Roman" w:hAnsi="Times New Roman" w:cs="Times New Roman" w:eastAsia="Times New Roman" w:hint="default"/>
        </w:rPr>
        <w:t>3</w:t>
      </w:r>
      <w:r>
        <w:rPr/>
        <w:t>件，实用新型</w:t>
      </w:r>
      <w:r>
        <w:rPr>
          <w:rFonts w:ascii="Times New Roman" w:hAnsi="Times New Roman" w:cs="Times New Roman" w:eastAsia="Times New Roman" w:hint="default"/>
        </w:rPr>
        <w:t>10</w:t>
      </w:r>
      <w:r>
        <w:rPr/>
        <w:t>件，外观设计</w:t>
      </w:r>
      <w:r>
        <w:rPr>
          <w:rFonts w:ascii="Times New Roman" w:hAnsi="Times New Roman" w:cs="Times New Roman" w:eastAsia="Times New Roman" w:hint="default"/>
        </w:rPr>
        <w:t>6</w:t>
      </w:r>
      <w:r>
        <w:rPr/>
        <w:t>件；</w:t>
      </w:r>
    </w:p>
    <w:p>
      <w:pPr>
        <w:pStyle w:val="Heading5"/>
        <w:spacing w:line="240" w:lineRule="auto" w:before="88"/>
        <w:ind w:left="57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年申请专利数量总数为</w:t>
      </w:r>
      <w:r>
        <w:rPr>
          <w:rFonts w:ascii="Times New Roman" w:hAnsi="Times New Roman" w:cs="Times New Roman" w:eastAsia="Times New Roman" w:hint="default"/>
        </w:rPr>
        <w:t>29</w:t>
      </w:r>
      <w:r>
        <w:rPr/>
        <w:t>件：发明</w:t>
      </w:r>
      <w:r>
        <w:rPr>
          <w:rFonts w:ascii="Times New Roman" w:hAnsi="Times New Roman" w:cs="Times New Roman" w:eastAsia="Times New Roman" w:hint="default"/>
        </w:rPr>
        <w:t>15</w:t>
      </w:r>
      <w:r>
        <w:rPr/>
        <w:t>件，实用新型</w:t>
      </w:r>
      <w:r>
        <w:rPr>
          <w:rFonts w:ascii="Times New Roman" w:hAnsi="Times New Roman" w:cs="Times New Roman" w:eastAsia="Times New Roman" w:hint="default"/>
        </w:rPr>
        <w:t>10</w:t>
      </w:r>
      <w:r>
        <w:rPr/>
        <w:t>件，外观设计</w:t>
      </w:r>
      <w:r>
        <w:rPr>
          <w:rFonts w:ascii="Times New Roman" w:hAnsi="Times New Roman" w:cs="Times New Roman" w:eastAsia="Times New Roman" w:hint="default"/>
        </w:rPr>
        <w:t>5</w:t>
      </w:r>
      <w:r>
        <w:rPr/>
        <w:t>件。</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4069"/>
        <w:gridCol w:w="1369"/>
        <w:gridCol w:w="1540"/>
        <w:gridCol w:w="1029"/>
        <w:gridCol w:w="1652"/>
      </w:tblGrid>
      <w:tr>
        <w:trPr>
          <w:trHeight w:val="410" w:hRule="exact"/>
        </w:trPr>
        <w:tc>
          <w:tcPr>
            <w:tcW w:w="4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sz w:val="21"/>
                <w:szCs w:val="21"/>
              </w:rPr>
              <w:t>状态</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4"/>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409" w:hRule="exact"/>
        </w:trPr>
        <w:tc>
          <w:tcPr>
            <w:tcW w:w="4069" w:type="dxa"/>
            <w:vMerge w:val="restart"/>
            <w:tcBorders>
              <w:top w:val="single" w:sz="4" w:space="0" w:color="000000"/>
              <w:left w:val="nil" w:sz="6" w:space="0" w:color="auto"/>
              <w:right w:val="single" w:sz="4" w:space="0" w:color="000000"/>
            </w:tcBorders>
          </w:tcPr>
          <w:p>
            <w:pPr>
              <w:pStyle w:val="TableParagraph"/>
              <w:spacing w:line="240" w:lineRule="auto" w:before="68"/>
              <w:ind w:left="773" w:right="0"/>
              <w:jc w:val="left"/>
              <w:rPr>
                <w:rFonts w:ascii="宋体" w:hAnsi="宋体" w:cs="宋体" w:eastAsia="宋体" w:hint="default"/>
                <w:sz w:val="21"/>
                <w:szCs w:val="21"/>
              </w:rPr>
            </w:pPr>
            <w:r>
              <w:rPr>
                <w:rFonts w:ascii="宋体" w:hAnsi="宋体" w:cs="宋体" w:eastAsia="宋体" w:hint="default"/>
                <w:sz w:val="21"/>
                <w:szCs w:val="21"/>
              </w:rPr>
              <w:t>武汉金运激光股份有限公司</w:t>
            </w: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68"/>
              <w:ind w:left="364" w:right="0"/>
              <w:jc w:val="left"/>
              <w:rPr>
                <w:rFonts w:ascii="宋体" w:hAnsi="宋体" w:cs="宋体" w:eastAsia="宋体" w:hint="default"/>
                <w:sz w:val="21"/>
                <w:szCs w:val="21"/>
              </w:rPr>
            </w:pPr>
            <w:r>
              <w:rPr>
                <w:rFonts w:ascii="宋体" w:hAnsi="宋体" w:cs="宋体" w:eastAsia="宋体" w:hint="default"/>
                <w:sz w:val="21"/>
                <w:szCs w:val="21"/>
              </w:rPr>
              <w:t>已授权</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21"/>
                <w:szCs w:val="21"/>
              </w:rPr>
            </w:pPr>
            <w:r>
              <w:rPr>
                <w:rFonts w:ascii="Times New Roman"/>
                <w:sz w:val="21"/>
              </w:rPr>
              <w:t>2</w:t>
            </w:r>
          </w:p>
        </w:tc>
        <w:tc>
          <w:tcPr>
            <w:tcW w:w="1652" w:type="dxa"/>
            <w:vMerge w:val="restart"/>
            <w:tcBorders>
              <w:top w:val="single" w:sz="4" w:space="0" w:color="000000"/>
              <w:left w:val="single" w:sz="4" w:space="0" w:color="000000"/>
              <w:right w:val="nil" w:sz="6" w:space="0" w:color="auto"/>
            </w:tcBorders>
          </w:tcPr>
          <w:p>
            <w:pPr>
              <w:pStyle w:val="TableParagraph"/>
              <w:spacing w:line="240" w:lineRule="auto" w:before="117"/>
              <w:ind w:right="1"/>
              <w:jc w:val="center"/>
              <w:rPr>
                <w:rFonts w:ascii="Times New Roman" w:hAnsi="Times New Roman" w:cs="Times New Roman" w:eastAsia="Times New Roman" w:hint="default"/>
                <w:sz w:val="21"/>
                <w:szCs w:val="21"/>
              </w:rPr>
            </w:pPr>
            <w:r>
              <w:rPr>
                <w:rFonts w:ascii="Times New Roman"/>
                <w:sz w:val="21"/>
              </w:rPr>
              <w:t>10</w:t>
            </w:r>
          </w:p>
        </w:tc>
      </w:tr>
      <w:tr>
        <w:trPr>
          <w:trHeight w:val="410" w:hRule="exact"/>
        </w:trPr>
        <w:tc>
          <w:tcPr>
            <w:tcW w:w="4069" w:type="dxa"/>
            <w:vMerge/>
            <w:tcBorders>
              <w:left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4</w:t>
            </w:r>
          </w:p>
        </w:tc>
        <w:tc>
          <w:tcPr>
            <w:tcW w:w="1652" w:type="dxa"/>
            <w:vMerge/>
            <w:tcBorders>
              <w:left w:val="single" w:sz="4" w:space="0" w:color="000000"/>
              <w:right w:val="nil" w:sz="6" w:space="0" w:color="auto"/>
            </w:tcBorders>
          </w:tcPr>
          <w:p>
            <w:pPr/>
          </w:p>
        </w:tc>
      </w:tr>
      <w:tr>
        <w:trPr>
          <w:trHeight w:val="411" w:hRule="exact"/>
        </w:trPr>
        <w:tc>
          <w:tcPr>
            <w:tcW w:w="4069" w:type="dxa"/>
            <w:vMerge/>
            <w:tcBorders>
              <w:left w:val="nil" w:sz="6" w:space="0" w:color="auto"/>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4</w:t>
            </w:r>
          </w:p>
        </w:tc>
        <w:tc>
          <w:tcPr>
            <w:tcW w:w="1652" w:type="dxa"/>
            <w:vMerge/>
            <w:tcBorders>
              <w:left w:val="single" w:sz="4" w:space="0" w:color="000000"/>
              <w:bottom w:val="single" w:sz="4" w:space="0" w:color="000000"/>
              <w:right w:val="nil" w:sz="6" w:space="0" w:color="auto"/>
            </w:tcBorders>
          </w:tcPr>
          <w:p>
            <w:pPr/>
          </w:p>
        </w:tc>
      </w:tr>
      <w:tr>
        <w:trPr>
          <w:trHeight w:val="409" w:hRule="exact"/>
        </w:trPr>
        <w:tc>
          <w:tcPr>
            <w:tcW w:w="4069" w:type="dxa"/>
            <w:vMerge/>
            <w:tcBorders>
              <w:left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68"/>
              <w:ind w:left="364" w:right="0"/>
              <w:jc w:val="left"/>
              <w:rPr>
                <w:rFonts w:ascii="宋体" w:hAnsi="宋体" w:cs="宋体" w:eastAsia="宋体" w:hint="default"/>
                <w:sz w:val="21"/>
                <w:szCs w:val="21"/>
              </w:rPr>
            </w:pPr>
            <w:r>
              <w:rPr>
                <w:rFonts w:ascii="宋体" w:hAnsi="宋体" w:cs="宋体" w:eastAsia="宋体" w:hint="default"/>
                <w:sz w:val="21"/>
                <w:szCs w:val="21"/>
              </w:rPr>
              <w:t>申请中</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21"/>
                <w:szCs w:val="21"/>
              </w:rPr>
            </w:pPr>
            <w:r>
              <w:rPr>
                <w:rFonts w:ascii="Times New Roman"/>
                <w:sz w:val="21"/>
              </w:rPr>
              <w:t>9</w:t>
            </w:r>
          </w:p>
        </w:tc>
        <w:tc>
          <w:tcPr>
            <w:tcW w:w="1652" w:type="dxa"/>
            <w:vMerge w:val="restart"/>
            <w:tcBorders>
              <w:top w:val="single" w:sz="4" w:space="0" w:color="000000"/>
              <w:left w:val="single" w:sz="4" w:space="0" w:color="000000"/>
              <w:right w:val="nil" w:sz="6" w:space="0" w:color="auto"/>
            </w:tcBorders>
          </w:tcPr>
          <w:p>
            <w:pPr>
              <w:pStyle w:val="TableParagraph"/>
              <w:spacing w:line="240" w:lineRule="auto" w:before="117"/>
              <w:ind w:right="1"/>
              <w:jc w:val="center"/>
              <w:rPr>
                <w:rFonts w:ascii="Times New Roman" w:hAnsi="Times New Roman" w:cs="Times New Roman" w:eastAsia="Times New Roman" w:hint="default"/>
                <w:sz w:val="21"/>
                <w:szCs w:val="21"/>
              </w:rPr>
            </w:pPr>
            <w:r>
              <w:rPr>
                <w:rFonts w:ascii="Times New Roman"/>
                <w:sz w:val="21"/>
              </w:rPr>
              <w:t>15</w:t>
            </w:r>
          </w:p>
        </w:tc>
      </w:tr>
      <w:tr>
        <w:trPr>
          <w:trHeight w:val="410" w:hRule="exact"/>
        </w:trPr>
        <w:tc>
          <w:tcPr>
            <w:tcW w:w="4069" w:type="dxa"/>
            <w:vMerge/>
            <w:tcBorders>
              <w:left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5</w:t>
            </w:r>
          </w:p>
        </w:tc>
        <w:tc>
          <w:tcPr>
            <w:tcW w:w="1652" w:type="dxa"/>
            <w:vMerge/>
            <w:tcBorders>
              <w:left w:val="single" w:sz="4" w:space="0" w:color="000000"/>
              <w:right w:val="nil" w:sz="6" w:space="0" w:color="auto"/>
            </w:tcBorders>
          </w:tcPr>
          <w:p>
            <w:pPr/>
          </w:p>
        </w:tc>
      </w:tr>
      <w:tr>
        <w:trPr>
          <w:trHeight w:val="410" w:hRule="exact"/>
        </w:trPr>
        <w:tc>
          <w:tcPr>
            <w:tcW w:w="4069" w:type="dxa"/>
            <w:vMerge/>
            <w:tcBorders>
              <w:left w:val="nil" w:sz="6" w:space="0" w:color="auto"/>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2</w:t>
            </w:r>
          </w:p>
        </w:tc>
        <w:tc>
          <w:tcPr>
            <w:tcW w:w="1652" w:type="dxa"/>
            <w:vMerge/>
            <w:tcBorders>
              <w:left w:val="single" w:sz="4" w:space="0" w:color="000000"/>
              <w:bottom w:val="single" w:sz="4" w:space="0" w:color="000000"/>
              <w:right w:val="nil" w:sz="6" w:space="0" w:color="auto"/>
            </w:tcBorders>
          </w:tcPr>
          <w:p>
            <w:pPr/>
          </w:p>
        </w:tc>
      </w:tr>
      <w:tr>
        <w:trPr>
          <w:trHeight w:val="409" w:hRule="exact"/>
        </w:trPr>
        <w:tc>
          <w:tcPr>
            <w:tcW w:w="4069" w:type="dxa"/>
            <w:vMerge w:val="restart"/>
            <w:tcBorders>
              <w:top w:val="single" w:sz="4" w:space="0" w:color="000000"/>
              <w:left w:val="nil" w:sz="6" w:space="0" w:color="auto"/>
              <w:right w:val="single" w:sz="4" w:space="0" w:color="000000"/>
            </w:tcBorders>
          </w:tcPr>
          <w:p>
            <w:pPr>
              <w:pStyle w:val="TableParagraph"/>
              <w:spacing w:line="240" w:lineRule="auto" w:before="68"/>
              <w:ind w:left="563" w:right="0"/>
              <w:jc w:val="left"/>
              <w:rPr>
                <w:rFonts w:ascii="宋体" w:hAnsi="宋体" w:cs="宋体" w:eastAsia="宋体" w:hint="default"/>
                <w:sz w:val="21"/>
                <w:szCs w:val="21"/>
              </w:rPr>
            </w:pPr>
            <w:r>
              <w:rPr>
                <w:rFonts w:ascii="宋体" w:hAnsi="宋体" w:cs="宋体" w:eastAsia="宋体" w:hint="default"/>
                <w:sz w:val="21"/>
                <w:szCs w:val="21"/>
              </w:rPr>
              <w:t>武汉金运激光产业发展有限公司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21"/>
                <w:szCs w:val="21"/>
              </w:rPr>
            </w:pPr>
            <w:r>
              <w:rPr>
                <w:rFonts w:ascii="宋体" w:hAnsi="宋体" w:cs="宋体" w:eastAsia="宋体" w:hint="default"/>
                <w:sz w:val="21"/>
                <w:szCs w:val="21"/>
              </w:rPr>
              <w:t>已授权</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21"/>
                <w:szCs w:val="21"/>
              </w:rPr>
            </w:pPr>
            <w:r>
              <w:rPr>
                <w:rFonts w:ascii="Times New Roman"/>
                <w:sz w:val="21"/>
              </w:rPr>
              <w:t>2</w:t>
            </w:r>
          </w:p>
        </w:tc>
        <w:tc>
          <w:tcPr>
            <w:tcW w:w="1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2"/>
              <w:jc w:val="center"/>
              <w:rPr>
                <w:rFonts w:ascii="Times New Roman" w:hAnsi="Times New Roman" w:cs="Times New Roman" w:eastAsia="Times New Roman" w:hint="default"/>
                <w:sz w:val="21"/>
                <w:szCs w:val="21"/>
              </w:rPr>
            </w:pPr>
            <w:r>
              <w:rPr>
                <w:rFonts w:ascii="Times New Roman"/>
                <w:sz w:val="21"/>
              </w:rPr>
              <w:t>2</w:t>
            </w:r>
          </w:p>
        </w:tc>
      </w:tr>
      <w:tr>
        <w:trPr>
          <w:trHeight w:val="410" w:hRule="exact"/>
        </w:trPr>
        <w:tc>
          <w:tcPr>
            <w:tcW w:w="4069" w:type="dxa"/>
            <w:vMerge/>
            <w:tcBorders>
              <w:left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69"/>
              <w:ind w:left="364" w:right="0"/>
              <w:jc w:val="left"/>
              <w:rPr>
                <w:rFonts w:ascii="宋体" w:hAnsi="宋体" w:cs="宋体" w:eastAsia="宋体" w:hint="default"/>
                <w:sz w:val="21"/>
                <w:szCs w:val="21"/>
              </w:rPr>
            </w:pPr>
            <w:r>
              <w:rPr>
                <w:rFonts w:ascii="宋体" w:hAnsi="宋体" w:cs="宋体" w:eastAsia="宋体" w:hint="default"/>
                <w:sz w:val="21"/>
                <w:szCs w:val="21"/>
              </w:rPr>
              <w:t>申请中</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4</w:t>
            </w:r>
          </w:p>
        </w:tc>
        <w:tc>
          <w:tcPr>
            <w:tcW w:w="1652" w:type="dxa"/>
            <w:vMerge w:val="restart"/>
            <w:tcBorders>
              <w:top w:val="single" w:sz="4" w:space="0" w:color="000000"/>
              <w:left w:val="single" w:sz="4" w:space="0" w:color="000000"/>
              <w:right w:val="nil" w:sz="6" w:space="0" w:color="auto"/>
            </w:tcBorders>
          </w:tcPr>
          <w:p>
            <w:pPr>
              <w:pStyle w:val="TableParagraph"/>
              <w:spacing w:line="240" w:lineRule="auto" w:before="118"/>
              <w:ind w:right="2"/>
              <w:jc w:val="center"/>
              <w:rPr>
                <w:rFonts w:ascii="Times New Roman" w:hAnsi="Times New Roman" w:cs="Times New Roman" w:eastAsia="Times New Roman" w:hint="default"/>
                <w:sz w:val="21"/>
                <w:szCs w:val="21"/>
              </w:rPr>
            </w:pPr>
            <w:r>
              <w:rPr>
                <w:rFonts w:ascii="Times New Roman"/>
                <w:sz w:val="21"/>
              </w:rPr>
              <w:t>8</w:t>
            </w:r>
          </w:p>
        </w:tc>
      </w:tr>
      <w:tr>
        <w:trPr>
          <w:trHeight w:val="410" w:hRule="exact"/>
        </w:trPr>
        <w:tc>
          <w:tcPr>
            <w:tcW w:w="4069" w:type="dxa"/>
            <w:vMerge/>
            <w:tcBorders>
              <w:left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3</w:t>
            </w:r>
          </w:p>
        </w:tc>
        <w:tc>
          <w:tcPr>
            <w:tcW w:w="1652" w:type="dxa"/>
            <w:vMerge/>
            <w:tcBorders>
              <w:left w:val="single" w:sz="4" w:space="0" w:color="000000"/>
              <w:right w:val="nil" w:sz="6" w:space="0" w:color="auto"/>
            </w:tcBorders>
          </w:tcPr>
          <w:p>
            <w:pPr/>
          </w:p>
        </w:tc>
      </w:tr>
      <w:tr>
        <w:trPr>
          <w:trHeight w:val="409" w:hRule="exact"/>
        </w:trPr>
        <w:tc>
          <w:tcPr>
            <w:tcW w:w="4069" w:type="dxa"/>
            <w:vMerge/>
            <w:tcBorders>
              <w:left w:val="nil" w:sz="6" w:space="0" w:color="auto"/>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21"/>
                <w:szCs w:val="21"/>
              </w:rPr>
            </w:pPr>
            <w:r>
              <w:rPr>
                <w:rFonts w:ascii="Times New Roman"/>
                <w:sz w:val="21"/>
              </w:rPr>
              <w:t>1</w:t>
            </w:r>
          </w:p>
        </w:tc>
        <w:tc>
          <w:tcPr>
            <w:tcW w:w="1652" w:type="dxa"/>
            <w:vMerge/>
            <w:tcBorders>
              <w:left w:val="single" w:sz="4" w:space="0" w:color="000000"/>
              <w:bottom w:val="single" w:sz="4" w:space="0" w:color="000000"/>
              <w:right w:val="nil" w:sz="6" w:space="0" w:color="auto"/>
            </w:tcBorders>
          </w:tcPr>
          <w:p>
            <w:pPr/>
          </w:p>
        </w:tc>
      </w:tr>
      <w:tr>
        <w:trPr>
          <w:trHeight w:val="410" w:hRule="exact"/>
        </w:trPr>
        <w:tc>
          <w:tcPr>
            <w:tcW w:w="4069" w:type="dxa"/>
            <w:vMerge w:val="restart"/>
            <w:tcBorders>
              <w:top w:val="single" w:sz="4" w:space="0" w:color="000000"/>
              <w:left w:val="nil" w:sz="6" w:space="0" w:color="auto"/>
              <w:right w:val="single" w:sz="4" w:space="0" w:color="000000"/>
            </w:tcBorders>
          </w:tcPr>
          <w:p>
            <w:pPr>
              <w:pStyle w:val="TableParagraph"/>
              <w:spacing w:line="240" w:lineRule="auto" w:before="69"/>
              <w:ind w:left="563" w:right="0"/>
              <w:jc w:val="left"/>
              <w:rPr>
                <w:rFonts w:ascii="宋体" w:hAnsi="宋体" w:cs="宋体" w:eastAsia="宋体" w:hint="default"/>
                <w:sz w:val="21"/>
                <w:szCs w:val="21"/>
              </w:rPr>
            </w:pPr>
            <w:r>
              <w:rPr>
                <w:rFonts w:ascii="宋体" w:hAnsi="宋体" w:cs="宋体" w:eastAsia="宋体" w:hint="default"/>
                <w:sz w:val="21"/>
                <w:szCs w:val="21"/>
              </w:rPr>
              <w:t>武汉唯拓光纤激光工程有限公司</w:t>
            </w: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69"/>
              <w:ind w:left="364" w:right="0"/>
              <w:jc w:val="left"/>
              <w:rPr>
                <w:rFonts w:ascii="宋体" w:hAnsi="宋体" w:cs="宋体" w:eastAsia="宋体" w:hint="default"/>
                <w:sz w:val="21"/>
                <w:szCs w:val="21"/>
              </w:rPr>
            </w:pPr>
            <w:r>
              <w:rPr>
                <w:rFonts w:ascii="宋体" w:hAnsi="宋体" w:cs="宋体" w:eastAsia="宋体" w:hint="default"/>
                <w:sz w:val="21"/>
                <w:szCs w:val="21"/>
              </w:rPr>
              <w:t>已授权</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1</w:t>
            </w:r>
          </w:p>
        </w:tc>
        <w:tc>
          <w:tcPr>
            <w:tcW w:w="1652" w:type="dxa"/>
            <w:vMerge w:val="restart"/>
            <w:tcBorders>
              <w:top w:val="single" w:sz="4" w:space="0" w:color="000000"/>
              <w:left w:val="single" w:sz="4" w:space="0" w:color="000000"/>
              <w:right w:val="nil" w:sz="6" w:space="0" w:color="auto"/>
            </w:tcBorders>
          </w:tcPr>
          <w:p>
            <w:pPr>
              <w:pStyle w:val="TableParagraph"/>
              <w:spacing w:line="240" w:lineRule="auto" w:before="118"/>
              <w:ind w:right="2"/>
              <w:jc w:val="center"/>
              <w:rPr>
                <w:rFonts w:ascii="Times New Roman" w:hAnsi="Times New Roman" w:cs="Times New Roman" w:eastAsia="Times New Roman" w:hint="default"/>
                <w:sz w:val="21"/>
                <w:szCs w:val="21"/>
              </w:rPr>
            </w:pPr>
            <w:r>
              <w:rPr>
                <w:rFonts w:ascii="Times New Roman"/>
                <w:sz w:val="21"/>
              </w:rPr>
              <w:t>7</w:t>
            </w:r>
          </w:p>
        </w:tc>
      </w:tr>
      <w:tr>
        <w:trPr>
          <w:trHeight w:val="410" w:hRule="exact"/>
        </w:trPr>
        <w:tc>
          <w:tcPr>
            <w:tcW w:w="4069" w:type="dxa"/>
            <w:vMerge/>
            <w:tcBorders>
              <w:left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4</w:t>
            </w:r>
          </w:p>
        </w:tc>
        <w:tc>
          <w:tcPr>
            <w:tcW w:w="1652" w:type="dxa"/>
            <w:vMerge/>
            <w:tcBorders>
              <w:left w:val="single" w:sz="4" w:space="0" w:color="000000"/>
              <w:right w:val="nil" w:sz="6" w:space="0" w:color="auto"/>
            </w:tcBorders>
          </w:tcPr>
          <w:p>
            <w:pPr/>
          </w:p>
        </w:tc>
      </w:tr>
      <w:tr>
        <w:trPr>
          <w:trHeight w:val="409" w:hRule="exact"/>
        </w:trPr>
        <w:tc>
          <w:tcPr>
            <w:tcW w:w="4069" w:type="dxa"/>
            <w:vMerge/>
            <w:tcBorders>
              <w:left w:val="nil" w:sz="6" w:space="0" w:color="auto"/>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21"/>
                <w:szCs w:val="21"/>
              </w:rPr>
            </w:pPr>
            <w:r>
              <w:rPr>
                <w:rFonts w:ascii="Times New Roman"/>
                <w:sz w:val="21"/>
              </w:rPr>
              <w:t>2</w:t>
            </w:r>
          </w:p>
        </w:tc>
        <w:tc>
          <w:tcPr>
            <w:tcW w:w="1652" w:type="dxa"/>
            <w:vMerge/>
            <w:tcBorders>
              <w:left w:val="single" w:sz="4" w:space="0" w:color="000000"/>
              <w:bottom w:val="single" w:sz="4" w:space="0" w:color="000000"/>
              <w:right w:val="nil" w:sz="6" w:space="0" w:color="auto"/>
            </w:tcBorders>
          </w:tcPr>
          <w:p>
            <w:pPr/>
          </w:p>
        </w:tc>
      </w:tr>
      <w:tr>
        <w:trPr>
          <w:trHeight w:val="410" w:hRule="exact"/>
        </w:trPr>
        <w:tc>
          <w:tcPr>
            <w:tcW w:w="4069" w:type="dxa"/>
            <w:vMerge/>
            <w:tcBorders>
              <w:left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69"/>
              <w:ind w:left="364" w:right="0"/>
              <w:jc w:val="left"/>
              <w:rPr>
                <w:rFonts w:ascii="宋体" w:hAnsi="宋体" w:cs="宋体" w:eastAsia="宋体" w:hint="default"/>
                <w:sz w:val="21"/>
                <w:szCs w:val="21"/>
              </w:rPr>
            </w:pPr>
            <w:r>
              <w:rPr>
                <w:rFonts w:ascii="宋体" w:hAnsi="宋体" w:cs="宋体" w:eastAsia="宋体" w:hint="default"/>
                <w:sz w:val="21"/>
                <w:szCs w:val="21"/>
              </w:rPr>
              <w:t>申请中</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2</w:t>
            </w:r>
          </w:p>
        </w:tc>
        <w:tc>
          <w:tcPr>
            <w:tcW w:w="1652" w:type="dxa"/>
            <w:vMerge w:val="restart"/>
            <w:tcBorders>
              <w:top w:val="single" w:sz="4" w:space="0" w:color="000000"/>
              <w:left w:val="single" w:sz="4" w:space="0" w:color="000000"/>
              <w:right w:val="nil" w:sz="6" w:space="0" w:color="auto"/>
            </w:tcBorders>
          </w:tcPr>
          <w:p>
            <w:pPr>
              <w:pStyle w:val="TableParagraph"/>
              <w:spacing w:line="240" w:lineRule="auto" w:before="118"/>
              <w:ind w:right="2"/>
              <w:jc w:val="center"/>
              <w:rPr>
                <w:rFonts w:ascii="Times New Roman" w:hAnsi="Times New Roman" w:cs="Times New Roman" w:eastAsia="Times New Roman" w:hint="default"/>
                <w:sz w:val="21"/>
                <w:szCs w:val="21"/>
              </w:rPr>
            </w:pPr>
            <w:r>
              <w:rPr>
                <w:rFonts w:ascii="Times New Roman"/>
                <w:sz w:val="21"/>
              </w:rPr>
              <w:t>6</w:t>
            </w:r>
          </w:p>
        </w:tc>
      </w:tr>
      <w:tr>
        <w:trPr>
          <w:trHeight w:val="410" w:hRule="exact"/>
        </w:trPr>
        <w:tc>
          <w:tcPr>
            <w:tcW w:w="4069" w:type="dxa"/>
            <w:vMerge/>
            <w:tcBorders>
              <w:left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2</w:t>
            </w:r>
          </w:p>
        </w:tc>
        <w:tc>
          <w:tcPr>
            <w:tcW w:w="1652" w:type="dxa"/>
            <w:vMerge/>
            <w:tcBorders>
              <w:left w:val="single" w:sz="4" w:space="0" w:color="000000"/>
              <w:right w:val="nil" w:sz="6" w:space="0" w:color="auto"/>
            </w:tcBorders>
          </w:tcPr>
          <w:p>
            <w:pPr/>
          </w:p>
        </w:tc>
      </w:tr>
      <w:tr>
        <w:trPr>
          <w:trHeight w:val="411" w:hRule="exact"/>
        </w:trPr>
        <w:tc>
          <w:tcPr>
            <w:tcW w:w="4069" w:type="dxa"/>
            <w:vMerge/>
            <w:tcBorders>
              <w:left w:val="nil" w:sz="6" w:space="0" w:color="auto"/>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21"/>
                <w:szCs w:val="21"/>
              </w:rPr>
            </w:pPr>
            <w:r>
              <w:rPr>
                <w:rFonts w:ascii="Times New Roman"/>
                <w:sz w:val="21"/>
              </w:rPr>
              <w:t>2</w:t>
            </w:r>
          </w:p>
        </w:tc>
        <w:tc>
          <w:tcPr>
            <w:tcW w:w="1652" w:type="dxa"/>
            <w:vMerge/>
            <w:tcBorders>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pStyle w:val="Heading5"/>
        <w:spacing w:line="240" w:lineRule="auto" w:before="176"/>
        <w:ind w:left="574" w:right="0"/>
        <w:jc w:val="left"/>
      </w:pPr>
      <w:r>
        <w:rPr/>
        <w:t>二、商标</w:t>
      </w:r>
    </w:p>
    <w:p>
      <w:pPr>
        <w:pStyle w:val="Heading5"/>
        <w:spacing w:line="240" w:lineRule="auto" w:before="105"/>
        <w:ind w:left="574" w:right="0"/>
        <w:jc w:val="left"/>
      </w:pPr>
      <w:r>
        <w:rPr>
          <w:rFonts w:ascii="Times New Roman" w:hAnsi="Times New Roman" w:cs="Times New Roman" w:eastAsia="Times New Roman" w:hint="default"/>
        </w:rPr>
        <w:t>1</w:t>
      </w:r>
      <w:r>
        <w:rPr/>
        <w:t>、截止至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日，公司及其全资子公司商标情况如下：</w:t>
      </w:r>
    </w:p>
    <w:p>
      <w:pPr>
        <w:pStyle w:val="Heading5"/>
        <w:spacing w:line="240" w:lineRule="auto" w:before="89"/>
        <w:ind w:left="574" w:right="0"/>
        <w:jc w:val="left"/>
      </w:pPr>
      <w:r>
        <w:rPr>
          <w:rFonts w:ascii="Times New Roman" w:hAnsi="Times New Roman" w:cs="Times New Roman" w:eastAsia="Times New Roman" w:hint="default"/>
        </w:rPr>
        <w:t>1</w:t>
      </w:r>
      <w:r>
        <w:rPr/>
        <w:t>）、拥有注册商标的总数为</w:t>
      </w:r>
      <w:r>
        <w:rPr>
          <w:rFonts w:ascii="Times New Roman" w:hAnsi="Times New Roman" w:cs="Times New Roman" w:eastAsia="Times New Roman" w:hint="default"/>
        </w:rPr>
        <w:t>106</w:t>
      </w:r>
      <w:r>
        <w:rPr/>
        <w:t>件，其中国内商标</w:t>
      </w:r>
      <w:r>
        <w:rPr>
          <w:rFonts w:ascii="Times New Roman" w:hAnsi="Times New Roman" w:cs="Times New Roman" w:eastAsia="Times New Roman" w:hint="default"/>
        </w:rPr>
        <w:t>100</w:t>
      </w:r>
      <w:r>
        <w:rPr/>
        <w:t>件，国外商标</w:t>
      </w:r>
      <w:r>
        <w:rPr>
          <w:rFonts w:ascii="Times New Roman" w:hAnsi="Times New Roman" w:cs="Times New Roman" w:eastAsia="Times New Roman" w:hint="default"/>
        </w:rPr>
        <w:t>6</w:t>
      </w:r>
      <w:r>
        <w:rPr/>
        <w:t>件；</w:t>
      </w:r>
    </w:p>
    <w:p>
      <w:pPr>
        <w:pStyle w:val="Heading5"/>
        <w:spacing w:line="240" w:lineRule="auto" w:before="88"/>
        <w:ind w:left="580" w:right="0"/>
        <w:jc w:val="left"/>
      </w:pPr>
      <w:r>
        <w:rPr>
          <w:rFonts w:ascii="Times New Roman" w:hAnsi="Times New Roman" w:cs="Times New Roman" w:eastAsia="Times New Roman" w:hint="default"/>
        </w:rPr>
        <w:t>2</w:t>
      </w:r>
      <w:r>
        <w:rPr/>
        <w:t>）、正在申请的商标数量为</w:t>
      </w:r>
      <w:r>
        <w:rPr>
          <w:rFonts w:ascii="Times New Roman" w:hAnsi="Times New Roman" w:cs="Times New Roman" w:eastAsia="Times New Roman" w:hint="default"/>
        </w:rPr>
        <w:t>2</w:t>
      </w:r>
      <w:r>
        <w:rPr/>
        <w:t>件。</w:t>
      </w:r>
    </w:p>
    <w:p>
      <w:pPr>
        <w:spacing w:line="240" w:lineRule="auto" w:before="5"/>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4045"/>
        <w:gridCol w:w="1530"/>
        <w:gridCol w:w="2042"/>
        <w:gridCol w:w="2042"/>
      </w:tblGrid>
      <w:tr>
        <w:trPr>
          <w:trHeight w:val="41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sz w:val="21"/>
                <w:szCs w:val="21"/>
              </w:rPr>
              <w:t>状态</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2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2"/>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409" w:hRule="exact"/>
        </w:trPr>
        <w:tc>
          <w:tcPr>
            <w:tcW w:w="4045" w:type="dxa"/>
            <w:vMerge w:val="restart"/>
            <w:tcBorders>
              <w:top w:val="single" w:sz="4" w:space="0" w:color="000000"/>
              <w:left w:val="nil" w:sz="6" w:space="0" w:color="auto"/>
              <w:right w:val="single" w:sz="4" w:space="0" w:color="000000"/>
            </w:tcBorders>
          </w:tcPr>
          <w:p>
            <w:pPr>
              <w:pStyle w:val="TableParagraph"/>
              <w:spacing w:line="240" w:lineRule="auto" w:before="68"/>
              <w:ind w:left="761" w:right="0"/>
              <w:jc w:val="left"/>
              <w:rPr>
                <w:rFonts w:ascii="宋体" w:hAnsi="宋体" w:cs="宋体" w:eastAsia="宋体" w:hint="default"/>
                <w:sz w:val="21"/>
                <w:szCs w:val="21"/>
              </w:rPr>
            </w:pPr>
            <w:r>
              <w:rPr>
                <w:rFonts w:ascii="宋体" w:hAnsi="宋体" w:cs="宋体" w:eastAsia="宋体" w:hint="default"/>
                <w:sz w:val="21"/>
                <w:szCs w:val="21"/>
              </w:rPr>
              <w:t>武汉金运激光股份有限公司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21"/>
                <w:szCs w:val="21"/>
              </w:rPr>
            </w:pPr>
            <w:r>
              <w:rPr>
                <w:rFonts w:ascii="宋体" w:hAnsi="宋体" w:cs="宋体" w:eastAsia="宋体" w:hint="default"/>
                <w:sz w:val="21"/>
                <w:szCs w:val="21"/>
              </w:rPr>
              <w:t>已获批</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Times New Roman" w:hAnsi="Times New Roman" w:cs="Times New Roman" w:eastAsia="Times New Roman" w:hint="default"/>
                <w:sz w:val="21"/>
                <w:szCs w:val="21"/>
              </w:rPr>
            </w:pPr>
            <w:r>
              <w:rPr>
                <w:rFonts w:ascii="Times New Roman"/>
                <w:sz w:val="21"/>
              </w:rPr>
              <w:t>103</w:t>
            </w:r>
          </w:p>
        </w:tc>
        <w:tc>
          <w:tcPr>
            <w:tcW w:w="2042" w:type="dxa"/>
            <w:vMerge w:val="restart"/>
            <w:tcBorders>
              <w:top w:val="single" w:sz="4" w:space="0" w:color="000000"/>
              <w:left w:val="single" w:sz="4" w:space="0" w:color="000000"/>
              <w:right w:val="nil" w:sz="6" w:space="0" w:color="auto"/>
            </w:tcBorders>
          </w:tcPr>
          <w:p>
            <w:pPr>
              <w:pStyle w:val="TableParagraph"/>
              <w:spacing w:line="240" w:lineRule="auto" w:before="117"/>
              <w:ind w:right="2"/>
              <w:jc w:val="center"/>
              <w:rPr>
                <w:rFonts w:ascii="Times New Roman" w:hAnsi="Times New Roman" w:cs="Times New Roman" w:eastAsia="Times New Roman" w:hint="default"/>
                <w:sz w:val="21"/>
                <w:szCs w:val="21"/>
              </w:rPr>
            </w:pPr>
            <w:r>
              <w:rPr>
                <w:rFonts w:ascii="Times New Roman"/>
                <w:sz w:val="21"/>
              </w:rPr>
              <w:t>105</w:t>
            </w:r>
          </w:p>
        </w:tc>
      </w:tr>
      <w:tr>
        <w:trPr>
          <w:trHeight w:val="410" w:hRule="exact"/>
        </w:trPr>
        <w:tc>
          <w:tcPr>
            <w:tcW w:w="4045" w:type="dxa"/>
            <w:vMerge/>
            <w:tcBorders>
              <w:left w:val="nil" w:sz="6" w:space="0" w:color="auto"/>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申请中</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2</w:t>
            </w:r>
          </w:p>
        </w:tc>
        <w:tc>
          <w:tcPr>
            <w:tcW w:w="2042" w:type="dxa"/>
            <w:vMerge/>
            <w:tcBorders>
              <w:left w:val="single" w:sz="4" w:space="0" w:color="000000"/>
              <w:bottom w:val="single" w:sz="4" w:space="0" w:color="000000"/>
              <w:right w:val="nil" w:sz="6" w:space="0" w:color="auto"/>
            </w:tcBorders>
          </w:tcPr>
          <w:p>
            <w:pPr/>
          </w:p>
        </w:tc>
      </w:tr>
      <w:tr>
        <w:trPr>
          <w:trHeight w:val="41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武汉唯拓光纤激光工程有限公司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已获批</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3</w:t>
            </w:r>
          </w:p>
        </w:tc>
        <w:tc>
          <w:tcPr>
            <w:tcW w:w="2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center"/>
              <w:rPr>
                <w:rFonts w:ascii="Times New Roman" w:hAnsi="Times New Roman" w:cs="Times New Roman" w:eastAsia="Times New Roman" w:hint="default"/>
                <w:sz w:val="21"/>
                <w:szCs w:val="21"/>
              </w:rPr>
            </w:pPr>
            <w:r>
              <w:rPr>
                <w:rFonts w:ascii="Times New Roman"/>
                <w:sz w:val="21"/>
              </w:rPr>
              <w:t>3</w:t>
            </w:r>
          </w:p>
        </w:tc>
      </w:tr>
    </w:tbl>
    <w:p>
      <w:pPr>
        <w:spacing w:line="240" w:lineRule="auto" w:before="0"/>
        <w:rPr>
          <w:rFonts w:ascii="宋体" w:hAnsi="宋体" w:cs="宋体" w:eastAsia="宋体" w:hint="default"/>
          <w:sz w:val="20"/>
          <w:szCs w:val="20"/>
        </w:rPr>
      </w:pPr>
    </w:p>
    <w:p>
      <w:pPr>
        <w:pStyle w:val="Heading5"/>
        <w:spacing w:line="312" w:lineRule="auto" w:before="177"/>
        <w:ind w:left="574" w:right="5082"/>
        <w:jc w:val="left"/>
      </w:pPr>
      <w:r>
        <w:rPr/>
        <w:pict>
          <v:shape style="position:absolute;margin-left:55.980011pt;margin-top:43.913685pt;width:483.7pt;height:62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45"/>
                    <w:gridCol w:w="1530"/>
                    <w:gridCol w:w="2042"/>
                    <w:gridCol w:w="2042"/>
                  </w:tblGrid>
                  <w:tr>
                    <w:trPr>
                      <w:trHeight w:val="41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sz w:val="21"/>
                            <w:szCs w:val="21"/>
                          </w:rPr>
                          <w:t>状态</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2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2"/>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409" w:hRule="exact"/>
                    </w:trPr>
                    <w:tc>
                      <w:tcPr>
                        <w:tcW w:w="4045" w:type="dxa"/>
                        <w:vMerge w:val="restart"/>
                        <w:tcBorders>
                          <w:top w:val="single" w:sz="4" w:space="0" w:color="000000"/>
                          <w:left w:val="nil" w:sz="6" w:space="0" w:color="auto"/>
                          <w:right w:val="single" w:sz="4" w:space="0" w:color="000000"/>
                        </w:tcBorders>
                      </w:tcPr>
                      <w:p>
                        <w:pPr>
                          <w:pStyle w:val="TableParagraph"/>
                          <w:spacing w:line="240" w:lineRule="auto" w:before="68"/>
                          <w:ind w:left="761" w:right="0"/>
                          <w:jc w:val="left"/>
                          <w:rPr>
                            <w:rFonts w:ascii="宋体" w:hAnsi="宋体" w:cs="宋体" w:eastAsia="宋体" w:hint="default"/>
                            <w:sz w:val="21"/>
                            <w:szCs w:val="21"/>
                          </w:rPr>
                        </w:pPr>
                        <w:r>
                          <w:rPr>
                            <w:rFonts w:ascii="宋体" w:hAnsi="宋体" w:cs="宋体" w:eastAsia="宋体" w:hint="default"/>
                            <w:sz w:val="21"/>
                            <w:szCs w:val="21"/>
                          </w:rPr>
                          <w:t>武汉金运激光股份有限公司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21"/>
                            <w:szCs w:val="21"/>
                          </w:rPr>
                        </w:pPr>
                        <w:r>
                          <w:rPr>
                            <w:rFonts w:ascii="宋体" w:hAnsi="宋体" w:cs="宋体" w:eastAsia="宋体" w:hint="default"/>
                            <w:sz w:val="21"/>
                            <w:szCs w:val="21"/>
                          </w:rPr>
                          <w:t>已获批</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Times New Roman" w:hAnsi="Times New Roman" w:cs="Times New Roman" w:eastAsia="Times New Roman" w:hint="default"/>
                            <w:sz w:val="21"/>
                            <w:szCs w:val="21"/>
                          </w:rPr>
                        </w:pPr>
                        <w:r>
                          <w:rPr>
                            <w:rFonts w:ascii="Times New Roman"/>
                            <w:sz w:val="21"/>
                          </w:rPr>
                          <w:t>7</w:t>
                        </w:r>
                      </w:p>
                    </w:tc>
                    <w:tc>
                      <w:tcPr>
                        <w:tcW w:w="2042" w:type="dxa"/>
                        <w:vMerge w:val="restart"/>
                        <w:tcBorders>
                          <w:top w:val="single" w:sz="4" w:space="0" w:color="000000"/>
                          <w:left w:val="single" w:sz="4" w:space="0" w:color="000000"/>
                          <w:right w:val="nil" w:sz="6" w:space="0" w:color="auto"/>
                        </w:tcBorders>
                      </w:tcPr>
                      <w:p>
                        <w:pPr>
                          <w:pStyle w:val="TableParagraph"/>
                          <w:spacing w:line="240" w:lineRule="auto" w:before="117"/>
                          <w:ind w:right="1"/>
                          <w:jc w:val="center"/>
                          <w:rPr>
                            <w:rFonts w:ascii="Times New Roman" w:hAnsi="Times New Roman" w:cs="Times New Roman" w:eastAsia="Times New Roman" w:hint="default"/>
                            <w:sz w:val="21"/>
                            <w:szCs w:val="21"/>
                          </w:rPr>
                        </w:pPr>
                        <w:r>
                          <w:rPr>
                            <w:rFonts w:ascii="Times New Roman"/>
                            <w:sz w:val="21"/>
                          </w:rPr>
                          <w:t>9</w:t>
                        </w:r>
                      </w:p>
                    </w:tc>
                  </w:tr>
                  <w:tr>
                    <w:trPr>
                      <w:trHeight w:val="411" w:hRule="exact"/>
                    </w:trPr>
                    <w:tc>
                      <w:tcPr>
                        <w:tcW w:w="4045" w:type="dxa"/>
                        <w:vMerge/>
                        <w:tcBorders>
                          <w:left w:val="nil" w:sz="6" w:space="0" w:color="auto"/>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申请中</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2</w:t>
                        </w:r>
                      </w:p>
                    </w:tc>
                    <w:tc>
                      <w:tcPr>
                        <w:tcW w:w="2042" w:type="dxa"/>
                        <w:vMerge/>
                        <w:tcBorders>
                          <w:left w:val="single" w:sz="4" w:space="0" w:color="000000"/>
                          <w:bottom w:val="single" w:sz="4" w:space="0" w:color="000000"/>
                          <w:right w:val="nil" w:sz="6" w:space="0" w:color="auto"/>
                        </w:tcBorders>
                      </w:tcPr>
                      <w:p>
                        <w:pPr/>
                      </w:p>
                    </w:tc>
                  </w:tr>
                </w:tbl>
                <w:p>
                  <w:pPr/>
                </w:p>
              </w:txbxContent>
            </v:textbox>
            <w10:wrap type="none"/>
          </v:shape>
        </w:pic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年全年，公司及其全资子公司商标情况如下： 获得注册的商标总数为</w:t>
      </w:r>
      <w:r>
        <w:rPr>
          <w:rFonts w:ascii="Times New Roman" w:hAnsi="Times New Roman" w:cs="Times New Roman" w:eastAsia="Times New Roman" w:hint="default"/>
        </w:rPr>
        <w:t>7</w:t>
      </w:r>
      <w:r>
        <w:rPr/>
        <w:t>件，正在申请的商标数量为</w:t>
      </w:r>
      <w:r>
        <w:rPr>
          <w:rFonts w:ascii="Times New Roman" w:hAnsi="Times New Roman" w:cs="Times New Roman" w:eastAsia="Times New Roman" w:hint="default"/>
        </w:rPr>
        <w:t>2</w:t>
      </w:r>
      <w:r>
        <w:rPr/>
        <w:t>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5"/>
        <w:spacing w:line="240" w:lineRule="auto" w:before="35"/>
        <w:ind w:left="574" w:right="0"/>
        <w:jc w:val="left"/>
      </w:pPr>
      <w:r>
        <w:rPr/>
        <w:t>三、软件著作权</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5"/>
        <w:spacing w:line="240" w:lineRule="auto" w:before="169"/>
        <w:ind w:left="574" w:right="0"/>
        <w:jc w:val="left"/>
      </w:pPr>
      <w:r>
        <w:rPr>
          <w:rFonts w:ascii="Times New Roman" w:hAnsi="Times New Roman" w:cs="Times New Roman" w:eastAsia="Times New Roman" w:hint="default"/>
        </w:rPr>
        <w:t>1</w:t>
      </w:r>
      <w:r>
        <w:rPr/>
        <w:t>、截止至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日，公司及其全资子公司拥有软件著作权的总数为</w:t>
      </w:r>
      <w:r>
        <w:rPr>
          <w:rFonts w:ascii="Times New Roman" w:hAnsi="Times New Roman" w:cs="Times New Roman" w:eastAsia="Times New Roman" w:hint="default"/>
        </w:rPr>
        <w:t>55</w:t>
      </w:r>
      <w:r>
        <w:rPr/>
        <w:t>件。</w:t>
      </w:r>
    </w:p>
    <w:p>
      <w:pPr>
        <w:spacing w:line="240" w:lineRule="auto" w:before="5"/>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4045"/>
        <w:gridCol w:w="1530"/>
        <w:gridCol w:w="2042"/>
        <w:gridCol w:w="2042"/>
      </w:tblGrid>
      <w:tr>
        <w:trPr>
          <w:trHeight w:val="409"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宋体" w:hAnsi="宋体" w:cs="宋体" w:eastAsia="宋体" w:hint="default"/>
                <w:sz w:val="21"/>
                <w:szCs w:val="21"/>
              </w:rPr>
            </w:pPr>
            <w:r>
              <w:rPr>
                <w:rFonts w:ascii="宋体" w:hAnsi="宋体" w:cs="宋体" w:eastAsia="宋体" w:hint="default"/>
                <w:sz w:val="21"/>
                <w:szCs w:val="21"/>
              </w:rPr>
              <w:t>状态</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2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2"/>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41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武汉金运激光股份有限公司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已登记</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35</w:t>
            </w:r>
          </w:p>
        </w:tc>
        <w:tc>
          <w:tcPr>
            <w:tcW w:w="2042" w:type="dxa"/>
            <w:vMerge w:val="restart"/>
            <w:tcBorders>
              <w:top w:val="single" w:sz="4" w:space="0" w:color="000000"/>
              <w:left w:val="single" w:sz="4" w:space="0" w:color="000000"/>
              <w:right w:val="nil" w:sz="6" w:space="0" w:color="auto"/>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55</w:t>
            </w:r>
          </w:p>
        </w:tc>
      </w:tr>
      <w:tr>
        <w:trPr>
          <w:trHeight w:val="411"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金运数字技术（武汉）有限公司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已登记</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10</w:t>
            </w:r>
          </w:p>
        </w:tc>
        <w:tc>
          <w:tcPr>
            <w:tcW w:w="2042" w:type="dxa"/>
            <w:vMerge/>
            <w:tcBorders>
              <w:left w:val="single" w:sz="4" w:space="0" w:color="000000"/>
              <w:right w:val="nil" w:sz="6" w:space="0" w:color="auto"/>
            </w:tcBorders>
          </w:tcPr>
          <w:p>
            <w:pPr/>
          </w:p>
        </w:tc>
      </w:tr>
      <w:tr>
        <w:trPr>
          <w:trHeight w:val="409"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21"/>
                <w:szCs w:val="21"/>
              </w:rPr>
            </w:pPr>
            <w:r>
              <w:rPr>
                <w:rFonts w:ascii="宋体" w:hAnsi="宋体" w:cs="宋体" w:eastAsia="宋体" w:hint="default"/>
                <w:sz w:val="21"/>
                <w:szCs w:val="21"/>
              </w:rPr>
              <w:t>武汉金运激光产业发展有限公司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21"/>
                <w:szCs w:val="21"/>
              </w:rPr>
            </w:pPr>
            <w:r>
              <w:rPr>
                <w:rFonts w:ascii="宋体" w:hAnsi="宋体" w:cs="宋体" w:eastAsia="宋体" w:hint="default"/>
                <w:sz w:val="21"/>
                <w:szCs w:val="21"/>
              </w:rPr>
              <w:t>已登记</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Times New Roman" w:hAnsi="Times New Roman" w:cs="Times New Roman" w:eastAsia="Times New Roman" w:hint="default"/>
                <w:sz w:val="21"/>
                <w:szCs w:val="21"/>
              </w:rPr>
            </w:pPr>
            <w:r>
              <w:rPr>
                <w:rFonts w:ascii="Times New Roman"/>
                <w:sz w:val="21"/>
              </w:rPr>
              <w:t>4</w:t>
            </w:r>
          </w:p>
        </w:tc>
        <w:tc>
          <w:tcPr>
            <w:tcW w:w="2042" w:type="dxa"/>
            <w:vMerge/>
            <w:tcBorders>
              <w:left w:val="single" w:sz="4" w:space="0" w:color="000000"/>
              <w:right w:val="nil" w:sz="6" w:space="0" w:color="auto"/>
            </w:tcBorders>
          </w:tcPr>
          <w:p>
            <w:pPr/>
          </w:p>
        </w:tc>
      </w:tr>
      <w:tr>
        <w:trPr>
          <w:trHeight w:val="41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武汉金运互动传媒有限公司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已登记</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6</w:t>
            </w:r>
          </w:p>
        </w:tc>
        <w:tc>
          <w:tcPr>
            <w:tcW w:w="2042" w:type="dxa"/>
            <w:vMerge/>
            <w:tcBorders>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pStyle w:val="Heading5"/>
        <w:spacing w:line="240" w:lineRule="auto" w:before="177"/>
        <w:ind w:left="57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年全年，公司及其全资子公司已登记软件著作权的总数为</w:t>
      </w:r>
      <w:r>
        <w:rPr>
          <w:rFonts w:ascii="Times New Roman" w:hAnsi="Times New Roman" w:cs="Times New Roman" w:eastAsia="Times New Roman" w:hint="default"/>
        </w:rPr>
        <w:t>14</w:t>
      </w:r>
      <w:r>
        <w:rPr/>
        <w:t>件，情况如下：</w:t>
      </w:r>
    </w:p>
    <w:p>
      <w:pPr>
        <w:spacing w:line="240" w:lineRule="auto" w:before="5"/>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4045"/>
        <w:gridCol w:w="1530"/>
        <w:gridCol w:w="2042"/>
        <w:gridCol w:w="2042"/>
      </w:tblGrid>
      <w:tr>
        <w:trPr>
          <w:trHeight w:val="409"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宋体" w:hAnsi="宋体" w:cs="宋体" w:eastAsia="宋体" w:hint="default"/>
                <w:sz w:val="21"/>
                <w:szCs w:val="21"/>
              </w:rPr>
            </w:pPr>
            <w:r>
              <w:rPr>
                <w:rFonts w:ascii="宋体" w:hAnsi="宋体" w:cs="宋体" w:eastAsia="宋体" w:hint="default"/>
                <w:sz w:val="21"/>
                <w:szCs w:val="21"/>
              </w:rPr>
              <w:t>状态</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2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2"/>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41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武汉金运激光股份有限公司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已登记</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9</w:t>
            </w:r>
          </w:p>
        </w:tc>
        <w:tc>
          <w:tcPr>
            <w:tcW w:w="2042" w:type="dxa"/>
            <w:vMerge w:val="restart"/>
            <w:tcBorders>
              <w:top w:val="single" w:sz="4" w:space="0" w:color="000000"/>
              <w:left w:val="single" w:sz="4" w:space="0" w:color="000000"/>
              <w:right w:val="nil" w:sz="6" w:space="0" w:color="auto"/>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14</w:t>
            </w:r>
          </w:p>
        </w:tc>
      </w:tr>
      <w:tr>
        <w:trPr>
          <w:trHeight w:val="41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武汉金运激光产业发展有限公司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已登记</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4</w:t>
            </w:r>
          </w:p>
        </w:tc>
        <w:tc>
          <w:tcPr>
            <w:tcW w:w="2042" w:type="dxa"/>
            <w:vMerge/>
            <w:tcBorders>
              <w:left w:val="single" w:sz="4" w:space="0" w:color="000000"/>
              <w:right w:val="nil" w:sz="6" w:space="0" w:color="auto"/>
            </w:tcBorders>
          </w:tcPr>
          <w:p>
            <w:pPr/>
          </w:p>
        </w:tc>
      </w:tr>
      <w:tr>
        <w:trPr>
          <w:trHeight w:val="41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21"/>
                <w:szCs w:val="21"/>
              </w:rPr>
            </w:pPr>
            <w:r>
              <w:rPr>
                <w:rFonts w:ascii="宋体" w:hAnsi="宋体" w:cs="宋体" w:eastAsia="宋体" w:hint="default"/>
                <w:sz w:val="21"/>
                <w:szCs w:val="21"/>
              </w:rPr>
              <w:t>武汉金运互动传媒有限公司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21"/>
                <w:szCs w:val="21"/>
              </w:rPr>
            </w:pPr>
            <w:r>
              <w:rPr>
                <w:rFonts w:ascii="宋体" w:hAnsi="宋体" w:cs="宋体" w:eastAsia="宋体" w:hint="default"/>
                <w:sz w:val="21"/>
                <w:szCs w:val="21"/>
              </w:rPr>
              <w:t>已登记</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Times New Roman" w:hAnsi="Times New Roman" w:cs="Times New Roman" w:eastAsia="Times New Roman" w:hint="default"/>
                <w:sz w:val="21"/>
                <w:szCs w:val="21"/>
              </w:rPr>
            </w:pPr>
            <w:r>
              <w:rPr>
                <w:rFonts w:ascii="Times New Roman"/>
                <w:sz w:val="21"/>
              </w:rPr>
              <w:t>1</w:t>
            </w:r>
          </w:p>
        </w:tc>
        <w:tc>
          <w:tcPr>
            <w:tcW w:w="2042" w:type="dxa"/>
            <w:vMerge/>
            <w:tcBorders>
              <w:left w:val="single" w:sz="4" w:space="0" w:color="000000"/>
              <w:bottom w:val="single" w:sz="4"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3"/>
        <w:rPr>
          <w:rFonts w:ascii="宋体" w:hAnsi="宋体" w:cs="宋体" w:eastAsia="宋体" w:hint="default"/>
          <w:b/>
          <w:bCs/>
          <w:sz w:val="30"/>
          <w:szCs w:val="30"/>
        </w:rPr>
      </w:pPr>
    </w:p>
    <w:p>
      <w:pPr>
        <w:pStyle w:val="Heading5"/>
        <w:spacing w:line="316" w:lineRule="auto"/>
        <w:ind w:right="0" w:firstLine="420"/>
        <w:jc w:val="left"/>
      </w:pPr>
      <w:r>
        <w:rPr/>
        <w:t>报告期内，公司根据经济环境、市场情况及发展趋势对经营策略进行相应的调整：（</w:t>
      </w:r>
      <w:r>
        <w:rPr>
          <w:rFonts w:ascii="Times New Roman" w:hAnsi="Times New Roman" w:cs="Times New Roman" w:eastAsia="Times New Roman" w:hint="default"/>
        </w:rPr>
        <w:t>1</w:t>
      </w:r>
      <w:r>
        <w:rPr/>
        <w:t>）优化激光产 品的结构，加大对高端激光产品的研发投入，主动淘汰部分市场竞争激烈的低端品种。（</w:t>
      </w:r>
      <w:r>
        <w:rPr>
          <w:rFonts w:ascii="Times New Roman" w:hAnsi="Times New Roman" w:cs="Times New Roman" w:eastAsia="Times New Roman" w:hint="default"/>
        </w:rPr>
        <w:t>2</w:t>
      </w:r>
      <w:r>
        <w:rPr/>
        <w:t>）深耕产品， </w:t>
      </w:r>
      <w:r>
        <w:rPr>
          <w:spacing w:val="-1"/>
        </w:rPr>
        <w:t>做重服务。一方面全力开发拓展明星产品，一方面着力提高全体人员的售前、售中、售后的服务意识，一</w:t>
      </w:r>
      <w:r>
        <w:rPr>
          <w:spacing w:val="-83"/>
        </w:rPr>
        <w:t> </w:t>
      </w:r>
      <w:r>
        <w:rPr>
          <w:spacing w:val="-83"/>
        </w:rPr>
      </w:r>
      <w:r>
        <w:rPr>
          <w:spacing w:val="-3"/>
        </w:rPr>
        <w:t>切围绕</w:t>
      </w:r>
      <w:r>
        <w:rPr>
          <w:rFonts w:ascii="Times New Roman" w:hAnsi="Times New Roman" w:cs="Times New Roman" w:eastAsia="Times New Roman" w:hint="default"/>
          <w:spacing w:val="-3"/>
        </w:rPr>
        <w:t>“</w:t>
      </w:r>
      <w:r>
        <w:rPr>
          <w:spacing w:val="-3"/>
        </w:rPr>
        <w:t>为用户创造价值</w:t>
      </w:r>
      <w:r>
        <w:rPr>
          <w:rFonts w:ascii="Times New Roman" w:hAnsi="Times New Roman" w:cs="Times New Roman" w:eastAsia="Times New Roman" w:hint="default"/>
          <w:spacing w:val="-3"/>
        </w:rPr>
        <w:t>”</w:t>
      </w:r>
      <w:r>
        <w:rPr>
          <w:spacing w:val="-3"/>
        </w:rPr>
        <w:t>这一关键点开展经营活动。（</w:t>
      </w:r>
      <w:r>
        <w:rPr>
          <w:rFonts w:ascii="Times New Roman" w:hAnsi="Times New Roman" w:cs="Times New Roman" w:eastAsia="Times New Roman" w:hint="default"/>
          <w:spacing w:val="-3"/>
        </w:rPr>
        <w:t>3</w:t>
      </w:r>
      <w:r>
        <w:rPr>
          <w:spacing w:val="-3"/>
        </w:rPr>
        <w:t>）优化人员。加强经营管理，科学的控制好经营费</w:t>
      </w:r>
      <w:r>
        <w:rPr>
          <w:spacing w:val="-67"/>
        </w:rPr>
        <w:t> </w:t>
      </w:r>
      <w:r>
        <w:rPr>
          <w:spacing w:val="-67"/>
        </w:rPr>
      </w:r>
      <w:r>
        <w:rPr/>
        <w:t>用，强调人均销售额经营指标，提升公司经营效率。（</w:t>
      </w:r>
      <w:r>
        <w:rPr>
          <w:rFonts w:ascii="Times New Roman" w:hAnsi="Times New Roman" w:cs="Times New Roman" w:eastAsia="Times New Roman" w:hint="default"/>
        </w:rPr>
        <w:t>4</w:t>
      </w:r>
      <w:r>
        <w:rPr/>
        <w:t>）保持对智能零售终端新业务及相应软件研发的 合理投入，进一步完善和丰富产品并根据市场需求逐步释放产能。</w:t>
      </w:r>
    </w:p>
    <w:p>
      <w:pPr>
        <w:pStyle w:val="Heading5"/>
        <w:spacing w:line="326" w:lineRule="auto" w:before="38"/>
        <w:ind w:right="1131" w:firstLine="420"/>
        <w:jc w:val="both"/>
      </w:pPr>
      <w:r>
        <w:rPr>
          <w:rFonts w:ascii="Times New Roman" w:hAnsi="Times New Roman" w:cs="Times New Roman" w:eastAsia="Times New Roman" w:hint="default"/>
          <w:spacing w:val="-1"/>
        </w:rPr>
        <w:t>2018</w:t>
      </w:r>
      <w:r>
        <w:rPr>
          <w:spacing w:val="-1"/>
        </w:rPr>
        <w:t>年，在中美贸易摩擦影响、去杠杆引发市场紧张情绪以及新兴市场货币危机频现等多种不利因素</w:t>
      </w:r>
      <w:r>
        <w:rPr/>
        <w:t> 的叠加下，经济下行压力持续加大，公司在</w:t>
      </w:r>
      <w:r>
        <w:rPr>
          <w:rFonts w:ascii="Times New Roman" w:hAnsi="Times New Roman" w:cs="Times New Roman" w:eastAsia="Times New Roman" w:hint="default"/>
        </w:rPr>
        <w:t>“</w:t>
      </w:r>
      <w:r>
        <w:rPr/>
        <w:t>数字技术商业化应用解决方案云平台</w:t>
      </w:r>
      <w:r>
        <w:rPr>
          <w:rFonts w:ascii="Times New Roman" w:hAnsi="Times New Roman" w:cs="Times New Roman" w:eastAsia="Times New Roman" w:hint="default"/>
        </w:rPr>
        <w:t>”</w:t>
      </w:r>
      <w:r>
        <w:rPr/>
        <w:t>的战略规划下，以工业 </w:t>
      </w:r>
      <w:r>
        <w:rPr>
          <w:spacing w:val="-1"/>
        </w:rPr>
        <w:t>智能和商业智能为发展方向，发挥长期积累的设备制造优势能力，聚焦高端数字激光加工设备和智能零售</w:t>
      </w:r>
      <w:r>
        <w:rPr>
          <w:spacing w:val="-81"/>
        </w:rPr>
        <w:t> </w:t>
      </w:r>
      <w:r>
        <w:rPr>
          <w:spacing w:val="-81"/>
        </w:rPr>
      </w:r>
      <w:r>
        <w:rPr>
          <w:spacing w:val="-1"/>
        </w:rPr>
        <w:t>终端两类硬件产品的研发与销售，着力提高明星产品的市场占有率和毛利率，取得了较好的成效：在整体</w:t>
      </w:r>
      <w:r>
        <w:rPr>
          <w:spacing w:val="-83"/>
        </w:rPr>
        <w:t> </w:t>
      </w:r>
      <w:r>
        <w:rPr>
          <w:spacing w:val="-83"/>
        </w:rPr>
      </w:r>
      <w:r>
        <w:rPr>
          <w:spacing w:val="-1"/>
        </w:rPr>
        <w:t>不利的市场环境下，激光板块业绩稳定且有小幅增长，高端产品的自动化、智能化能力越来越强，竞争能</w:t>
      </w:r>
      <w:r>
        <w:rPr>
          <w:spacing w:val="-86"/>
        </w:rPr>
        <w:t> </w:t>
      </w:r>
      <w:r>
        <w:rPr>
          <w:spacing w:val="-86"/>
        </w:rPr>
      </w:r>
      <w:r>
        <w:rPr>
          <w:spacing w:val="-1"/>
        </w:rPr>
        <w:t>力明显提高，逐步拉开了与小型激光企业的差距，为后期的增长打下了较好的基础；智能零售终端也开始</w:t>
      </w:r>
      <w:r>
        <w:rPr>
          <w:spacing w:val="-83"/>
        </w:rPr>
        <w:t> </w:t>
      </w:r>
      <w:r>
        <w:rPr>
          <w:spacing w:val="-83"/>
        </w:rPr>
      </w:r>
      <w:r>
        <w:rPr/>
        <w:t>应用于各类商业场景中，进入快速迭代和完善的过程，市场的推广工作也紧锣密鼓加紧在推进中。</w:t>
      </w:r>
    </w:p>
    <w:p>
      <w:pPr>
        <w:pStyle w:val="Heading5"/>
        <w:spacing w:line="314" w:lineRule="auto" w:before="29"/>
        <w:ind w:right="1145" w:firstLine="420"/>
        <w:jc w:val="left"/>
      </w:pPr>
      <w:r>
        <w:rPr/>
        <w:t>报告期营业收入</w:t>
      </w:r>
      <w:r>
        <w:rPr>
          <w:rFonts w:ascii="Times New Roman" w:hAnsi="Times New Roman" w:cs="Times New Roman" w:eastAsia="Times New Roman" w:hint="default"/>
        </w:rPr>
        <w:t>21,278.76</w:t>
      </w:r>
      <w:r>
        <w:rPr/>
        <w:t>万元，较上年同期增加</w:t>
      </w:r>
      <w:r>
        <w:rPr>
          <w:rFonts w:ascii="Times New Roman" w:hAnsi="Times New Roman" w:cs="Times New Roman" w:eastAsia="Times New Roman" w:hint="default"/>
        </w:rPr>
        <w:t>15.05%</w:t>
      </w:r>
      <w:r>
        <w:rPr/>
        <w:t>；营业成本</w:t>
      </w:r>
      <w:r>
        <w:rPr>
          <w:rFonts w:ascii="Times New Roman" w:hAnsi="Times New Roman" w:cs="Times New Roman" w:eastAsia="Times New Roman" w:hint="default"/>
        </w:rPr>
        <w:t>14,167.20</w:t>
      </w:r>
      <w:r>
        <w:rPr/>
        <w:t>万元，较上年同期增加 </w:t>
      </w:r>
      <w:r>
        <w:rPr>
          <w:rFonts w:ascii="Times New Roman" w:hAnsi="Times New Roman" w:cs="Times New Roman" w:eastAsia="Times New Roman" w:hint="default"/>
        </w:rPr>
        <w:t>9.01%</w:t>
      </w:r>
      <w:r>
        <w:rPr/>
        <w:t>；归属于母公司所有者的净利润</w:t>
      </w:r>
      <w:r>
        <w:rPr>
          <w:rFonts w:ascii="Times New Roman" w:hAnsi="Times New Roman" w:cs="Times New Roman" w:eastAsia="Times New Roman" w:hint="default"/>
        </w:rPr>
        <w:t>714.20</w:t>
      </w:r>
      <w:r>
        <w:rPr/>
        <w:t>万元；经营活动产生的现金流量净额</w:t>
      </w:r>
      <w:r>
        <w:rPr>
          <w:rFonts w:ascii="Times New Roman" w:hAnsi="Times New Roman" w:cs="Times New Roman" w:eastAsia="Times New Roman" w:hint="default"/>
        </w:rPr>
        <w:t>2,970.30</w:t>
      </w:r>
      <w:r>
        <w:rPr/>
        <w:t>万元，较上年同 期增加</w:t>
      </w:r>
      <w:r>
        <w:rPr>
          <w:rFonts w:ascii="Times New Roman" w:hAnsi="Times New Roman" w:cs="Times New Roman" w:eastAsia="Times New Roman" w:hint="default"/>
        </w:rPr>
        <w:t>7606.62%</w:t>
      </w:r>
      <w:r>
        <w:rPr/>
        <w:t>；销售费用</w:t>
      </w:r>
      <w:r>
        <w:rPr>
          <w:rFonts w:ascii="Times New Roman" w:hAnsi="Times New Roman" w:cs="Times New Roman" w:eastAsia="Times New Roman" w:hint="default"/>
        </w:rPr>
        <w:t>2885.77</w:t>
      </w:r>
      <w:r>
        <w:rPr/>
        <w:t>万元，较上年同期减少</w:t>
      </w:r>
      <w:r>
        <w:rPr>
          <w:rFonts w:ascii="Times New Roman" w:hAnsi="Times New Roman" w:cs="Times New Roman" w:eastAsia="Times New Roman" w:hint="default"/>
        </w:rPr>
        <w:t>7.58%</w:t>
      </w:r>
      <w:r>
        <w:rPr/>
        <w:t>；管理费用</w:t>
      </w:r>
      <w:r>
        <w:rPr>
          <w:rFonts w:ascii="Times New Roman" w:hAnsi="Times New Roman" w:cs="Times New Roman" w:eastAsia="Times New Roman" w:hint="default"/>
        </w:rPr>
        <w:t>1,745.04</w:t>
      </w:r>
      <w:r>
        <w:rPr/>
        <w:t>万元，较上年同期减 少</w:t>
      </w:r>
      <w:r>
        <w:rPr>
          <w:rFonts w:ascii="Times New Roman" w:hAnsi="Times New Roman" w:cs="Times New Roman" w:eastAsia="Times New Roman" w:hint="default"/>
        </w:rPr>
        <w:t>12.59%</w:t>
      </w:r>
      <w:r>
        <w:rPr/>
        <w:t>；财务费用</w:t>
      </w:r>
      <w:r>
        <w:rPr>
          <w:rFonts w:ascii="Times New Roman" w:hAnsi="Times New Roman" w:cs="Times New Roman" w:eastAsia="Times New Roman" w:hint="default"/>
        </w:rPr>
        <w:t>-172.69</w:t>
      </w:r>
      <w:r>
        <w:rPr/>
        <w:t>万元，较上年同期减少</w:t>
      </w:r>
      <w:r>
        <w:rPr>
          <w:rFonts w:ascii="Times New Roman" w:hAnsi="Times New Roman" w:cs="Times New Roman" w:eastAsia="Times New Roman" w:hint="default"/>
        </w:rPr>
        <w:t>152.17%</w:t>
      </w:r>
      <w:r>
        <w:rPr/>
        <w:t>。截止报告期末，公司总资产</w:t>
      </w:r>
      <w:r>
        <w:rPr>
          <w:rFonts w:ascii="Times New Roman" w:hAnsi="Times New Roman" w:cs="Times New Roman" w:eastAsia="Times New Roman" w:hint="default"/>
        </w:rPr>
        <w:t>35,530.70</w:t>
      </w:r>
      <w:r>
        <w:rPr/>
        <w:t>万元， 负债</w:t>
      </w:r>
      <w:r>
        <w:rPr>
          <w:rFonts w:ascii="Times New Roman" w:hAnsi="Times New Roman" w:cs="Times New Roman" w:eastAsia="Times New Roman" w:hint="default"/>
        </w:rPr>
        <w:t>9,767.06</w:t>
      </w:r>
      <w:r>
        <w:rPr/>
        <w:t>万元，归属于母公司股东权益</w:t>
      </w:r>
      <w:r>
        <w:rPr>
          <w:rFonts w:ascii="Times New Roman" w:hAnsi="Times New Roman" w:cs="Times New Roman" w:eastAsia="Times New Roman" w:hint="default"/>
        </w:rPr>
        <w:t>25,060.54</w:t>
      </w:r>
      <w:r>
        <w:rPr/>
        <w:t>万元，资产负债率为</w:t>
      </w:r>
      <w:r>
        <w:rPr>
          <w:rFonts w:ascii="Times New Roman" w:hAnsi="Times New Roman" w:cs="Times New Roman" w:eastAsia="Times New Roman" w:hint="default"/>
        </w:rPr>
        <w:t>27.49%</w:t>
      </w:r>
      <w:r>
        <w:rPr/>
        <w:t>。</w:t>
      </w:r>
    </w:p>
    <w:p>
      <w:pPr>
        <w:pStyle w:val="Heading5"/>
        <w:spacing w:line="240" w:lineRule="auto" w:before="17"/>
        <w:ind w:left="574" w:right="0"/>
        <w:jc w:val="left"/>
      </w:pPr>
      <w:r>
        <w:rPr>
          <w:rFonts w:ascii="Times New Roman" w:hAnsi="Times New Roman" w:cs="Times New Roman" w:eastAsia="Times New Roman" w:hint="default"/>
        </w:rPr>
        <w:t>1</w:t>
      </w:r>
      <w:r>
        <w:rPr/>
        <w:t>、</w:t>
      </w:r>
      <w:r>
        <w:rPr>
          <w:spacing w:val="-60"/>
        </w:rPr>
        <w:t> </w:t>
      </w:r>
      <w:r>
        <w:rPr/>
        <w:t>主营业务介绍</w:t>
      </w:r>
    </w:p>
    <w:p>
      <w:pPr>
        <w:pStyle w:val="Heading5"/>
        <w:spacing w:line="314" w:lineRule="auto" w:before="88"/>
        <w:ind w:left="574" w:right="0"/>
        <w:jc w:val="left"/>
      </w:pPr>
      <w:r>
        <w:rPr/>
        <w:t>（</w:t>
      </w:r>
      <w:r>
        <w:rPr>
          <w:rFonts w:ascii="Times New Roman" w:hAnsi="Times New Roman" w:cs="Times New Roman" w:eastAsia="Times New Roman" w:hint="default"/>
        </w:rPr>
        <w:t>1</w:t>
      </w:r>
      <w:r>
        <w:rPr/>
        <w:t>）工业智能</w:t>
      </w:r>
      <w:r>
        <w:rPr>
          <w:rFonts w:ascii="Times New Roman" w:hAnsi="Times New Roman" w:cs="Times New Roman" w:eastAsia="Times New Roman" w:hint="default"/>
        </w:rPr>
        <w:t>——</w:t>
      </w:r>
      <w:r>
        <w:rPr/>
        <w:t>高端数字激光装备制造业务板块 </w:t>
      </w:r>
      <w:r>
        <w:rPr>
          <w:spacing w:val="-1"/>
        </w:rPr>
        <w:t>报告期内的工作主线：聚焦明星产品的打造，调整人员结构，加强对用户的服务工作并以此为基础为</w:t>
      </w:r>
    </w:p>
    <w:p>
      <w:pPr>
        <w:pStyle w:val="Heading5"/>
        <w:spacing w:line="321" w:lineRule="auto" w:before="40"/>
        <w:ind w:left="574" w:right="0" w:hanging="420"/>
        <w:jc w:val="left"/>
      </w:pPr>
      <w:r>
        <w:rPr/>
        <w:t>各行业提供系统性的行业应用解决方案，重点推广以激光加工为主线的智能车间升级改造方案。 </w:t>
      </w:r>
      <w:r>
        <w:rPr>
          <w:rFonts w:ascii="Times New Roman" w:hAnsi="Times New Roman" w:cs="Times New Roman" w:eastAsia="Times New Roman" w:hint="default"/>
        </w:rPr>
        <w:t>A</w:t>
      </w:r>
      <w:r>
        <w:rPr/>
        <w:t>、柔性材料激光应用方面 </w:t>
      </w:r>
      <w:r>
        <w:rPr>
          <w:spacing w:val="-5"/>
        </w:rPr>
        <w:t>以明星产品</w:t>
      </w:r>
      <w:r>
        <w:rPr>
          <w:rFonts w:ascii="Times New Roman" w:hAnsi="Times New Roman" w:cs="Times New Roman" w:eastAsia="Times New Roman" w:hint="default"/>
          <w:spacing w:val="-5"/>
        </w:rPr>
        <w:t>“</w:t>
      </w:r>
      <w:r>
        <w:rPr>
          <w:spacing w:val="-5"/>
        </w:rPr>
        <w:t>工业柔性面料激光裁床</w:t>
      </w:r>
      <w:r>
        <w:rPr>
          <w:rFonts w:ascii="Times New Roman" w:hAnsi="Times New Roman" w:cs="Times New Roman" w:eastAsia="Times New Roman" w:hint="default"/>
          <w:spacing w:val="-5"/>
        </w:rPr>
        <w:t>”</w:t>
      </w:r>
      <w:r>
        <w:rPr>
          <w:spacing w:val="-5"/>
        </w:rPr>
        <w:t>为产品重点，着力提高产品的速度、精度、稳定性等方面的性能，</w:t>
      </w:r>
    </w:p>
    <w:p>
      <w:pPr>
        <w:pStyle w:val="Heading5"/>
        <w:spacing w:line="331" w:lineRule="auto" w:before="10"/>
        <w:ind w:right="1131"/>
        <w:jc w:val="both"/>
      </w:pPr>
      <w:r>
        <w:rPr>
          <w:spacing w:val="-1"/>
        </w:rPr>
        <w:t>以全球顶尖的产品作为对标物，持续性地迭代和完善，逐步形成具有独特性的竞争优势。激光裁床明星产</w:t>
      </w:r>
      <w:r>
        <w:rPr>
          <w:spacing w:val="-83"/>
        </w:rPr>
        <w:t> </w:t>
      </w:r>
      <w:r>
        <w:rPr>
          <w:spacing w:val="-83"/>
        </w:rPr>
      </w:r>
      <w:r>
        <w:rPr>
          <w:spacing w:val="-1"/>
        </w:rPr>
        <w:t>品广泛应用于工业面料、户外用品、汽车飞机等工业领域，实现了国际国内集团客户的批量销售，继续保</w:t>
      </w:r>
      <w:r>
        <w:rPr>
          <w:spacing w:val="-86"/>
        </w:rPr>
        <w:t> </w:t>
      </w:r>
      <w:r>
        <w:rPr>
          <w:spacing w:val="-86"/>
        </w:rPr>
      </w:r>
      <w:r>
        <w:rPr/>
        <w:t>持了公司在柔性材料激光加工领域的品牌领先优势。</w:t>
      </w:r>
    </w:p>
    <w:p>
      <w:pPr>
        <w:pStyle w:val="Heading5"/>
        <w:spacing w:line="331" w:lineRule="auto" w:before="26"/>
        <w:ind w:right="1092" w:firstLine="420"/>
        <w:jc w:val="left"/>
      </w:pPr>
      <w:r>
        <w:rPr/>
        <w:t>在其它新产品、新市场拓展方面，针对民用砂纸行业市场需求，研发出的多头振镜高速激光穿孔机， 激光穿孔孔径最小达到</w:t>
      </w:r>
      <w:r>
        <w:rPr>
          <w:rFonts w:ascii="Times New Roman" w:hAnsi="Times New Roman" w:cs="Times New Roman" w:eastAsia="Times New Roman" w:hint="default"/>
        </w:rPr>
        <w:t>0.15mm</w:t>
      </w:r>
      <w:r>
        <w:rPr/>
        <w:t>，使砂纸加工效率和使用寿命明显大幅提升，用户反应良好。</w:t>
      </w:r>
    </w:p>
    <w:p>
      <w:pPr>
        <w:pStyle w:val="Heading5"/>
        <w:spacing w:line="331" w:lineRule="auto" w:before="1"/>
        <w:ind w:right="0" w:firstLine="420"/>
        <w:jc w:val="left"/>
      </w:pPr>
      <w:r>
        <w:rPr>
          <w:spacing w:val="-1"/>
        </w:rPr>
        <w:t>另外，随着国内外标签印刷市场中数字印刷时代的来临，柔性激光板块自主研发的全自动数码标签印</w:t>
      </w:r>
      <w:r>
        <w:rPr/>
        <w:t> </w:t>
      </w:r>
      <w:r>
        <w:rPr>
          <w:spacing w:val="-1"/>
        </w:rPr>
        <w:t>后激光模切机，很好地满足了用户对模切个性化、可变数控、短版的要求，成为无缝对接数码打印设备的</w:t>
      </w:r>
    </w:p>
    <w:p>
      <w:pPr>
        <w:spacing w:after="0" w:line="33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5"/>
        <w:spacing w:line="331" w:lineRule="auto" w:before="169"/>
        <w:ind w:left="574" w:right="1116" w:hanging="420"/>
        <w:jc w:val="left"/>
      </w:pPr>
      <w:r>
        <w:rPr/>
        <w:t>配套设备，可同数码印刷组合形成数字印刷和印后处理数字化智能生产线，并成功开拓了东南亚市场。 在销售方面，紧随全球制造业向东南亚转移的趋势，根据国家</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战略，公司加大了在东南亚</w:t>
      </w:r>
    </w:p>
    <w:p>
      <w:pPr>
        <w:pStyle w:val="Heading5"/>
        <w:spacing w:line="314" w:lineRule="auto"/>
        <w:ind w:left="574" w:right="1116" w:hanging="420"/>
        <w:jc w:val="left"/>
      </w:pPr>
      <w:r>
        <w:rPr/>
        <w:t>新兴市场的品牌宣传、市场开拓以及渠道建设力度，逐步建立了细分行业</w:t>
      </w:r>
      <w:r>
        <w:rPr>
          <w:rFonts w:ascii="Times New Roman" w:hAnsi="Times New Roman" w:cs="Times New Roman" w:eastAsia="Times New Roman" w:hint="default"/>
        </w:rPr>
        <w:t>“</w:t>
      </w:r>
      <w:r>
        <w:rPr/>
        <w:t>专、精</w:t>
      </w:r>
      <w:r>
        <w:rPr>
          <w:rFonts w:ascii="Times New Roman" w:hAnsi="Times New Roman" w:cs="Times New Roman" w:eastAsia="Times New Roman" w:hint="default"/>
        </w:rPr>
        <w:t>”</w:t>
      </w:r>
      <w:r>
        <w:rPr/>
        <w:t>的经销代理销售渠道。 </w:t>
      </w:r>
      <w:r>
        <w:rPr>
          <w:rFonts w:ascii="Times New Roman" w:hAnsi="Times New Roman" w:cs="Times New Roman" w:eastAsia="Times New Roman" w:hint="default"/>
        </w:rPr>
        <w:t>B</w:t>
      </w:r>
      <w:r>
        <w:rPr/>
        <w:t>、金属材料激光应用方面 </w:t>
      </w:r>
      <w:r>
        <w:rPr>
          <w:spacing w:val="-2"/>
        </w:rPr>
        <w:t>以打造明星产品</w:t>
      </w:r>
      <w:r>
        <w:rPr>
          <w:rFonts w:ascii="Times New Roman" w:hAnsi="Times New Roman" w:cs="Times New Roman" w:eastAsia="Times New Roman" w:hint="default"/>
          <w:spacing w:val="-2"/>
        </w:rPr>
        <w:t>“</w:t>
      </w:r>
      <w:r>
        <w:rPr>
          <w:spacing w:val="-2"/>
        </w:rPr>
        <w:t>光纤激光切管机</w:t>
      </w:r>
      <w:r>
        <w:rPr>
          <w:rFonts w:ascii="Times New Roman" w:hAnsi="Times New Roman" w:cs="Times New Roman" w:eastAsia="Times New Roman" w:hint="default"/>
          <w:spacing w:val="-2"/>
        </w:rPr>
        <w:t>”</w:t>
      </w:r>
      <w:r>
        <w:rPr>
          <w:spacing w:val="-2"/>
        </w:rPr>
        <w:t>为突破口，围绕</w:t>
      </w:r>
      <w:r>
        <w:rPr>
          <w:rFonts w:ascii="Times New Roman" w:hAnsi="Times New Roman" w:cs="Times New Roman" w:eastAsia="Times New Roman" w:hint="default"/>
          <w:spacing w:val="-2"/>
        </w:rPr>
        <w:t>“</w:t>
      </w:r>
      <w:r>
        <w:rPr>
          <w:spacing w:val="-2"/>
        </w:rPr>
        <w:t>把行业应用做到最精，把区域市场做到最深</w:t>
      </w:r>
      <w:r>
        <w:rPr>
          <w:rFonts w:ascii="Times New Roman" w:hAnsi="Times New Roman" w:cs="Times New Roman" w:eastAsia="Times New Roman" w:hint="default"/>
          <w:spacing w:val="-2"/>
        </w:rPr>
        <w:t>”</w:t>
      </w:r>
      <w:r>
        <w:rPr>
          <w:spacing w:val="-2"/>
        </w:rPr>
        <w:t>的目</w:t>
      </w:r>
    </w:p>
    <w:p>
      <w:pPr>
        <w:pStyle w:val="Heading5"/>
        <w:spacing w:line="314" w:lineRule="auto" w:before="16"/>
        <w:ind w:right="1111"/>
        <w:jc w:val="both"/>
      </w:pPr>
      <w:r>
        <w:rPr/>
        <w:t>标，聚焦</w:t>
      </w:r>
      <w:r>
        <w:rPr>
          <w:rFonts w:ascii="Times New Roman" w:hAnsi="Times New Roman" w:cs="Times New Roman" w:eastAsia="Times New Roman" w:hint="default"/>
        </w:rPr>
        <w:t>1500</w:t>
      </w:r>
      <w:r>
        <w:rPr/>
        <w:t>瓦和</w:t>
      </w:r>
      <w:r>
        <w:rPr>
          <w:rFonts w:ascii="Times New Roman" w:hAnsi="Times New Roman" w:cs="Times New Roman" w:eastAsia="Times New Roman" w:hint="default"/>
        </w:rPr>
        <w:t>2500</w:t>
      </w:r>
      <w:r>
        <w:rPr/>
        <w:t>瓦光纤激光切管机的应用市场。在健身器材、钢制家具、门窗、汽车、消防管道、 钢制建筑、道具等行业均取得了大批量销售的突破，下一步将继续以</w:t>
      </w:r>
      <w:r>
        <w:rPr>
          <w:rFonts w:ascii="Times New Roman" w:hAnsi="Times New Roman" w:cs="Times New Roman" w:eastAsia="Times New Roman" w:hint="default"/>
        </w:rPr>
        <w:t>“</w:t>
      </w:r>
      <w:r>
        <w:rPr/>
        <w:t>为客户创造价值</w:t>
      </w:r>
      <w:r>
        <w:rPr>
          <w:rFonts w:ascii="Times New Roman" w:hAnsi="Times New Roman" w:cs="Times New Roman" w:eastAsia="Times New Roman" w:hint="default"/>
        </w:rPr>
        <w:t>”</w:t>
      </w:r>
      <w:r>
        <w:rPr/>
        <w:t>为导向，为行业用 户做好微定制和开发，满足行业用户的个性化需求。</w:t>
      </w:r>
    </w:p>
    <w:p>
      <w:pPr>
        <w:pStyle w:val="Heading5"/>
        <w:spacing w:line="314" w:lineRule="auto" w:before="39"/>
        <w:ind w:right="1116" w:firstLine="526"/>
        <w:jc w:val="left"/>
      </w:pPr>
      <w:r>
        <w:rPr/>
        <w:t>在区域市场开拓方面，</w:t>
      </w:r>
      <w:r>
        <w:rPr>
          <w:rFonts w:ascii="Times New Roman" w:hAnsi="Times New Roman" w:cs="Times New Roman" w:eastAsia="Times New Roman" w:hint="default"/>
        </w:rPr>
        <w:t>2018</w:t>
      </w:r>
      <w:r>
        <w:rPr/>
        <w:t>年重点开拓国外市场。以落地销售为方向，在公司内部进行了组织结构 调整，形成了面向客户的</w:t>
      </w:r>
      <w:r>
        <w:rPr>
          <w:rFonts w:ascii="Times New Roman" w:hAnsi="Times New Roman" w:cs="Times New Roman" w:eastAsia="Times New Roman" w:hint="default"/>
        </w:rPr>
        <w:t>“</w:t>
      </w:r>
      <w:r>
        <w:rPr/>
        <w:t>铁三角</w:t>
      </w:r>
      <w:r>
        <w:rPr>
          <w:rFonts w:ascii="Times New Roman" w:hAnsi="Times New Roman" w:cs="Times New Roman" w:eastAsia="Times New Roman" w:hint="default"/>
        </w:rPr>
        <w:t>”</w:t>
      </w:r>
      <w:r>
        <w:rPr/>
        <w:t>作战单元，负责跟进客户的售前、售中、售后整个过程，极大地满足了 用户的需求，形成了良好的品牌效应，增强了公司的竞争能力。</w:t>
      </w:r>
    </w:p>
    <w:p>
      <w:pPr>
        <w:pStyle w:val="Heading5"/>
        <w:spacing w:line="314" w:lineRule="auto" w:before="39"/>
        <w:ind w:right="1019" w:firstLine="420"/>
        <w:jc w:val="left"/>
      </w:pPr>
      <w:r>
        <w:rPr>
          <w:spacing w:val="-2"/>
        </w:rPr>
        <w:t>未来，公司该板块将继续以切管机为重点，以单机自动化</w:t>
      </w:r>
      <w:r>
        <w:rPr>
          <w:rFonts w:ascii="Times New Roman" w:hAnsi="Times New Roman" w:cs="Times New Roman" w:eastAsia="Times New Roman" w:hint="default"/>
          <w:spacing w:val="-2"/>
        </w:rPr>
        <w:t>&amp;</w:t>
      </w:r>
      <w:r>
        <w:rPr>
          <w:spacing w:val="-2"/>
        </w:rPr>
        <w:t>智能化为发展方向，进一步聚焦重点行业、</w:t>
      </w:r>
      <w:r>
        <w:rPr/>
        <w:t> 重点应用和重点区域市场，积极拓展海外市场，形成产品和服务</w:t>
      </w:r>
      <w:r>
        <w:rPr>
          <w:rFonts w:ascii="Times New Roman" w:hAnsi="Times New Roman" w:cs="Times New Roman" w:eastAsia="Times New Roman" w:hint="default"/>
        </w:rPr>
        <w:t>“</w:t>
      </w:r>
      <w:r>
        <w:rPr/>
        <w:t>专、精、特</w:t>
      </w:r>
      <w:r>
        <w:rPr>
          <w:rFonts w:ascii="Times New Roman" w:hAnsi="Times New Roman" w:cs="Times New Roman" w:eastAsia="Times New Roman" w:hint="default"/>
        </w:rPr>
        <w:t>”</w:t>
      </w:r>
      <w:r>
        <w:rPr/>
        <w:t>的品牌定位。</w:t>
      </w:r>
    </w:p>
    <w:p>
      <w:pPr>
        <w:pStyle w:val="Heading5"/>
        <w:spacing w:line="319" w:lineRule="auto" w:before="17"/>
        <w:ind w:right="1023" w:firstLine="420"/>
        <w:jc w:val="left"/>
      </w:pPr>
      <w:r>
        <w:rPr>
          <w:spacing w:val="-3"/>
        </w:rPr>
        <w:t>公司激光板块经过近几年的产品结构和人员调整之后，</w:t>
      </w:r>
      <w:r>
        <w:rPr>
          <w:rFonts w:ascii="Times New Roman" w:hAnsi="Times New Roman" w:cs="Times New Roman" w:eastAsia="Times New Roman" w:hint="default"/>
          <w:spacing w:val="-3"/>
        </w:rPr>
        <w:t>2018</w:t>
      </w:r>
      <w:r>
        <w:rPr>
          <w:spacing w:val="-3"/>
        </w:rPr>
        <w:t>年，该板块直面国际国内经济形势的变化，</w:t>
      </w:r>
      <w:r>
        <w:rPr/>
        <w:t> 顺应趋势，改良创新升级，根据制造行业的发展规律，以</w:t>
      </w:r>
      <w:r>
        <w:rPr>
          <w:rFonts w:ascii="Times New Roman" w:hAnsi="Times New Roman" w:cs="Times New Roman" w:eastAsia="Times New Roman" w:hint="default"/>
        </w:rPr>
        <w:t>“</w:t>
      </w:r>
      <w:r>
        <w:rPr/>
        <w:t>以小见大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小而美</w:t>
      </w:r>
      <w:r>
        <w:rPr>
          <w:rFonts w:ascii="Times New Roman" w:hAnsi="Times New Roman" w:cs="Times New Roman" w:eastAsia="Times New Roman" w:hint="default"/>
        </w:rPr>
        <w:t>”</w:t>
      </w:r>
      <w:r>
        <w:rPr/>
        <w:t>为发展策略，简化管理， 强化业务，全面贯彻</w:t>
      </w:r>
      <w:r>
        <w:rPr>
          <w:rFonts w:ascii="Times New Roman" w:hAnsi="Times New Roman" w:cs="Times New Roman" w:eastAsia="Times New Roman" w:hint="default"/>
        </w:rPr>
        <w:t>“</w:t>
      </w:r>
      <w:r>
        <w:rPr/>
        <w:t>以用户为中心，为用户创造价值</w:t>
      </w:r>
      <w:r>
        <w:rPr>
          <w:rFonts w:ascii="Times New Roman" w:hAnsi="Times New Roman" w:cs="Times New Roman" w:eastAsia="Times New Roman" w:hint="default"/>
        </w:rPr>
        <w:t>”</w:t>
      </w:r>
      <w:r>
        <w:rPr/>
        <w:t>的发展理念，坚持</w:t>
      </w:r>
      <w:r>
        <w:rPr>
          <w:rFonts w:ascii="Times New Roman" w:hAnsi="Times New Roman" w:cs="Times New Roman" w:eastAsia="Times New Roman" w:hint="default"/>
        </w:rPr>
        <w:t>“</w:t>
      </w:r>
      <w:r>
        <w:rPr/>
        <w:t>专、精、特</w:t>
      </w:r>
      <w:r>
        <w:rPr>
          <w:rFonts w:ascii="Times New Roman" w:hAnsi="Times New Roman" w:cs="Times New Roman" w:eastAsia="Times New Roman" w:hint="default"/>
        </w:rPr>
        <w:t>”</w:t>
      </w:r>
      <w:r>
        <w:rPr/>
        <w:t>，聚焦细分市场， 推出高毛利、有特色的产品，保持业绩稳定增长的同时，又有新的产品后期持续发力，形成了良性发展的 态势，是公司持续稳定经营的基石。</w:t>
      </w:r>
    </w:p>
    <w:p>
      <w:pPr>
        <w:pStyle w:val="Heading5"/>
        <w:spacing w:line="240" w:lineRule="auto" w:before="36"/>
        <w:ind w:left="469" w:right="0"/>
        <w:jc w:val="left"/>
      </w:pPr>
      <w:r>
        <w:rPr/>
        <w:t>（</w:t>
      </w:r>
      <w:r>
        <w:rPr>
          <w:rFonts w:ascii="Times New Roman" w:hAnsi="Times New Roman" w:cs="Times New Roman" w:eastAsia="Times New Roman" w:hint="default"/>
        </w:rPr>
        <w:t>2</w:t>
      </w:r>
      <w:r>
        <w:rPr/>
        <w:t>）商业智能</w:t>
      </w:r>
      <w:r>
        <w:rPr>
          <w:rFonts w:ascii="Times New Roman" w:hAnsi="Times New Roman" w:cs="Times New Roman" w:eastAsia="Times New Roman" w:hint="default"/>
        </w:rPr>
        <w:t>——</w:t>
      </w:r>
      <w:r>
        <w:rPr/>
        <w:t>智能无人零售终端制造业务板块</w:t>
      </w:r>
    </w:p>
    <w:p>
      <w:pPr>
        <w:pStyle w:val="Heading5"/>
        <w:spacing w:line="312" w:lineRule="auto" w:before="89"/>
        <w:ind w:left="574" w:right="1115"/>
        <w:jc w:val="left"/>
      </w:pPr>
      <w:r>
        <w:rPr>
          <w:rFonts w:ascii="Times New Roman" w:hAnsi="Times New Roman" w:cs="Times New Roman" w:eastAsia="Times New Roman" w:hint="default"/>
        </w:rPr>
        <w:t>A</w:t>
      </w:r>
      <w:r>
        <w:rPr/>
        <w:t>、智能无人零售终端 在上一年确定的智能无人零售终端在</w:t>
      </w:r>
      <w:r>
        <w:rPr>
          <w:rFonts w:ascii="Times New Roman" w:hAnsi="Times New Roman" w:cs="Times New Roman" w:eastAsia="Times New Roman" w:hint="default"/>
        </w:rPr>
        <w:t>IP</w:t>
      </w:r>
      <w:r>
        <w:rPr/>
        <w:t>衍生品售卖行业的应用为突破口的经营规划下，报告期内，该</w:t>
      </w:r>
    </w:p>
    <w:p>
      <w:pPr>
        <w:pStyle w:val="Heading5"/>
        <w:spacing w:line="331" w:lineRule="auto" w:before="20"/>
        <w:ind w:left="574" w:right="0" w:hanging="420"/>
        <w:jc w:val="left"/>
      </w:pPr>
      <w:r>
        <w:rPr/>
        <w:t>板块以完善硬件和各类软件产品为中心任务： </w:t>
      </w:r>
      <w:r>
        <w:rPr>
          <w:spacing w:val="-3"/>
        </w:rPr>
        <w:t>硬件产品方面，进行了</w:t>
      </w:r>
      <w:r>
        <w:rPr>
          <w:rFonts w:ascii="Times New Roman" w:hAnsi="Times New Roman" w:cs="Times New Roman" w:eastAsia="Times New Roman" w:hint="default"/>
          <w:spacing w:val="-3"/>
        </w:rPr>
        <w:t>4</w:t>
      </w:r>
      <w:r>
        <w:rPr>
          <w:spacing w:val="-3"/>
        </w:rPr>
        <w:t>次大的迭代升级，开发出适合多种商业场景的</w:t>
      </w:r>
      <w:r>
        <w:rPr>
          <w:rFonts w:ascii="Times New Roman" w:hAnsi="Times New Roman" w:cs="Times New Roman" w:eastAsia="Times New Roman" w:hint="default"/>
          <w:spacing w:val="-3"/>
        </w:rPr>
        <w:t>IP</w:t>
      </w:r>
      <w:r>
        <w:rPr>
          <w:spacing w:val="-3"/>
        </w:rPr>
        <w:t>无人零售主题机（具有美陈和</w:t>
      </w:r>
    </w:p>
    <w:p>
      <w:pPr>
        <w:pStyle w:val="Heading5"/>
        <w:spacing w:line="324" w:lineRule="auto"/>
        <w:ind w:right="1115"/>
        <w:jc w:val="left"/>
      </w:pPr>
      <w:r>
        <w:rPr/>
        <w:t>互动效果）、</w:t>
      </w:r>
      <w:r>
        <w:rPr>
          <w:rFonts w:ascii="Times New Roman" w:hAnsi="Times New Roman" w:cs="Times New Roman" w:eastAsia="Times New Roman" w:hint="default"/>
        </w:rPr>
        <w:t>IP</w:t>
      </w:r>
      <w:r>
        <w:rPr/>
        <w:t>音盒机、</w:t>
      </w:r>
      <w:r>
        <w:rPr>
          <w:rFonts w:ascii="Times New Roman" w:hAnsi="Times New Roman" w:cs="Times New Roman" w:eastAsia="Times New Roman" w:hint="default"/>
        </w:rPr>
        <w:t>IP</w:t>
      </w:r>
      <w:r>
        <w:rPr/>
        <w:t>礼盒机、</w:t>
      </w:r>
      <w:r>
        <w:rPr>
          <w:rFonts w:ascii="Times New Roman" w:hAnsi="Times New Roman" w:cs="Times New Roman" w:eastAsia="Times New Roman" w:hint="default"/>
        </w:rPr>
        <w:t>IP</w:t>
      </w:r>
      <w:r>
        <w:rPr/>
        <w:t>发卡机、</w:t>
      </w:r>
      <w:r>
        <w:rPr>
          <w:rFonts w:ascii="Times New Roman" w:hAnsi="Times New Roman" w:cs="Times New Roman" w:eastAsia="Times New Roman" w:hint="default"/>
        </w:rPr>
        <w:t>IP</w:t>
      </w:r>
      <w:r>
        <w:rPr/>
        <w:t>游戏亭等。在设备应用功能特点上，率先在行业内应用 </w:t>
      </w:r>
      <w:r>
        <w:rPr>
          <w:spacing w:val="-1"/>
        </w:rPr>
        <w:t>区块链技术开发出具有分布式记账功能的共享智能零售终端和共享记账个人终端（申请两项发明和两项实</w:t>
      </w:r>
      <w:r>
        <w:rPr>
          <w:spacing w:val="-81"/>
        </w:rPr>
        <w:t> </w:t>
      </w:r>
      <w:r>
        <w:rPr>
          <w:spacing w:val="-81"/>
        </w:rPr>
      </w:r>
      <w:r>
        <w:rPr>
          <w:spacing w:val="-1"/>
        </w:rPr>
        <w:t>用新型专利），并已形成标准化、模块化，为今后各类智能终端应用区块链技术实现分布式记账共建共享</w:t>
      </w:r>
      <w:r>
        <w:rPr>
          <w:spacing w:val="-86"/>
        </w:rPr>
        <w:t> </w:t>
      </w:r>
      <w:r>
        <w:rPr>
          <w:spacing w:val="-86"/>
        </w:rPr>
      </w:r>
      <w:r>
        <w:rPr/>
        <w:t>能提供技术支撑。在无人零售终端上还采用了物联网</w:t>
      </w:r>
      <w:r>
        <w:rPr>
          <w:rFonts w:ascii="Times New Roman" w:hAnsi="Times New Roman" w:cs="Times New Roman" w:eastAsia="Times New Roman" w:hint="default"/>
        </w:rPr>
        <w:t>IOT</w:t>
      </w:r>
      <w:r>
        <w:rPr/>
        <w:t>通讯平台，预留</w:t>
      </w:r>
      <w:r>
        <w:rPr>
          <w:rFonts w:ascii="Times New Roman" w:hAnsi="Times New Roman" w:cs="Times New Roman" w:eastAsia="Times New Roman" w:hint="default"/>
        </w:rPr>
        <w:t>5G</w:t>
      </w:r>
      <w:r>
        <w:rPr/>
        <w:t>接口提高设备的数据传输可靠 性，节省了传输资源，更便于维护、支付及出货流程的统一配置，以此提高设备容错率和稳定性。</w:t>
      </w:r>
    </w:p>
    <w:p>
      <w:pPr>
        <w:pStyle w:val="Heading5"/>
        <w:spacing w:line="324" w:lineRule="auto" w:before="32"/>
        <w:ind w:right="1129" w:firstLine="420"/>
        <w:jc w:val="both"/>
      </w:pPr>
      <w:r>
        <w:rPr/>
        <w:t>在软件开发方面，开发了设备监控预警平台</w:t>
      </w:r>
      <w:r>
        <w:rPr>
          <w:rFonts w:ascii="Times New Roman" w:hAnsi="Times New Roman" w:cs="Times New Roman" w:eastAsia="Times New Roman" w:hint="default"/>
        </w:rPr>
        <w:t>——“</w:t>
      </w:r>
      <w:r>
        <w:rPr/>
        <w:t>上帝之眼</w:t>
      </w:r>
      <w:r>
        <w:rPr>
          <w:rFonts w:ascii="Times New Roman" w:hAnsi="Times New Roman" w:cs="Times New Roman" w:eastAsia="Times New Roman" w:hint="default"/>
        </w:rPr>
        <w:t>”</w:t>
      </w:r>
      <w:r>
        <w:rPr/>
        <w:t>系统，能监控设备的运行及订单状态，合 </w:t>
      </w:r>
      <w:r>
        <w:rPr>
          <w:spacing w:val="-1"/>
        </w:rPr>
        <w:t>理安排补货人的行动轨迹，可对收集到的用户大数据进行分析，集合策略平台进行精准促销。而策略平台</w:t>
      </w:r>
      <w:r>
        <w:rPr>
          <w:spacing w:val="-83"/>
        </w:rPr>
        <w:t> </w:t>
      </w:r>
      <w:r>
        <w:rPr>
          <w:spacing w:val="-83"/>
        </w:rPr>
      </w:r>
      <w:r>
        <w:rPr>
          <w:spacing w:val="-1"/>
        </w:rPr>
        <w:t>系统则采用人工智能技术，建立了用户数据云平台，对设备收集到的用户各种数据进行分析，并采取与之</w:t>
      </w:r>
      <w:r>
        <w:rPr>
          <w:spacing w:val="-83"/>
        </w:rPr>
        <w:t> </w:t>
      </w:r>
      <w:r>
        <w:rPr>
          <w:spacing w:val="-83"/>
        </w:rPr>
      </w:r>
      <w:r>
        <w:rPr>
          <w:spacing w:val="-1"/>
        </w:rPr>
        <w:t>相匹配的促销策略，通过人机互动语音交互系统同用户进行有效的沟通，从而提高用户的转单率，达到促</w:t>
      </w:r>
      <w:r>
        <w:rPr>
          <w:spacing w:val="-83"/>
        </w:rPr>
        <w:t> </w:t>
      </w:r>
      <w:r>
        <w:rPr>
          <w:spacing w:val="-83"/>
        </w:rPr>
      </w:r>
      <w:r>
        <w:rPr>
          <w:spacing w:val="-1"/>
        </w:rPr>
        <w:t>销的目的。此外，管理用户及订单、配置商品、生成运营报表的管理后台系统；用于联营商运营管理及商</w:t>
      </w:r>
      <w:r>
        <w:rPr>
          <w:spacing w:val="-83"/>
        </w:rPr>
        <w:t> </w:t>
      </w:r>
      <w:r>
        <w:rPr>
          <w:spacing w:val="-83"/>
        </w:rPr>
      </w:r>
      <w:r>
        <w:rPr>
          <w:spacing w:val="-3"/>
        </w:rPr>
        <w:t>品、订单、运营报表生成的</w:t>
      </w:r>
      <w:r>
        <w:rPr>
          <w:rFonts w:ascii="Times New Roman" w:hAnsi="Times New Roman" w:cs="Times New Roman" w:eastAsia="Times New Roman" w:hint="default"/>
          <w:spacing w:val="-3"/>
        </w:rPr>
        <w:t>SaaS</w:t>
      </w:r>
      <w:r>
        <w:rPr>
          <w:spacing w:val="-3"/>
        </w:rPr>
        <w:t>平台系统；用于商品的进、销、存及调拨管理的</w:t>
      </w:r>
      <w:r>
        <w:rPr>
          <w:rFonts w:ascii="Times New Roman" w:hAnsi="Times New Roman" w:cs="Times New Roman" w:eastAsia="Times New Roman" w:hint="default"/>
          <w:spacing w:val="-3"/>
        </w:rPr>
        <w:t>WMS</w:t>
      </w:r>
      <w:r>
        <w:rPr>
          <w:spacing w:val="-3"/>
        </w:rPr>
        <w:t>平台系统；以及对终</w:t>
      </w:r>
      <w:r>
        <w:rPr>
          <w:spacing w:val="-64"/>
        </w:rPr>
        <w:t> </w:t>
      </w:r>
      <w:r>
        <w:rPr>
          <w:spacing w:val="-64"/>
        </w:rPr>
      </w:r>
      <w:r>
        <w:rPr/>
        <w:t>端用户的</w:t>
      </w:r>
      <w:r>
        <w:rPr>
          <w:rFonts w:ascii="Times New Roman" w:hAnsi="Times New Roman" w:cs="Times New Roman" w:eastAsia="Times New Roman" w:hint="default"/>
        </w:rPr>
        <w:t>APP</w:t>
      </w:r>
      <w:r>
        <w:rPr/>
        <w:t>小程序均以开发完毕，后期将继续在应用中迭代完善形成模块化，以适用于多种智能终端类 共享设备。</w:t>
      </w:r>
    </w:p>
    <w:p>
      <w:pPr>
        <w:spacing w:after="0" w:line="324"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5"/>
        <w:spacing w:line="314" w:lineRule="auto" w:before="169"/>
        <w:ind w:left="574" w:right="0"/>
        <w:jc w:val="left"/>
      </w:pPr>
      <w:r>
        <w:rPr>
          <w:rFonts w:ascii="Times New Roman" w:hAnsi="Times New Roman" w:cs="Times New Roman" w:eastAsia="Times New Roman" w:hint="default"/>
        </w:rPr>
        <w:t>B</w:t>
      </w:r>
      <w:r>
        <w:rPr/>
        <w:t>、激光及</w:t>
      </w:r>
      <w:r>
        <w:rPr>
          <w:rFonts w:ascii="Times New Roman" w:hAnsi="Times New Roman" w:cs="Times New Roman" w:eastAsia="Times New Roman" w:hint="default"/>
        </w:rPr>
        <w:t>3D</w:t>
      </w:r>
      <w:r>
        <w:rPr/>
        <w:t>打印定制无人零售终端 </w:t>
      </w:r>
      <w:r>
        <w:rPr>
          <w:spacing w:val="-2"/>
        </w:rPr>
        <w:t>公司根据激光和</w:t>
      </w:r>
      <w:r>
        <w:rPr>
          <w:rFonts w:ascii="Times New Roman" w:hAnsi="Times New Roman" w:cs="Times New Roman" w:eastAsia="Times New Roman" w:hint="default"/>
          <w:spacing w:val="-2"/>
        </w:rPr>
        <w:t>3D</w:t>
      </w:r>
      <w:r>
        <w:rPr>
          <w:spacing w:val="-2"/>
        </w:rPr>
        <w:t>打印可数字化创意的特点，在调研市场需求和把握消费趋势的前提下，创新性地将</w:t>
      </w:r>
    </w:p>
    <w:p>
      <w:pPr>
        <w:pStyle w:val="Heading5"/>
        <w:spacing w:line="314" w:lineRule="auto" w:before="16"/>
        <w:ind w:right="0"/>
        <w:jc w:val="left"/>
      </w:pPr>
      <w:r>
        <w:rPr>
          <w:spacing w:val="-2"/>
        </w:rPr>
        <w:t>激光创意雕刻及</w:t>
      </w:r>
      <w:r>
        <w:rPr>
          <w:rFonts w:ascii="Times New Roman" w:hAnsi="Times New Roman" w:cs="Times New Roman" w:eastAsia="Times New Roman" w:hint="default"/>
          <w:spacing w:val="-2"/>
        </w:rPr>
        <w:t>3D</w:t>
      </w:r>
      <w:r>
        <w:rPr>
          <w:spacing w:val="-2"/>
        </w:rPr>
        <w:t>打印定制同智能的无人零售相结合，立项开发适合多种商业场景的激光个性雕刻创意无</w:t>
      </w:r>
      <w:r>
        <w:rPr>
          <w:spacing w:val="-81"/>
        </w:rPr>
        <w:t> </w:t>
      </w:r>
      <w:r>
        <w:rPr>
          <w:spacing w:val="-81"/>
        </w:rPr>
      </w:r>
      <w:r>
        <w:rPr/>
        <w:t>人零售机和</w:t>
      </w:r>
      <w:r>
        <w:rPr>
          <w:rFonts w:ascii="Times New Roman" w:hAnsi="Times New Roman" w:cs="Times New Roman" w:eastAsia="Times New Roman" w:hint="default"/>
        </w:rPr>
        <w:t>3D</w:t>
      </w:r>
      <w:r>
        <w:rPr/>
        <w:t>打印人像定制机。目前，产品开发工作进展顺利，力争在</w:t>
      </w:r>
      <w:r>
        <w:rPr>
          <w:rFonts w:ascii="Times New Roman" w:hAnsi="Times New Roman" w:cs="Times New Roman" w:eastAsia="Times New Roman" w:hint="default"/>
        </w:rPr>
        <w:t>2019</w:t>
      </w:r>
      <w:r>
        <w:rPr/>
        <w:t>年尽快推出面市。</w:t>
      </w:r>
    </w:p>
    <w:p>
      <w:pPr>
        <w:pStyle w:val="Heading5"/>
        <w:spacing w:line="312" w:lineRule="auto" w:before="17"/>
        <w:ind w:left="574" w:right="0"/>
        <w:jc w:val="left"/>
      </w:pPr>
      <w:r>
        <w:rPr>
          <w:rFonts w:ascii="Times New Roman" w:hAnsi="Times New Roman" w:cs="Times New Roman" w:eastAsia="Times New Roman" w:hint="default"/>
        </w:rPr>
        <w:t>C</w:t>
      </w:r>
      <w:r>
        <w:rPr/>
        <w:t>、</w:t>
      </w:r>
      <w:r>
        <w:rPr>
          <w:rFonts w:ascii="Times New Roman" w:hAnsi="Times New Roman" w:cs="Times New Roman" w:eastAsia="Times New Roman" w:hint="default"/>
        </w:rPr>
        <w:t>3D</w:t>
      </w:r>
      <w:r>
        <w:rPr/>
        <w:t>打印创意教育及应用 </w:t>
      </w:r>
      <w:r>
        <w:rPr>
          <w:spacing w:val="-3"/>
        </w:rPr>
        <w:t>报告期内，</w:t>
      </w:r>
      <w:r>
        <w:rPr>
          <w:rFonts w:ascii="Times New Roman" w:hAnsi="Times New Roman" w:cs="Times New Roman" w:eastAsia="Times New Roman" w:hint="default"/>
          <w:spacing w:val="-3"/>
        </w:rPr>
        <w:t>3D</w:t>
      </w:r>
      <w:r>
        <w:rPr>
          <w:spacing w:val="-3"/>
        </w:rPr>
        <w:t>打印教育板块的</w:t>
      </w:r>
      <w:r>
        <w:rPr>
          <w:rFonts w:ascii="Times New Roman" w:hAnsi="Times New Roman" w:cs="Times New Roman" w:eastAsia="Times New Roman" w:hint="default"/>
          <w:spacing w:val="-3"/>
        </w:rPr>
        <w:t>“3D</w:t>
      </w:r>
      <w:r>
        <w:rPr>
          <w:spacing w:val="-3"/>
        </w:rPr>
        <w:t>打印创客教育</w:t>
      </w:r>
      <w:r>
        <w:rPr>
          <w:rFonts w:ascii="Times New Roman" w:hAnsi="Times New Roman" w:cs="Times New Roman" w:eastAsia="Times New Roman" w:hint="default"/>
          <w:spacing w:val="-3"/>
        </w:rPr>
        <w:t>”</w:t>
      </w:r>
      <w:r>
        <w:rPr>
          <w:spacing w:val="-3"/>
        </w:rPr>
        <w:t>解决方案，继续在教育部门稳步推进，在服务方面取</w:t>
      </w:r>
    </w:p>
    <w:p>
      <w:pPr>
        <w:pStyle w:val="Heading5"/>
        <w:spacing w:line="240" w:lineRule="auto" w:before="20"/>
        <w:ind w:right="0"/>
        <w:jc w:val="left"/>
      </w:pPr>
      <w:r>
        <w:rPr/>
        <w:t>得了一定的收益。</w:t>
      </w:r>
    </w:p>
    <w:p>
      <w:pPr>
        <w:pStyle w:val="Heading5"/>
        <w:spacing w:line="312" w:lineRule="auto" w:before="105"/>
        <w:ind w:right="1132" w:firstLine="420"/>
        <w:jc w:val="both"/>
      </w:pPr>
      <w:r>
        <w:rPr>
          <w:rFonts w:ascii="Times New Roman" w:hAnsi="Times New Roman" w:cs="Times New Roman" w:eastAsia="Times New Roman" w:hint="default"/>
          <w:spacing w:val="-1"/>
        </w:rPr>
        <w:t>3D</w:t>
      </w:r>
      <w:r>
        <w:rPr>
          <w:spacing w:val="-1"/>
        </w:rPr>
        <w:t>打印的</w:t>
      </w:r>
      <w:r>
        <w:rPr>
          <w:rFonts w:ascii="Times New Roman" w:hAnsi="Times New Roman" w:cs="Times New Roman" w:eastAsia="Times New Roman" w:hint="default"/>
          <w:spacing w:val="-1"/>
        </w:rPr>
        <w:t>IP</w:t>
      </w:r>
      <w:r>
        <w:rPr>
          <w:spacing w:val="-1"/>
        </w:rPr>
        <w:t>衍生品应用：聚焦开发</w:t>
      </w:r>
      <w:r>
        <w:rPr>
          <w:rFonts w:ascii="Times New Roman" w:hAnsi="Times New Roman" w:cs="Times New Roman" w:eastAsia="Times New Roman" w:hint="default"/>
          <w:spacing w:val="-1"/>
        </w:rPr>
        <w:t>3D</w:t>
      </w:r>
      <w:r>
        <w:rPr>
          <w:spacing w:val="-1"/>
        </w:rPr>
        <w:t>打印潮流系列人偶</w:t>
      </w:r>
      <w:r>
        <w:rPr>
          <w:rFonts w:ascii="Times New Roman" w:hAnsi="Times New Roman" w:cs="Times New Roman" w:eastAsia="Times New Roman" w:hint="default"/>
          <w:spacing w:val="-1"/>
        </w:rPr>
        <w:t>Sa&amp;M</w:t>
      </w:r>
      <w:r>
        <w:rPr>
          <w:spacing w:val="-1"/>
        </w:rPr>
        <w:t>（砂糖小姐和摩卡先生）产品已全部上</w:t>
      </w:r>
      <w:r>
        <w:rPr/>
        <w:t> 市，并形成一定量的销售，未来将持续性地优化升级，扩大销售量，以期形成独特的</w:t>
      </w:r>
      <w:r>
        <w:rPr>
          <w:rFonts w:ascii="Times New Roman" w:hAnsi="Times New Roman" w:cs="Times New Roman" w:eastAsia="Times New Roman" w:hint="default"/>
        </w:rPr>
        <w:t>IP</w:t>
      </w:r>
      <w:r>
        <w:rPr/>
        <w:t>。</w:t>
      </w:r>
    </w:p>
    <w:p>
      <w:pPr>
        <w:pStyle w:val="Heading5"/>
        <w:spacing w:line="331" w:lineRule="auto" w:before="20"/>
        <w:ind w:right="1130" w:firstLine="420"/>
        <w:jc w:val="both"/>
      </w:pPr>
      <w:r>
        <w:rPr>
          <w:spacing w:val="-1"/>
        </w:rPr>
        <w:t>商业智能板块是公司将近几年尝试性开发的新项目中应用的新技术集合起来，利用公司设备制造及技</w:t>
      </w:r>
      <w:r>
        <w:rPr/>
        <w:t> </w:t>
      </w:r>
      <w:r>
        <w:rPr>
          <w:spacing w:val="-1"/>
        </w:rPr>
        <w:t>术沉淀、技术队伍较完备的特点，聚焦到智能无人零售终端方面的新业务领域，希望利用区块链技术推动</w:t>
      </w:r>
      <w:r>
        <w:rPr>
          <w:spacing w:val="-83"/>
        </w:rPr>
        <w:t> </w:t>
      </w:r>
      <w:r>
        <w:rPr>
          <w:spacing w:val="-83"/>
        </w:rPr>
      </w:r>
      <w:r>
        <w:rPr/>
        <w:t>智能终端共享模式的发展，以期将设备的销售转化为服务的模式。</w:t>
      </w:r>
    </w:p>
    <w:p>
      <w:pPr>
        <w:pStyle w:val="Heading5"/>
        <w:spacing w:line="314" w:lineRule="auto" w:before="25"/>
        <w:ind w:left="574" w:right="1017"/>
        <w:jc w:val="left"/>
      </w:pPr>
      <w:r>
        <w:rPr>
          <w:rFonts w:ascii="Times New Roman" w:hAnsi="Times New Roman" w:cs="Times New Roman" w:eastAsia="Times New Roman" w:hint="default"/>
        </w:rPr>
        <w:t>2</w:t>
      </w:r>
      <w:r>
        <w:rPr/>
        <w:t>、公司治理及三会运行 </w:t>
      </w:r>
      <w:r>
        <w:rPr>
          <w:spacing w:val="-3"/>
        </w:rPr>
        <w:t>报告期内，公司按照公司治理机制运作，决策层、经营层及监督层各司其职，履行相应的权利和义务，</w:t>
      </w:r>
    </w:p>
    <w:p>
      <w:pPr>
        <w:pStyle w:val="Heading5"/>
        <w:spacing w:line="324" w:lineRule="auto" w:before="39"/>
        <w:ind w:right="0"/>
        <w:jc w:val="left"/>
      </w:pPr>
      <w:r>
        <w:rPr>
          <w:spacing w:val="-3"/>
        </w:rPr>
        <w:t>充分尊重和保障股东尤其是中小股东的合法权益。</w:t>
      </w:r>
      <w:r>
        <w:rPr>
          <w:rFonts w:ascii="Times New Roman" w:hAnsi="Times New Roman" w:cs="Times New Roman" w:eastAsia="Times New Roman" w:hint="default"/>
          <w:spacing w:val="-3"/>
        </w:rPr>
        <w:t>2018</w:t>
      </w:r>
      <w:r>
        <w:rPr>
          <w:spacing w:val="-3"/>
        </w:rPr>
        <w:t>年，公司共召开董事会会议八次、监事会会议七次、</w:t>
      </w:r>
      <w:r>
        <w:rPr>
          <w:spacing w:val="-87"/>
        </w:rPr>
        <w:t> </w:t>
      </w:r>
      <w:r>
        <w:rPr>
          <w:spacing w:val="-87"/>
        </w:rPr>
      </w:r>
      <w:r>
        <w:rPr/>
        <w:t>职工代表大会一次、股东大会两次，审议了包括计提大额资产减值、日常关联交易、董事会及监事会换届</w:t>
      </w:r>
      <w:r>
        <w:rPr/>
        <w:t> 选举等多个事项，并按相关规定履行信息披露义务。</w:t>
      </w:r>
    </w:p>
    <w:p>
      <w:pPr>
        <w:pStyle w:val="Heading5"/>
        <w:spacing w:line="314" w:lineRule="auto" w:before="31"/>
        <w:ind w:left="574" w:right="0"/>
        <w:jc w:val="left"/>
      </w:pPr>
      <w:r>
        <w:rPr>
          <w:rFonts w:ascii="Times New Roman" w:hAnsi="Times New Roman" w:cs="Times New Roman" w:eastAsia="Times New Roman" w:hint="default"/>
        </w:rPr>
        <w:t>3</w:t>
      </w:r>
      <w:r>
        <w:rPr/>
        <w:t>、知识产权工作 </w:t>
      </w:r>
      <w:r>
        <w:rPr>
          <w:spacing w:val="-1"/>
        </w:rPr>
        <w:t>报告期内，公司新申请专利</w:t>
      </w:r>
      <w:r>
        <w:rPr>
          <w:rFonts w:ascii="Times New Roman" w:hAnsi="Times New Roman" w:cs="Times New Roman" w:eastAsia="Times New Roman" w:hint="default"/>
          <w:spacing w:val="-1"/>
        </w:rPr>
        <w:t>29</w:t>
      </w:r>
      <w:r>
        <w:rPr>
          <w:spacing w:val="-1"/>
        </w:rPr>
        <w:t>件，商标</w:t>
      </w:r>
      <w:r>
        <w:rPr>
          <w:rFonts w:ascii="Times New Roman" w:hAnsi="Times New Roman" w:cs="Times New Roman" w:eastAsia="Times New Roman" w:hint="default"/>
          <w:spacing w:val="-1"/>
        </w:rPr>
        <w:t>2</w:t>
      </w:r>
      <w:r>
        <w:rPr>
          <w:spacing w:val="-1"/>
        </w:rPr>
        <w:t>件，软著</w:t>
      </w:r>
      <w:r>
        <w:rPr>
          <w:rFonts w:ascii="Times New Roman" w:hAnsi="Times New Roman" w:cs="Times New Roman" w:eastAsia="Times New Roman" w:hint="default"/>
          <w:spacing w:val="-1"/>
        </w:rPr>
        <w:t>14</w:t>
      </w:r>
      <w:r>
        <w:rPr>
          <w:spacing w:val="-1"/>
        </w:rPr>
        <w:t>件；新获权专利</w:t>
      </w:r>
      <w:r>
        <w:rPr>
          <w:rFonts w:ascii="Times New Roman" w:hAnsi="Times New Roman" w:cs="Times New Roman" w:eastAsia="Times New Roman" w:hint="default"/>
          <w:spacing w:val="-1"/>
        </w:rPr>
        <w:t>19</w:t>
      </w:r>
      <w:r>
        <w:rPr>
          <w:spacing w:val="-1"/>
        </w:rPr>
        <w:t>件，商标</w:t>
      </w:r>
      <w:r>
        <w:rPr>
          <w:rFonts w:ascii="Times New Roman" w:hAnsi="Times New Roman" w:cs="Times New Roman" w:eastAsia="Times New Roman" w:hint="default"/>
          <w:spacing w:val="-1"/>
        </w:rPr>
        <w:t>7</w:t>
      </w:r>
      <w:r>
        <w:rPr>
          <w:spacing w:val="-1"/>
        </w:rPr>
        <w:t>件，软著</w:t>
      </w:r>
      <w:r>
        <w:rPr>
          <w:rFonts w:ascii="Times New Roman" w:hAnsi="Times New Roman" w:cs="Times New Roman" w:eastAsia="Times New Roman" w:hint="default"/>
          <w:spacing w:val="-1"/>
        </w:rPr>
        <w:t>14</w:t>
      </w:r>
      <w:r>
        <w:rPr>
          <w:spacing w:val="-1"/>
        </w:rPr>
        <w:t>件。上述</w:t>
      </w:r>
    </w:p>
    <w:p>
      <w:pPr>
        <w:pStyle w:val="Heading5"/>
        <w:spacing w:line="240" w:lineRule="auto" w:before="17"/>
        <w:ind w:right="0"/>
        <w:jc w:val="left"/>
      </w:pPr>
      <w:r>
        <w:rPr/>
        <w:t>知识产权的取得，是公司核心竞争力持续提升的重要体现。</w:t>
      </w:r>
    </w:p>
    <w:p>
      <w:pPr>
        <w:pStyle w:val="Heading5"/>
        <w:spacing w:line="314" w:lineRule="auto" w:before="104"/>
        <w:ind w:left="574" w:right="0"/>
        <w:jc w:val="left"/>
      </w:pPr>
      <w:r>
        <w:rPr>
          <w:rFonts w:ascii="Times New Roman" w:hAnsi="Times New Roman" w:cs="Times New Roman" w:eastAsia="Times New Roman" w:hint="default"/>
        </w:rPr>
        <w:t>4</w:t>
      </w:r>
      <w:r>
        <w:rPr/>
        <w:t>、人力资源及企业文化建设 </w:t>
      </w:r>
      <w:r>
        <w:rPr>
          <w:spacing w:val="-1"/>
        </w:rPr>
        <w:t>报告期内，公司主要加强了对现有人员与岗位匹配性的梳理，以适合度和贡献度为参考依据，对公司</w:t>
      </w:r>
    </w:p>
    <w:p>
      <w:pPr>
        <w:pStyle w:val="Heading5"/>
        <w:spacing w:line="331" w:lineRule="auto" w:before="40"/>
        <w:ind w:right="1023"/>
        <w:jc w:val="left"/>
      </w:pPr>
      <w:r>
        <w:rPr>
          <w:spacing w:val="-3"/>
        </w:rPr>
        <w:t>团队进行了必要的调整，以达到提高人力资源效率的目标。公司进一步精减了人员，优化人员的专业结构，</w:t>
      </w:r>
      <w:r>
        <w:rPr>
          <w:spacing w:val="-90"/>
        </w:rPr>
        <w:t> </w:t>
      </w:r>
      <w:r>
        <w:rPr>
          <w:spacing w:val="-90"/>
        </w:rPr>
      </w:r>
      <w:r>
        <w:rPr/>
        <w:t>实施优胜劣汰的用人机制，引进有创新思维、业务能力强、执行力高效的成员，逐渐提高了团队的活力和</w:t>
      </w:r>
      <w:r>
        <w:rPr/>
        <w:t> 能动性。</w:t>
      </w:r>
    </w:p>
    <w:p>
      <w:pPr>
        <w:spacing w:line="240" w:lineRule="auto" w:before="8"/>
        <w:rPr>
          <w:rFonts w:ascii="宋体" w:hAnsi="宋体" w:cs="宋体" w:eastAsia="宋体" w:hint="default"/>
          <w:sz w:val="17"/>
          <w:szCs w:val="17"/>
        </w:rPr>
      </w:pPr>
    </w:p>
    <w:p>
      <w:pPr>
        <w:pStyle w:val="Heading3"/>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5759"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21"/>
          <w:szCs w:val="21"/>
        </w:rPr>
        <w:t>参见</w:t>
      </w:r>
      <w:r>
        <w:rPr>
          <w:rFonts w:ascii="Times New Roman" w:hAnsi="Times New Roman" w:cs="Times New Roman" w:eastAsia="Times New Roman" w:hint="default"/>
          <w:sz w:val="21"/>
          <w:szCs w:val="21"/>
        </w:rPr>
        <w:t>“</w:t>
      </w:r>
      <w:r>
        <w:rPr>
          <w:rFonts w:ascii="宋体" w:hAnsi="宋体" w:cs="宋体" w:eastAsia="宋体" w:hint="default"/>
          <w:sz w:val="21"/>
          <w:szCs w:val="21"/>
        </w:rPr>
        <w:t>经营情况讨论与分析</w:t>
      </w:r>
      <w:r>
        <w:rPr>
          <w:rFonts w:ascii="Times New Roman" w:hAnsi="Times New Roman" w:cs="Times New Roman" w:eastAsia="Times New Roman" w:hint="default"/>
          <w:sz w:val="21"/>
          <w:szCs w:val="21"/>
        </w:rPr>
        <w:t>”</w:t>
      </w:r>
      <w:r>
        <w:rPr>
          <w:rFonts w:ascii="宋体" w:hAnsi="宋体" w:cs="宋体" w:eastAsia="宋体" w:hint="default"/>
          <w:sz w:val="21"/>
          <w:szCs w:val="21"/>
        </w:rPr>
        <w:t>中的</w:t>
      </w:r>
      <w:r>
        <w:rPr>
          <w:rFonts w:ascii="Times New Roman" w:hAnsi="Times New Roman" w:cs="Times New Roman" w:eastAsia="Times New Roman" w:hint="default"/>
          <w:sz w:val="21"/>
          <w:szCs w:val="21"/>
        </w:rPr>
        <w:t>“</w:t>
      </w:r>
      <w:r>
        <w:rPr>
          <w:rFonts w:ascii="宋体" w:hAnsi="宋体" w:cs="宋体" w:eastAsia="宋体" w:hint="default"/>
          <w:sz w:val="21"/>
          <w:szCs w:val="21"/>
        </w:rPr>
        <w:t>一、概述</w:t>
      </w:r>
      <w:r>
        <w:rPr>
          <w:rFonts w:ascii="Times New Roman" w:hAnsi="Times New Roman" w:cs="Times New Roman" w:eastAsia="Times New Roman" w:hint="default"/>
          <w:sz w:val="21"/>
          <w:szCs w:val="21"/>
        </w:rPr>
        <w:t>”</w:t>
      </w:r>
      <w:r>
        <w:rPr>
          <w:rFonts w:ascii="宋体" w:hAnsi="宋体" w:cs="宋体" w:eastAsia="宋体" w:hint="default"/>
          <w:sz w:val="21"/>
          <w:szCs w:val="21"/>
        </w:rPr>
        <w:t>相关内容。 </w:t>
      </w:r>
      <w:bookmarkStart w:name="2、收入与成本" w:id="27"/>
      <w:bookmarkEnd w:id="27"/>
      <w:r>
        <w:rPr>
          <w:rFonts w:ascii="宋体" w:hAnsi="宋体" w:cs="宋体" w:eastAsia="宋体" w:hint="default"/>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65"/>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972"/>
        <w:jc w:val="left"/>
      </w:pPr>
      <w:r>
        <w:rPr/>
        <w:t>公司是否需要遵守光伏产业链相关业的披露要求 否</w:t>
      </w:r>
    </w:p>
    <w:p>
      <w:pPr>
        <w:pStyle w:val="BodyText"/>
        <w:spacing w:line="240" w:lineRule="auto" w:before="29"/>
        <w:ind w:right="0"/>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否</w:t>
      </w:r>
    </w:p>
    <w:p>
      <w:pPr>
        <w:pStyle w:val="BodyText"/>
        <w:spacing w:line="340" w:lineRule="auto" w:before="116"/>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0"/>
        <w:ind w:right="1135"/>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3"/>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40" w:lineRule="auto" w:before="42"/>
        <w:ind w:right="166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否</w:t>
      </w: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Heading5"/>
        <w:spacing w:line="240" w:lineRule="auto" w:before="35"/>
        <w:ind w:right="-20"/>
        <w:jc w:val="left"/>
      </w:pPr>
      <w:r>
        <w:rPr/>
        <w:t>营业收入整体情况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1835" w:space="7085"/>
            <w:col w:w="2010"/>
          </w:cols>
        </w:sectPr>
      </w:pPr>
    </w:p>
    <w:p>
      <w:pPr>
        <w:spacing w:line="240" w:lineRule="auto" w:before="13"/>
        <w:rPr>
          <w:rFonts w:ascii="宋体" w:hAnsi="宋体" w:cs="宋体" w:eastAsia="宋体" w:hint="default"/>
          <w:sz w:val="7"/>
          <w:szCs w:val="7"/>
        </w:rPr>
      </w:pPr>
    </w:p>
    <w:tbl>
      <w:tblPr>
        <w:tblW w:w="0" w:type="auto"/>
        <w:jc w:val="left"/>
        <w:tblInd w:w="153" w:type="dxa"/>
        <w:tblLayout w:type="fixed"/>
        <w:tblCellMar>
          <w:top w:w="0" w:type="dxa"/>
          <w:left w:w="0" w:type="dxa"/>
          <w:bottom w:w="0" w:type="dxa"/>
          <w:right w:w="0" w:type="dxa"/>
        </w:tblCellMar>
        <w:tblLook w:val="01E0"/>
      </w:tblPr>
      <w:tblGrid>
        <w:gridCol w:w="1592"/>
        <w:gridCol w:w="1597"/>
        <w:gridCol w:w="1592"/>
        <w:gridCol w:w="1597"/>
        <w:gridCol w:w="1588"/>
        <w:gridCol w:w="1590"/>
      </w:tblGrid>
      <w:tr>
        <w:trPr>
          <w:trHeight w:val="206" w:hRule="exact"/>
        </w:trPr>
        <w:tc>
          <w:tcPr>
            <w:tcW w:w="1592" w:type="dxa"/>
            <w:tcBorders>
              <w:top w:val="single" w:sz="4" w:space="0" w:color="000000"/>
              <w:left w:val="nil" w:sz="6" w:space="0" w:color="auto"/>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0"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1" w:hRule="exact"/>
        </w:trPr>
        <w:tc>
          <w:tcPr>
            <w:tcW w:w="1592" w:type="dxa"/>
            <w:vMerge w:val="restart"/>
            <w:tcBorders>
              <w:top w:val="nil" w:sz="6" w:space="0" w:color="auto"/>
              <w:left w:val="nil" w:sz="6" w:space="0" w:color="auto"/>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2" w:type="dxa"/>
            <w:vMerge/>
            <w:tcBorders>
              <w:left w:val="nil" w:sz="6" w:space="0" w:color="auto"/>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0" w:type="dxa"/>
            <w:vMerge/>
            <w:tcBorders>
              <w:left w:val="single" w:sz="4" w:space="0" w:color="000000"/>
              <w:bottom w:val="nil" w:sz="6" w:space="0" w:color="auto"/>
              <w:right w:val="nil" w:sz="6" w:space="0" w:color="auto"/>
            </w:tcBorders>
            <w:shd w:val="clear" w:color="auto" w:fill="D2D2D2"/>
          </w:tcPr>
          <w:p>
            <w:pPr/>
          </w:p>
        </w:tc>
      </w:tr>
      <w:tr>
        <w:trPr>
          <w:trHeight w:val="206" w:hRule="exact"/>
        </w:trPr>
        <w:tc>
          <w:tcPr>
            <w:tcW w:w="1592" w:type="dxa"/>
            <w:tcBorders>
              <w:top w:val="nil" w:sz="6" w:space="0" w:color="auto"/>
              <w:left w:val="nil" w:sz="6" w:space="0" w:color="auto"/>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0"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7" w:hRule="exact"/>
        </w:trPr>
        <w:tc>
          <w:tcPr>
            <w:tcW w:w="15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212,787,605.82</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184,949,471.36</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15.05%</w:t>
            </w:r>
          </w:p>
        </w:tc>
      </w:tr>
      <w:tr>
        <w:trPr>
          <w:trHeight w:val="397" w:hRule="exact"/>
        </w:trPr>
        <w:tc>
          <w:tcPr>
            <w:tcW w:w="9556" w:type="dxa"/>
            <w:gridSpan w:val="6"/>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激光设备制造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179,185,946.45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84.21%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159,223,736.19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86.09%</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12.54%</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33,601,659.37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25,725,735.17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13.91%</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30.61%</w:t>
            </w:r>
          </w:p>
        </w:tc>
      </w:tr>
      <w:tr>
        <w:trPr>
          <w:trHeight w:val="402" w:hRule="exact"/>
        </w:trPr>
        <w:tc>
          <w:tcPr>
            <w:tcW w:w="9556" w:type="dxa"/>
            <w:gridSpan w:val="6"/>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X-Y</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轴系列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17,775,170.78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37,507,541.50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20.28%</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-52.61%</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振镜系列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14,713,644.99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4,347,356.89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2.35%</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238.45%</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裁床系列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26,160,735.54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20,361,624.26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11.01%</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28.48%</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固体激光产品系列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120,536,395.14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97,007,213.54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52.45%</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24.26%</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33,601,659.37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25,725,735.17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13.91%</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30.61%</w:t>
            </w:r>
          </w:p>
        </w:tc>
      </w:tr>
      <w:tr>
        <w:trPr>
          <w:trHeight w:val="402" w:hRule="exact"/>
        </w:trPr>
        <w:tc>
          <w:tcPr>
            <w:tcW w:w="9556" w:type="dxa"/>
            <w:gridSpan w:val="6"/>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7,725,592.32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2,395,555.52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1.30%</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222.50%</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7,709,666.90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4,070,855.96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2.20%</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89.39%</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51,793,089.41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50,401,016.16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27.25%</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2.76%</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7,489,611.18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6,869,398.09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3.71%</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9.03%</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31,266,107.73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31,208,068.68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16.87%</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1,700,268.85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1,529,018.45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0.83%</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11.20%</w:t>
            </w: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271,585.24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104,831,684.19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88,475,558.50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47.84%</w:t>
            </w:r>
          </w:p>
        </w:tc>
        <w:tc>
          <w:tcPr>
            <w:tcW w:w="1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18.49%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pStyle w:val="Heading5"/>
        <w:spacing w:line="307" w:lineRule="auto" w:before="35"/>
        <w:ind w:right="-20"/>
        <w:jc w:val="left"/>
      </w:pPr>
      <w:r>
        <w:rPr/>
        <w:t>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3725" w:space="519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nil" w:sz="6" w:space="0" w:color="auto"/>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411" w:right="53"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激光设备制造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179,185,946.45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123,286,855.07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3.65%</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33,601,659.37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18,385,126.74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25.85%</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9572"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裁床系列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26,160,735.54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14,852,904.98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52.82%</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-9.05%</w:t>
            </w:r>
          </w:p>
        </w:tc>
      </w:tr>
      <w:tr>
        <w:trPr>
          <w:trHeight w:val="714"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72"/>
              <w:jc w:val="left"/>
              <w:rPr>
                <w:rFonts w:ascii="宋体" w:hAnsi="宋体" w:cs="宋体" w:eastAsia="宋体" w:hint="default"/>
                <w:sz w:val="18"/>
                <w:szCs w:val="18"/>
              </w:rPr>
            </w:pPr>
            <w:r>
              <w:rPr>
                <w:rFonts w:ascii="宋体" w:hAnsi="宋体" w:cs="宋体" w:eastAsia="宋体" w:hint="default"/>
                <w:sz w:val="18"/>
                <w:szCs w:val="18"/>
              </w:rPr>
              <w:t>固体激光产品系 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120,536,395.14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87,240,159.90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14.22%</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6.35%</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33,601,659.37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18,385,126.74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25.85%</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9572" w:type="dxa"/>
            <w:gridSpan w:val="7"/>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51,793,089.41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39,404,004.54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8.36%</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31,266,107.73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18,673,684.56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-6.23%</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4.08%</w:t>
            </w:r>
          </w:p>
        </w:tc>
      </w:tr>
      <w:tr>
        <w:trPr>
          <w:trHeight w:val="402" w:hRule="exact"/>
        </w:trPr>
        <w:tc>
          <w:tcPr>
            <w:tcW w:w="1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104,831,684.19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64,196,700.10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18.07%</w:t>
            </w:r>
          </w:p>
        </w:tc>
        <w:tc>
          <w:tcPr>
            <w:tcW w:w="1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0.02%</w:t>
            </w:r>
          </w:p>
        </w:tc>
      </w:tr>
    </w:tbl>
    <w:p>
      <w:pPr>
        <w:pStyle w:val="Heading5"/>
        <w:spacing w:line="259" w:lineRule="auto" w:before="26"/>
        <w:ind w:right="1114"/>
        <w:jc w:val="left"/>
      </w:pPr>
      <w:r>
        <w:rPr/>
        <w:t>公司主营业务数据统计口径在报告期发生调整的情况下，公司最近</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年按报告期末口径调整后的主营业务 数据</w:t>
      </w:r>
    </w:p>
    <w:p>
      <w:pPr>
        <w:pStyle w:val="Heading5"/>
        <w:spacing w:line="240" w:lineRule="auto" w:before="6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2" w:type="dxa"/>
        <w:tblLayout w:type="fixed"/>
        <w:tblCellMar>
          <w:top w:w="0" w:type="dxa"/>
          <w:left w:w="0" w:type="dxa"/>
          <w:bottom w:w="0" w:type="dxa"/>
          <w:right w:w="0" w:type="dxa"/>
        </w:tblCellMar>
        <w:tblLook w:val="01E0"/>
      </w:tblPr>
      <w:tblGrid>
        <w:gridCol w:w="1594"/>
        <w:gridCol w:w="1571"/>
        <w:gridCol w:w="1607"/>
        <w:gridCol w:w="1594"/>
        <w:gridCol w:w="1594"/>
        <w:gridCol w:w="1580"/>
      </w:tblGrid>
      <w:tr>
        <w:trPr>
          <w:trHeight w:val="402"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42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4" w:type="dxa"/>
            <w:vMerge w:val="restart"/>
            <w:tcBorders>
              <w:top w:val="single" w:sz="4" w:space="0" w:color="000000"/>
              <w:left w:val="nil" w:sz="6" w:space="0" w:color="auto"/>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698</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-2.29%</w:t>
            </w:r>
          </w:p>
        </w:tc>
      </w:tr>
      <w:tr>
        <w:trPr>
          <w:trHeight w:val="402" w:hRule="exact"/>
        </w:trPr>
        <w:tc>
          <w:tcPr>
            <w:tcW w:w="1594" w:type="dxa"/>
            <w:vMerge/>
            <w:tcBorders>
              <w:left w:val="nil" w:sz="6" w:space="0" w:color="auto"/>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634</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-10.25%</w:t>
            </w:r>
          </w:p>
        </w:tc>
      </w:tr>
      <w:tr>
        <w:trPr>
          <w:trHeight w:val="403" w:hRule="exact"/>
        </w:trPr>
        <w:tc>
          <w:tcPr>
            <w:tcW w:w="1594" w:type="dxa"/>
            <w:vMerge/>
            <w:tcBorders>
              <w:left w:val="nil" w:sz="6" w:space="0" w:color="auto"/>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372</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-30.38%</w:t>
            </w:r>
          </w:p>
        </w:tc>
      </w:tr>
    </w:tbl>
    <w:p>
      <w:pPr>
        <w:pStyle w:val="Heading5"/>
        <w:spacing w:line="240" w:lineRule="auto" w:before="26"/>
        <w:ind w:right="0"/>
        <w:jc w:val="left"/>
      </w:pPr>
      <w:r>
        <w:rPr/>
        <w:t>相关数据同比发生变动</w:t>
      </w:r>
      <w:r>
        <w:rPr>
          <w:spacing w:val="-54"/>
        </w:rPr>
        <w:t> </w:t>
      </w:r>
      <w:r>
        <w:rPr>
          <w:rFonts w:ascii="Times New Roman" w:hAnsi="Times New Roman" w:cs="Times New Roman" w:eastAsia="Times New Roman" w:hint="default"/>
        </w:rPr>
        <w:t>30%</w:t>
      </w:r>
      <w:r>
        <w:rPr/>
        <w:t>以上的原因说明</w:t>
      </w:r>
    </w:p>
    <w:p>
      <w:pPr>
        <w:pStyle w:val="Heading5"/>
        <w:spacing w:line="290" w:lineRule="auto" w:before="61"/>
        <w:ind w:right="7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库存量减少是因为本期消化期初库存。</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4"/>
          <w:szCs w:val="24"/>
        </w:rPr>
      </w:pPr>
    </w:p>
    <w:p>
      <w:pPr>
        <w:spacing w:line="506" w:lineRule="auto" w:before="0"/>
        <w:ind w:left="154" w:right="8960" w:firstLine="0"/>
        <w:jc w:val="left"/>
        <w:rPr>
          <w:rFonts w:ascii="宋体" w:hAnsi="宋体" w:cs="宋体" w:eastAsia="宋体" w:hint="default"/>
          <w:sz w:val="21"/>
          <w:szCs w:val="21"/>
        </w:rPr>
      </w:pPr>
      <w:bookmarkStart w:name="（5）营业成本构成"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b/>
          <w:bCs/>
          <w:w w:val="99"/>
          <w:sz w:val="21"/>
          <w:szCs w:val="21"/>
        </w:rPr>
        <w:t> </w:t>
      </w:r>
      <w:r>
        <w:rPr>
          <w:rFonts w:ascii="宋体" w:hAnsi="宋体" w:cs="宋体" w:eastAsia="宋体" w:hint="default"/>
          <w:sz w:val="21"/>
          <w:szCs w:val="21"/>
        </w:rPr>
        <w:t>行业分类</w:t>
      </w:r>
    </w:p>
    <w:p>
      <w:pPr>
        <w:spacing w:after="0" w:line="506"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0" w:right="1130"/>
        <w:jc w:val="right"/>
      </w:pPr>
      <w:r>
        <w:rPr/>
        <w:t>单位：元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nil" w:sz="6" w:space="0" w:color="auto"/>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激光设备制造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106,032,099.95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93,136,455.17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71.67%</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13.85%</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激光设备制造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人工和制造费用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17,254,755.12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22,213,812.38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17.09%</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-22.32%</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14,226,759.48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11,010,137.19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8.47%</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29.22%</w:t>
            </w:r>
          </w:p>
        </w:tc>
      </w:tr>
      <w:tr>
        <w:trPr>
          <w:trHeight w:val="403"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人工和制造费用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4,158,367.26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3,598,350.20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2.77%</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15.56%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Heading5"/>
        <w:spacing w:line="314" w:lineRule="auto" w:before="133"/>
        <w:ind w:right="1130" w:firstLine="385"/>
        <w:jc w:val="both"/>
      </w:pPr>
      <w:r>
        <w:rPr/>
        <w:t>本公司原持有东莞市金运汇研激光科技有限公司（已更名为</w:t>
      </w:r>
      <w:r>
        <w:rPr>
          <w:rFonts w:ascii="Times New Roman" w:hAnsi="Times New Roman" w:cs="Times New Roman" w:eastAsia="Times New Roman" w:hint="default"/>
        </w:rPr>
        <w:t>“</w:t>
      </w:r>
      <w:r>
        <w:rPr/>
        <w:t>东莞市汇樾科技有限公司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51%</w:t>
      </w:r>
      <w:r>
        <w:rPr/>
        <w:t>股权， 于</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23</w:t>
      </w:r>
      <w:r>
        <w:rPr>
          <w:rFonts w:ascii="Times New Roman" w:hAnsi="Times New Roman" w:cs="Times New Roman" w:eastAsia="Times New Roman" w:hint="default"/>
          <w:spacing w:val="29"/>
        </w:rPr>
        <w:t> </w:t>
      </w:r>
      <w:r>
        <w:rPr/>
        <w:t>日签订《东莞市金运汇研激光科技有限公司股东转让出资协议》，将东莞市金运汇研激 光科技有限公司</w:t>
      </w:r>
      <w:r>
        <w:rPr>
          <w:rFonts w:ascii="Times New Roman" w:hAnsi="Times New Roman" w:cs="Times New Roman" w:eastAsia="Times New Roman" w:hint="default"/>
        </w:rPr>
        <w:t>51%</w:t>
      </w:r>
      <w:r>
        <w:rPr/>
        <w:t>的股权以</w:t>
      </w:r>
      <w:r>
        <w:rPr>
          <w:rFonts w:ascii="Times New Roman" w:hAnsi="Times New Roman" w:cs="Times New Roman" w:eastAsia="Times New Roman" w:hint="default"/>
        </w:rPr>
        <w:t>60 </w:t>
      </w:r>
      <w:r>
        <w:rPr/>
        <w:t>万元的对价转让给张毅兵，该股权转让于</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日完成了工商变 更登记。本期不再纳入合并范围。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4"/>
          <w:szCs w:val="24"/>
        </w:rPr>
      </w:pPr>
    </w:p>
    <w:p>
      <w:pPr>
        <w:spacing w:line="506" w:lineRule="auto" w:before="0"/>
        <w:ind w:left="154" w:right="7274" w:firstLine="0"/>
        <w:jc w:val="left"/>
        <w:rPr>
          <w:rFonts w:ascii="宋体" w:hAnsi="宋体" w:cs="宋体" w:eastAsia="宋体" w:hint="default"/>
          <w:sz w:val="21"/>
          <w:szCs w:val="21"/>
        </w:rPr>
      </w:pPr>
      <w:r>
        <w:rPr/>
        <w:pict>
          <v:shape style="position:absolute;margin-left:56.460011pt;margin-top:48.983681pt;width:479.2pt;height:76.4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37,343,552.89</w:t>
                        </w:r>
                      </w:p>
                    </w:tc>
                  </w:tr>
                  <w:tr>
                    <w:trPr>
                      <w:trHeight w:val="402"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17.54%</w:t>
                        </w:r>
                      </w:p>
                    </w:tc>
                  </w:tr>
                  <w:tr>
                    <w:trPr>
                      <w:trHeight w:val="715"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27"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bookmarkStart w:name="（8）主要销售客户和主要供应商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b/>
          <w:bCs/>
          <w:w w:val="99"/>
          <w:sz w:val="21"/>
          <w:szCs w:val="21"/>
        </w:rPr>
        <w:t> </w:t>
      </w:r>
      <w:r>
        <w:rPr>
          <w:rFonts w:ascii="宋体" w:hAnsi="宋体" w:cs="宋体" w:eastAsia="宋体" w:hint="default"/>
          <w:sz w:val="21"/>
          <w:szCs w:val="21"/>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5"/>
        <w:spacing w:line="240" w:lineRule="auto" w:before="35"/>
        <w:ind w:right="0"/>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9,304,280.18</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4.37%</w:t>
            </w:r>
          </w:p>
        </w:tc>
      </w:tr>
      <w:tr>
        <w:trPr>
          <w:trHeight w:val="402"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7,920,214.79</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3.72%</w:t>
            </w:r>
          </w:p>
        </w:tc>
      </w:tr>
      <w:tr>
        <w:trPr>
          <w:trHeight w:val="402"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7,384,806.55</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3.47%</w:t>
            </w:r>
          </w:p>
        </w:tc>
      </w:tr>
      <w:tr>
        <w:trPr>
          <w:trHeight w:val="402"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6,711,444.12</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3.15%</w:t>
            </w:r>
          </w:p>
        </w:tc>
      </w:tr>
      <w:tr>
        <w:trPr>
          <w:trHeight w:val="402"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6,022,807.25</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2.83%</w:t>
            </w:r>
          </w:p>
        </w:tc>
      </w:tr>
      <w:tr>
        <w:trPr>
          <w:trHeight w:val="403" w:hRule="exact"/>
        </w:trPr>
        <w:tc>
          <w:tcPr>
            <w:tcW w:w="79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37,343,552.89</w:t>
            </w:r>
          </w:p>
        </w:tc>
        <w:tc>
          <w:tcPr>
            <w:tcW w:w="3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17.54%</w:t>
            </w:r>
          </w:p>
        </w:tc>
      </w:tr>
    </w:tbl>
    <w:p>
      <w:pPr>
        <w:pStyle w:val="Heading5"/>
        <w:spacing w:line="240" w:lineRule="auto" w:before="26"/>
        <w:ind w:right="0"/>
        <w:jc w:val="left"/>
      </w:pPr>
      <w:r>
        <w:rPr/>
        <w:t>主要客户其他情况说明</w:t>
      </w:r>
    </w:p>
    <w:p>
      <w:pPr>
        <w:pStyle w:val="Heading5"/>
        <w:spacing w:line="240" w:lineRule="auto" w:before="7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5"/>
        <w:spacing w:line="240" w:lineRule="auto"/>
        <w:ind w:right="0"/>
        <w:jc w:val="left"/>
      </w:pPr>
      <w:r>
        <w:rPr/>
        <w:t>公司主要供应商情况</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49,578,347.68</w:t>
            </w:r>
          </w:p>
        </w:tc>
      </w:tr>
      <w:tr>
        <w:trPr>
          <w:trHeight w:val="402"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39.18%</w:t>
            </w:r>
          </w:p>
        </w:tc>
      </w:tr>
      <w:tr>
        <w:trPr>
          <w:trHeight w:val="714" w:hRule="exact"/>
        </w:trPr>
        <w:tc>
          <w:tcPr>
            <w:tcW w:w="42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27"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0.00%</w:t>
            </w:r>
          </w:p>
        </w:tc>
      </w:tr>
    </w:tbl>
    <w:p>
      <w:pPr>
        <w:pStyle w:val="Heading5"/>
        <w:spacing w:line="240" w:lineRule="auto" w:before="26"/>
        <w:ind w:right="0"/>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0"/>
        <w:rPr>
          <w:rFonts w:ascii="宋体" w:hAnsi="宋体" w:cs="宋体" w:eastAsia="宋体"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910"/>
        <w:gridCol w:w="3180"/>
        <w:gridCol w:w="2322"/>
        <w:gridCol w:w="3129"/>
      </w:tblGrid>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2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24,303,344.95</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19.21%</w:t>
            </w:r>
          </w:p>
        </w:tc>
      </w:tr>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8,140,104.61</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6.43%</w:t>
            </w:r>
          </w:p>
        </w:tc>
      </w:tr>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7,114,830.31</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5.62%</w:t>
            </w:r>
          </w:p>
        </w:tc>
      </w:tr>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5,445,837.47</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4.30%</w:t>
            </w:r>
          </w:p>
        </w:tc>
      </w:tr>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4,574,230.34</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3.62%</w:t>
            </w:r>
          </w:p>
        </w:tc>
      </w:tr>
      <w:tr>
        <w:trPr>
          <w:trHeight w:val="402" w:hRule="exact"/>
        </w:trPr>
        <w:tc>
          <w:tcPr>
            <w:tcW w:w="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49,578,347.68</w:t>
            </w:r>
          </w:p>
        </w:tc>
        <w:tc>
          <w:tcPr>
            <w:tcW w:w="3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39.18%</w:t>
            </w:r>
          </w:p>
        </w:tc>
      </w:tr>
    </w:tbl>
    <w:p>
      <w:pPr>
        <w:pStyle w:val="Heading5"/>
        <w:spacing w:line="240" w:lineRule="auto" w:before="26"/>
        <w:ind w:right="0"/>
        <w:jc w:val="left"/>
      </w:pPr>
      <w:r>
        <w:rPr/>
        <w:t>主要供应商其他情况说明</w:t>
      </w:r>
    </w:p>
    <w:p>
      <w:pPr>
        <w:pStyle w:val="Heading5"/>
        <w:spacing w:line="240" w:lineRule="auto" w:before="7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1008"/>
        <w:gridCol w:w="1273"/>
        <w:gridCol w:w="1277"/>
        <w:gridCol w:w="1419"/>
        <w:gridCol w:w="4691"/>
      </w:tblGrid>
      <w:tr>
        <w:trPr>
          <w:trHeight w:val="402" w:hRule="exact"/>
        </w:trPr>
        <w:tc>
          <w:tcPr>
            <w:tcW w:w="1008" w:type="dxa"/>
            <w:tcBorders>
              <w:top w:val="single" w:sz="4" w:space="0" w:color="000000"/>
              <w:left w:val="nil" w:sz="6" w:space="0" w:color="auto"/>
              <w:bottom w:val="single" w:sz="4" w:space="0" w:color="000000"/>
              <w:right w:val="single" w:sz="4" w:space="0" w:color="000000"/>
            </w:tcBorders>
            <w:shd w:val="clear" w:color="auto" w:fill="D2D2D2"/>
          </w:tcPr>
          <w:p>
            <w:pP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6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3" w:hRule="exact"/>
        </w:trPr>
        <w:tc>
          <w:tcPr>
            <w:tcW w:w="1008" w:type="dxa"/>
            <w:tcBorders>
              <w:top w:val="single" w:sz="4" w:space="0" w:color="000000"/>
              <w:left w:val="nil" w:sz="6" w:space="0" w:color="auto"/>
              <w:bottom w:val="nil" w:sz="6" w:space="0" w:color="auto"/>
              <w:right w:val="single" w:sz="4" w:space="0" w:color="000000"/>
            </w:tcBorders>
            <w:shd w:val="clear" w:color="auto" w:fill="D2D2D2"/>
          </w:tcPr>
          <w:p>
            <w:pPr/>
          </w:p>
        </w:tc>
        <w:tc>
          <w:tcPr>
            <w:tcW w:w="127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28,857,675.65</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31,224,790.28</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1" w:right="0"/>
              <w:jc w:val="left"/>
              <w:rPr>
                <w:rFonts w:ascii="Times New Roman" w:hAnsi="Times New Roman" w:cs="Times New Roman" w:eastAsia="Times New Roman" w:hint="default"/>
                <w:sz w:val="18"/>
                <w:szCs w:val="18"/>
              </w:rPr>
            </w:pPr>
            <w:r>
              <w:rPr>
                <w:rFonts w:ascii="Times New Roman"/>
                <w:sz w:val="18"/>
              </w:rPr>
              <w:t>-7.58%</w:t>
            </w:r>
          </w:p>
        </w:tc>
        <w:tc>
          <w:tcPr>
            <w:tcW w:w="4691" w:type="dxa"/>
            <w:vMerge w:val="restart"/>
            <w:tcBorders>
              <w:top w:val="single" w:sz="4" w:space="0" w:color="000000"/>
              <w:left w:val="single" w:sz="4" w:space="0" w:color="000000"/>
              <w:right w:val="nil" w:sz="6" w:space="0" w:color="auto"/>
            </w:tcBorders>
          </w:tcPr>
          <w:p>
            <w:pPr>
              <w:pStyle w:val="TableParagraph"/>
              <w:spacing w:line="319" w:lineRule="auto" w:before="51"/>
              <w:ind w:left="22" w:right="-18"/>
              <w:jc w:val="both"/>
              <w:rPr>
                <w:rFonts w:ascii="宋体" w:hAnsi="宋体" w:cs="宋体" w:eastAsia="宋体" w:hint="default"/>
                <w:sz w:val="18"/>
                <w:szCs w:val="18"/>
              </w:rPr>
            </w:pPr>
            <w:r>
              <w:rPr>
                <w:rFonts w:ascii="宋体" w:hAnsi="宋体" w:cs="宋体" w:eastAsia="宋体" w:hint="default"/>
                <w:spacing w:val="-2"/>
                <w:sz w:val="18"/>
                <w:szCs w:val="18"/>
              </w:rPr>
              <w:t>报告期销售费用下降主要原因包括：精简销售人员导致人工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及相关成本减少；水路运输占比上升、单位运输成本下降、 </w:t>
            </w:r>
            <w:r>
              <w:rPr>
                <w:rFonts w:ascii="宋体" w:hAnsi="宋体" w:cs="宋体" w:eastAsia="宋体" w:hint="default"/>
                <w:spacing w:val="-2"/>
                <w:sz w:val="18"/>
                <w:szCs w:val="18"/>
              </w:rPr>
              <w:t>运输数量下降综合影响导致运输费用降低；展会费用较上期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有所下降。</w:t>
            </w:r>
          </w:p>
        </w:tc>
      </w:tr>
      <w:tr>
        <w:trPr>
          <w:trHeight w:val="392" w:hRule="exact"/>
        </w:trPr>
        <w:tc>
          <w:tcPr>
            <w:tcW w:w="100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73"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4691" w:type="dxa"/>
            <w:vMerge/>
            <w:tcBorders>
              <w:left w:val="single" w:sz="4" w:space="0" w:color="000000"/>
              <w:right w:val="nil" w:sz="6" w:space="0" w:color="auto"/>
            </w:tcBorders>
          </w:tcPr>
          <w:p>
            <w:pPr/>
          </w:p>
        </w:tc>
      </w:tr>
      <w:tr>
        <w:trPr>
          <w:trHeight w:val="473" w:hRule="exact"/>
        </w:trPr>
        <w:tc>
          <w:tcPr>
            <w:tcW w:w="1008" w:type="dxa"/>
            <w:tcBorders>
              <w:top w:val="nil" w:sz="6" w:space="0" w:color="auto"/>
              <w:left w:val="nil" w:sz="6" w:space="0" w:color="auto"/>
              <w:bottom w:val="single" w:sz="4" w:space="0" w:color="000000"/>
              <w:right w:val="single" w:sz="4" w:space="0" w:color="000000"/>
            </w:tcBorders>
            <w:shd w:val="clear" w:color="auto" w:fill="D2D2D2"/>
          </w:tcPr>
          <w:p>
            <w:pPr/>
          </w:p>
        </w:tc>
        <w:tc>
          <w:tcPr>
            <w:tcW w:w="1273"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691" w:type="dxa"/>
            <w:vMerge/>
            <w:tcBorders>
              <w:left w:val="single" w:sz="4" w:space="0" w:color="000000"/>
              <w:bottom w:val="single" w:sz="4" w:space="0" w:color="000000"/>
              <w:right w:val="nil" w:sz="6" w:space="0" w:color="auto"/>
            </w:tcBorders>
          </w:tcPr>
          <w:p>
            <w:pPr/>
          </w:p>
        </w:tc>
      </w:tr>
      <w:tr>
        <w:trPr>
          <w:trHeight w:val="161" w:hRule="exact"/>
        </w:trPr>
        <w:tc>
          <w:tcPr>
            <w:tcW w:w="1008" w:type="dxa"/>
            <w:tcBorders>
              <w:top w:val="single" w:sz="4" w:space="0" w:color="000000"/>
              <w:left w:val="nil" w:sz="6" w:space="0" w:color="auto"/>
              <w:bottom w:val="nil" w:sz="6" w:space="0" w:color="auto"/>
              <w:right w:val="single" w:sz="4" w:space="0" w:color="000000"/>
            </w:tcBorders>
            <w:shd w:val="clear" w:color="auto" w:fill="D2D2D2"/>
          </w:tcPr>
          <w:p>
            <w:pPr/>
          </w:p>
        </w:tc>
        <w:tc>
          <w:tcPr>
            <w:tcW w:w="127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17,450,444.47</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19,962,899.22</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1" w:right="0"/>
              <w:jc w:val="left"/>
              <w:rPr>
                <w:rFonts w:ascii="Times New Roman" w:hAnsi="Times New Roman" w:cs="Times New Roman" w:eastAsia="Times New Roman" w:hint="default"/>
                <w:sz w:val="18"/>
                <w:szCs w:val="18"/>
              </w:rPr>
            </w:pPr>
            <w:r>
              <w:rPr>
                <w:rFonts w:ascii="Times New Roman"/>
                <w:sz w:val="18"/>
              </w:rPr>
              <w:t>-12.59%</w:t>
            </w:r>
          </w:p>
        </w:tc>
        <w:tc>
          <w:tcPr>
            <w:tcW w:w="4691" w:type="dxa"/>
            <w:vMerge w:val="restart"/>
            <w:tcBorders>
              <w:top w:val="single" w:sz="4" w:space="0" w:color="000000"/>
              <w:left w:val="single" w:sz="4" w:space="0" w:color="000000"/>
              <w:right w:val="nil" w:sz="6" w:space="0" w:color="auto"/>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报告期无形资产摊销金额较上期减少致管理费用较上期下 降。</w:t>
            </w:r>
          </w:p>
        </w:tc>
      </w:tr>
      <w:tr>
        <w:trPr>
          <w:trHeight w:val="392" w:hRule="exact"/>
        </w:trPr>
        <w:tc>
          <w:tcPr>
            <w:tcW w:w="100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73"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4691" w:type="dxa"/>
            <w:vMerge/>
            <w:tcBorders>
              <w:left w:val="single" w:sz="4" w:space="0" w:color="000000"/>
              <w:right w:val="nil" w:sz="6" w:space="0" w:color="auto"/>
            </w:tcBorders>
          </w:tcPr>
          <w:p>
            <w:pPr/>
          </w:p>
        </w:tc>
      </w:tr>
      <w:tr>
        <w:trPr>
          <w:trHeight w:val="161" w:hRule="exact"/>
        </w:trPr>
        <w:tc>
          <w:tcPr>
            <w:tcW w:w="1008" w:type="dxa"/>
            <w:tcBorders>
              <w:top w:val="nil" w:sz="6" w:space="0" w:color="auto"/>
              <w:left w:val="nil" w:sz="6" w:space="0" w:color="auto"/>
              <w:bottom w:val="single" w:sz="4" w:space="0" w:color="000000"/>
              <w:right w:val="single" w:sz="4" w:space="0" w:color="000000"/>
            </w:tcBorders>
            <w:shd w:val="clear" w:color="auto" w:fill="D2D2D2"/>
          </w:tcPr>
          <w:p>
            <w:pPr/>
          </w:p>
        </w:tc>
        <w:tc>
          <w:tcPr>
            <w:tcW w:w="1273"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691" w:type="dxa"/>
            <w:vMerge/>
            <w:tcBorders>
              <w:left w:val="single" w:sz="4" w:space="0" w:color="000000"/>
              <w:bottom w:val="single" w:sz="4" w:space="0" w:color="000000"/>
              <w:right w:val="nil" w:sz="6" w:space="0" w:color="auto"/>
            </w:tcBorders>
          </w:tcPr>
          <w:p>
            <w:pPr/>
          </w:p>
        </w:tc>
      </w:tr>
      <w:tr>
        <w:trPr>
          <w:trHeight w:val="161" w:hRule="exact"/>
        </w:trPr>
        <w:tc>
          <w:tcPr>
            <w:tcW w:w="1008" w:type="dxa"/>
            <w:tcBorders>
              <w:top w:val="single" w:sz="4" w:space="0" w:color="000000"/>
              <w:left w:val="nil" w:sz="6" w:space="0" w:color="auto"/>
              <w:bottom w:val="nil" w:sz="6" w:space="0" w:color="auto"/>
              <w:right w:val="single" w:sz="4" w:space="0" w:color="000000"/>
            </w:tcBorders>
            <w:shd w:val="clear" w:color="auto" w:fill="D2D2D2"/>
          </w:tcPr>
          <w:p>
            <w:pPr/>
          </w:p>
        </w:tc>
        <w:tc>
          <w:tcPr>
            <w:tcW w:w="127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-1,726,873.58</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3,310,370.52</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1" w:right="0"/>
              <w:jc w:val="left"/>
              <w:rPr>
                <w:rFonts w:ascii="Times New Roman" w:hAnsi="Times New Roman" w:cs="Times New Roman" w:eastAsia="Times New Roman" w:hint="default"/>
                <w:sz w:val="18"/>
                <w:szCs w:val="18"/>
              </w:rPr>
            </w:pPr>
            <w:r>
              <w:rPr>
                <w:rFonts w:ascii="Times New Roman"/>
                <w:sz w:val="18"/>
              </w:rPr>
              <w:t>-152.17%</w:t>
            </w:r>
          </w:p>
        </w:tc>
        <w:tc>
          <w:tcPr>
            <w:tcW w:w="4691" w:type="dxa"/>
            <w:vMerge w:val="restart"/>
            <w:tcBorders>
              <w:top w:val="single" w:sz="4" w:space="0" w:color="000000"/>
              <w:left w:val="single" w:sz="4" w:space="0" w:color="000000"/>
              <w:right w:val="nil" w:sz="6" w:space="0" w:color="auto"/>
            </w:tcBorders>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pacing w:val="-2"/>
                <w:sz w:val="18"/>
                <w:szCs w:val="18"/>
              </w:rPr>
              <w:t>报告期财务费用下降主要原因包括：汇兑收益增加；银行借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款减少导致利息支出减少。</w:t>
            </w:r>
          </w:p>
        </w:tc>
      </w:tr>
      <w:tr>
        <w:trPr>
          <w:trHeight w:val="392" w:hRule="exact"/>
        </w:trPr>
        <w:tc>
          <w:tcPr>
            <w:tcW w:w="100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73"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4691" w:type="dxa"/>
            <w:vMerge/>
            <w:tcBorders>
              <w:left w:val="single" w:sz="4" w:space="0" w:color="000000"/>
              <w:right w:val="nil" w:sz="6" w:space="0" w:color="auto"/>
            </w:tcBorders>
          </w:tcPr>
          <w:p>
            <w:pPr/>
          </w:p>
        </w:tc>
      </w:tr>
      <w:tr>
        <w:trPr>
          <w:trHeight w:val="161" w:hRule="exact"/>
        </w:trPr>
        <w:tc>
          <w:tcPr>
            <w:tcW w:w="1008" w:type="dxa"/>
            <w:tcBorders>
              <w:top w:val="nil" w:sz="6" w:space="0" w:color="auto"/>
              <w:left w:val="nil" w:sz="6" w:space="0" w:color="auto"/>
              <w:bottom w:val="single" w:sz="4" w:space="0" w:color="000000"/>
              <w:right w:val="single" w:sz="4" w:space="0" w:color="000000"/>
            </w:tcBorders>
            <w:shd w:val="clear" w:color="auto" w:fill="D2D2D2"/>
          </w:tcPr>
          <w:p>
            <w:pPr/>
          </w:p>
        </w:tc>
        <w:tc>
          <w:tcPr>
            <w:tcW w:w="1273"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691" w:type="dxa"/>
            <w:vMerge/>
            <w:tcBorders>
              <w:left w:val="single" w:sz="4" w:space="0" w:color="000000"/>
              <w:bottom w:val="single" w:sz="4" w:space="0" w:color="000000"/>
              <w:right w:val="nil" w:sz="6" w:space="0" w:color="auto"/>
            </w:tcBorders>
          </w:tcPr>
          <w:p>
            <w:pPr/>
          </w:p>
        </w:tc>
      </w:tr>
      <w:tr>
        <w:trPr>
          <w:trHeight w:val="161" w:hRule="exact"/>
        </w:trPr>
        <w:tc>
          <w:tcPr>
            <w:tcW w:w="1008" w:type="dxa"/>
            <w:tcBorders>
              <w:top w:val="single" w:sz="4" w:space="0" w:color="000000"/>
              <w:left w:val="nil" w:sz="6" w:space="0" w:color="auto"/>
              <w:bottom w:val="nil" w:sz="6" w:space="0" w:color="auto"/>
              <w:right w:val="single" w:sz="4" w:space="0" w:color="000000"/>
            </w:tcBorders>
            <w:shd w:val="clear" w:color="auto" w:fill="D2D2D2"/>
          </w:tcPr>
          <w:p>
            <w:pPr/>
          </w:p>
        </w:tc>
        <w:tc>
          <w:tcPr>
            <w:tcW w:w="127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12,369,532.45</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17,755,305.03</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-30.33%</w:t>
            </w:r>
          </w:p>
        </w:tc>
        <w:tc>
          <w:tcPr>
            <w:tcW w:w="4691" w:type="dxa"/>
            <w:vMerge w:val="restart"/>
            <w:tcBorders>
              <w:top w:val="single" w:sz="4" w:space="0" w:color="000000"/>
              <w:left w:val="single" w:sz="4" w:space="0" w:color="000000"/>
              <w:right w:val="nil" w:sz="6" w:space="0" w:color="auto"/>
            </w:tcBorders>
          </w:tcPr>
          <w:p>
            <w:pPr>
              <w:pStyle w:val="TableParagraph"/>
              <w:spacing w:line="319" w:lineRule="auto" w:before="51"/>
              <w:ind w:left="22" w:right="-18"/>
              <w:jc w:val="left"/>
              <w:rPr>
                <w:rFonts w:ascii="宋体" w:hAnsi="宋体" w:cs="宋体" w:eastAsia="宋体" w:hint="default"/>
                <w:sz w:val="18"/>
                <w:szCs w:val="18"/>
              </w:rPr>
            </w:pPr>
            <w:r>
              <w:rPr>
                <w:rFonts w:ascii="宋体" w:hAnsi="宋体" w:cs="宋体" w:eastAsia="宋体" w:hint="default"/>
                <w:spacing w:val="-2"/>
                <w:sz w:val="18"/>
                <w:szCs w:val="18"/>
              </w:rPr>
              <w:t>报告期提升研发效率，聚焦于关键技术导致研发支出金额较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去年同期下降。且报告期研发支出资本化率高于去年同期。</w:t>
            </w:r>
          </w:p>
        </w:tc>
      </w:tr>
      <w:tr>
        <w:trPr>
          <w:trHeight w:val="392" w:hRule="exact"/>
        </w:trPr>
        <w:tc>
          <w:tcPr>
            <w:tcW w:w="100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273"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4691" w:type="dxa"/>
            <w:vMerge/>
            <w:tcBorders>
              <w:left w:val="single" w:sz="4" w:space="0" w:color="000000"/>
              <w:right w:val="nil" w:sz="6" w:space="0" w:color="auto"/>
            </w:tcBorders>
          </w:tcPr>
          <w:p>
            <w:pPr/>
          </w:p>
        </w:tc>
      </w:tr>
      <w:tr>
        <w:trPr>
          <w:trHeight w:val="161" w:hRule="exact"/>
        </w:trPr>
        <w:tc>
          <w:tcPr>
            <w:tcW w:w="1008" w:type="dxa"/>
            <w:tcBorders>
              <w:top w:val="nil" w:sz="6" w:space="0" w:color="auto"/>
              <w:left w:val="nil" w:sz="6" w:space="0" w:color="auto"/>
              <w:bottom w:val="single" w:sz="4" w:space="0" w:color="000000"/>
              <w:right w:val="single" w:sz="4" w:space="0" w:color="000000"/>
            </w:tcBorders>
            <w:shd w:val="clear" w:color="auto" w:fill="D2D2D2"/>
          </w:tcPr>
          <w:p>
            <w:pPr/>
          </w:p>
        </w:tc>
        <w:tc>
          <w:tcPr>
            <w:tcW w:w="1273"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691" w:type="dxa"/>
            <w:vMerge/>
            <w:tcBorders>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3"/>
        <w:rPr>
          <w:rFonts w:ascii="宋体" w:hAnsi="宋体" w:cs="宋体" w:eastAsia="宋体" w:hint="default"/>
          <w:b/>
          <w:bCs/>
          <w:sz w:val="30"/>
          <w:szCs w:val="30"/>
        </w:rPr>
      </w:pPr>
    </w:p>
    <w:p>
      <w:pPr>
        <w:pStyle w:val="Heading5"/>
        <w:spacing w:line="345" w:lineRule="auto"/>
        <w:ind w:left="514" w:right="115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报告期内，根据公司的总体发展战略，公司研发项目主要围绕高端数字激光加工装备和三维数字技术</w:t>
      </w:r>
    </w:p>
    <w:p>
      <w:pPr>
        <w:pStyle w:val="Heading5"/>
        <w:spacing w:line="331" w:lineRule="auto" w:before="13"/>
        <w:ind w:right="1092"/>
        <w:jc w:val="left"/>
      </w:pPr>
      <w:r>
        <w:rPr/>
        <w:t>应用板块相关项目进行。希望通过加大研发投入，为公司的持续发展提供强有力的技术支撑和产品支撑， </w:t>
      </w:r>
      <w:r>
        <w:rPr>
          <w:spacing w:val="-1"/>
        </w:rPr>
        <w:t>并通过对新项目的深层研发，为公司未来培育新的增长点。报告期内，研发项目进展顺利，部分研究成果</w:t>
      </w:r>
    </w:p>
    <w:p>
      <w:pPr>
        <w:spacing w:after="0" w:line="33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5"/>
        <w:spacing w:line="331" w:lineRule="auto" w:before="169"/>
        <w:ind w:left="514" w:right="1152" w:hanging="360"/>
        <w:jc w:val="left"/>
      </w:pPr>
      <w:r>
        <w:rPr/>
        <w:t>已经取得初步成效。 在高端数字激光加工装备制造板块，本年度共对</w:t>
      </w:r>
      <w:r>
        <w:rPr>
          <w:rFonts w:ascii="Times New Roman" w:hAnsi="Times New Roman" w:cs="Times New Roman" w:eastAsia="Times New Roman" w:hint="default"/>
        </w:rPr>
        <w:t>17</w:t>
      </w:r>
      <w:r>
        <w:rPr/>
        <w:t>个项目进行了研发，研发预期均已达到，对公司产</w:t>
      </w:r>
    </w:p>
    <w:p>
      <w:pPr>
        <w:pStyle w:val="Heading5"/>
        <w:spacing w:line="314" w:lineRule="auto"/>
        <w:ind w:right="1130"/>
        <w:jc w:val="both"/>
      </w:pPr>
      <w:r>
        <w:rPr/>
        <w:t>品结构调整提供了可靠的技术支持。其中</w:t>
      </w:r>
      <w:r>
        <w:rPr>
          <w:rFonts w:ascii="Times New Roman" w:hAnsi="Times New Roman" w:cs="Times New Roman" w:eastAsia="Times New Roman" w:hint="default"/>
        </w:rPr>
        <w:t>“</w:t>
      </w:r>
      <w:r>
        <w:rPr/>
        <w:t>视觉巡边定位切割</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全自动多功能雕花切割一体机</w:t>
      </w:r>
      <w:r>
        <w:rPr>
          <w:rFonts w:ascii="Times New Roman" w:hAnsi="Times New Roman" w:cs="Times New Roman" w:eastAsia="Times New Roman" w:hint="default"/>
        </w:rPr>
        <w:t>”</w:t>
      </w:r>
      <w:r>
        <w:rPr/>
        <w:t>等项目的 </w:t>
      </w:r>
      <w:r>
        <w:rPr>
          <w:spacing w:val="-2"/>
        </w:rPr>
        <w:t>技术研发，提高了柔性材料激光加工设备在市场上的竞争优势；</w:t>
      </w:r>
      <w:r>
        <w:rPr>
          <w:rFonts w:ascii="Times New Roman" w:hAnsi="Times New Roman" w:cs="Times New Roman" w:eastAsia="Times New Roman" w:hint="default"/>
          <w:spacing w:val="-2"/>
        </w:rPr>
        <w:t>“</w:t>
      </w:r>
      <w:r>
        <w:rPr>
          <w:spacing w:val="-2"/>
        </w:rPr>
        <w:t>全自动化上下料多用途切管系统</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双工</w:t>
      </w:r>
      <w:r>
        <w:rPr>
          <w:spacing w:val="-102"/>
        </w:rPr>
        <w:t> </w:t>
      </w:r>
      <w:r>
        <w:rPr>
          <w:spacing w:val="-2"/>
        </w:rPr>
        <w:t>位管板自动夹料切割机</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高效能总线数控切割系统</w:t>
      </w:r>
      <w:r>
        <w:rPr>
          <w:rFonts w:ascii="Times New Roman" w:hAnsi="Times New Roman" w:cs="Times New Roman" w:eastAsia="Times New Roman" w:hint="default"/>
          <w:spacing w:val="-2"/>
        </w:rPr>
        <w:t>”</w:t>
      </w:r>
      <w:r>
        <w:rPr>
          <w:spacing w:val="-2"/>
        </w:rPr>
        <w:t>等项目的研发，为公司金属激光加工聚焦切管行业应</w:t>
      </w:r>
      <w:r>
        <w:rPr>
          <w:spacing w:val="-102"/>
        </w:rPr>
        <w:t> </w:t>
      </w:r>
      <w:r>
        <w:rPr>
          <w:spacing w:val="-102"/>
        </w:rPr>
      </w:r>
      <w:r>
        <w:rPr/>
        <w:t>用提供了技术保障。</w:t>
      </w:r>
    </w:p>
    <w:p>
      <w:pPr>
        <w:pStyle w:val="Heading5"/>
        <w:spacing w:line="314" w:lineRule="auto" w:before="40"/>
        <w:ind w:right="1132" w:firstLine="360"/>
        <w:jc w:val="both"/>
      </w:pPr>
      <w:r>
        <w:rPr>
          <w:spacing w:val="-2"/>
        </w:rPr>
        <w:t>在三维数字技术应用板块，本年度公司共对</w:t>
      </w:r>
      <w:r>
        <w:rPr>
          <w:rFonts w:ascii="Times New Roman" w:hAnsi="Times New Roman" w:cs="Times New Roman" w:eastAsia="Times New Roman" w:hint="default"/>
          <w:spacing w:val="-2"/>
        </w:rPr>
        <w:t>4</w:t>
      </w:r>
      <w:r>
        <w:rPr>
          <w:spacing w:val="-2"/>
        </w:rPr>
        <w:t>个项目进行了研发投入，均已达到预期，取得多项专利技</w:t>
      </w:r>
      <w:r>
        <w:rPr/>
        <w:t> 术。公司已形成为</w:t>
      </w:r>
      <w:r>
        <w:rPr>
          <w:rFonts w:ascii="Times New Roman" w:hAnsi="Times New Roman" w:cs="Times New Roman" w:eastAsia="Times New Roman" w:hint="default"/>
        </w:rPr>
        <w:t>IP</w:t>
      </w:r>
      <w:r>
        <w:rPr/>
        <w:t>衍生品推广变现提供全套解决方案的系统服务能力，并结合公司设备制造优势和三维 数字技术优势，创新性地聚焦在</w:t>
      </w:r>
      <w:r>
        <w:rPr>
          <w:rFonts w:ascii="Times New Roman" w:hAnsi="Times New Roman" w:cs="Times New Roman" w:eastAsia="Times New Roman" w:hint="default"/>
        </w:rPr>
        <w:t>IP</w:t>
      </w:r>
      <w:r>
        <w:rPr/>
        <w:t>衍生品推广渠道市场，为公司</w:t>
      </w:r>
      <w:r>
        <w:rPr>
          <w:rFonts w:ascii="Times New Roman" w:hAnsi="Times New Roman" w:cs="Times New Roman" w:eastAsia="Times New Roman" w:hint="default"/>
        </w:rPr>
        <w:t>2019</w:t>
      </w:r>
      <w:r>
        <w:rPr/>
        <w:t>年新的增长打下基础。</w:t>
      </w:r>
    </w:p>
    <w:p>
      <w:pPr>
        <w:pStyle w:val="Heading5"/>
        <w:spacing w:line="314" w:lineRule="auto" w:before="17"/>
        <w:ind w:right="1205" w:firstLine="360"/>
        <w:jc w:val="both"/>
      </w:pPr>
      <w:r>
        <w:rPr>
          <w:rFonts w:ascii="Times New Roman" w:hAnsi="Times New Roman" w:cs="Times New Roman" w:eastAsia="Times New Roman" w:hint="default"/>
        </w:rPr>
        <w:t>2018</w:t>
      </w:r>
      <w:r>
        <w:rPr/>
        <w:t>年度，公司研发支出总额</w:t>
      </w:r>
      <w:r>
        <w:rPr>
          <w:rFonts w:ascii="Times New Roman" w:hAnsi="Times New Roman" w:cs="Times New Roman" w:eastAsia="Times New Roman" w:hint="default"/>
        </w:rPr>
        <w:t>1408.91</w:t>
      </w:r>
      <w:r>
        <w:rPr/>
        <w:t>万元，占公司营业收入的比例为</w:t>
      </w:r>
      <w:r>
        <w:rPr>
          <w:rFonts w:ascii="Times New Roman" w:hAnsi="Times New Roman" w:cs="Times New Roman" w:eastAsia="Times New Roman" w:hint="default"/>
        </w:rPr>
        <w:t>6.62%</w:t>
      </w:r>
      <w:r>
        <w:rPr/>
        <w:t>，占公司归属于上市公司 所有者权益的比例为</w:t>
      </w:r>
      <w:r>
        <w:rPr>
          <w:rFonts w:ascii="Times New Roman" w:hAnsi="Times New Roman" w:cs="Times New Roman" w:eastAsia="Times New Roman" w:hint="default"/>
        </w:rPr>
        <w:t>5.62%</w:t>
      </w:r>
      <w:r>
        <w:rPr/>
        <w:t>，资本化研发支出同比增长</w:t>
      </w:r>
      <w:r>
        <w:rPr>
          <w:rFonts w:ascii="Times New Roman" w:hAnsi="Times New Roman" w:cs="Times New Roman" w:eastAsia="Times New Roman" w:hint="default"/>
        </w:rPr>
        <w:t>152.30%</w:t>
      </w:r>
      <w:r>
        <w:rPr/>
        <w:t>。</w:t>
      </w:r>
    </w:p>
    <w:p>
      <w:pPr>
        <w:spacing w:line="240" w:lineRule="auto" w:before="0"/>
        <w:rPr>
          <w:rFonts w:ascii="宋体" w:hAnsi="宋体" w:cs="宋体" w:eastAsia="宋体" w:hint="default"/>
          <w:sz w:val="22"/>
          <w:szCs w:val="22"/>
        </w:rPr>
      </w:pPr>
    </w:p>
    <w:p>
      <w:pPr>
        <w:pStyle w:val="Heading5"/>
        <w:spacing w:line="240" w:lineRule="auto" w:before="149"/>
        <w:ind w:right="0"/>
        <w:jc w:val="both"/>
      </w:pPr>
      <w:r>
        <w:rPr/>
        <w:t>近三年公司研发投入金额及占营业收入的比例</w:t>
      </w:r>
    </w:p>
    <w:p>
      <w:pPr>
        <w:spacing w:line="240" w:lineRule="auto" w:before="7"/>
        <w:rPr>
          <w:rFonts w:ascii="宋体" w:hAnsi="宋体" w:cs="宋体" w:eastAsia="宋体" w:hint="default"/>
          <w:sz w:val="6"/>
          <w:szCs w:val="6"/>
        </w:rPr>
      </w:pPr>
    </w:p>
    <w:tbl>
      <w:tblPr>
        <w:tblW w:w="0" w:type="auto"/>
        <w:jc w:val="left"/>
        <w:tblInd w:w="163" w:type="dxa"/>
        <w:tblLayout w:type="fixed"/>
        <w:tblCellMar>
          <w:top w:w="0" w:type="dxa"/>
          <w:left w:w="0" w:type="dxa"/>
          <w:bottom w:w="0" w:type="dxa"/>
          <w:right w:w="0" w:type="dxa"/>
        </w:tblCellMar>
        <w:tblLook w:val="01E0"/>
      </w:tblPr>
      <w:tblGrid>
        <w:gridCol w:w="2367"/>
        <w:gridCol w:w="2405"/>
        <w:gridCol w:w="2392"/>
        <w:gridCol w:w="2378"/>
      </w:tblGrid>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23.94%</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16.00%</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14,089,105.75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17,663,611.80</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9,570,237.68</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9.55%</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2"/>
                <w:sz w:val="18"/>
              </w:rPr>
              <w:t>5.11%</w:t>
            </w:r>
          </w:p>
        </w:tc>
      </w:tr>
      <w:tr>
        <w:trPr>
          <w:trHeight w:val="402"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1,278,404.52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506,709.62</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1,029,873.04</w:t>
            </w:r>
          </w:p>
        </w:tc>
      </w:tr>
      <w:tr>
        <w:trPr>
          <w:trHeight w:val="714"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43.42%</w:t>
            </w:r>
          </w:p>
        </w:tc>
      </w:tr>
      <w:tr>
        <w:trPr>
          <w:trHeight w:val="715" w:hRule="exact"/>
        </w:trPr>
        <w:tc>
          <w:tcPr>
            <w:tcW w:w="23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15.29%</w:t>
            </w:r>
          </w:p>
        </w:tc>
      </w:tr>
    </w:tbl>
    <w:p>
      <w:pPr>
        <w:spacing w:line="240" w:lineRule="auto" w:before="12"/>
        <w:rPr>
          <w:rFonts w:ascii="宋体" w:hAnsi="宋体" w:cs="宋体" w:eastAsia="宋体" w:hint="default"/>
          <w:sz w:val="4"/>
          <w:szCs w:val="4"/>
        </w:rPr>
      </w:pPr>
    </w:p>
    <w:p>
      <w:pPr>
        <w:pStyle w:val="Heading5"/>
        <w:spacing w:line="240" w:lineRule="auto" w:before="35"/>
        <w:ind w:right="0"/>
        <w:jc w:val="left"/>
      </w:pPr>
      <w:r>
        <w:rPr/>
        <w:t>研发投入总额占营业收入的比重较上年发生显著变化的原因</w:t>
      </w:r>
    </w:p>
    <w:p>
      <w:pPr>
        <w:pStyle w:val="Heading5"/>
        <w:spacing w:line="345" w:lineRule="auto" w:before="145"/>
        <w:ind w:right="38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报告期提升研发效率，聚焦于关键技术导致研发支出金额较去年同期下降。</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5"/>
        <w:spacing w:line="240" w:lineRule="auto"/>
        <w:ind w:right="0"/>
        <w:jc w:val="left"/>
      </w:pPr>
      <w:r>
        <w:rPr/>
        <w:t>研发投入资本化率大幅变动的原因及其合理性说明</w:t>
      </w:r>
    </w:p>
    <w:p>
      <w:pPr>
        <w:pStyle w:val="Heading5"/>
        <w:spacing w:line="338" w:lineRule="auto" w:before="14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w:t>
      </w:r>
      <w:r>
        <w:rPr>
          <w:spacing w:val="-1"/>
        </w:rPr>
        <w:t>报告期研发投入资本化率变动的主要原因是：聚焦于关键技术开展工作，研发工作效率提升，满足资本化</w:t>
      </w:r>
      <w:r>
        <w:rPr>
          <w:spacing w:val="-83"/>
        </w:rPr>
        <w:t> </w:t>
      </w:r>
      <w:r>
        <w:rPr>
          <w:spacing w:val="-83"/>
        </w:rPr>
      </w:r>
      <w:r>
        <w:rPr/>
        <w:t>条件的研发工作成果占比提升。</w:t>
      </w:r>
    </w:p>
    <w:p>
      <w:pPr>
        <w:spacing w:line="240" w:lineRule="auto" w:before="11"/>
        <w:rPr>
          <w:rFonts w:ascii="宋体" w:hAnsi="宋体" w:cs="宋体" w:eastAsia="宋体" w:hint="default"/>
          <w:sz w:val="18"/>
          <w:szCs w:val="18"/>
        </w:rPr>
      </w:pPr>
    </w:p>
    <w:p>
      <w:pPr>
        <w:pStyle w:val="Heading4"/>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204,060,064.62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217,266,086.50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-6.08%</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174,357,067.61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216,880,664.68</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-19.61%</w:t>
            </w:r>
          </w:p>
        </w:tc>
      </w:tr>
      <w:tr>
        <w:trPr>
          <w:trHeight w:val="714"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29,702,997.01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385,421.82</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7,606.62%</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81,249,981.54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13,008,967.18</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524.57%</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86,740,451.86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46,026,051.05</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88.46%</w:t>
            </w:r>
          </w:p>
        </w:tc>
      </w:tr>
      <w:tr>
        <w:trPr>
          <w:trHeight w:val="714"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-5,490,470.32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-33,017,083.87</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-83.37%</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22,555,918.70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-24.63%</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47,506,241.01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57,341,519.20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-17.15%</w:t>
            </w:r>
          </w:p>
        </w:tc>
      </w:tr>
      <w:tr>
        <w:trPr>
          <w:trHeight w:val="714"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-30,506,241.01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-34,785,600.50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-14.91%</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-4,700,310.90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-65,614,053.18</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-92.84%</w:t>
            </w:r>
          </w:p>
        </w:tc>
      </w:tr>
    </w:tbl>
    <w:p>
      <w:pPr>
        <w:pStyle w:val="Heading5"/>
        <w:spacing w:line="240" w:lineRule="auto" w:before="26"/>
        <w:ind w:right="0"/>
        <w:jc w:val="left"/>
      </w:pPr>
      <w:r>
        <w:rPr/>
        <w:t>相关数据同比发生重大变动的主要影响因素说明</w:t>
      </w:r>
    </w:p>
    <w:p>
      <w:pPr>
        <w:pStyle w:val="Heading5"/>
        <w:spacing w:line="350" w:lineRule="auto" w:before="78"/>
        <w:ind w:left="514" w:right="115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经营活动现金流出减少，主要原因是：报告期增加票据结算比例。经营活动现金流量净额增加，主要</w:t>
      </w:r>
    </w:p>
    <w:p>
      <w:pPr>
        <w:pStyle w:val="Heading5"/>
        <w:spacing w:line="331" w:lineRule="auto" w:before="9"/>
        <w:ind w:left="514" w:right="1152" w:hanging="360"/>
        <w:jc w:val="left"/>
      </w:pPr>
      <w:r>
        <w:rPr/>
        <w:t>原因是：本期销售收入较上年增加，销售收款及时，采购付款增加票据结算比例。 投资活动现金流入和投资活动现金流出增加，主要原因是：报告期公司在既定金额范围内进行国债逆</w:t>
      </w:r>
    </w:p>
    <w:p>
      <w:pPr>
        <w:pStyle w:val="Heading5"/>
        <w:spacing w:line="314" w:lineRule="auto" w:before="25"/>
        <w:ind w:left="514" w:right="1152" w:hanging="360"/>
        <w:jc w:val="left"/>
      </w:pPr>
      <w:r>
        <w:rPr/>
        <w:t>回购交易。投资活动产生的现金流量净额变化原因是：</w:t>
      </w:r>
      <w:r>
        <w:rPr>
          <w:rFonts w:ascii="Times New Roman" w:hAnsi="Times New Roman" w:cs="Times New Roman" w:eastAsia="Times New Roman" w:hint="default"/>
        </w:rPr>
        <w:t>2017</w:t>
      </w:r>
      <w:r>
        <w:rPr/>
        <w:t>年处置子公司导致投资活动流出净额较大。 筹资活动现金流入减少，主要原因是：报告期银行融资金额减少。本期筹资活动现金流出减少，原因</w:t>
      </w:r>
    </w:p>
    <w:p>
      <w:pPr>
        <w:pStyle w:val="Heading5"/>
        <w:spacing w:line="240" w:lineRule="auto" w:before="40"/>
        <w:ind w:right="0"/>
        <w:jc w:val="left"/>
      </w:pPr>
      <w:r>
        <w:rPr/>
        <w:t>是：报告期偿还银行贷款金额减少。</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5"/>
        <w:spacing w:line="240" w:lineRule="auto"/>
        <w:ind w:right="0"/>
        <w:jc w:val="left"/>
      </w:pPr>
      <w:r>
        <w:rPr/>
        <w:t>报告期内公司经营活动产生的现金净流量与本年度净利润存在重大差异的原因说明</w:t>
      </w:r>
    </w:p>
    <w:p>
      <w:pPr>
        <w:pStyle w:val="Heading5"/>
        <w:spacing w:line="345" w:lineRule="auto" w:before="145"/>
        <w:ind w:right="50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原因主要是：报告期非付现的成本费用等项目金额占比较大。</w:t>
      </w: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2"/>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7" w:footer="979" w:top="1060" w:bottom="1160" w:left="980" w:right="0"/>
        </w:sectPr>
      </w:pPr>
    </w:p>
    <w:p>
      <w:pPr>
        <w:pStyle w:val="Heading5"/>
        <w:spacing w:line="240" w:lineRule="auto" w:before="35"/>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1762" w:space="7158"/>
            <w:col w:w="2010"/>
          </w:cols>
        </w:sectPr>
      </w:pP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498"/>
        <w:gridCol w:w="1466"/>
        <w:gridCol w:w="1559"/>
        <w:gridCol w:w="3119"/>
        <w:gridCol w:w="1899"/>
      </w:tblGrid>
      <w:tr>
        <w:trPr>
          <w:trHeight w:val="402" w:hRule="exact"/>
        </w:trPr>
        <w:tc>
          <w:tcPr>
            <w:tcW w:w="1498" w:type="dxa"/>
            <w:tcBorders>
              <w:top w:val="single" w:sz="4" w:space="0" w:color="000000"/>
              <w:left w:val="nil" w:sz="6" w:space="0" w:color="auto"/>
              <w:bottom w:val="single" w:sz="4" w:space="0" w:color="000000"/>
              <w:right w:val="single" w:sz="4" w:space="0" w:color="000000"/>
            </w:tcBorders>
            <w:shd w:val="clear" w:color="auto" w:fill="D2D2D2"/>
          </w:tcPr>
          <w:p>
            <w:pP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89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4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-429,767.77</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权益法核算的股权投资损失及理财收益</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3,575,496.49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35.90%</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公司对应收款项、存货计提减值准备</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233,440.47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无法支付的款项及收到诉讼赔款</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9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53,251.89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豁免债务损失及其他</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262"/>
        <w:gridCol w:w="1256"/>
        <w:gridCol w:w="870"/>
        <w:gridCol w:w="1276"/>
        <w:gridCol w:w="852"/>
        <w:gridCol w:w="991"/>
        <w:gridCol w:w="3035"/>
      </w:tblGrid>
      <w:tr>
        <w:trPr>
          <w:trHeight w:val="385" w:hRule="exact"/>
        </w:trPr>
        <w:tc>
          <w:tcPr>
            <w:tcW w:w="1262" w:type="dxa"/>
            <w:tcBorders>
              <w:top w:val="single" w:sz="4" w:space="0" w:color="000000"/>
              <w:left w:val="nil" w:sz="6" w:space="0" w:color="auto"/>
              <w:bottom w:val="nil" w:sz="6" w:space="0" w:color="auto"/>
              <w:right w:val="single" w:sz="4" w:space="0" w:color="000000"/>
            </w:tcBorders>
            <w:shd w:val="clear" w:color="auto" w:fill="D2D2D2"/>
          </w:tcPr>
          <w:p>
            <w:pP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35"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79" w:hRule="exact"/>
        </w:trPr>
        <w:tc>
          <w:tcPr>
            <w:tcW w:w="1262" w:type="dxa"/>
            <w:vMerge w:val="restart"/>
            <w:tcBorders>
              <w:top w:val="nil" w:sz="6" w:space="0" w:color="auto"/>
              <w:left w:val="nil" w:sz="6" w:space="0" w:color="auto"/>
              <w:right w:val="single" w:sz="4" w:space="0" w:color="000000"/>
            </w:tcBorders>
            <w:shd w:val="clear" w:color="auto" w:fill="D2D2D2"/>
          </w:tcPr>
          <w:p>
            <w:pPr/>
          </w:p>
        </w:tc>
        <w:tc>
          <w:tcPr>
            <w:tcW w:w="1256"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49" w:right="68"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41"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035"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28"/>
              <w:ind w:left="97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262" w:type="dxa"/>
            <w:vMerge/>
            <w:tcBorders>
              <w:left w:val="nil" w:sz="6" w:space="0" w:color="auto"/>
              <w:bottom w:val="nil" w:sz="6" w:space="0" w:color="auto"/>
              <w:right w:val="single" w:sz="4" w:space="0" w:color="000000"/>
            </w:tcBorders>
            <w:shd w:val="clear" w:color="auto" w:fill="D2D2D2"/>
          </w:tcPr>
          <w:p>
            <w:pPr/>
          </w:p>
        </w:tc>
        <w:tc>
          <w:tcPr>
            <w:tcW w:w="12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0"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3035" w:type="dxa"/>
            <w:vMerge/>
            <w:tcBorders>
              <w:left w:val="single" w:sz="4" w:space="0" w:color="000000"/>
              <w:bottom w:val="nil" w:sz="6" w:space="0" w:color="auto"/>
              <w:right w:val="nil" w:sz="6" w:space="0" w:color="auto"/>
            </w:tcBorders>
            <w:shd w:val="clear" w:color="auto" w:fill="D2D2D2"/>
          </w:tcPr>
          <w:p>
            <w:pPr/>
          </w:p>
        </w:tc>
      </w:tr>
      <w:tr>
        <w:trPr>
          <w:trHeight w:val="200" w:hRule="exact"/>
        </w:trPr>
        <w:tc>
          <w:tcPr>
            <w:tcW w:w="1262" w:type="dxa"/>
            <w:vMerge w:val="restart"/>
            <w:tcBorders>
              <w:top w:val="nil" w:sz="6" w:space="0" w:color="auto"/>
              <w:left w:val="nil" w:sz="6" w:space="0" w:color="auto"/>
              <w:right w:val="single" w:sz="4" w:space="0" w:color="000000"/>
            </w:tcBorders>
            <w:shd w:val="clear" w:color="auto" w:fill="D2D2D2"/>
          </w:tcPr>
          <w:p>
            <w:pPr/>
          </w:p>
        </w:tc>
        <w:tc>
          <w:tcPr>
            <w:tcW w:w="1256" w:type="dxa"/>
            <w:vMerge/>
            <w:tcBorders>
              <w:left w:val="single" w:sz="4" w:space="0" w:color="000000"/>
              <w:bottom w:val="nil" w:sz="6" w:space="0" w:color="auto"/>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3035"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262" w:type="dxa"/>
            <w:vMerge/>
            <w:tcBorders>
              <w:left w:val="nil" w:sz="6" w:space="0" w:color="auto"/>
              <w:bottom w:val="single" w:sz="4" w:space="0" w:color="000000"/>
              <w:right w:val="single" w:sz="4" w:space="0" w:color="000000"/>
            </w:tcBorders>
            <w:shd w:val="clear" w:color="auto" w:fill="D2D2D2"/>
          </w:tcPr>
          <w:p>
            <w:pPr/>
          </w:p>
        </w:tc>
        <w:tc>
          <w:tcPr>
            <w:tcW w:w="1256" w:type="dxa"/>
            <w:tcBorders>
              <w:top w:val="nil" w:sz="6" w:space="0" w:color="auto"/>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3035" w:type="dxa"/>
            <w:vMerge/>
            <w:tcBorders>
              <w:left w:val="single" w:sz="4" w:space="0" w:color="000000"/>
              <w:bottom w:val="single" w:sz="4" w:space="0" w:color="000000"/>
              <w:right w:val="nil" w:sz="6" w:space="0" w:color="auto"/>
            </w:tcBorders>
            <w:shd w:val="clear" w:color="auto" w:fill="D2D2D2"/>
          </w:tcPr>
          <w:p>
            <w:pPr/>
          </w:p>
        </w:tc>
      </w:tr>
      <w:tr>
        <w:trPr>
          <w:trHeight w:val="474" w:hRule="exact"/>
        </w:trPr>
        <w:tc>
          <w:tcPr>
            <w:tcW w:w="1262" w:type="dxa"/>
            <w:tcBorders>
              <w:top w:val="single" w:sz="4" w:space="0" w:color="000000"/>
              <w:left w:val="nil" w:sz="6" w:space="0" w:color="auto"/>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80,019,990.36</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22.52%</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59,017,225.76</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16.80%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5.72%</w:t>
            </w:r>
          </w:p>
        </w:tc>
        <w:tc>
          <w:tcPr>
            <w:tcW w:w="3035" w:type="dxa"/>
            <w:vMerge w:val="restart"/>
            <w:tcBorders>
              <w:top w:val="single" w:sz="4" w:space="0" w:color="000000"/>
              <w:left w:val="single" w:sz="4" w:space="0" w:color="000000"/>
              <w:right w:val="nil" w:sz="6" w:space="0" w:color="auto"/>
            </w:tcBorders>
          </w:tcPr>
          <w:p>
            <w:pPr>
              <w:pStyle w:val="TableParagraph"/>
              <w:spacing w:line="316" w:lineRule="auto" w:before="52"/>
              <w:ind w:left="22" w:right="13"/>
              <w:jc w:val="left"/>
              <w:rPr>
                <w:rFonts w:ascii="宋体" w:hAnsi="宋体" w:cs="宋体" w:eastAsia="宋体" w:hint="default"/>
                <w:sz w:val="18"/>
                <w:szCs w:val="18"/>
              </w:rPr>
            </w:pPr>
            <w:r>
              <w:rPr>
                <w:rFonts w:ascii="宋体" w:hAnsi="宋体" w:cs="宋体" w:eastAsia="宋体" w:hint="default"/>
                <w:spacing w:val="-5"/>
                <w:sz w:val="18"/>
                <w:szCs w:val="18"/>
              </w:rPr>
              <w:t>报告期销售收入增加，采购付款票据结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算占比增加等因素致经营活动产生的 </w:t>
            </w:r>
            <w:r>
              <w:rPr>
                <w:rFonts w:ascii="宋体" w:hAnsi="宋体" w:cs="宋体" w:eastAsia="宋体" w:hint="default"/>
                <w:spacing w:val="-5"/>
                <w:sz w:val="18"/>
                <w:szCs w:val="18"/>
              </w:rPr>
              <w:t>现金流量净额增加，故期末货币资金金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额增加。</w:t>
            </w:r>
          </w:p>
        </w:tc>
      </w:tr>
      <w:tr>
        <w:trPr>
          <w:trHeight w:val="391" w:hRule="exact"/>
        </w:trPr>
        <w:tc>
          <w:tcPr>
            <w:tcW w:w="1262"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6"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035" w:type="dxa"/>
            <w:vMerge/>
            <w:tcBorders>
              <w:left w:val="single" w:sz="4" w:space="0" w:color="000000"/>
              <w:right w:val="nil" w:sz="6" w:space="0" w:color="auto"/>
            </w:tcBorders>
          </w:tcPr>
          <w:p>
            <w:pPr/>
          </w:p>
        </w:tc>
      </w:tr>
      <w:tr>
        <w:trPr>
          <w:trHeight w:val="473" w:hRule="exact"/>
        </w:trPr>
        <w:tc>
          <w:tcPr>
            <w:tcW w:w="1262" w:type="dxa"/>
            <w:tcBorders>
              <w:top w:val="nil" w:sz="6" w:space="0" w:color="auto"/>
              <w:left w:val="nil" w:sz="6" w:space="0" w:color="auto"/>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035" w:type="dxa"/>
            <w:vMerge/>
            <w:tcBorders>
              <w:left w:val="single" w:sz="4" w:space="0" w:color="000000"/>
              <w:bottom w:val="single" w:sz="4" w:space="0" w:color="000000"/>
              <w:right w:val="nil" w:sz="6" w:space="0" w:color="auto"/>
            </w:tcBorders>
          </w:tcPr>
          <w:p>
            <w:pPr/>
          </w:p>
        </w:tc>
      </w:tr>
      <w:tr>
        <w:trPr>
          <w:trHeight w:val="318" w:hRule="exact"/>
        </w:trPr>
        <w:tc>
          <w:tcPr>
            <w:tcW w:w="1262" w:type="dxa"/>
            <w:tcBorders>
              <w:top w:val="single" w:sz="4" w:space="0" w:color="000000"/>
              <w:left w:val="nil" w:sz="6" w:space="0" w:color="auto"/>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23,479,957.90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6.61%</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25,873,239.67</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7.37%</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-0.76%</w:t>
            </w:r>
          </w:p>
        </w:tc>
        <w:tc>
          <w:tcPr>
            <w:tcW w:w="3035" w:type="dxa"/>
            <w:vMerge w:val="restart"/>
            <w:tcBorders>
              <w:top w:val="single" w:sz="4" w:space="0" w:color="000000"/>
              <w:left w:val="single" w:sz="4" w:space="0" w:color="000000"/>
              <w:right w:val="nil" w:sz="6" w:space="0" w:color="auto"/>
            </w:tcBorders>
          </w:tcPr>
          <w:p>
            <w:pPr>
              <w:pStyle w:val="TableParagraph"/>
              <w:spacing w:line="316" w:lineRule="auto" w:before="52"/>
              <w:ind w:left="22" w:right="13"/>
              <w:jc w:val="both"/>
              <w:rPr>
                <w:rFonts w:ascii="宋体" w:hAnsi="宋体" w:cs="宋体" w:eastAsia="宋体" w:hint="default"/>
                <w:sz w:val="18"/>
                <w:szCs w:val="18"/>
              </w:rPr>
            </w:pPr>
            <w:r>
              <w:rPr>
                <w:rFonts w:ascii="宋体" w:hAnsi="宋体" w:cs="宋体" w:eastAsia="宋体" w:hint="default"/>
                <w:spacing w:val="-5"/>
                <w:sz w:val="18"/>
                <w:szCs w:val="18"/>
              </w:rPr>
              <w:t>报告期销售收款及时，应收账款余额减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少，以及计提坏账损失导致应收账款期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末金额减少。</w:t>
            </w:r>
          </w:p>
        </w:tc>
      </w:tr>
      <w:tr>
        <w:trPr>
          <w:trHeight w:val="391" w:hRule="exact"/>
        </w:trPr>
        <w:tc>
          <w:tcPr>
            <w:tcW w:w="1262"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6"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035" w:type="dxa"/>
            <w:vMerge/>
            <w:tcBorders>
              <w:left w:val="single" w:sz="4" w:space="0" w:color="000000"/>
              <w:right w:val="nil" w:sz="6" w:space="0" w:color="auto"/>
            </w:tcBorders>
          </w:tcPr>
          <w:p>
            <w:pPr/>
          </w:p>
        </w:tc>
      </w:tr>
      <w:tr>
        <w:trPr>
          <w:trHeight w:val="317" w:hRule="exact"/>
        </w:trPr>
        <w:tc>
          <w:tcPr>
            <w:tcW w:w="1262" w:type="dxa"/>
            <w:tcBorders>
              <w:top w:val="nil" w:sz="6" w:space="0" w:color="auto"/>
              <w:left w:val="nil" w:sz="6" w:space="0" w:color="auto"/>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035" w:type="dxa"/>
            <w:vMerge/>
            <w:tcBorders>
              <w:left w:val="single" w:sz="4" w:space="0" w:color="000000"/>
              <w:bottom w:val="single" w:sz="4" w:space="0" w:color="000000"/>
              <w:right w:val="nil" w:sz="6" w:space="0" w:color="auto"/>
            </w:tcBorders>
          </w:tcPr>
          <w:p>
            <w:pPr/>
          </w:p>
        </w:tc>
      </w:tr>
      <w:tr>
        <w:trPr>
          <w:trHeight w:val="162" w:hRule="exact"/>
        </w:trPr>
        <w:tc>
          <w:tcPr>
            <w:tcW w:w="1262" w:type="dxa"/>
            <w:tcBorders>
              <w:top w:val="single" w:sz="4" w:space="0" w:color="000000"/>
              <w:left w:val="nil" w:sz="6" w:space="0" w:color="auto"/>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86,219,676.70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24.27%</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98,449,634.95</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28.03%</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-3.76%</w:t>
            </w:r>
          </w:p>
        </w:tc>
        <w:tc>
          <w:tcPr>
            <w:tcW w:w="3035" w:type="dxa"/>
            <w:vMerge w:val="restart"/>
            <w:tcBorders>
              <w:top w:val="single" w:sz="4" w:space="0" w:color="000000"/>
              <w:left w:val="single" w:sz="4" w:space="0" w:color="000000"/>
              <w:right w:val="nil" w:sz="6" w:space="0" w:color="auto"/>
            </w:tcBorders>
          </w:tcPr>
          <w:p>
            <w:pPr>
              <w:pStyle w:val="TableParagraph"/>
              <w:spacing w:line="316" w:lineRule="auto" w:before="52"/>
              <w:ind w:left="22" w:right="13"/>
              <w:jc w:val="left"/>
              <w:rPr>
                <w:rFonts w:ascii="宋体" w:hAnsi="宋体" w:cs="宋体" w:eastAsia="宋体" w:hint="default"/>
                <w:sz w:val="18"/>
                <w:szCs w:val="18"/>
              </w:rPr>
            </w:pPr>
            <w:r>
              <w:rPr>
                <w:rFonts w:ascii="宋体" w:hAnsi="宋体" w:cs="宋体" w:eastAsia="宋体" w:hint="default"/>
                <w:spacing w:val="-5"/>
                <w:sz w:val="18"/>
                <w:szCs w:val="18"/>
              </w:rPr>
              <w:t>报告期内消化年初存货库存，导致存货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期末金额减少。</w:t>
            </w:r>
          </w:p>
        </w:tc>
      </w:tr>
      <w:tr>
        <w:trPr>
          <w:trHeight w:val="391" w:hRule="exact"/>
        </w:trPr>
        <w:tc>
          <w:tcPr>
            <w:tcW w:w="1262"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56"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035" w:type="dxa"/>
            <w:vMerge/>
            <w:tcBorders>
              <w:left w:val="single" w:sz="4" w:space="0" w:color="000000"/>
              <w:right w:val="nil" w:sz="6" w:space="0" w:color="auto"/>
            </w:tcBorders>
          </w:tcPr>
          <w:p>
            <w:pPr/>
          </w:p>
        </w:tc>
      </w:tr>
      <w:tr>
        <w:trPr>
          <w:trHeight w:val="161" w:hRule="exact"/>
        </w:trPr>
        <w:tc>
          <w:tcPr>
            <w:tcW w:w="1262" w:type="dxa"/>
            <w:tcBorders>
              <w:top w:val="nil" w:sz="6" w:space="0" w:color="auto"/>
              <w:left w:val="nil" w:sz="6" w:space="0" w:color="auto"/>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035" w:type="dxa"/>
            <w:vMerge/>
            <w:tcBorders>
              <w:left w:val="single" w:sz="4" w:space="0" w:color="000000"/>
              <w:bottom w:val="single" w:sz="4" w:space="0" w:color="000000"/>
              <w:right w:val="nil" w:sz="6" w:space="0" w:color="auto"/>
            </w:tcBorders>
          </w:tcPr>
          <w:p>
            <w:pPr/>
          </w:p>
        </w:tc>
      </w:tr>
      <w:tr>
        <w:trPr>
          <w:trHeight w:val="402" w:hRule="exact"/>
        </w:trPr>
        <w:tc>
          <w:tcPr>
            <w:tcW w:w="12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02" w:right="0"/>
              <w:jc w:val="left"/>
              <w:rPr>
                <w:rFonts w:ascii="Times New Roman" w:hAnsi="Times New Roman" w:cs="Times New Roman" w:eastAsia="Times New Roman" w:hint="default"/>
                <w:sz w:val="18"/>
                <w:szCs w:val="18"/>
              </w:rPr>
            </w:pPr>
            <w:r>
              <w:rPr>
                <w:rFonts w:ascii="Times New Roman"/>
                <w:sz w:val="18"/>
              </w:rPr>
              <w:t>187,272.00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1" w:right="0"/>
              <w:jc w:val="left"/>
              <w:rPr>
                <w:rFonts w:ascii="Times New Roman" w:hAnsi="Times New Roman" w:cs="Times New Roman" w:eastAsia="Times New Roman" w:hint="default"/>
                <w:sz w:val="18"/>
                <w:szCs w:val="18"/>
              </w:rPr>
            </w:pPr>
            <w:r>
              <w:rPr>
                <w:rFonts w:ascii="Times New Roman"/>
                <w:sz w:val="18"/>
              </w:rPr>
              <w:t>0.05%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3" w:right="0"/>
              <w:jc w:val="left"/>
              <w:rPr>
                <w:rFonts w:ascii="Times New Roman" w:hAnsi="Times New Roman" w:cs="Times New Roman" w:eastAsia="Times New Roman" w:hint="default"/>
                <w:sz w:val="18"/>
                <w:szCs w:val="18"/>
              </w:rPr>
            </w:pPr>
            <w:r>
              <w:rPr>
                <w:rFonts w:ascii="Times New Roman"/>
                <w:sz w:val="18"/>
              </w:rPr>
              <w:t>170,040.26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5" w:right="0"/>
              <w:jc w:val="left"/>
              <w:rPr>
                <w:rFonts w:ascii="Times New Roman" w:hAnsi="Times New Roman" w:cs="Times New Roman" w:eastAsia="Times New Roman" w:hint="default"/>
                <w:sz w:val="18"/>
                <w:szCs w:val="18"/>
              </w:rPr>
            </w:pPr>
            <w:r>
              <w:rPr>
                <w:rFonts w:ascii="Times New Roman"/>
                <w:sz w:val="18"/>
              </w:rPr>
              <w:t>0.05%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4" w:right="0"/>
              <w:jc w:val="left"/>
              <w:rPr>
                <w:rFonts w:ascii="Times New Roman" w:hAnsi="Times New Roman" w:cs="Times New Roman" w:eastAsia="Times New Roman" w:hint="default"/>
                <w:sz w:val="18"/>
                <w:szCs w:val="18"/>
              </w:rPr>
            </w:pPr>
            <w:r>
              <w:rPr>
                <w:rFonts w:ascii="Times New Roman"/>
                <w:sz w:val="18"/>
              </w:rPr>
              <w:t>0.00%</w:t>
            </w:r>
          </w:p>
        </w:tc>
        <w:tc>
          <w:tcPr>
            <w:tcW w:w="3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2" w:hRule="exact"/>
        </w:trPr>
        <w:tc>
          <w:tcPr>
            <w:tcW w:w="1262" w:type="dxa"/>
            <w:tcBorders>
              <w:top w:val="single" w:sz="4" w:space="0" w:color="000000"/>
              <w:left w:val="nil" w:sz="6" w:space="0" w:color="auto"/>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77,725,415.19</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21.88%</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82,240,821.55</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23.41%</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-1.53%</w:t>
            </w:r>
          </w:p>
        </w:tc>
        <w:tc>
          <w:tcPr>
            <w:tcW w:w="3035" w:type="dxa"/>
            <w:vMerge w:val="restart"/>
            <w:tcBorders>
              <w:top w:val="single" w:sz="4" w:space="0" w:color="000000"/>
              <w:left w:val="single" w:sz="4" w:space="0" w:color="000000"/>
              <w:right w:val="nil" w:sz="6" w:space="0" w:color="auto"/>
            </w:tcBorders>
          </w:tcPr>
          <w:p>
            <w:pPr>
              <w:pStyle w:val="TableParagraph"/>
              <w:spacing w:line="316" w:lineRule="auto" w:before="52"/>
              <w:ind w:left="22" w:right="13"/>
              <w:jc w:val="left"/>
              <w:rPr>
                <w:rFonts w:ascii="宋体" w:hAnsi="宋体" w:cs="宋体" w:eastAsia="宋体" w:hint="default"/>
                <w:sz w:val="18"/>
                <w:szCs w:val="18"/>
              </w:rPr>
            </w:pPr>
            <w:r>
              <w:rPr>
                <w:rFonts w:ascii="宋体" w:hAnsi="宋体" w:cs="宋体" w:eastAsia="宋体" w:hint="default"/>
                <w:spacing w:val="-5"/>
                <w:sz w:val="18"/>
                <w:szCs w:val="18"/>
              </w:rPr>
              <w:t>报告期计提固定资产折旧，导致固定资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产期末金额减少。</w:t>
            </w:r>
          </w:p>
        </w:tc>
      </w:tr>
      <w:tr>
        <w:trPr>
          <w:trHeight w:val="391" w:hRule="exact"/>
        </w:trPr>
        <w:tc>
          <w:tcPr>
            <w:tcW w:w="1262"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56"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035" w:type="dxa"/>
            <w:vMerge/>
            <w:tcBorders>
              <w:left w:val="single" w:sz="4" w:space="0" w:color="000000"/>
              <w:right w:val="nil" w:sz="6" w:space="0" w:color="auto"/>
            </w:tcBorders>
          </w:tcPr>
          <w:p>
            <w:pPr/>
          </w:p>
        </w:tc>
      </w:tr>
      <w:tr>
        <w:trPr>
          <w:trHeight w:val="161" w:hRule="exact"/>
        </w:trPr>
        <w:tc>
          <w:tcPr>
            <w:tcW w:w="1262" w:type="dxa"/>
            <w:tcBorders>
              <w:top w:val="nil" w:sz="6" w:space="0" w:color="auto"/>
              <w:left w:val="nil" w:sz="6" w:space="0" w:color="auto"/>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035" w:type="dxa"/>
            <w:vMerge/>
            <w:tcBorders>
              <w:left w:val="single" w:sz="4" w:space="0" w:color="000000"/>
              <w:bottom w:val="single" w:sz="4" w:space="0" w:color="000000"/>
              <w:right w:val="nil" w:sz="6" w:space="0" w:color="auto"/>
            </w:tcBorders>
          </w:tcPr>
          <w:p>
            <w:pPr/>
          </w:p>
        </w:tc>
      </w:tr>
      <w:tr>
        <w:trPr>
          <w:trHeight w:val="162" w:hRule="exact"/>
        </w:trPr>
        <w:tc>
          <w:tcPr>
            <w:tcW w:w="1262" w:type="dxa"/>
            <w:tcBorders>
              <w:top w:val="single" w:sz="4" w:space="0" w:color="000000"/>
              <w:left w:val="nil" w:sz="6" w:space="0" w:color="auto"/>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202,977.68</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0.06%</w:t>
            </w:r>
          </w:p>
        </w:tc>
        <w:tc>
          <w:tcPr>
            <w:tcW w:w="1276"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0.06%</w:t>
            </w:r>
          </w:p>
        </w:tc>
        <w:tc>
          <w:tcPr>
            <w:tcW w:w="3035" w:type="dxa"/>
            <w:vMerge w:val="restart"/>
            <w:tcBorders>
              <w:top w:val="single" w:sz="4" w:space="0" w:color="000000"/>
              <w:left w:val="single" w:sz="4" w:space="0" w:color="000000"/>
              <w:right w:val="nil" w:sz="6" w:space="0" w:color="auto"/>
            </w:tcBorders>
          </w:tcPr>
          <w:p>
            <w:pPr>
              <w:pStyle w:val="TableParagraph"/>
              <w:spacing w:line="316" w:lineRule="auto" w:before="53"/>
              <w:ind w:left="22" w:right="13"/>
              <w:jc w:val="left"/>
              <w:rPr>
                <w:rFonts w:ascii="宋体" w:hAnsi="宋体" w:cs="宋体" w:eastAsia="宋体" w:hint="default"/>
                <w:sz w:val="18"/>
                <w:szCs w:val="18"/>
              </w:rPr>
            </w:pPr>
            <w:r>
              <w:rPr>
                <w:rFonts w:ascii="宋体" w:hAnsi="宋体" w:cs="宋体" w:eastAsia="宋体" w:hint="default"/>
                <w:spacing w:val="-5"/>
                <w:sz w:val="18"/>
                <w:szCs w:val="18"/>
              </w:rPr>
              <w:t>报告期内增加生产设备投资，导致在建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工程期末金额增加。</w:t>
            </w:r>
          </w:p>
        </w:tc>
      </w:tr>
      <w:tr>
        <w:trPr>
          <w:trHeight w:val="391" w:hRule="exact"/>
        </w:trPr>
        <w:tc>
          <w:tcPr>
            <w:tcW w:w="1262"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56"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035" w:type="dxa"/>
            <w:vMerge/>
            <w:tcBorders>
              <w:left w:val="single" w:sz="4" w:space="0" w:color="000000"/>
              <w:right w:val="nil" w:sz="6" w:space="0" w:color="auto"/>
            </w:tcBorders>
          </w:tcPr>
          <w:p>
            <w:pPr/>
          </w:p>
        </w:tc>
      </w:tr>
      <w:tr>
        <w:trPr>
          <w:trHeight w:val="161" w:hRule="exact"/>
        </w:trPr>
        <w:tc>
          <w:tcPr>
            <w:tcW w:w="1262" w:type="dxa"/>
            <w:tcBorders>
              <w:top w:val="nil" w:sz="6" w:space="0" w:color="auto"/>
              <w:left w:val="nil" w:sz="6" w:space="0" w:color="auto"/>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035" w:type="dxa"/>
            <w:vMerge/>
            <w:tcBorders>
              <w:left w:val="single" w:sz="4" w:space="0" w:color="000000"/>
              <w:bottom w:val="single" w:sz="4" w:space="0" w:color="000000"/>
              <w:right w:val="nil" w:sz="6" w:space="0" w:color="auto"/>
            </w:tcBorders>
          </w:tcPr>
          <w:p>
            <w:pPr/>
          </w:p>
        </w:tc>
      </w:tr>
      <w:tr>
        <w:trPr>
          <w:trHeight w:val="162" w:hRule="exact"/>
        </w:trPr>
        <w:tc>
          <w:tcPr>
            <w:tcW w:w="1262" w:type="dxa"/>
            <w:tcBorders>
              <w:top w:val="single" w:sz="4" w:space="0" w:color="000000"/>
              <w:left w:val="nil" w:sz="6" w:space="0" w:color="auto"/>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17,000,000.00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4.78%</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20,000,000.00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5.69%</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-0.91%</w:t>
            </w:r>
          </w:p>
        </w:tc>
        <w:tc>
          <w:tcPr>
            <w:tcW w:w="3035" w:type="dxa"/>
            <w:vMerge w:val="restart"/>
            <w:tcBorders>
              <w:top w:val="single" w:sz="4" w:space="0" w:color="000000"/>
              <w:left w:val="single" w:sz="4" w:space="0" w:color="000000"/>
              <w:right w:val="nil" w:sz="6" w:space="0" w:color="auto"/>
            </w:tcBorders>
          </w:tcPr>
          <w:p>
            <w:pPr>
              <w:pStyle w:val="TableParagraph"/>
              <w:spacing w:line="316" w:lineRule="auto" w:before="52"/>
              <w:ind w:left="22" w:right="13"/>
              <w:jc w:val="left"/>
              <w:rPr>
                <w:rFonts w:ascii="宋体" w:hAnsi="宋体" w:cs="宋体" w:eastAsia="宋体" w:hint="default"/>
                <w:sz w:val="18"/>
                <w:szCs w:val="18"/>
              </w:rPr>
            </w:pPr>
            <w:r>
              <w:rPr>
                <w:rFonts w:ascii="宋体" w:hAnsi="宋体" w:cs="宋体" w:eastAsia="宋体" w:hint="default"/>
                <w:spacing w:val="-5"/>
                <w:sz w:val="18"/>
                <w:szCs w:val="18"/>
              </w:rPr>
              <w:t>报告期内偿还银行借款，导致期末短期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借款金额减少。</w:t>
            </w:r>
          </w:p>
        </w:tc>
      </w:tr>
      <w:tr>
        <w:trPr>
          <w:trHeight w:val="391" w:hRule="exact"/>
        </w:trPr>
        <w:tc>
          <w:tcPr>
            <w:tcW w:w="1262"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56"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035" w:type="dxa"/>
            <w:vMerge/>
            <w:tcBorders>
              <w:left w:val="single" w:sz="4" w:space="0" w:color="000000"/>
              <w:right w:val="nil" w:sz="6" w:space="0" w:color="auto"/>
            </w:tcBorders>
          </w:tcPr>
          <w:p>
            <w:pPr/>
          </w:p>
        </w:tc>
      </w:tr>
      <w:tr>
        <w:trPr>
          <w:trHeight w:val="162" w:hRule="exact"/>
        </w:trPr>
        <w:tc>
          <w:tcPr>
            <w:tcW w:w="1262" w:type="dxa"/>
            <w:tcBorders>
              <w:top w:val="nil" w:sz="6" w:space="0" w:color="auto"/>
              <w:left w:val="nil" w:sz="6" w:space="0" w:color="auto"/>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035" w:type="dxa"/>
            <w:vMerge/>
            <w:tcBorders>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rFonts w:ascii="宋体" w:hAnsi="宋体" w:cs="宋体" w:eastAsia="宋体" w:hint="default"/>
          <w:spacing w:val="38"/>
        </w:rPr>
        <w:t> </w:t>
      </w:r>
      <w:r>
        <w:rPr/>
        <w:t>所有权或使用权受到限制的资产</w:t>
      </w:r>
      <w:r>
        <w:rPr>
          <w:b w:val="0"/>
          <w:bCs w:val="0"/>
        </w:rPr>
      </w:r>
    </w:p>
    <w:p>
      <w:pPr>
        <w:spacing w:line="240" w:lineRule="auto" w:before="13"/>
        <w:rPr>
          <w:rFonts w:ascii="宋体" w:hAnsi="宋体" w:cs="宋体" w:eastAsia="宋体" w:hint="default"/>
          <w:b/>
          <w:bCs/>
          <w:sz w:val="3"/>
          <w:szCs w:val="3"/>
        </w:rPr>
      </w:pPr>
    </w:p>
    <w:tbl>
      <w:tblPr>
        <w:tblW w:w="0" w:type="auto"/>
        <w:jc w:val="left"/>
        <w:tblInd w:w="125" w:type="dxa"/>
        <w:tblLayout w:type="fixed"/>
        <w:tblCellMar>
          <w:top w:w="0" w:type="dxa"/>
          <w:left w:w="0" w:type="dxa"/>
          <w:bottom w:w="0" w:type="dxa"/>
          <w:right w:w="0" w:type="dxa"/>
        </w:tblCellMar>
        <w:tblLook w:val="01E0"/>
      </w:tblPr>
      <w:tblGrid>
        <w:gridCol w:w="2063"/>
        <w:gridCol w:w="1926"/>
        <w:gridCol w:w="5684"/>
      </w:tblGrid>
      <w:tr>
        <w:trPr>
          <w:trHeight w:val="342"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right="839"/>
              <w:jc w:val="right"/>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余额</w:t>
            </w:r>
          </w:p>
        </w:tc>
        <w:tc>
          <w:tcPr>
            <w:tcW w:w="5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2"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7,637,531.50</w:t>
            </w:r>
          </w:p>
        </w:tc>
        <w:tc>
          <w:tcPr>
            <w:tcW w:w="5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承兑汇票保证金</w:t>
            </w:r>
          </w:p>
        </w:tc>
      </w:tr>
      <w:tr>
        <w:trPr>
          <w:trHeight w:val="342"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21,138,656.00</w:t>
            </w:r>
          </w:p>
        </w:tc>
        <w:tc>
          <w:tcPr>
            <w:tcW w:w="5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借款质押保证金</w:t>
            </w:r>
          </w:p>
        </w:tc>
      </w:tr>
      <w:tr>
        <w:trPr>
          <w:trHeight w:val="342"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right="839"/>
              <w:jc w:val="righ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28,776,187.50</w:t>
            </w:r>
          </w:p>
        </w:tc>
        <w:tc>
          <w:tcPr>
            <w:tcW w:w="5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3"/>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4"/>
          <w:szCs w:val="24"/>
        </w:rPr>
      </w:pPr>
    </w:p>
    <w:p>
      <w:pPr>
        <w:pStyle w:val="Heading5"/>
        <w:spacing w:line="290" w:lineRule="auto"/>
        <w:ind w:right="7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公司报告期无募集资金使用情况。</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4"/>
          <w:szCs w:val="24"/>
        </w:rPr>
      </w:pPr>
    </w:p>
    <w:p>
      <w:pPr>
        <w:pStyle w:val="Heading5"/>
        <w:spacing w:line="290" w:lineRule="auto"/>
        <w:ind w:right="8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公司报告期未出售重大资产。</w:t>
      </w:r>
    </w:p>
    <w:p>
      <w:pPr>
        <w:spacing w:line="240" w:lineRule="auto" w:before="5"/>
        <w:rPr>
          <w:rFonts w:ascii="宋体" w:hAnsi="宋体" w:cs="宋体" w:eastAsia="宋体" w:hint="default"/>
          <w:sz w:val="22"/>
          <w:szCs w:val="22"/>
        </w:rPr>
      </w:pPr>
    </w:p>
    <w:p>
      <w:pPr>
        <w:pStyle w:val="Heading4"/>
        <w:spacing w:line="240" w:lineRule="auto"/>
        <w:ind w:right="0"/>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12"/>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7" w:footer="979" w:top="1060" w:bottom="1160" w:left="980" w:right="0"/>
        </w:sectPr>
      </w:pPr>
    </w:p>
    <w:p>
      <w:pPr>
        <w:pStyle w:val="Heading5"/>
        <w:spacing w:line="240" w:lineRule="auto" w:before="35"/>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pStyle w:val="Heading5"/>
        <w:spacing w:line="240" w:lineRule="auto" w:before="62"/>
        <w:ind w:right="-19"/>
        <w:jc w:val="left"/>
      </w:pPr>
      <w:r>
        <w:rPr/>
        <w:t>主要子公司及对公司净利润影响达</w:t>
      </w:r>
      <w:r>
        <w:rPr>
          <w:spacing w:val="-5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5632" w:space="3288"/>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767"/>
        <w:gridCol w:w="952"/>
        <w:gridCol w:w="1092"/>
        <w:gridCol w:w="1176"/>
        <w:gridCol w:w="1175"/>
        <w:gridCol w:w="1121"/>
        <w:gridCol w:w="1170"/>
        <w:gridCol w:w="1111"/>
      </w:tblGrid>
      <w:tr>
        <w:trPr>
          <w:trHeight w:val="714" w:hRule="exact"/>
        </w:trPr>
        <w:tc>
          <w:tcPr>
            <w:tcW w:w="10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89" w:right="107"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1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27" w:right="119"/>
              <w:jc w:val="both"/>
              <w:rPr>
                <w:rFonts w:ascii="宋体" w:hAnsi="宋体" w:cs="宋体" w:eastAsia="宋体" w:hint="default"/>
                <w:sz w:val="18"/>
                <w:szCs w:val="18"/>
              </w:rPr>
            </w:pPr>
            <w:r>
              <w:rPr>
                <w:rFonts w:ascii="宋体" w:hAnsi="宋体" w:cs="宋体" w:eastAsia="宋体" w:hint="default"/>
                <w:sz w:val="18"/>
                <w:szCs w:val="18"/>
              </w:rPr>
              <w:t>上海金萃激 光技术有限 公司</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激光系统 组装、销售</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14,598,500.00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18,583,808.11</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15,655,106.14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15,310,386.58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2,348,305.64</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2,093,094.39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34" w:type="dxa"/>
        <w:tblLayout w:type="fixed"/>
        <w:tblCellMar>
          <w:top w:w="0" w:type="dxa"/>
          <w:left w:w="0" w:type="dxa"/>
          <w:bottom w:w="0" w:type="dxa"/>
          <w:right w:w="0" w:type="dxa"/>
        </w:tblCellMar>
        <w:tblLook w:val="01E0"/>
      </w:tblPr>
      <w:tblGrid>
        <w:gridCol w:w="1068"/>
        <w:gridCol w:w="767"/>
        <w:gridCol w:w="952"/>
        <w:gridCol w:w="1092"/>
        <w:gridCol w:w="1176"/>
        <w:gridCol w:w="1175"/>
        <w:gridCol w:w="1121"/>
        <w:gridCol w:w="1170"/>
        <w:gridCol w:w="1111"/>
      </w:tblGrid>
      <w:tr>
        <w:trPr>
          <w:trHeight w:val="1026" w:hRule="exact"/>
        </w:trPr>
        <w:tc>
          <w:tcPr>
            <w:tcW w:w="106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42" w:right="119"/>
              <w:jc w:val="both"/>
              <w:rPr>
                <w:rFonts w:ascii="宋体" w:hAnsi="宋体" w:cs="宋体" w:eastAsia="宋体" w:hint="default"/>
                <w:sz w:val="18"/>
                <w:szCs w:val="18"/>
              </w:rPr>
            </w:pPr>
            <w:r>
              <w:rPr>
                <w:rFonts w:ascii="宋体" w:hAnsi="宋体" w:cs="宋体" w:eastAsia="宋体" w:hint="default"/>
                <w:sz w:val="18"/>
                <w:szCs w:val="18"/>
              </w:rPr>
              <w:t>武汉唯拓光 纤激光工程 有限公司</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电子设备 生产销售</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58,114,702.24</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-14,501,974.41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98,591,740.65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-7,884,372.78</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-7,503,292.29</w:t>
            </w:r>
          </w:p>
        </w:tc>
      </w:tr>
    </w:tbl>
    <w:p>
      <w:pPr>
        <w:spacing w:line="240" w:lineRule="auto" w:before="4"/>
        <w:rPr>
          <w:rFonts w:ascii="宋体" w:hAnsi="宋体" w:cs="宋体" w:eastAsia="宋体" w:hint="default"/>
          <w:sz w:val="26"/>
          <w:szCs w:val="26"/>
        </w:rPr>
      </w:pPr>
    </w:p>
    <w:p>
      <w:pPr>
        <w:pStyle w:val="Heading5"/>
        <w:spacing w:line="240" w:lineRule="auto" w:before="35"/>
        <w:ind w:right="0"/>
        <w:jc w:val="left"/>
      </w:pPr>
      <w:r>
        <w:rPr/>
        <w:t>报告期内取得和处置子公司的情况</w:t>
      </w:r>
    </w:p>
    <w:p>
      <w:pPr>
        <w:pStyle w:val="Heading5"/>
        <w:spacing w:line="240" w:lineRule="auto" w:before="7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112"/>
        <w:gridCol w:w="2834"/>
        <w:gridCol w:w="2624"/>
      </w:tblGrid>
      <w:tr>
        <w:trPr>
          <w:trHeight w:val="402" w:hRule="exact"/>
        </w:trPr>
        <w:tc>
          <w:tcPr>
            <w:tcW w:w="41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62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4112"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51"/>
              <w:ind w:left="27" w:right="39"/>
              <w:jc w:val="left"/>
              <w:rPr>
                <w:rFonts w:ascii="宋体" w:hAnsi="宋体" w:cs="宋体" w:eastAsia="宋体" w:hint="default"/>
                <w:sz w:val="18"/>
                <w:szCs w:val="18"/>
              </w:rPr>
            </w:pPr>
            <w:r>
              <w:rPr>
                <w:rFonts w:ascii="宋体" w:hAnsi="宋体" w:cs="宋体" w:eastAsia="宋体" w:hint="default"/>
                <w:sz w:val="18"/>
                <w:szCs w:val="18"/>
              </w:rPr>
              <w:t>东莞市金运汇研激光科技有限公司（以下简称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东莞 </w:t>
            </w:r>
            <w:r>
              <w:rPr>
                <w:rFonts w:ascii="宋体" w:hAnsi="宋体" w:cs="宋体" w:eastAsia="宋体" w:hint="default"/>
                <w:spacing w:val="-4"/>
                <w:w w:val="100"/>
                <w:sz w:val="18"/>
                <w:szCs w:val="18"/>
              </w:rPr>
              <w:t>汇研</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）（已更名为</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东莞市汇樾科技有限公司</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处置子公司</w:t>
            </w:r>
          </w:p>
        </w:tc>
        <w:tc>
          <w:tcPr>
            <w:tcW w:w="26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-6429.81</w:t>
            </w:r>
          </w:p>
        </w:tc>
      </w:tr>
    </w:tbl>
    <w:p>
      <w:pPr>
        <w:spacing w:line="240" w:lineRule="auto" w:before="0"/>
        <w:rPr>
          <w:rFonts w:ascii="宋体" w:hAnsi="宋体" w:cs="宋体" w:eastAsia="宋体" w:hint="default"/>
          <w:sz w:val="20"/>
          <w:szCs w:val="20"/>
        </w:rPr>
      </w:pPr>
    </w:p>
    <w:p>
      <w:pPr>
        <w:pStyle w:val="Heading5"/>
        <w:spacing w:line="364" w:lineRule="auto" w:before="190"/>
        <w:ind w:left="514" w:right="0" w:hanging="360"/>
        <w:jc w:val="left"/>
      </w:pPr>
      <w:r>
        <w:rPr/>
        <w:t>主要控股参股公司情况说明 </w:t>
      </w:r>
      <w:r>
        <w:rPr>
          <w:spacing w:val="-1"/>
        </w:rPr>
        <w:t>上海金萃激光技术有限公司从事激光系统组装销售，报告期销售收入较上期增加</w:t>
      </w:r>
      <w:r>
        <w:rPr>
          <w:rFonts w:ascii="Times New Roman" w:hAnsi="Times New Roman" w:cs="Times New Roman" w:eastAsia="Times New Roman" w:hint="default"/>
          <w:spacing w:val="-1"/>
        </w:rPr>
        <w:t>9,065,865.76</w:t>
      </w:r>
      <w:r>
        <w:rPr>
          <w:spacing w:val="-1"/>
        </w:rPr>
        <w:t>元，净利</w:t>
      </w:r>
    </w:p>
    <w:p>
      <w:pPr>
        <w:pStyle w:val="Heading5"/>
        <w:spacing w:line="258" w:lineRule="exact"/>
        <w:ind w:right="0"/>
        <w:jc w:val="left"/>
      </w:pPr>
      <w:r>
        <w:rPr/>
        <w:t>润较上期增加</w:t>
      </w:r>
      <w:r>
        <w:rPr>
          <w:rFonts w:ascii="Times New Roman" w:hAnsi="Times New Roman" w:cs="Times New Roman" w:eastAsia="Times New Roman" w:hint="default"/>
        </w:rPr>
        <w:t>2,290,078.12</w:t>
      </w:r>
      <w:r>
        <w:rPr/>
        <w:t>元，主要原因是：报告期业务拓展顺利，订单增加导致主营业务收入上升，净利</w:t>
      </w:r>
    </w:p>
    <w:p>
      <w:pPr>
        <w:pStyle w:val="Heading5"/>
        <w:spacing w:line="240" w:lineRule="auto" w:before="89"/>
        <w:ind w:right="0"/>
        <w:jc w:val="left"/>
      </w:pPr>
      <w:r>
        <w:rPr/>
        <w:t>润增加。</w:t>
      </w:r>
    </w:p>
    <w:p>
      <w:pPr>
        <w:pStyle w:val="Heading5"/>
        <w:spacing w:line="331" w:lineRule="auto" w:before="105"/>
        <w:ind w:right="1131" w:firstLine="360"/>
        <w:jc w:val="both"/>
      </w:pPr>
      <w:r>
        <w:rPr/>
        <w:t>武汉唯拓光纤激光工程有限公司（以下简称武汉唯拓）主要从事金属激光设备生产及销售，是公司的 </w:t>
      </w:r>
      <w:r>
        <w:rPr>
          <w:spacing w:val="-1"/>
        </w:rPr>
        <w:t>全资子公司，主要承接金属激光设备业务，其出口业务由金运激光代理进行，由于双方结算价格原因导致</w:t>
      </w:r>
      <w:r>
        <w:rPr>
          <w:spacing w:val="-83"/>
        </w:rPr>
        <w:t> </w:t>
      </w:r>
      <w:r>
        <w:rPr>
          <w:spacing w:val="-83"/>
        </w:rPr>
      </w:r>
      <w:r>
        <w:rPr/>
        <w:t>武汉唯拓报告期亏损。</w:t>
      </w:r>
    </w:p>
    <w:p>
      <w:pPr>
        <w:spacing w:line="240" w:lineRule="auto" w:before="8"/>
        <w:rPr>
          <w:rFonts w:ascii="宋体" w:hAnsi="宋体" w:cs="宋体" w:eastAsia="宋体" w:hint="default"/>
          <w:sz w:val="17"/>
          <w:szCs w:val="17"/>
        </w:rPr>
      </w:pPr>
    </w:p>
    <w:p>
      <w:pPr>
        <w:pStyle w:val="Heading3"/>
        <w:spacing w:line="240" w:lineRule="auto"/>
        <w:ind w:right="0"/>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3"/>
        <w:rPr>
          <w:rFonts w:ascii="宋体" w:hAnsi="宋体" w:cs="宋体" w:eastAsia="宋体" w:hint="default"/>
          <w:b/>
          <w:bCs/>
          <w:sz w:val="30"/>
          <w:szCs w:val="30"/>
        </w:rPr>
      </w:pPr>
    </w:p>
    <w:p>
      <w:pPr>
        <w:pStyle w:val="Heading5"/>
        <w:spacing w:line="345" w:lineRule="auto"/>
        <w:ind w:left="514" w:right="0" w:firstLine="1"/>
        <w:jc w:val="left"/>
      </w:pPr>
      <w:r>
        <w:rPr>
          <w:rFonts w:ascii="Times New Roman" w:hAnsi="Times New Roman" w:cs="Times New Roman" w:eastAsia="Times New Roman" w:hint="default"/>
          <w:b/>
          <w:bCs/>
        </w:rPr>
        <w:t>1</w:t>
      </w:r>
      <w:r>
        <w:rPr>
          <w:rFonts w:ascii="宋体" w:hAnsi="宋体" w:cs="宋体" w:eastAsia="宋体" w:hint="default"/>
          <w:b/>
          <w:bCs/>
        </w:rPr>
        <w:t>、公司未来发展展望</w:t>
      </w:r>
      <w:r>
        <w:rPr>
          <w:rFonts w:ascii="宋体" w:hAnsi="宋体" w:cs="宋体" w:eastAsia="宋体" w:hint="default"/>
          <w:b/>
          <w:bCs/>
          <w:spacing w:val="1"/>
          <w:w w:val="99"/>
        </w:rPr>
        <w:t> </w:t>
      </w:r>
      <w:r>
        <w:rPr>
          <w:spacing w:val="-2"/>
        </w:rPr>
        <w:t>世界经济将发生深刻变化，中国经济发展也正处于这个关键的转折期，</w:t>
      </w:r>
      <w:r>
        <w:rPr>
          <w:rFonts w:ascii="Times New Roman" w:hAnsi="Times New Roman" w:cs="Times New Roman" w:eastAsia="Times New Roman" w:hint="default"/>
          <w:spacing w:val="-2"/>
        </w:rPr>
        <w:t>2019</w:t>
      </w:r>
      <w:r>
        <w:rPr>
          <w:spacing w:val="-2"/>
        </w:rPr>
        <w:t>年，公司发展战略是</w:t>
      </w:r>
      <w:r>
        <w:rPr>
          <w:rFonts w:ascii="Times New Roman" w:hAnsi="Times New Roman" w:cs="Times New Roman" w:eastAsia="Times New Roman" w:hint="default"/>
          <w:spacing w:val="-2"/>
        </w:rPr>
        <w:t>“</w:t>
      </w:r>
      <w:r>
        <w:rPr>
          <w:spacing w:val="-2"/>
        </w:rPr>
        <w:t>以工</w:t>
      </w:r>
    </w:p>
    <w:p>
      <w:pPr>
        <w:pStyle w:val="Heading5"/>
        <w:spacing w:line="345" w:lineRule="auto"/>
        <w:ind w:left="514" w:right="1152" w:hanging="360"/>
        <w:jc w:val="left"/>
      </w:pPr>
      <w:r>
        <w:rPr/>
        <w:t>业智能激光业务智能升级夯实业绩为盾，以商业智能智能零售终端发力抢占市场为矛</w:t>
      </w:r>
      <w:r>
        <w:rPr>
          <w:rFonts w:ascii="Times New Roman" w:hAnsi="Times New Roman" w:cs="Times New Roman" w:eastAsia="Times New Roman" w:hint="default"/>
        </w:rPr>
        <w:t>”</w:t>
      </w:r>
      <w:r>
        <w:rPr/>
        <w:t>。 智能激光业务板块要立足于细分行业应用，通过内生和外延的方式，在细分的行业中找到大的应用市</w:t>
      </w:r>
    </w:p>
    <w:p>
      <w:pPr>
        <w:pStyle w:val="Heading5"/>
        <w:spacing w:line="331" w:lineRule="auto" w:before="13"/>
        <w:ind w:right="1131"/>
        <w:jc w:val="both"/>
      </w:pPr>
      <w:r>
        <w:rPr>
          <w:spacing w:val="-1"/>
        </w:rPr>
        <w:t>场和立足于行业的明星产品（金属的切管机、柔性的裁床设备、上海金翠的熔覆）。通过内生的方式深耕</w:t>
      </w:r>
      <w:r>
        <w:rPr>
          <w:spacing w:val="-83"/>
        </w:rPr>
        <w:t> </w:t>
      </w:r>
      <w:r>
        <w:rPr>
          <w:spacing w:val="-83"/>
        </w:rPr>
      </w:r>
      <w:r>
        <w:rPr>
          <w:spacing w:val="-1"/>
        </w:rPr>
        <w:t>产品，做重服务，通过外延整合优秀的和适合的激光应用企业，拓展激光设备应用面。智能激光业务当前</w:t>
      </w:r>
      <w:r>
        <w:rPr>
          <w:spacing w:val="-86"/>
        </w:rPr>
        <w:t> </w:t>
      </w:r>
      <w:r>
        <w:rPr>
          <w:spacing w:val="-86"/>
        </w:rPr>
      </w:r>
      <w:r>
        <w:rPr>
          <w:spacing w:val="-1"/>
        </w:rPr>
        <w:t>目标是打造独特细分产品，产品竞争力强，细分市场占有率高。在激光行业中树立我们的品牌定位，整合</w:t>
      </w:r>
      <w:r>
        <w:rPr>
          <w:spacing w:val="-86"/>
        </w:rPr>
        <w:t> </w:t>
      </w:r>
      <w:r>
        <w:rPr>
          <w:spacing w:val="-86"/>
        </w:rPr>
      </w:r>
      <w:r>
        <w:rPr>
          <w:spacing w:val="-1"/>
        </w:rPr>
        <w:t>好的且能满足市场需求的商业激光应用设备，做高端设备及商业领域激光应用最强的公司，最终做智慧工</w:t>
      </w:r>
      <w:r>
        <w:rPr>
          <w:spacing w:val="-81"/>
        </w:rPr>
        <w:t> </w:t>
      </w:r>
      <w:r>
        <w:rPr>
          <w:spacing w:val="-81"/>
        </w:rPr>
      </w:r>
      <w:r>
        <w:rPr/>
        <w:t>厂共享模式的转变。</w:t>
      </w:r>
    </w:p>
    <w:p>
      <w:pPr>
        <w:pStyle w:val="Heading5"/>
        <w:spacing w:line="331" w:lineRule="auto" w:before="64"/>
        <w:ind w:right="1023" w:firstLine="360"/>
        <w:jc w:val="left"/>
      </w:pPr>
      <w:r>
        <w:rPr/>
        <w:t>由于公司成长的基因是一个设备制造型公司，面向的用户是工业类型的用户，在商业领域，公司必须 重新构建人员队伍和市场基础。虽然前几年公司在转型中有一定的基础，但面对一个新的领域，一个新的 </w:t>
      </w:r>
      <w:r>
        <w:rPr>
          <w:spacing w:val="-3"/>
        </w:rPr>
        <w:t>商业模式，靠内生的积累来发展显然是不够的，为此公司将根据市场进展情况采取内生和外延并举的措施，</w:t>
      </w:r>
      <w:r>
        <w:rPr>
          <w:spacing w:val="-92"/>
        </w:rPr>
        <w:t> </w:t>
      </w:r>
      <w:r>
        <w:rPr>
          <w:spacing w:val="-92"/>
        </w:rPr>
      </w:r>
      <w:r>
        <w:rPr/>
        <w:t>进一步做快做实这个板块，打造成为公司新的增长点。</w:t>
      </w:r>
    </w:p>
    <w:p>
      <w:pPr>
        <w:spacing w:after="0" w:line="33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69"/>
        <w:ind w:left="515" w:right="0"/>
        <w:jc w:val="left"/>
        <w:rPr>
          <w:b w:val="0"/>
          <w:bCs w:val="0"/>
        </w:rPr>
      </w:pPr>
      <w:r>
        <w:rPr>
          <w:rFonts w:ascii="Times New Roman" w:hAnsi="Times New Roman" w:cs="Times New Roman" w:eastAsia="Times New Roman" w:hint="default"/>
        </w:rPr>
        <w:t>2</w:t>
      </w:r>
      <w:r>
        <w:rPr/>
        <w:t>、可能面临的风险：</w:t>
      </w:r>
      <w:r>
        <w:rPr>
          <w:b w:val="0"/>
          <w:bCs w:val="0"/>
        </w:rPr>
      </w:r>
    </w:p>
    <w:p>
      <w:pPr>
        <w:pStyle w:val="Heading5"/>
        <w:spacing w:line="312" w:lineRule="auto" w:before="89"/>
        <w:ind w:left="514" w:right="0" w:firstLine="1"/>
        <w:jc w:val="left"/>
      </w:pPr>
      <w:r>
        <w:rPr/>
        <w:t>（</w:t>
      </w:r>
      <w:r>
        <w:rPr>
          <w:rFonts w:ascii="Times New Roman" w:hAnsi="Times New Roman" w:cs="Times New Roman" w:eastAsia="Times New Roman" w:hint="default"/>
        </w:rPr>
        <w:t>1</w:t>
      </w:r>
      <w:r>
        <w:rPr/>
        <w:t>）经营风险 世界经济增长动能架构从悄然变化逐渐进入重构趋势，不确定性、不稳定性因素增多、有暂时下行调</w:t>
      </w:r>
    </w:p>
    <w:p>
      <w:pPr>
        <w:pStyle w:val="Heading5"/>
        <w:spacing w:line="331" w:lineRule="auto" w:before="43"/>
        <w:ind w:right="1131"/>
        <w:jc w:val="both"/>
      </w:pPr>
      <w:r>
        <w:rPr>
          <w:spacing w:val="-1"/>
        </w:rPr>
        <w:t>整压力；但由于领跑行业的变化、全球区域经济发展差异化的结构性调整，又产生了新机会，致使企业发</w:t>
      </w:r>
      <w:r>
        <w:rPr>
          <w:spacing w:val="-86"/>
        </w:rPr>
        <w:t> </w:t>
      </w:r>
      <w:r>
        <w:rPr>
          <w:spacing w:val="-86"/>
        </w:rPr>
      </w:r>
      <w:r>
        <w:rPr>
          <w:spacing w:val="-1"/>
        </w:rPr>
        <w:t>展的外部环境发生了危与机共存的复杂、深刻地变化局面。新兴产业和行业的空间在科技的支撑下产生横</w:t>
      </w:r>
      <w:r>
        <w:rPr>
          <w:spacing w:val="-81"/>
        </w:rPr>
        <w:t> </w:t>
      </w:r>
      <w:r>
        <w:rPr>
          <w:spacing w:val="-81"/>
        </w:rPr>
      </w:r>
      <w:r>
        <w:rPr/>
        <w:t>向、纵向和跨界的多重复杂变化，投入成功的可预测性下降，风险控制难度加大。</w:t>
      </w:r>
    </w:p>
    <w:p>
      <w:pPr>
        <w:pStyle w:val="Heading5"/>
        <w:spacing w:line="240" w:lineRule="auto" w:before="25"/>
        <w:ind w:left="515" w:right="0"/>
        <w:jc w:val="left"/>
      </w:pPr>
      <w:r>
        <w:rPr/>
        <w:t>应对措施：</w:t>
      </w:r>
    </w:p>
    <w:p>
      <w:pPr>
        <w:pStyle w:val="Heading5"/>
        <w:spacing w:line="312" w:lineRule="auto" w:before="105"/>
        <w:ind w:right="1115" w:firstLine="420"/>
        <w:jc w:val="left"/>
      </w:pPr>
      <w:r>
        <w:rPr/>
        <w:t>①</w:t>
      </w:r>
      <w:r>
        <w:rPr>
          <w:spacing w:val="9"/>
        </w:rPr>
        <w:t> </w:t>
      </w:r>
      <w:r>
        <w:rPr>
          <w:spacing w:val="-2"/>
        </w:rPr>
        <w:t>坚持</w:t>
      </w:r>
      <w:r>
        <w:rPr>
          <w:rFonts w:ascii="Times New Roman" w:hAnsi="Times New Roman" w:cs="Times New Roman" w:eastAsia="Times New Roman" w:hint="default"/>
          <w:spacing w:val="-2"/>
        </w:rPr>
        <w:t>“</w:t>
      </w:r>
      <w:r>
        <w:rPr>
          <w:spacing w:val="-2"/>
        </w:rPr>
        <w:t>创造长期价值</w:t>
      </w:r>
      <w:r>
        <w:rPr>
          <w:rFonts w:ascii="Times New Roman" w:hAnsi="Times New Roman" w:cs="Times New Roman" w:eastAsia="Times New Roman" w:hint="default"/>
          <w:spacing w:val="-2"/>
        </w:rPr>
        <w:t>”</w:t>
      </w:r>
      <w:r>
        <w:rPr>
          <w:spacing w:val="-2"/>
        </w:rPr>
        <w:t>的发展观全面贯彻</w:t>
      </w:r>
      <w:r>
        <w:rPr>
          <w:rFonts w:ascii="Times New Roman" w:hAnsi="Times New Roman" w:cs="Times New Roman" w:eastAsia="Times New Roman" w:hint="default"/>
          <w:spacing w:val="-2"/>
        </w:rPr>
        <w:t>“</w:t>
      </w:r>
      <w:r>
        <w:rPr>
          <w:spacing w:val="-2"/>
        </w:rPr>
        <w:t>以用户为中心，为用户创造价值</w:t>
      </w:r>
      <w:r>
        <w:rPr>
          <w:rFonts w:ascii="Times New Roman" w:hAnsi="Times New Roman" w:cs="Times New Roman" w:eastAsia="Times New Roman" w:hint="default"/>
          <w:spacing w:val="-2"/>
        </w:rPr>
        <w:t>”</w:t>
      </w:r>
      <w:r>
        <w:rPr>
          <w:spacing w:val="-2"/>
        </w:rPr>
        <w:t>的发展理念，通过持续自</w:t>
      </w:r>
      <w:r>
        <w:rPr/>
        <w:t> 主创新，以良好的产品质量、合同履约，不断赢得新老客户的信赖和更多的订单机会。</w:t>
      </w:r>
    </w:p>
    <w:p>
      <w:pPr>
        <w:pStyle w:val="Heading5"/>
        <w:spacing w:line="331" w:lineRule="auto" w:before="42"/>
        <w:ind w:right="1012" w:firstLine="360"/>
        <w:jc w:val="left"/>
      </w:pPr>
      <w:r>
        <w:rPr/>
        <w:t>②</w:t>
      </w:r>
      <w:r>
        <w:rPr>
          <w:spacing w:val="1"/>
        </w:rPr>
        <w:t> </w:t>
      </w:r>
      <w:r>
        <w:rPr>
          <w:spacing w:val="-4"/>
        </w:rPr>
        <w:t>打造核心竞争力，拥有独特性。精准地进行市场定位，定位高端市场，形成差异竞争，打造专、精、</w:t>
      </w:r>
      <w:r>
        <w:rPr/>
        <w:t> 特的高端产品。</w:t>
      </w:r>
    </w:p>
    <w:p>
      <w:pPr>
        <w:pStyle w:val="Heading5"/>
        <w:spacing w:line="240" w:lineRule="auto" w:before="24"/>
        <w:ind w:left="514" w:right="0"/>
        <w:jc w:val="left"/>
      </w:pPr>
      <w:r>
        <w:rPr/>
        <w:t>③</w:t>
      </w:r>
      <w:r>
        <w:rPr>
          <w:spacing w:val="-1"/>
        </w:rPr>
        <w:t> </w:t>
      </w:r>
      <w:r>
        <w:rPr/>
        <w:t>向合作伙伴开放边界，合作共赢。向外寻求联结和共生，不断扩展产业链，达成合作共赢的态势。</w:t>
      </w:r>
    </w:p>
    <w:p>
      <w:pPr>
        <w:pStyle w:val="Heading5"/>
        <w:spacing w:line="314" w:lineRule="auto" w:before="105"/>
        <w:ind w:left="574" w:right="0" w:hanging="59"/>
        <w:jc w:val="left"/>
      </w:pPr>
      <w:r>
        <w:rPr/>
        <w:t>（</w:t>
      </w:r>
      <w:r>
        <w:rPr>
          <w:rFonts w:ascii="Times New Roman" w:hAnsi="Times New Roman" w:cs="Times New Roman" w:eastAsia="Times New Roman" w:hint="default"/>
        </w:rPr>
        <w:t>2</w:t>
      </w:r>
      <w:r>
        <w:rPr/>
        <w:t>）财务风险 </w:t>
      </w:r>
      <w:r>
        <w:rPr>
          <w:spacing w:val="-1"/>
        </w:rPr>
        <w:t>我公司出口销售多，外贸收汇占比较大，目前国际政治经济形式变化较快，汇率波动大。在整体货币</w:t>
      </w:r>
    </w:p>
    <w:p>
      <w:pPr>
        <w:pStyle w:val="Heading5"/>
        <w:spacing w:line="331" w:lineRule="auto" w:before="39"/>
        <w:ind w:right="1133"/>
        <w:jc w:val="both"/>
      </w:pPr>
      <w:r>
        <w:rPr>
          <w:spacing w:val="-1"/>
        </w:rPr>
        <w:t>政策偏紧的大被背景下，公司经营规模有所扩大，未来可能存在应收账款增加，融资成本加大，融资渠道</w:t>
      </w:r>
      <w:r>
        <w:rPr>
          <w:spacing w:val="-86"/>
        </w:rPr>
        <w:t> </w:t>
      </w:r>
      <w:r>
        <w:rPr>
          <w:spacing w:val="-86"/>
        </w:rPr>
      </w:r>
      <w:r>
        <w:rPr/>
        <w:t>不畅的风险。</w:t>
      </w:r>
    </w:p>
    <w:p>
      <w:pPr>
        <w:pStyle w:val="Heading5"/>
        <w:spacing w:line="240" w:lineRule="auto" w:before="25"/>
        <w:ind w:left="515" w:right="0"/>
        <w:jc w:val="left"/>
      </w:pPr>
      <w:r>
        <w:rPr/>
        <w:t>应对措施：</w:t>
      </w:r>
    </w:p>
    <w:p>
      <w:pPr>
        <w:pStyle w:val="Heading5"/>
        <w:spacing w:line="240" w:lineRule="auto" w:before="104"/>
        <w:ind w:left="574" w:right="0"/>
        <w:jc w:val="left"/>
      </w:pPr>
      <w:r>
        <w:rPr/>
        <w:t>①</w:t>
      </w:r>
      <w:r>
        <w:rPr>
          <w:spacing w:val="-1"/>
        </w:rPr>
        <w:t> </w:t>
      </w:r>
      <w:r>
        <w:rPr/>
        <w:t>根据外汇市场变动及时采取措施确保外汇资产安全；</w:t>
      </w:r>
    </w:p>
    <w:p>
      <w:pPr>
        <w:pStyle w:val="Heading5"/>
        <w:spacing w:line="240" w:lineRule="auto" w:before="106"/>
        <w:ind w:left="574" w:right="0"/>
        <w:jc w:val="left"/>
      </w:pPr>
      <w:r>
        <w:rPr/>
        <w:t>②</w:t>
      </w:r>
      <w:r>
        <w:rPr>
          <w:spacing w:val="-1"/>
        </w:rPr>
        <w:t> </w:t>
      </w:r>
      <w:r>
        <w:rPr/>
        <w:t>保持充沛的流动性，做好资金规划；</w:t>
      </w:r>
    </w:p>
    <w:p>
      <w:pPr>
        <w:pStyle w:val="Heading5"/>
        <w:spacing w:line="240" w:lineRule="auto" w:before="105"/>
        <w:ind w:left="574" w:right="0"/>
        <w:jc w:val="left"/>
      </w:pPr>
      <w:r>
        <w:rPr/>
        <w:t>③</w:t>
      </w:r>
      <w:r>
        <w:rPr>
          <w:spacing w:val="-1"/>
        </w:rPr>
        <w:t> </w:t>
      </w:r>
      <w:r>
        <w:rPr/>
        <w:t>加强应收账款监控管理。</w:t>
      </w:r>
    </w:p>
    <w:p>
      <w:pPr>
        <w:pStyle w:val="Heading5"/>
        <w:spacing w:line="314" w:lineRule="auto" w:before="104"/>
        <w:ind w:left="514" w:right="0" w:firstLine="1"/>
        <w:jc w:val="left"/>
      </w:pPr>
      <w:r>
        <w:rPr>
          <w:rFonts w:ascii="Times New Roman" w:hAnsi="Times New Roman" w:cs="Times New Roman" w:eastAsia="Times New Roman" w:hint="default"/>
          <w:b/>
          <w:bCs/>
        </w:rPr>
        <w:t>3</w:t>
      </w:r>
      <w:r>
        <w:rPr>
          <w:rFonts w:ascii="宋体" w:hAnsi="宋体" w:cs="宋体" w:eastAsia="宋体" w:hint="default"/>
          <w:b/>
          <w:bCs/>
        </w:rPr>
        <w:t>、机遇和挑战</w:t>
      </w:r>
      <w:r>
        <w:rPr>
          <w:rFonts w:ascii="宋体" w:hAnsi="宋体" w:cs="宋体" w:eastAsia="宋体" w:hint="default"/>
          <w:b/>
          <w:bCs/>
          <w:w w:val="99"/>
        </w:rPr>
        <w:t> </w:t>
      </w:r>
      <w:r>
        <w:rPr/>
        <w:t>随着</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的全面推进，区域辐射东南亚、南亚、中亚和西亚诸国，并延伸至东欧、北非，这些</w:t>
      </w:r>
    </w:p>
    <w:p>
      <w:pPr>
        <w:pStyle w:val="Heading5"/>
        <w:spacing w:line="312" w:lineRule="auto" w:before="17"/>
        <w:ind w:right="1132"/>
        <w:jc w:val="both"/>
      </w:pPr>
      <w:r>
        <w:rPr/>
        <w:t>区域都对发展有着迫切的需求。公司将大力拓展海外市场，特别是</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国家市场，保持海外订单的 连续性、稳定性，使国内、国外市场均衡发展。</w:t>
      </w:r>
    </w:p>
    <w:p>
      <w:pPr>
        <w:pStyle w:val="Heading5"/>
        <w:spacing w:line="331" w:lineRule="auto" w:before="42"/>
        <w:ind w:right="0" w:firstLine="360"/>
        <w:jc w:val="left"/>
      </w:pPr>
      <w:r>
        <w:rPr/>
        <w:t>国内供给侧改革持续深入，将会迎来更开放的时代，我国与世界的关联与合作更加紧密，这为民营企 业的发展带来更多发展机遇。</w:t>
      </w:r>
    </w:p>
    <w:p>
      <w:pPr>
        <w:spacing w:line="240" w:lineRule="auto" w:before="7"/>
        <w:rPr>
          <w:rFonts w:ascii="宋体" w:hAnsi="宋体" w:cs="宋体" w:eastAsia="宋体" w:hint="default"/>
          <w:sz w:val="17"/>
          <w:szCs w:val="17"/>
        </w:rPr>
      </w:pPr>
    </w:p>
    <w:p>
      <w:pPr>
        <w:pStyle w:val="Heading3"/>
        <w:spacing w:line="240" w:lineRule="auto"/>
        <w:ind w:right="0"/>
        <w:jc w:val="both"/>
        <w:rPr>
          <w:b w:val="0"/>
          <w:bCs w:val="0"/>
        </w:rPr>
      </w:pPr>
      <w:bookmarkStart w:name="十、接待调研、沟通、采访等活动登记表" w:id="56"/>
      <w:bookmarkEnd w:id="56"/>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公司经营情况及未来发展</w:t>
            </w:r>
          </w:p>
        </w:tc>
      </w:tr>
      <w:tr>
        <w:trPr>
          <w:trHeight w:val="402" w:hRule="exact"/>
        </w:trPr>
        <w:tc>
          <w:tcPr>
            <w:tcW w:w="2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公司经营情况及未来发展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第五节 重要事项" w:id="58"/>
      <w:bookmarkEnd w:id="58"/>
      <w:r>
        <w:rPr>
          <w:b w:val="0"/>
          <w:bCs w:val="0"/>
        </w:rPr>
      </w:r>
      <w:bookmarkStart w:name="_bookmark4" w:id="59"/>
      <w:bookmarkEnd w:id="59"/>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3"/>
        <w:rPr>
          <w:rFonts w:ascii="宋体" w:hAnsi="宋体" w:cs="宋体" w:eastAsia="宋体" w:hint="default"/>
          <w:b/>
          <w:bCs/>
          <w:sz w:val="30"/>
          <w:szCs w:val="30"/>
        </w:rPr>
      </w:pPr>
    </w:p>
    <w:p>
      <w:pPr>
        <w:pStyle w:val="Heading5"/>
        <w:spacing w:line="240" w:lineRule="auto"/>
        <w:ind w:right="0"/>
        <w:jc w:val="left"/>
      </w:pPr>
      <w:r>
        <w:rPr/>
        <w:t>报告期内普通股利润分配政策，特别是现金分红政策的制定、执行或调整情况</w:t>
      </w:r>
    </w:p>
    <w:p>
      <w:pPr>
        <w:pStyle w:val="Heading5"/>
        <w:spacing w:line="345" w:lineRule="auto" w:before="145"/>
        <w:ind w:right="17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公司报告期利润分配预案及资本公积金转增股本预案与公司章程和分红管理办法等的相关规定一致</w:t>
      </w:r>
    </w:p>
    <w:p>
      <w:pPr>
        <w:pStyle w:val="Heading5"/>
        <w:spacing w:line="357" w:lineRule="auto" w:before="52"/>
        <w:ind w:right="31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公司报告期利润分配预案及资本公积金转增股本预案符合公司章程等的相关规定。 本年度利润分配及资本公积金转增股本情况</w:t>
      </w:r>
    </w:p>
    <w:tbl>
      <w:tblPr>
        <w:tblW w:w="0" w:type="auto"/>
        <w:jc w:val="left"/>
        <w:tblInd w:w="162" w:type="dxa"/>
        <w:tblLayout w:type="fixed"/>
        <w:tblCellMar>
          <w:top w:w="0" w:type="dxa"/>
          <w:left w:w="0" w:type="dxa"/>
          <w:bottom w:w="0" w:type="dxa"/>
          <w:right w:w="0" w:type="dxa"/>
        </w:tblCellMar>
        <w:tblLook w:val="01E0"/>
      </w:tblPr>
      <w:tblGrid>
        <w:gridCol w:w="3692"/>
        <w:gridCol w:w="2760"/>
        <w:gridCol w:w="3089"/>
      </w:tblGrid>
      <w:tr>
        <w:trPr>
          <w:trHeight w:val="403"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35"/>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49"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34"/>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49"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74"/>
              <w:ind w:right="10"/>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34"/>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49"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74"/>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34"/>
              <w:ind w:left="1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49"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74"/>
              <w:ind w:right="11"/>
              <w:jc w:val="right"/>
              <w:rPr>
                <w:rFonts w:ascii="Times New Roman" w:hAnsi="Times New Roman" w:cs="Times New Roman" w:eastAsia="Times New Roman" w:hint="default"/>
                <w:sz w:val="18"/>
                <w:szCs w:val="18"/>
              </w:rPr>
            </w:pPr>
            <w:r>
              <w:rPr>
                <w:rFonts w:ascii="Times New Roman"/>
                <w:sz w:val="18"/>
              </w:rPr>
              <w:t>126,000,000</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34"/>
              <w:ind w:left="13"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49"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74"/>
              <w:ind w:right="11"/>
              <w:jc w:val="right"/>
              <w:rPr>
                <w:rFonts w:ascii="Times New Roman" w:hAnsi="Times New Roman" w:cs="Times New Roman" w:eastAsia="Times New Roman" w:hint="default"/>
                <w:sz w:val="18"/>
                <w:szCs w:val="18"/>
              </w:rPr>
            </w:pPr>
            <w:r>
              <w:rPr>
                <w:rFonts w:ascii="Times New Roman"/>
                <w:sz w:val="18"/>
              </w:rPr>
              <w:t>756,000.00</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34"/>
              <w:ind w:left="13"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276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3089"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1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35"/>
              <w:ind w:left="13"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49"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75"/>
              <w:ind w:right="11"/>
              <w:jc w:val="right"/>
              <w:rPr>
                <w:rFonts w:ascii="Times New Roman" w:hAnsi="Times New Roman" w:cs="Times New Roman" w:eastAsia="Times New Roman" w:hint="default"/>
                <w:sz w:val="18"/>
                <w:szCs w:val="18"/>
              </w:rPr>
            </w:pPr>
            <w:r>
              <w:rPr>
                <w:rFonts w:ascii="Times New Roman"/>
                <w:sz w:val="18"/>
              </w:rPr>
              <w:t>756,000.00</w:t>
            </w:r>
          </w:p>
        </w:tc>
      </w:tr>
      <w:tr>
        <w:trPr>
          <w:trHeight w:val="402"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34"/>
              <w:ind w:left="1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49"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74"/>
              <w:ind w:right="11"/>
              <w:jc w:val="right"/>
              <w:rPr>
                <w:rFonts w:ascii="Times New Roman" w:hAnsi="Times New Roman" w:cs="Times New Roman" w:eastAsia="Times New Roman" w:hint="default"/>
                <w:sz w:val="18"/>
                <w:szCs w:val="18"/>
              </w:rPr>
            </w:pPr>
            <w:r>
              <w:rPr>
                <w:rFonts w:ascii="Times New Roman"/>
                <w:spacing w:val="-1"/>
                <w:sz w:val="18"/>
              </w:rPr>
              <w:t>27,518,919.06</w:t>
            </w:r>
          </w:p>
        </w:tc>
      </w:tr>
      <w:tr>
        <w:trPr>
          <w:trHeight w:val="714" w:hRule="exact"/>
        </w:trPr>
        <w:tc>
          <w:tcPr>
            <w:tcW w:w="36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34"/>
              <w:ind w:left="13"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49"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41" w:type="dxa"/>
            <w:gridSpan w:val="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pStyle w:val="BodyText"/>
        <w:spacing w:line="240" w:lineRule="auto" w:before="35"/>
        <w:ind w:left="181" w:right="0"/>
        <w:jc w:val="left"/>
      </w:pPr>
      <w:r>
        <w:rPr/>
        <w:pict>
          <v:group style="position:absolute;margin-left:242.839996pt;margin-top:-117.51828pt;width:290.95pt;height:20.75pt;mso-position-horizontal-relative:page;mso-position-vertical-relative:paragraph;z-index:-733768" coordorigin="4857,-2350" coordsize="5819,415">
            <v:group style="position:absolute;left:4868;top:-2339;width:2;height:392" coordorigin="4868,-2339" coordsize="2,392">
              <v:shape style="position:absolute;left:4868;top:-2339;width:2;height:392" coordorigin="4868,-2339" coordsize="0,392" path="m4868,-2339l4868,-1948e" filled="false" stroked="true" strokeweight="1.160pt" strokecolor="#ffffff">
                <v:path arrowok="t"/>
              </v:shape>
            </v:group>
            <v:group style="position:absolute;left:4880;top:-2339;width:5796;height:392" coordorigin="4880,-2339" coordsize="5796,392">
              <v:shape style="position:absolute;left:4880;top:-2339;width:5796;height:392" coordorigin="4880,-2339" coordsize="5796,392" path="m4880,-1948l10675,-1948,10675,-2339,4880,-2339,4880,-1948xe" filled="true" fillcolor="#ffffff" stroked="false">
                <v:path arrowok="t"/>
                <v:fill type="solid"/>
              </v:shape>
            </v:group>
            <w10:wrap type="none"/>
          </v:group>
        </w:pict>
      </w:r>
      <w:r>
        <w:rPr/>
        <w:t>其他</w:t>
      </w:r>
    </w:p>
    <w:p>
      <w:pPr>
        <w:spacing w:line="240" w:lineRule="auto" w:before="10"/>
        <w:rPr>
          <w:rFonts w:ascii="宋体" w:hAnsi="宋体" w:cs="宋体" w:eastAsia="宋体" w:hint="default"/>
          <w:sz w:val="7"/>
          <w:szCs w:val="7"/>
        </w:rPr>
      </w:pPr>
    </w:p>
    <w:p>
      <w:pPr>
        <w:spacing w:line="418"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0.95pt;mso-position-horizontal-relative:char;mso-position-vertical-relative:line" coordorigin="0,0" coordsize="9579,419">
            <v:group style="position:absolute;left:19;top:14;width:2;height:392" coordorigin="19,14" coordsize="2,392">
              <v:shape style="position:absolute;left:19;top:14;width:2;height:392" coordorigin="19,14" coordsize="0,392" path="m19,14l19,405e" filled="false" stroked="true" strokeweight="1.38pt" strokecolor="#d2d2d2">
                <v:path arrowok="t"/>
              </v:shape>
            </v:group>
            <v:group style="position:absolute;left:9560;top:14;width:2;height:392" coordorigin="9560,14" coordsize="2,392">
              <v:shape style="position:absolute;left:9560;top:14;width:2;height:392" coordorigin="9560,14" coordsize="0,392" path="m9560,14l9560,405e" filled="false" stroked="true" strokeweight="1.38pt" strokecolor="#d2d2d2">
                <v:path arrowok="t"/>
              </v:shape>
            </v:group>
            <v:group style="position:absolute;left:32;top:14;width:9514;height:392" coordorigin="32,14" coordsize="9514,392">
              <v:shape style="position:absolute;left:32;top:14;width:9514;height:392" coordorigin="32,14" coordsize="9514,392" path="m32,405l9546,405,9546,14,32,14,32,405xe" filled="true" fillcolor="#d2d2d2" stroked="false">
                <v:path arrowok="t"/>
                <v:fill type="solid"/>
              </v:shape>
            </v:group>
            <v:group style="position:absolute;left:5;top:8;width:9569;height:2" coordorigin="5,8" coordsize="9569,2">
              <v:shape style="position:absolute;left:5;top:8;width:9569;height:2" coordorigin="5,8" coordsize="9569,0" path="m5,8l9574,8e" filled="false" stroked="true" strokeweight=".48004pt" strokecolor="#000000">
                <v:path arrowok="t"/>
              </v:shape>
            </v:group>
            <v:group style="position:absolute;left:5;top:410;width:9569;height:2" coordorigin="5,410" coordsize="9569,2">
              <v:shape style="position:absolute;left:5;top:410;width:9569;height:2" coordorigin="5,410" coordsize="9569,0" path="m5,410l9574,410e" filled="false" stroked="true" strokeweight=".47998pt" strokecolor="#000000">
                <v:path arrowok="t"/>
              </v:shape>
              <v:shape style="position:absolute;left:5;top:8;width:9569;height:402" type="#_x0000_t202" filled="false" stroked="false">
                <v:textbox inset="0,0,0,0">
                  <w:txbxContent>
                    <w:p>
                      <w:pPr>
                        <w:spacing w:before="56"/>
                        <w:ind w:left="2893" w:right="0" w:firstLine="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left="181" w:right="0"/>
        <w:jc w:val="left"/>
      </w:pPr>
      <w:r>
        <w:rPr/>
        <w:t>根据《公司章程》的相关规定，本年度权益分派预案：以报告期末公司总股本</w:t>
      </w:r>
      <w:r>
        <w:rPr>
          <w:spacing w:val="-12"/>
        </w:rPr>
        <w:t> </w:t>
      </w:r>
      <w:r>
        <w:rPr>
          <w:rFonts w:ascii="Times New Roman" w:hAnsi="Times New Roman" w:cs="Times New Roman" w:eastAsia="Times New Roman" w:hint="default"/>
        </w:rPr>
        <w:t>12,600</w:t>
      </w:r>
      <w:r>
        <w:rPr>
          <w:rFonts w:ascii="Times New Roman" w:hAnsi="Times New Roman" w:cs="Times New Roman" w:eastAsia="Times New Roman" w:hint="default"/>
          <w:spacing w:val="-7"/>
        </w:rPr>
        <w:t> </w:t>
      </w:r>
      <w:r>
        <w:rPr/>
        <w:t>万股为基数，向全体股东每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股派</w:t>
      </w:r>
    </w:p>
    <w:p>
      <w:pPr>
        <w:pStyle w:val="BodyText"/>
        <w:spacing w:line="302" w:lineRule="auto" w:before="61"/>
        <w:ind w:left="181" w:right="1221"/>
        <w:jc w:val="left"/>
      </w:pPr>
      <w:r>
        <w:rPr/>
        <w:t>发现金红利</w:t>
      </w:r>
      <w:r>
        <w:rPr>
          <w:spacing w:val="-43"/>
        </w:rPr>
        <w:t> </w:t>
      </w:r>
      <w:r>
        <w:rPr>
          <w:rFonts w:ascii="Times New Roman" w:hAnsi="Times New Roman" w:cs="Times New Roman" w:eastAsia="Times New Roman" w:hint="default"/>
        </w:rPr>
        <w:t>0.06</w:t>
      </w:r>
      <w:r>
        <w:rPr>
          <w:rFonts w:ascii="Times New Roman" w:hAnsi="Times New Roman" w:cs="Times New Roman" w:eastAsia="Times New Roman" w:hint="default"/>
          <w:spacing w:val="2"/>
        </w:rPr>
        <w:t> </w:t>
      </w:r>
      <w:r>
        <w:rPr>
          <w:spacing w:val="-7"/>
        </w:rPr>
        <w:t>元（含税），共计派发现金人民币</w:t>
      </w:r>
      <w:r>
        <w:rPr>
          <w:spacing w:val="-43"/>
        </w:rPr>
        <w:t> </w:t>
      </w:r>
      <w:r>
        <w:rPr>
          <w:rFonts w:ascii="Times New Roman" w:hAnsi="Times New Roman" w:cs="Times New Roman" w:eastAsia="Times New Roman" w:hint="default"/>
        </w:rPr>
        <w:t>75.6</w:t>
      </w:r>
      <w:r>
        <w:rPr>
          <w:rFonts w:ascii="Times New Roman" w:hAnsi="Times New Roman" w:cs="Times New Roman" w:eastAsia="Times New Roman" w:hint="default"/>
          <w:spacing w:val="2"/>
        </w:rPr>
        <w:t> </w:t>
      </w:r>
      <w:r>
        <w:rPr>
          <w:spacing w:val="-1"/>
        </w:rPr>
        <w:t>万元。本年度不转增，不送红股，剩余未分配利润结转以后年度进</w:t>
      </w:r>
      <w:r>
        <w:rPr/>
        <w:t> 行分配。</w:t>
      </w:r>
    </w:p>
    <w:p>
      <w:pPr>
        <w:spacing w:line="240" w:lineRule="auto" w:before="6"/>
        <w:rPr>
          <w:rFonts w:ascii="宋体" w:hAnsi="宋体" w:cs="宋体" w:eastAsia="宋体" w:hint="default"/>
          <w:sz w:val="4"/>
          <w:szCs w:val="4"/>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79.65pt;height:.5pt;mso-position-horizontal-relative:char;mso-position-vertical-relative:line" coordorigin="0,0" coordsize="9593,10">
            <v:group style="position:absolute;left:5;top:5;width:9584;height:2" coordorigin="5,5" coordsize="9584,2">
              <v:shape style="position:absolute;left:5;top:5;width:9584;height:2" coordorigin="5,5" coordsize="9584,0" path="m5,5l9588,5e" filled="false" stroked="true" strokeweight=".47998pt" strokecolor="#000000">
                <v:path arrowok="t"/>
              </v:shape>
            </v:group>
          </v:group>
        </w:pict>
      </w:r>
      <w:r>
        <w:rPr>
          <w:rFonts w:ascii="宋体" w:hAnsi="宋体" w:cs="宋体" w:eastAsia="宋体" w:hint="default"/>
          <w:sz w:val="2"/>
          <w:szCs w:val="2"/>
        </w:rPr>
      </w:r>
    </w:p>
    <w:p>
      <w:pPr>
        <w:pStyle w:val="Heading5"/>
        <w:spacing w:line="240" w:lineRule="auto" w:before="88"/>
        <w:ind w:right="0"/>
        <w:jc w:val="left"/>
      </w:pPr>
      <w:r>
        <w:rPr/>
        <w:t>公司近</w:t>
      </w:r>
      <w:r>
        <w:rPr>
          <w:spacing w:val="-52"/>
        </w:rPr>
        <w:t> </w:t>
      </w:r>
      <w:r>
        <w:rPr>
          <w:rFonts w:ascii="Times New Roman" w:hAnsi="Times New Roman" w:cs="Times New Roman" w:eastAsia="Times New Roman" w:hint="default"/>
        </w:rPr>
        <w:t>3 </w:t>
      </w:r>
      <w:r>
        <w:rPr>
          <w:spacing w:val="-2"/>
        </w:rPr>
        <w:t>年</w:t>
      </w:r>
      <w:r>
        <w:rPr/>
        <w:t>（包括本报告期）的普通股股利分配方案（预案</w:t>
      </w:r>
      <w:r>
        <w:rPr>
          <w:spacing w:val="-105"/>
        </w:rPr>
        <w:t>）</w:t>
      </w:r>
      <w:r>
        <w:rPr/>
        <w:t>、资本</w:t>
      </w:r>
      <w:r>
        <w:rPr>
          <w:spacing w:val="-2"/>
        </w:rPr>
        <w:t>公</w:t>
      </w:r>
      <w:r>
        <w:rPr/>
        <w:t>积金转增股本方案（预案）情况</w:t>
      </w:r>
    </w:p>
    <w:p>
      <w:pPr>
        <w:pStyle w:val="Heading5"/>
        <w:spacing w:line="314" w:lineRule="auto" w:before="128"/>
        <w:ind w:right="0"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年度利润分配预案：已获</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2016</w:t>
      </w:r>
      <w:r>
        <w:rPr/>
        <w:t>年年度股东大会以公司总股本</w:t>
      </w:r>
      <w:r>
        <w:rPr>
          <w:rFonts w:ascii="Times New Roman" w:hAnsi="Times New Roman" w:cs="Times New Roman" w:eastAsia="Times New Roman" w:hint="default"/>
        </w:rPr>
        <w:t>12,600</w:t>
      </w:r>
      <w:r>
        <w:rPr/>
        <w:t>万股</w:t>
      </w:r>
      <w:r>
        <w:rPr>
          <w:spacing w:val="2"/>
        </w:rPr>
        <w:t> </w:t>
      </w:r>
      <w:r>
        <w:rPr>
          <w:spacing w:val="-1"/>
        </w:rPr>
        <w:t>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0.06</w:t>
      </w:r>
      <w:r>
        <w:rPr>
          <w:spacing w:val="-1"/>
        </w:rPr>
        <w:t>元（含税），共计派发现金人民币</w:t>
      </w:r>
      <w:r>
        <w:rPr>
          <w:rFonts w:ascii="Times New Roman" w:hAnsi="Times New Roman" w:cs="Times New Roman" w:eastAsia="Times New Roman" w:hint="default"/>
          <w:spacing w:val="-1"/>
        </w:rPr>
        <w:t>75.6</w:t>
      </w:r>
      <w:r>
        <w:rPr>
          <w:spacing w:val="-1"/>
        </w:rPr>
        <w:t>万元。本年度不转增，</w:t>
      </w:r>
      <w:r>
        <w:rPr>
          <w:spacing w:val="-81"/>
        </w:rPr>
        <w:t> </w:t>
      </w:r>
      <w:r>
        <w:rPr>
          <w:spacing w:val="-81"/>
        </w:rPr>
      </w:r>
      <w:r>
        <w:rPr/>
        <w:t>不送红股，剩余未分配利润结转以后年度进行分配。</w:t>
      </w:r>
    </w:p>
    <w:p>
      <w:pPr>
        <w:pStyle w:val="Heading5"/>
        <w:spacing w:line="314" w:lineRule="auto" w:before="79"/>
        <w:ind w:right="0"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年年度利润分配预案：已获</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4</w:t>
      </w:r>
      <w:r>
        <w:rPr>
          <w:spacing w:val="-2"/>
        </w:rPr>
        <w:t>日召开的</w:t>
      </w:r>
      <w:r>
        <w:rPr>
          <w:rFonts w:ascii="Times New Roman" w:hAnsi="Times New Roman" w:cs="Times New Roman" w:eastAsia="Times New Roman" w:hint="default"/>
          <w:spacing w:val="-2"/>
        </w:rPr>
        <w:t>2017</w:t>
      </w:r>
      <w:r>
        <w:rPr>
          <w:spacing w:val="-2"/>
        </w:rPr>
        <w:t>年年度股东大会审议通过，</w:t>
      </w:r>
      <w:r>
        <w:rPr>
          <w:rFonts w:ascii="Times New Roman" w:hAnsi="Times New Roman" w:cs="Times New Roman" w:eastAsia="Times New Roman" w:hint="default"/>
          <w:spacing w:val="-2"/>
        </w:rPr>
        <w:t>2017</w:t>
      </w:r>
      <w:r>
        <w:rPr>
          <w:spacing w:val="-2"/>
        </w:rPr>
        <w:t>年度不进</w:t>
      </w:r>
      <w:r>
        <w:rPr/>
        <w:t> 行现金利润分配、不送红股，也不进行资本公积金转增股本。</w:t>
      </w:r>
    </w:p>
    <w:p>
      <w:pPr>
        <w:pStyle w:val="Heading5"/>
        <w:spacing w:line="314" w:lineRule="auto" w:before="79"/>
        <w:ind w:right="1120" w:firstLine="36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年年度利润分配预案：根据《公司章程》的相关规定，特提出本年度权益分派预案：以报告期</w:t>
      </w:r>
      <w:r>
        <w:rPr/>
        <w:t> 末公司总股本</w:t>
      </w:r>
      <w:r>
        <w:rPr>
          <w:spacing w:val="-28"/>
        </w:rPr>
        <w:t> </w:t>
      </w:r>
      <w:r>
        <w:rPr>
          <w:rFonts w:ascii="Times New Roman" w:hAnsi="Times New Roman" w:cs="Times New Roman" w:eastAsia="Times New Roman" w:hint="default"/>
        </w:rPr>
        <w:t>12,600</w:t>
      </w:r>
      <w:r>
        <w:rPr/>
        <w:t>万股为基数，向全体股东每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0.06</w:t>
      </w:r>
      <w:r>
        <w:rPr/>
        <w:t>元（含税），共计派发现金人民币</w:t>
      </w:r>
    </w:p>
    <w:p>
      <w:pPr>
        <w:spacing w:after="0" w:line="314"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5"/>
        <w:spacing w:line="240" w:lineRule="auto" w:before="170"/>
        <w:ind w:left="674" w:right="0"/>
        <w:jc w:val="left"/>
      </w:pPr>
      <w:r>
        <w:rPr>
          <w:rFonts w:ascii="Times New Roman" w:hAnsi="Times New Roman" w:cs="Times New Roman" w:eastAsia="Times New Roman" w:hint="default"/>
        </w:rPr>
        <w:t>75.6</w:t>
      </w:r>
      <w:r>
        <w:rPr/>
        <w:t>万元。本年度不转增，不送红股，剩余未分配利润结转以后年度进行分配。</w:t>
      </w:r>
    </w:p>
    <w:p>
      <w:pPr>
        <w:spacing w:line="240" w:lineRule="auto" w:before="6"/>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47" w:footer="979" w:top="1060" w:bottom="1160" w:left="460" w:right="0"/>
        </w:sectPr>
      </w:pPr>
    </w:p>
    <w:p>
      <w:pPr>
        <w:pStyle w:val="Heading5"/>
        <w:spacing w:line="240" w:lineRule="auto" w:before="35"/>
        <w:ind w:left="674" w:right="-20"/>
        <w:jc w:val="left"/>
      </w:pPr>
      <w:r>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pStyle w:val="BodyText"/>
        <w:spacing w:line="240" w:lineRule="auto"/>
        <w:ind w:left="673" w:right="0"/>
        <w:jc w:val="left"/>
      </w:pPr>
      <w:r>
        <w:rPr/>
        <w:t>单位：元</w:t>
      </w:r>
    </w:p>
    <w:p>
      <w:pPr>
        <w:spacing w:after="0" w:line="240" w:lineRule="auto"/>
        <w:jc w:val="left"/>
        <w:sectPr>
          <w:type w:val="continuous"/>
          <w:pgSz w:w="11910" w:h="16840"/>
          <w:pgMar w:top="1060" w:bottom="1160" w:left="460" w:right="0"/>
          <w:cols w:num="2" w:equalWidth="0">
            <w:col w:w="5505" w:space="3415"/>
            <w:col w:w="2530"/>
          </w:cols>
        </w:sectPr>
      </w:pP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838"/>
        <w:gridCol w:w="1276"/>
        <w:gridCol w:w="1417"/>
        <w:gridCol w:w="1419"/>
        <w:gridCol w:w="1134"/>
        <w:gridCol w:w="1559"/>
        <w:gridCol w:w="1284"/>
        <w:gridCol w:w="1820"/>
      </w:tblGrid>
      <w:tr>
        <w:trPr>
          <w:trHeight w:val="161" w:hRule="exact"/>
        </w:trPr>
        <w:tc>
          <w:tcPr>
            <w:tcW w:w="838" w:type="dxa"/>
            <w:vMerge w:val="restart"/>
            <w:tcBorders>
              <w:top w:val="single" w:sz="4" w:space="0" w:color="000000"/>
              <w:left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5"/>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以其他方式现金分 红金额占合并报表 中归属于上市公司 普通股股东的净利 润的比例</w:t>
            </w:r>
          </w:p>
        </w:tc>
        <w:tc>
          <w:tcPr>
            <w:tcW w:w="1284" w:type="dxa"/>
            <w:vMerge w:val="restart"/>
            <w:tcBorders>
              <w:top w:val="single" w:sz="4" w:space="0" w:color="000000"/>
              <w:left w:val="single" w:sz="4" w:space="0" w:color="000000"/>
              <w:right w:val="single" w:sz="4" w:space="0" w:color="000000"/>
            </w:tcBorders>
            <w:shd w:val="clear" w:color="auto" w:fill="D2D2D2"/>
          </w:tcPr>
          <w:p>
            <w:pPr/>
          </w:p>
        </w:tc>
        <w:tc>
          <w:tcPr>
            <w:tcW w:w="1820"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12" w:hRule="exact"/>
        </w:trPr>
        <w:tc>
          <w:tcPr>
            <w:tcW w:w="838" w:type="dxa"/>
            <w:vMerge/>
            <w:tcBorders>
              <w:left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3" w:right="72"/>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419"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22" w:right="21" w:hanging="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559" w:type="dxa"/>
            <w:vMerge/>
            <w:tcBorders>
              <w:left w:val="single" w:sz="4" w:space="0" w:color="000000"/>
              <w:right w:val="single" w:sz="4" w:space="0" w:color="000000"/>
            </w:tcBorders>
            <w:shd w:val="clear" w:color="auto" w:fill="D2D2D2"/>
          </w:tcPr>
          <w:p>
            <w:pPr/>
          </w:p>
        </w:tc>
        <w:tc>
          <w:tcPr>
            <w:tcW w:w="1284" w:type="dxa"/>
            <w:vMerge/>
            <w:tcBorders>
              <w:left w:val="single" w:sz="4" w:space="0" w:color="000000"/>
              <w:bottom w:val="nil" w:sz="6" w:space="0" w:color="auto"/>
              <w:right w:val="single" w:sz="4" w:space="0" w:color="000000"/>
            </w:tcBorders>
            <w:shd w:val="clear" w:color="auto" w:fill="D2D2D2"/>
          </w:tcPr>
          <w:p>
            <w:pPr/>
          </w:p>
        </w:tc>
        <w:tc>
          <w:tcPr>
            <w:tcW w:w="1820" w:type="dxa"/>
            <w:vMerge w:val="restart"/>
            <w:tcBorders>
              <w:top w:val="nil" w:sz="6" w:space="0" w:color="auto"/>
              <w:left w:val="single" w:sz="4" w:space="0" w:color="000000"/>
              <w:right w:val="nil" w:sz="6" w:space="0" w:color="auto"/>
            </w:tcBorders>
            <w:shd w:val="clear" w:color="auto" w:fill="D2D2D2"/>
          </w:tcPr>
          <w:p>
            <w:pPr>
              <w:pStyle w:val="TableParagraph"/>
              <w:spacing w:line="319" w:lineRule="auto" w:before="51"/>
              <w:ind w:left="22" w:right="11"/>
              <w:jc w:val="center"/>
              <w:rPr>
                <w:rFonts w:ascii="宋体" w:hAnsi="宋体" w:cs="宋体" w:eastAsia="宋体" w:hint="default"/>
                <w:sz w:val="18"/>
                <w:szCs w:val="18"/>
              </w:rPr>
            </w:pPr>
            <w:r>
              <w:rPr>
                <w:rFonts w:ascii="宋体" w:hAnsi="宋体" w:cs="宋体" w:eastAsia="宋体" w:hint="default"/>
                <w:spacing w:val="-3"/>
                <w:sz w:val="18"/>
                <w:szCs w:val="18"/>
              </w:rPr>
              <w:t>现金分红总额（含其他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方式）占合并报表中归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属于上市公司普通股 股东的净利润的比率</w:t>
            </w:r>
          </w:p>
        </w:tc>
      </w:tr>
      <w:tr>
        <w:trPr>
          <w:trHeight w:val="156" w:hRule="exact"/>
        </w:trPr>
        <w:tc>
          <w:tcPr>
            <w:tcW w:w="838" w:type="dxa"/>
            <w:vMerge/>
            <w:tcBorders>
              <w:left w:val="nil" w:sz="6" w:space="0" w:color="auto"/>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417"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12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7"/>
              <w:ind w:left="22" w:right="-9"/>
              <w:jc w:val="left"/>
              <w:rPr>
                <w:rFonts w:ascii="宋体" w:hAnsi="宋体" w:cs="宋体" w:eastAsia="宋体" w:hint="default"/>
                <w:sz w:val="18"/>
                <w:szCs w:val="18"/>
              </w:rPr>
            </w:pPr>
            <w:r>
              <w:rPr>
                <w:rFonts w:ascii="宋体" w:hAnsi="宋体" w:cs="宋体" w:eastAsia="宋体" w:hint="default"/>
                <w:sz w:val="18"/>
                <w:szCs w:val="18"/>
              </w:rPr>
              <w:t>（含其他方式）</w:t>
            </w:r>
          </w:p>
        </w:tc>
        <w:tc>
          <w:tcPr>
            <w:tcW w:w="1820" w:type="dxa"/>
            <w:vMerge/>
            <w:tcBorders>
              <w:left w:val="single" w:sz="4" w:space="0" w:color="000000"/>
              <w:right w:val="nil" w:sz="6" w:space="0" w:color="auto"/>
            </w:tcBorders>
            <w:shd w:val="clear" w:color="auto" w:fill="D2D2D2"/>
          </w:tcPr>
          <w:p>
            <w:pPr/>
          </w:p>
        </w:tc>
      </w:tr>
      <w:tr>
        <w:trPr>
          <w:trHeight w:val="392" w:hRule="exact"/>
        </w:trPr>
        <w:tc>
          <w:tcPr>
            <w:tcW w:w="83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7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1284" w:type="dxa"/>
            <w:vMerge/>
            <w:tcBorders>
              <w:left w:val="single" w:sz="4" w:space="0" w:color="000000"/>
              <w:right w:val="single" w:sz="4" w:space="0" w:color="000000"/>
            </w:tcBorders>
            <w:shd w:val="clear" w:color="auto" w:fill="D2D2D2"/>
          </w:tcPr>
          <w:p>
            <w:pPr/>
          </w:p>
        </w:tc>
        <w:tc>
          <w:tcPr>
            <w:tcW w:w="1820" w:type="dxa"/>
            <w:vMerge/>
            <w:tcBorders>
              <w:left w:val="single" w:sz="4" w:space="0" w:color="000000"/>
              <w:right w:val="nil" w:sz="6" w:space="0" w:color="auto"/>
            </w:tcBorders>
            <w:shd w:val="clear" w:color="auto" w:fill="D2D2D2"/>
          </w:tcPr>
          <w:p>
            <w:pPr/>
          </w:p>
        </w:tc>
      </w:tr>
      <w:tr>
        <w:trPr>
          <w:trHeight w:val="156" w:hRule="exact"/>
        </w:trPr>
        <w:tc>
          <w:tcPr>
            <w:tcW w:w="838" w:type="dxa"/>
            <w:vMerge w:val="restart"/>
            <w:tcBorders>
              <w:top w:val="nil" w:sz="6" w:space="0" w:color="auto"/>
              <w:left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1284" w:type="dxa"/>
            <w:vMerge/>
            <w:tcBorders>
              <w:left w:val="single" w:sz="4" w:space="0" w:color="000000"/>
              <w:bottom w:val="nil" w:sz="6" w:space="0" w:color="auto"/>
              <w:right w:val="single" w:sz="4" w:space="0" w:color="000000"/>
            </w:tcBorders>
            <w:shd w:val="clear" w:color="auto" w:fill="D2D2D2"/>
          </w:tcPr>
          <w:p>
            <w:pPr/>
          </w:p>
        </w:tc>
        <w:tc>
          <w:tcPr>
            <w:tcW w:w="1820" w:type="dxa"/>
            <w:vMerge/>
            <w:tcBorders>
              <w:left w:val="single" w:sz="4" w:space="0" w:color="000000"/>
              <w:right w:val="nil" w:sz="6" w:space="0" w:color="auto"/>
            </w:tcBorders>
            <w:shd w:val="clear" w:color="auto" w:fill="D2D2D2"/>
          </w:tcPr>
          <w:p>
            <w:pPr/>
          </w:p>
        </w:tc>
      </w:tr>
      <w:tr>
        <w:trPr>
          <w:trHeight w:val="312" w:hRule="exact"/>
        </w:trPr>
        <w:tc>
          <w:tcPr>
            <w:tcW w:w="838" w:type="dxa"/>
            <w:vMerge/>
            <w:tcBorders>
              <w:left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1284" w:type="dxa"/>
            <w:vMerge w:val="restart"/>
            <w:tcBorders>
              <w:top w:val="nil" w:sz="6" w:space="0" w:color="auto"/>
              <w:left w:val="single" w:sz="4" w:space="0" w:color="000000"/>
              <w:right w:val="single" w:sz="4" w:space="0" w:color="000000"/>
            </w:tcBorders>
            <w:shd w:val="clear" w:color="auto" w:fill="D2D2D2"/>
          </w:tcPr>
          <w:p>
            <w:pPr/>
          </w:p>
        </w:tc>
        <w:tc>
          <w:tcPr>
            <w:tcW w:w="1820" w:type="dxa"/>
            <w:vMerge/>
            <w:tcBorders>
              <w:left w:val="single" w:sz="4" w:space="0" w:color="000000"/>
              <w:bottom w:val="nil" w:sz="6" w:space="0" w:color="auto"/>
              <w:right w:val="nil" w:sz="6" w:space="0" w:color="auto"/>
            </w:tcBorders>
            <w:shd w:val="clear" w:color="auto" w:fill="D2D2D2"/>
          </w:tcPr>
          <w:p>
            <w:pPr/>
          </w:p>
        </w:tc>
      </w:tr>
      <w:tr>
        <w:trPr>
          <w:trHeight w:val="161" w:hRule="exact"/>
        </w:trPr>
        <w:tc>
          <w:tcPr>
            <w:tcW w:w="838" w:type="dxa"/>
            <w:vMerge/>
            <w:tcBorders>
              <w:left w:val="nil" w:sz="6" w:space="0" w:color="auto"/>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284" w:type="dxa"/>
            <w:vMerge/>
            <w:tcBorders>
              <w:left w:val="single" w:sz="4" w:space="0" w:color="000000"/>
              <w:bottom w:val="single" w:sz="4" w:space="0" w:color="000000"/>
              <w:right w:val="single" w:sz="4" w:space="0" w:color="000000"/>
            </w:tcBorders>
            <w:shd w:val="clear" w:color="auto" w:fill="D2D2D2"/>
          </w:tcPr>
          <w:p>
            <w:pPr/>
          </w:p>
        </w:tc>
        <w:tc>
          <w:tcPr>
            <w:tcW w:w="1820"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83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7,142,042.20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756,000.00</w:t>
            </w: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10.59%</w:t>
            </w:r>
          </w:p>
        </w:tc>
      </w:tr>
      <w:tr>
        <w:trPr>
          <w:trHeight w:val="402" w:hRule="exact"/>
        </w:trPr>
        <w:tc>
          <w:tcPr>
            <w:tcW w:w="83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-42,345,109.04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83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6,734,039.01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756,000.00</w:t>
            </w: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2"/>
                <w:sz w:val="18"/>
              </w:rPr>
              <w:t>11.23%</w:t>
            </w:r>
          </w:p>
        </w:tc>
      </w:tr>
    </w:tbl>
    <w:p>
      <w:pPr>
        <w:spacing w:line="240" w:lineRule="auto" w:before="12"/>
        <w:rPr>
          <w:rFonts w:ascii="宋体" w:hAnsi="宋体" w:cs="宋体" w:eastAsia="宋体" w:hint="default"/>
          <w:sz w:val="4"/>
          <w:szCs w:val="4"/>
        </w:rPr>
      </w:pPr>
    </w:p>
    <w:p>
      <w:pPr>
        <w:pStyle w:val="Heading5"/>
        <w:spacing w:line="240" w:lineRule="auto" w:before="35"/>
        <w:ind w:left="674" w:right="0"/>
        <w:jc w:val="left"/>
      </w:pPr>
      <w:r>
        <w:rPr/>
        <w:t>公司报告期内盈利且母公司可供普通股股东分配利润为正但未提出普通股现金红利分配预案</w:t>
      </w:r>
    </w:p>
    <w:p>
      <w:pPr>
        <w:pStyle w:val="Heading5"/>
        <w:spacing w:line="240" w:lineRule="auto" w:before="146"/>
        <w:ind w:left="6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4"/>
        <w:rPr>
          <w:rFonts w:ascii="宋体" w:hAnsi="宋体" w:cs="宋体" w:eastAsia="宋体" w:hint="default"/>
          <w:sz w:val="22"/>
          <w:szCs w:val="22"/>
        </w:rPr>
      </w:pPr>
    </w:p>
    <w:p>
      <w:pPr>
        <w:pStyle w:val="Heading3"/>
        <w:spacing w:line="240" w:lineRule="auto"/>
        <w:ind w:left="674" w:right="0"/>
        <w:jc w:val="left"/>
        <w:rPr>
          <w:b w:val="0"/>
          <w:bCs w:val="0"/>
        </w:rPr>
      </w:pPr>
      <w:bookmarkStart w:name="二、承诺事项履行情况" w:id="61"/>
      <w:bookmarkEnd w:id="61"/>
      <w:r>
        <w:rPr>
          <w:b w:val="0"/>
          <w:bCs w:val="0"/>
        </w:rPr>
      </w: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left="674" w:right="0"/>
        <w:jc w:val="left"/>
        <w:rPr>
          <w:b w:val="0"/>
          <w:bCs w:val="0"/>
        </w:rPr>
      </w:pPr>
      <w:bookmarkStart w:name="1、公司实际控制人、股东、关联方、收购人以及公司等承诺相关方在报告期内履行完毕及" w:id="62"/>
      <w:bookmarkEnd w:id="62"/>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674" w:right="0"/>
        <w:jc w:val="left"/>
      </w:pPr>
      <w:r>
        <w:rPr/>
        <w:pict>
          <v:shape style="position:absolute;margin-left:447.779999pt;margin-top:112.283661pt;width:55.3pt;height:92.6pt;mso-position-horizontal-relative:page;mso-position-vertical-relative:paragraph;z-index:-73372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829"/>
        <w:gridCol w:w="709"/>
        <w:gridCol w:w="992"/>
        <w:gridCol w:w="4962"/>
        <w:gridCol w:w="994"/>
        <w:gridCol w:w="566"/>
        <w:gridCol w:w="694"/>
      </w:tblGrid>
      <w:tr>
        <w:trPr>
          <w:trHeight w:val="181" w:hRule="exact"/>
        </w:trPr>
        <w:tc>
          <w:tcPr>
            <w:tcW w:w="1829" w:type="dxa"/>
            <w:tcBorders>
              <w:top w:val="single" w:sz="4" w:space="0" w:color="000000"/>
              <w:left w:val="nil" w:sz="6" w:space="0" w:color="auto"/>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694" w:type="dxa"/>
            <w:vMerge w:val="restart"/>
            <w:tcBorders>
              <w:top w:val="single" w:sz="4" w:space="0" w:color="000000"/>
              <w:left w:val="single" w:sz="4" w:space="0" w:color="000000"/>
              <w:right w:val="nil" w:sz="6" w:space="0" w:color="auto"/>
            </w:tcBorders>
            <w:shd w:val="clear" w:color="auto" w:fill="D2D2D2"/>
          </w:tcPr>
          <w:p>
            <w:pPr>
              <w:pStyle w:val="TableParagraph"/>
              <w:spacing w:line="360" w:lineRule="auto" w:before="51"/>
              <w:ind w:left="168" w:right="159"/>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2" w:hRule="exact"/>
        </w:trPr>
        <w:tc>
          <w:tcPr>
            <w:tcW w:w="1829"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9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566" w:type="dxa"/>
            <w:vMerge/>
            <w:tcBorders>
              <w:left w:val="single" w:sz="4" w:space="0" w:color="000000"/>
              <w:right w:val="single" w:sz="4" w:space="0" w:color="000000"/>
            </w:tcBorders>
            <w:shd w:val="clear" w:color="auto" w:fill="D2D2D2"/>
          </w:tcPr>
          <w:p>
            <w:pPr/>
          </w:p>
        </w:tc>
        <w:tc>
          <w:tcPr>
            <w:tcW w:w="694" w:type="dxa"/>
            <w:vMerge/>
            <w:tcBorders>
              <w:left w:val="single" w:sz="4" w:space="0" w:color="000000"/>
              <w:right w:val="nil" w:sz="6" w:space="0" w:color="auto"/>
            </w:tcBorders>
            <w:shd w:val="clear" w:color="auto" w:fill="D2D2D2"/>
          </w:tcPr>
          <w:p>
            <w:pPr/>
          </w:p>
        </w:tc>
      </w:tr>
      <w:tr>
        <w:trPr>
          <w:trHeight w:val="180" w:hRule="exact"/>
        </w:trPr>
        <w:tc>
          <w:tcPr>
            <w:tcW w:w="1829" w:type="dxa"/>
            <w:tcBorders>
              <w:top w:val="nil" w:sz="6" w:space="0" w:color="auto"/>
              <w:left w:val="nil" w:sz="6" w:space="0" w:color="auto"/>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4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94" w:type="dxa"/>
            <w:vMerge/>
            <w:tcBorders>
              <w:left w:val="single" w:sz="4" w:space="0" w:color="000000"/>
              <w:bottom w:val="single" w:sz="4" w:space="0" w:color="000000"/>
              <w:right w:val="nil" w:sz="6" w:space="0" w:color="auto"/>
            </w:tcBorders>
            <w:shd w:val="clear" w:color="auto" w:fill="D2D2D2"/>
          </w:tcPr>
          <w:p>
            <w:pPr/>
          </w:p>
        </w:tc>
      </w:tr>
      <w:tr>
        <w:trPr>
          <w:trHeight w:val="714" w:hRule="exact"/>
        </w:trPr>
        <w:tc>
          <w:tcPr>
            <w:tcW w:w="18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4"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709"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9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8" w:space="0" w:color="D2D2D2"/>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2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709"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9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nil" w:sz="6" w:space="0" w:color="auto"/>
            </w:tcBorders>
          </w:tcPr>
          <w:p>
            <w:pPr/>
          </w:p>
        </w:tc>
      </w:tr>
      <w:tr>
        <w:trPr>
          <w:trHeight w:val="1858" w:hRule="exact"/>
        </w:trPr>
        <w:tc>
          <w:tcPr>
            <w:tcW w:w="1829" w:type="dxa"/>
            <w:tcBorders>
              <w:top w:val="single" w:sz="4" w:space="0" w:color="000000"/>
              <w:left w:val="nil" w:sz="6" w:space="0" w:color="auto"/>
              <w:bottom w:val="nil" w:sz="6" w:space="0" w:color="auto"/>
              <w:right w:val="single" w:sz="4" w:space="0" w:color="000000"/>
            </w:tcBorders>
            <w:shd w:val="clear" w:color="auto" w:fill="D2D2D2"/>
          </w:tcPr>
          <w:p>
            <w:pPr/>
          </w:p>
        </w:tc>
        <w:tc>
          <w:tcPr>
            <w:tcW w:w="70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关于避免同 业竞争承诺</w:t>
            </w:r>
          </w:p>
        </w:tc>
        <w:tc>
          <w:tcPr>
            <w:tcW w:w="4962" w:type="dxa"/>
            <w:vMerge w:val="restart"/>
            <w:tcBorders>
              <w:top w:val="single" w:sz="4" w:space="0" w:color="000000"/>
              <w:left w:val="single" w:sz="4" w:space="0" w:color="000000"/>
              <w:right w:val="single" w:sz="4" w:space="0" w:color="000000"/>
            </w:tcBorders>
          </w:tcPr>
          <w:p>
            <w:pPr>
              <w:pStyle w:val="TableParagraph"/>
              <w:spacing w:line="314"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为避免在以后的经营中产生同业竞争，本公司控股股东及实际 </w:t>
            </w:r>
            <w:r>
              <w:rPr>
                <w:rFonts w:ascii="宋体" w:hAnsi="宋体" w:cs="宋体" w:eastAsia="宋体" w:hint="default"/>
                <w:spacing w:val="-5"/>
                <w:sz w:val="18"/>
                <w:szCs w:val="18"/>
              </w:rPr>
              <w:t>控制人梁伟向本公司出具了《避免同业竞争承诺函》，承诺：</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本人确认及保证目前不存在与金运激光直接或间接同业竞争的 </w:t>
            </w:r>
            <w:r>
              <w:rPr>
                <w:rFonts w:ascii="宋体" w:hAnsi="宋体" w:cs="宋体" w:eastAsia="宋体" w:hint="default"/>
                <w:spacing w:val="-2"/>
                <w:sz w:val="18"/>
                <w:szCs w:val="18"/>
              </w:rPr>
              <w:t>情况。</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、本人不直接或间接从事、发展或投资与金运激光经营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范围相同或相类似的业务或项目，也不为本人或代表任何第三 方成立、发展、参与、协助任何法人或其他经济组织与金运激 光进行直接或间接的竞争，本人不在中国境内及境外直接或间 接研发、生产或销售金运激光已经研发、生产或销售的项目或 产品（包括但不限于已经投入科研经费研制或已经处于试生产 </w:t>
            </w:r>
            <w:r>
              <w:rPr>
                <w:rFonts w:ascii="宋体" w:hAnsi="宋体" w:cs="宋体" w:eastAsia="宋体" w:hint="default"/>
                <w:spacing w:val="-4"/>
                <w:sz w:val="18"/>
                <w:szCs w:val="18"/>
              </w:rPr>
              <w:t>阶段的项目或产品）。</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、本人承诺不利用本人对金运激光的了</w:t>
            </w:r>
            <w:r>
              <w:rPr>
                <w:rFonts w:ascii="宋体" w:hAnsi="宋体" w:cs="宋体" w:eastAsia="宋体" w:hint="default"/>
                <w:spacing w:val="-68"/>
                <w:sz w:val="18"/>
                <w:szCs w:val="18"/>
              </w:rPr>
              <w:t> </w:t>
            </w:r>
            <w:r>
              <w:rPr>
                <w:rFonts w:ascii="宋体" w:hAnsi="宋体" w:cs="宋体" w:eastAsia="宋体" w:hint="default"/>
                <w:sz w:val="18"/>
                <w:szCs w:val="18"/>
              </w:rPr>
              <w:t>解及获取的信息从事、直接或间接参与与金运激光相竞争的活 动，并承诺不直接或间接进行或参与任何损害或可能损害金运 激光利益的其他竞争行为。该等竞争包括但不限于：直接或间 接从金运激光招聘专业技术人员、销售人员、高级管理人员；</w:t>
            </w:r>
          </w:p>
        </w:tc>
        <w:tc>
          <w:tcPr>
            <w:tcW w:w="994" w:type="dxa"/>
            <w:vMerge w:val="restart"/>
            <w:tcBorders>
              <w:top w:val="single" w:sz="4" w:space="0" w:color="000000"/>
              <w:left w:val="single" w:sz="4" w:space="0" w:color="000000"/>
              <w:right w:val="single" w:sz="4" w:space="0" w:color="000000"/>
            </w:tcBorders>
          </w:tcPr>
          <w:p>
            <w:pPr>
              <w:pStyle w:val="TableParagraph"/>
              <w:spacing w:line="1851" w:lineRule="exact"/>
              <w:ind w:right="-49"/>
              <w:jc w:val="left"/>
              <w:rPr>
                <w:rFonts w:ascii="宋体" w:hAnsi="宋体" w:cs="宋体" w:eastAsia="宋体" w:hint="default"/>
                <w:sz w:val="20"/>
                <w:szCs w:val="20"/>
              </w:rPr>
            </w:pPr>
            <w:r>
              <w:rPr>
                <w:rFonts w:ascii="宋体" w:hAnsi="宋体" w:cs="宋体" w:eastAsia="宋体" w:hint="default"/>
                <w:position w:val="-36"/>
                <w:sz w:val="20"/>
                <w:szCs w:val="20"/>
              </w:rPr>
              <w:pict>
                <v:group style="width:49.15pt;height:92.6pt;mso-position-horizontal-relative:char;mso-position-vertical-relative:line" coordorigin="0,0" coordsize="983,1852">
                  <v:group style="position:absolute;left:0;top:0;width:983;height:1852" coordorigin="0,0" coordsize="983,1852">
                    <v:shape style="position:absolute;left:0;top:0;width:983;height:1852" coordorigin="0,0" coordsize="983,1852" path="m0,1852l983,1852,983,0,0,0,0,1852xe" filled="true" fillcolor="#ffffff" stroked="false">
                      <v:path arrowok="t"/>
                      <v:fill type="solid"/>
                    </v:shape>
                  </v:group>
                </v:group>
              </w:pict>
            </w:r>
            <w:r>
              <w:rPr>
                <w:rFonts w:ascii="宋体" w:hAnsi="宋体" w:cs="宋体" w:eastAsia="宋体" w:hint="default"/>
                <w:position w:val="-36"/>
                <w:sz w:val="20"/>
                <w:szCs w:val="20"/>
              </w:rPr>
            </w:r>
          </w:p>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任职 期间</w:t>
            </w:r>
          </w:p>
        </w:tc>
        <w:tc>
          <w:tcPr>
            <w:tcW w:w="69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704" w:hRule="exact"/>
        </w:trPr>
        <w:tc>
          <w:tcPr>
            <w:tcW w:w="1829"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316" w:lineRule="auto" w:before="51"/>
              <w:ind w:left="14"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709"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496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94" w:type="dxa"/>
            <w:vMerge/>
            <w:tcBorders>
              <w:left w:val="single" w:sz="4" w:space="0" w:color="000000"/>
              <w:right w:val="nil" w:sz="6" w:space="0" w:color="auto"/>
            </w:tcBorders>
          </w:tcPr>
          <w:p>
            <w:pPr/>
          </w:p>
        </w:tc>
      </w:tr>
      <w:tr>
        <w:trPr>
          <w:trHeight w:val="1857" w:hRule="exact"/>
        </w:trPr>
        <w:tc>
          <w:tcPr>
            <w:tcW w:w="1829" w:type="dxa"/>
            <w:tcBorders>
              <w:top w:val="nil" w:sz="6" w:space="0" w:color="auto"/>
              <w:left w:val="nil" w:sz="6" w:space="0" w:color="auto"/>
              <w:bottom w:val="single" w:sz="4" w:space="0" w:color="000000"/>
              <w:right w:val="single" w:sz="4" w:space="0" w:color="000000"/>
            </w:tcBorders>
            <w:shd w:val="clear" w:color="auto" w:fill="D2D2D2"/>
          </w:tcPr>
          <w:p>
            <w:pPr/>
          </w:p>
        </w:tc>
        <w:tc>
          <w:tcPr>
            <w:tcW w:w="709"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96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nil" w:sz="6" w:space="0" w:color="auto"/>
            </w:tcBorders>
          </w:tcPr>
          <w:p>
            <w:pPr/>
          </w:p>
        </w:tc>
      </w:tr>
    </w:tbl>
    <w:p>
      <w:pPr>
        <w:spacing w:after="0"/>
        <w:sectPr>
          <w:type w:val="continuous"/>
          <w:pgSz w:w="11910" w:h="16840"/>
          <w:pgMar w:top="1060" w:bottom="1160" w:left="46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844"/>
        <w:gridCol w:w="709"/>
        <w:gridCol w:w="992"/>
        <w:gridCol w:w="4962"/>
        <w:gridCol w:w="994"/>
        <w:gridCol w:w="566"/>
        <w:gridCol w:w="708"/>
      </w:tblGrid>
      <w:tr>
        <w:trPr>
          <w:trHeight w:val="1298" w:hRule="exact"/>
        </w:trPr>
        <w:tc>
          <w:tcPr>
            <w:tcW w:w="1844" w:type="dxa"/>
            <w:vMerge w:val="restart"/>
            <w:tcBorders>
              <w:top w:val="single" w:sz="4" w:space="0" w:color="000000"/>
              <w:left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7"/>
              <w:jc w:val="both"/>
              <w:rPr>
                <w:rFonts w:ascii="宋体" w:hAnsi="宋体" w:cs="宋体" w:eastAsia="宋体" w:hint="default"/>
                <w:sz w:val="18"/>
                <w:szCs w:val="18"/>
              </w:rPr>
            </w:pPr>
            <w:r>
              <w:rPr>
                <w:rFonts w:ascii="宋体" w:hAnsi="宋体" w:cs="宋体" w:eastAsia="宋体" w:hint="default"/>
                <w:sz w:val="18"/>
                <w:szCs w:val="18"/>
              </w:rPr>
              <w:t>不正当地利用金运激光的无形资产；在广告、宣传上贬损金运 激光的产品形象与企业形象等。如出现因本人违反上述承诺与 保证而导致金运激光或其股东的权益受到损害的情况，本人将 依法承担相应的赔偿责任。</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nil" w:sz="6" w:space="0" w:color="auto"/>
            </w:tcBorders>
          </w:tcPr>
          <w:p>
            <w:pPr/>
          </w:p>
        </w:tc>
      </w:tr>
      <w:tr>
        <w:trPr>
          <w:trHeight w:val="2586" w:hRule="exact"/>
        </w:trPr>
        <w:tc>
          <w:tcPr>
            <w:tcW w:w="1844" w:type="dxa"/>
            <w:vMerge/>
            <w:tcBorders>
              <w:left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59"/>
              <w:jc w:val="both"/>
              <w:rPr>
                <w:rFonts w:ascii="宋体" w:hAnsi="宋体" w:cs="宋体" w:eastAsia="宋体" w:hint="default"/>
                <w:sz w:val="18"/>
                <w:szCs w:val="18"/>
              </w:rPr>
            </w:pPr>
            <w:r>
              <w:rPr>
                <w:rFonts w:ascii="宋体" w:hAnsi="宋体" w:cs="宋体" w:eastAsia="宋体" w:hint="default"/>
                <w:sz w:val="18"/>
                <w:szCs w:val="18"/>
              </w:rPr>
              <w:t>关于规范关 联交易的承 诺</w:t>
            </w:r>
          </w:p>
        </w:tc>
        <w:tc>
          <w:tcPr>
            <w:tcW w:w="4962"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本公司实际控制人及控股股东梁伟先生出具了《关于规范关联 </w:t>
            </w:r>
            <w:r>
              <w:rPr>
                <w:rFonts w:ascii="宋体" w:hAnsi="宋体" w:cs="宋体" w:eastAsia="宋体" w:hint="default"/>
                <w:spacing w:val="-5"/>
                <w:sz w:val="18"/>
                <w:szCs w:val="18"/>
              </w:rPr>
              <w:t>交易的承诺函》，承诺：除非金运激光的经营发展所必须，本人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及本人能够控制或影响的关联方（以下统称</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）不与金运 </w:t>
            </w:r>
            <w:r>
              <w:rPr>
                <w:rFonts w:ascii="宋体" w:hAnsi="宋体" w:cs="宋体" w:eastAsia="宋体" w:hint="default"/>
                <w:spacing w:val="-3"/>
                <w:sz w:val="18"/>
                <w:szCs w:val="18"/>
              </w:rPr>
              <w:t>激光进行任何关联交易，对于无法规避、确实需要的关联交易，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本人将严格遵守中国证监会和金运激光公司章程及其他关联交</w:t>
            </w:r>
            <w:r>
              <w:rPr>
                <w:rFonts w:ascii="宋体" w:hAnsi="宋体" w:cs="宋体" w:eastAsia="宋体" w:hint="default"/>
                <w:sz w:val="18"/>
                <w:szCs w:val="18"/>
              </w:rPr>
              <w:t> 易管理制度的规定，按照通常的商业准则确定交易价格及其他 交易条件，并按照关联交易公允决策的程序履行批准手续，以 杜绝通过关联交易进行不正当的利益输送。</w:t>
            </w:r>
          </w:p>
        </w:tc>
        <w:tc>
          <w:tcPr>
            <w:tcW w:w="9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351" w:lineRule="exact"/>
              <w:ind w:left="16" w:right="-27"/>
              <w:jc w:val="left"/>
              <w:rPr>
                <w:rFonts w:ascii="宋体" w:hAnsi="宋体" w:cs="宋体" w:eastAsia="宋体" w:hint="default"/>
                <w:sz w:val="20"/>
                <w:szCs w:val="20"/>
              </w:rPr>
            </w:pPr>
            <w:r>
              <w:rPr>
                <w:rFonts w:ascii="宋体" w:hAnsi="宋体" w:cs="宋体" w:eastAsia="宋体" w:hint="default"/>
                <w:position w:val="-6"/>
                <w:sz w:val="20"/>
                <w:szCs w:val="20"/>
              </w:rPr>
              <w:pict>
                <v:group style="width:46.9pt;height:17.6pt;mso-position-horizontal-relative:char;mso-position-vertical-relative:line" coordorigin="0,0" coordsize="938,352">
                  <v:group style="position:absolute;left:0;top:0;width:938;height:352" coordorigin="0,0" coordsize="938,352">
                    <v:shape style="position:absolute;left:0;top:0;width:938;height:352" coordorigin="0,0" coordsize="938,352" path="m0,352l937,352,937,0,0,0,0,352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任职 期间</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2586" w:hRule="exact"/>
        </w:trPr>
        <w:tc>
          <w:tcPr>
            <w:tcW w:w="1844" w:type="dxa"/>
            <w:vMerge/>
            <w:tcBorders>
              <w:left w:val="nil" w:sz="6" w:space="0" w:color="auto"/>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59"/>
              <w:jc w:val="both"/>
              <w:rPr>
                <w:rFonts w:ascii="宋体" w:hAnsi="宋体" w:cs="宋体" w:eastAsia="宋体" w:hint="default"/>
                <w:sz w:val="18"/>
                <w:szCs w:val="18"/>
              </w:rPr>
            </w:pPr>
            <w:r>
              <w:rPr>
                <w:rFonts w:ascii="宋体" w:hAnsi="宋体" w:cs="宋体" w:eastAsia="宋体" w:hint="default"/>
                <w:sz w:val="18"/>
                <w:szCs w:val="18"/>
              </w:rPr>
              <w:t>关于规范关 联交易的承 诺</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本公司的董事、监事、高级管理人员出具了《关于规范关联交 </w:t>
            </w:r>
            <w:r>
              <w:rPr>
                <w:rFonts w:ascii="宋体" w:hAnsi="宋体" w:cs="宋体" w:eastAsia="宋体" w:hint="default"/>
                <w:spacing w:val="-5"/>
                <w:sz w:val="18"/>
                <w:szCs w:val="18"/>
              </w:rPr>
              <w:t>易的承诺函》，承诺：除非金运激光的经营发展所必须，本人及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本人能够控制或影响的关联方（以下统称</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）不与金运激 光进行任何关联交易，对于无法规避、确实需要的关联交易， 本人将严格遵守中国证监会和金运激光公司章程及其他关联交 易管理制度的规定，按照通常的商业准则确定交易价格及其他 交易条件，并按照关联交易公允决策的程序履行批准手续，以 杜绝通过关联交易进行不正当的利益输送。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任职 期间</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402"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9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28"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96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0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nil" w:sz="6" w:space="0" w:color="auto"/>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59" w:lineRule="auto" w:before="35"/>
        <w:ind w:left="674" w:right="0"/>
        <w:jc w:val="left"/>
        <w:rPr>
          <w:b w:val="0"/>
          <w:bCs w:val="0"/>
        </w:rPr>
      </w:pPr>
      <w:bookmarkStart w:name="2、公司资产或项目存在盈利预测，且报告期仍处在盈利预测期间，公司就资产或项目达到" w:id="63"/>
      <w:bookmarkEnd w:id="63"/>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9"/>
        </w:rPr>
        <w:t> </w:t>
      </w:r>
      <w:r>
        <w:rPr>
          <w:spacing w:val="-69"/>
        </w:rPr>
      </w:r>
      <w:r>
        <w:rPr/>
        <w:t>其原因做出说明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6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2"/>
          <w:szCs w:val="22"/>
        </w:rPr>
      </w:pPr>
    </w:p>
    <w:p>
      <w:pPr>
        <w:pStyle w:val="Heading3"/>
        <w:spacing w:line="240" w:lineRule="auto"/>
        <w:ind w:left="674" w:right="0"/>
        <w:jc w:val="left"/>
        <w:rPr>
          <w:b w:val="0"/>
          <w:bCs w:val="0"/>
        </w:rPr>
      </w:pPr>
      <w:bookmarkStart w:name="三、控股股东及其关联方对上市公司的非经营性占用资金情况" w:id="64"/>
      <w:bookmarkEnd w:id="64"/>
      <w:r>
        <w:rPr>
          <w:b w:val="0"/>
          <w:bCs w:val="0"/>
        </w:rPr>
      </w:r>
      <w:r>
        <w:rPr/>
        <w:t>三、控股股东及其关联方对上市公司的非经营性占用资金情况</w:t>
      </w:r>
      <w:r>
        <w:rPr>
          <w:b w:val="0"/>
          <w:bCs w:val="0"/>
        </w:rPr>
      </w:r>
    </w:p>
    <w:p>
      <w:pPr>
        <w:spacing w:line="240" w:lineRule="auto" w:before="4"/>
        <w:rPr>
          <w:rFonts w:ascii="宋体" w:hAnsi="宋体" w:cs="宋体" w:eastAsia="宋体" w:hint="default"/>
          <w:b/>
          <w:bCs/>
          <w:sz w:val="30"/>
          <w:szCs w:val="30"/>
        </w:rPr>
      </w:pPr>
    </w:p>
    <w:p>
      <w:pPr>
        <w:pStyle w:val="Heading5"/>
        <w:spacing w:line="345" w:lineRule="auto"/>
        <w:ind w:left="674" w:right="4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公司报告期不存在控股股东及其关联方对上市公司的非经营性占用资金。</w:t>
      </w:r>
    </w:p>
    <w:p>
      <w:pPr>
        <w:spacing w:line="240" w:lineRule="auto" w:before="6"/>
        <w:rPr>
          <w:rFonts w:ascii="宋体" w:hAnsi="宋体" w:cs="宋体" w:eastAsia="宋体" w:hint="default"/>
          <w:sz w:val="16"/>
          <w:szCs w:val="16"/>
        </w:rPr>
      </w:pPr>
    </w:p>
    <w:p>
      <w:pPr>
        <w:pStyle w:val="Heading3"/>
        <w:spacing w:line="240" w:lineRule="auto"/>
        <w:ind w:left="674" w:right="0"/>
        <w:jc w:val="left"/>
        <w:rPr>
          <w:b w:val="0"/>
          <w:bCs w:val="0"/>
        </w:rPr>
      </w:pPr>
      <w:bookmarkStart w:name="四、董事会对最近一期“非标准审计报告”相关情况的说明" w:id="65"/>
      <w:bookmarkEnd w:id="65"/>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3"/>
          <w:szCs w:val="23"/>
        </w:rPr>
      </w:pPr>
    </w:p>
    <w:p>
      <w:pPr>
        <w:pStyle w:val="Heading5"/>
        <w:spacing w:line="240" w:lineRule="auto"/>
        <w:ind w:left="6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2"/>
          <w:szCs w:val="22"/>
        </w:rPr>
      </w:pPr>
    </w:p>
    <w:p>
      <w:pPr>
        <w:pStyle w:val="Heading3"/>
        <w:spacing w:line="240" w:lineRule="auto"/>
        <w:ind w:left="674" w:right="0"/>
        <w:jc w:val="left"/>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3"/>
          <w:szCs w:val="23"/>
        </w:rPr>
      </w:pPr>
    </w:p>
    <w:p>
      <w:pPr>
        <w:pStyle w:val="Heading5"/>
        <w:spacing w:line="240" w:lineRule="auto"/>
        <w:ind w:left="6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747" w:footer="979" w:top="1060" w:bottom="1160" w:left="46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bookmarkStart w:name="六、董事会关于报告期会计政策、会计估计变更或重大会计差错更正的说明" w:id="67"/>
      <w:bookmarkEnd w:id="67"/>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4"/>
          <w:szCs w:val="24"/>
        </w:rPr>
      </w:pPr>
    </w:p>
    <w:p>
      <w:pPr>
        <w:pStyle w:val="Heading5"/>
        <w:spacing w:line="350" w:lineRule="auto"/>
        <w:ind w:left="574" w:right="0" w:hanging="4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w:t>
      </w:r>
      <w:r>
        <w:rPr>
          <w:spacing w:val="-5"/>
        </w:rPr>
        <w:t>财政部于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15</w:t>
      </w:r>
      <w:r>
        <w:rPr>
          <w:spacing w:val="-5"/>
        </w:rPr>
        <w:t>日发布了《关于修订印发</w:t>
      </w:r>
      <w:r>
        <w:rPr>
          <w:rFonts w:ascii="Times New Roman" w:hAnsi="Times New Roman" w:cs="Times New Roman" w:eastAsia="Times New Roman" w:hint="default"/>
          <w:spacing w:val="-5"/>
        </w:rPr>
        <w:t>2018</w:t>
      </w:r>
      <w:r>
        <w:rPr>
          <w:spacing w:val="-5"/>
        </w:rPr>
        <w:t>年度一般企业财务报表格式的通知》（财会〔</w:t>
      </w:r>
      <w:r>
        <w:rPr>
          <w:rFonts w:ascii="Times New Roman" w:hAnsi="Times New Roman" w:cs="Times New Roman" w:eastAsia="Times New Roman" w:hint="default"/>
          <w:spacing w:val="-5"/>
        </w:rPr>
        <w:t>2018</w:t>
      </w:r>
      <w:r>
        <w:rPr>
          <w:spacing w:val="-5"/>
        </w:rPr>
        <w:t>〕</w:t>
      </w:r>
    </w:p>
    <w:p>
      <w:pPr>
        <w:pStyle w:val="Heading5"/>
        <w:spacing w:line="274" w:lineRule="exact"/>
        <w:ind w:right="0"/>
        <w:jc w:val="both"/>
        <w:rPr>
          <w:rFonts w:ascii="Times New Roman" w:hAnsi="Times New Roman" w:cs="Times New Roman" w:eastAsia="Times New Roman" w:hint="default"/>
        </w:rPr>
      </w:pPr>
      <w:r>
        <w:rPr>
          <w:rFonts w:ascii="Times New Roman" w:hAnsi="Times New Roman" w:cs="Times New Roman" w:eastAsia="Times New Roman" w:hint="default"/>
          <w:spacing w:val="-5"/>
        </w:rPr>
        <w:t>15</w:t>
      </w:r>
      <w:r>
        <w:rPr>
          <w:spacing w:val="-5"/>
        </w:rPr>
        <w:t>号），对一般企业财务报表格式进行了修订，归并部分资产负债表项目，拆分部分利润表项目；并于</w:t>
      </w:r>
      <w:r>
        <w:rPr>
          <w:rFonts w:ascii="Times New Roman" w:hAnsi="Times New Roman" w:cs="Times New Roman" w:eastAsia="Times New Roman" w:hint="default"/>
          <w:spacing w:val="-5"/>
        </w:rPr>
        <w:t>2018</w:t>
      </w:r>
    </w:p>
    <w:p>
      <w:pPr>
        <w:pStyle w:val="Heading5"/>
        <w:spacing w:line="314" w:lineRule="auto" w:before="89"/>
        <w:ind w:right="1132"/>
        <w:jc w:val="both"/>
      </w:pP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7</w:t>
      </w:r>
      <w:r>
        <w:rPr>
          <w:spacing w:val="-1"/>
        </w:rPr>
        <w:t>日发布了《关于</w:t>
      </w:r>
      <w:r>
        <w:rPr>
          <w:rFonts w:ascii="Times New Roman" w:hAnsi="Times New Roman" w:cs="Times New Roman" w:eastAsia="Times New Roman" w:hint="default"/>
          <w:spacing w:val="-1"/>
        </w:rPr>
        <w:t>2018</w:t>
      </w:r>
      <w:r>
        <w:rPr>
          <w:spacing w:val="-1"/>
        </w:rPr>
        <w:t>年度一般企业财务报表格式有关问题的解读》，明确要求代扣个人所得税手续</w:t>
      </w:r>
      <w:r>
        <w:rPr>
          <w:spacing w:val="-84"/>
        </w:rPr>
        <w:t> </w:t>
      </w:r>
      <w:r>
        <w:rPr>
          <w:spacing w:val="-84"/>
        </w:rPr>
      </w:r>
      <w:r>
        <w:rPr/>
        <w:t>费返还在</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列报，实际收到的政府补助，无论是与资产相关还是与收益相关，在编制现金流量表 时均作为经营活动产生的现金流量列报等。</w:t>
      </w:r>
    </w:p>
    <w:p>
      <w:pPr>
        <w:pStyle w:val="Heading5"/>
        <w:spacing w:line="331" w:lineRule="auto" w:before="40"/>
        <w:ind w:right="1092" w:firstLine="420"/>
        <w:jc w:val="left"/>
      </w:pPr>
      <w:r>
        <w:rPr/>
        <w:t>本公司已经根据新的企业财务报表格式的要求编制财务报表，财务报表的列报项目因此发生变更的， 已经按照《企业会计准则第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财务报表列报》等的相关规定，对可比期间的比较数据进行调整。</w:t>
      </w:r>
    </w:p>
    <w:p>
      <w:pPr>
        <w:pStyle w:val="Heading5"/>
        <w:spacing w:line="240" w:lineRule="auto" w:before="1"/>
        <w:ind w:left="354" w:right="0"/>
        <w:jc w:val="left"/>
      </w:pPr>
      <w:r>
        <w:rPr/>
        <w:t>对可比期间的财务报表列报项目及金额的影响如下：</w:t>
      </w:r>
    </w:p>
    <w:p>
      <w:pPr>
        <w:spacing w:line="240" w:lineRule="auto" w:before="8"/>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2211"/>
        <w:gridCol w:w="2513"/>
        <w:gridCol w:w="2213"/>
        <w:gridCol w:w="2722"/>
      </w:tblGrid>
      <w:tr>
        <w:trPr>
          <w:trHeight w:val="342" w:hRule="exact"/>
        </w:trPr>
        <w:tc>
          <w:tcPr>
            <w:tcW w:w="472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462"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93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562"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3,520,946.36</w:t>
            </w:r>
          </w:p>
        </w:tc>
        <w:tc>
          <w:tcPr>
            <w:tcW w:w="2213" w:type="dxa"/>
            <w:vMerge w:val="restart"/>
            <w:tcBorders>
              <w:top w:val="single" w:sz="4" w:space="0" w:color="000000"/>
              <w:left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722" w:type="dxa"/>
            <w:vMerge w:val="restart"/>
            <w:tcBorders>
              <w:top w:val="single" w:sz="4" w:space="0" w:color="000000"/>
              <w:left w:val="single" w:sz="4" w:space="0" w:color="000000"/>
              <w:right w:val="nil" w:sz="6" w:space="0" w:color="auto"/>
            </w:tcBorders>
          </w:tcPr>
          <w:p>
            <w:pPr>
              <w:pStyle w:val="TableParagraph"/>
              <w:spacing w:line="240" w:lineRule="auto" w:before="60"/>
              <w:ind w:left="1673" w:right="0"/>
              <w:jc w:val="left"/>
              <w:rPr>
                <w:rFonts w:ascii="Times New Roman" w:hAnsi="Times New Roman" w:cs="Times New Roman" w:eastAsia="Times New Roman" w:hint="default"/>
                <w:sz w:val="18"/>
                <w:szCs w:val="18"/>
              </w:rPr>
            </w:pPr>
            <w:r>
              <w:rPr>
                <w:rFonts w:ascii="Times New Roman"/>
                <w:sz w:val="18"/>
              </w:rPr>
              <w:t>29,394,186.03</w:t>
            </w: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25,873,239.67</w:t>
            </w:r>
          </w:p>
        </w:tc>
        <w:tc>
          <w:tcPr>
            <w:tcW w:w="2213" w:type="dxa"/>
            <w:vMerge/>
            <w:tcBorders>
              <w:left w:val="single" w:sz="4" w:space="0" w:color="000000"/>
              <w:bottom w:val="single" w:sz="4" w:space="0" w:color="000000"/>
              <w:right w:val="single" w:sz="4" w:space="0" w:color="000000"/>
            </w:tcBorders>
          </w:tcPr>
          <w:p>
            <w:pPr/>
          </w:p>
        </w:tc>
        <w:tc>
          <w:tcPr>
            <w:tcW w:w="2722" w:type="dxa"/>
            <w:vMerge/>
            <w:tcBorders>
              <w:left w:val="single" w:sz="4" w:space="0" w:color="000000"/>
              <w:bottom w:val="single" w:sz="4" w:space="0" w:color="000000"/>
              <w:right w:val="nil" w:sz="6" w:space="0" w:color="auto"/>
            </w:tcBorders>
          </w:tcPr>
          <w:p>
            <w:pP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61" w:right="0"/>
              <w:jc w:val="left"/>
              <w:rPr>
                <w:rFonts w:ascii="Times New Roman" w:hAnsi="Times New Roman" w:cs="Times New Roman" w:eastAsia="Times New Roman" w:hint="default"/>
                <w:sz w:val="18"/>
                <w:szCs w:val="18"/>
              </w:rPr>
            </w:pPr>
            <w:r>
              <w:rPr>
                <w:rFonts w:ascii="Times New Roman"/>
                <w:sz w:val="18"/>
              </w:rPr>
              <w:t>---</w:t>
            </w:r>
          </w:p>
        </w:tc>
        <w:tc>
          <w:tcPr>
            <w:tcW w:w="2213" w:type="dxa"/>
            <w:vMerge w:val="restart"/>
            <w:tcBorders>
              <w:top w:val="single" w:sz="4" w:space="0" w:color="000000"/>
              <w:left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22" w:type="dxa"/>
            <w:vMerge w:val="restart"/>
            <w:tcBorders>
              <w:top w:val="single" w:sz="4" w:space="0" w:color="000000"/>
              <w:left w:val="single" w:sz="4" w:space="0" w:color="000000"/>
              <w:right w:val="nil" w:sz="6" w:space="0" w:color="auto"/>
            </w:tcBorders>
          </w:tcPr>
          <w:p>
            <w:pPr>
              <w:pStyle w:val="TableParagraph"/>
              <w:spacing w:line="240" w:lineRule="auto" w:before="60"/>
              <w:ind w:left="1763" w:right="0"/>
              <w:jc w:val="left"/>
              <w:rPr>
                <w:rFonts w:ascii="Times New Roman" w:hAnsi="Times New Roman" w:cs="Times New Roman" w:eastAsia="Times New Roman" w:hint="default"/>
                <w:sz w:val="18"/>
                <w:szCs w:val="18"/>
              </w:rPr>
            </w:pPr>
            <w:r>
              <w:rPr>
                <w:rFonts w:ascii="Times New Roman"/>
                <w:sz w:val="18"/>
              </w:rPr>
              <w:t>6,478,215.08</w:t>
            </w: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61" w:right="0"/>
              <w:jc w:val="left"/>
              <w:rPr>
                <w:rFonts w:ascii="Times New Roman" w:hAnsi="Times New Roman" w:cs="Times New Roman" w:eastAsia="Times New Roman" w:hint="default"/>
                <w:sz w:val="18"/>
                <w:szCs w:val="18"/>
              </w:rPr>
            </w:pPr>
            <w:r>
              <w:rPr>
                <w:rFonts w:ascii="Times New Roman"/>
                <w:sz w:val="18"/>
              </w:rPr>
              <w:t>---</w:t>
            </w:r>
          </w:p>
        </w:tc>
        <w:tc>
          <w:tcPr>
            <w:tcW w:w="2213" w:type="dxa"/>
            <w:vMerge/>
            <w:tcBorders>
              <w:left w:val="single" w:sz="4" w:space="0" w:color="000000"/>
              <w:right w:val="single" w:sz="4" w:space="0" w:color="000000"/>
            </w:tcBorders>
          </w:tcPr>
          <w:p>
            <w:pPr/>
          </w:p>
        </w:tc>
        <w:tc>
          <w:tcPr>
            <w:tcW w:w="2722" w:type="dxa"/>
            <w:vMerge/>
            <w:tcBorders>
              <w:left w:val="single" w:sz="4" w:space="0" w:color="000000"/>
              <w:right w:val="nil" w:sz="6" w:space="0" w:color="auto"/>
            </w:tcBorders>
          </w:tcPr>
          <w:p>
            <w:pP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6,478,215.08</w:t>
            </w:r>
          </w:p>
        </w:tc>
        <w:tc>
          <w:tcPr>
            <w:tcW w:w="2213" w:type="dxa"/>
            <w:vMerge/>
            <w:tcBorders>
              <w:left w:val="single" w:sz="4" w:space="0" w:color="000000"/>
              <w:bottom w:val="single" w:sz="4" w:space="0" w:color="000000"/>
              <w:right w:val="single" w:sz="4" w:space="0" w:color="000000"/>
            </w:tcBorders>
          </w:tcPr>
          <w:p>
            <w:pPr/>
          </w:p>
        </w:tc>
        <w:tc>
          <w:tcPr>
            <w:tcW w:w="2722" w:type="dxa"/>
            <w:vMerge/>
            <w:tcBorders>
              <w:left w:val="single" w:sz="4" w:space="0" w:color="000000"/>
              <w:bottom w:val="single" w:sz="4" w:space="0" w:color="000000"/>
              <w:right w:val="nil" w:sz="6" w:space="0" w:color="auto"/>
            </w:tcBorders>
          </w:tcPr>
          <w:p>
            <w:pP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82,240,821.55</w:t>
            </w:r>
          </w:p>
        </w:tc>
        <w:tc>
          <w:tcPr>
            <w:tcW w:w="2213" w:type="dxa"/>
            <w:vMerge w:val="restart"/>
            <w:tcBorders>
              <w:top w:val="single" w:sz="4" w:space="0" w:color="000000"/>
              <w:left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22" w:type="dxa"/>
            <w:vMerge w:val="restart"/>
            <w:tcBorders>
              <w:top w:val="single" w:sz="4" w:space="0" w:color="000000"/>
              <w:left w:val="single" w:sz="4" w:space="0" w:color="000000"/>
              <w:right w:val="nil" w:sz="6" w:space="0" w:color="auto"/>
            </w:tcBorders>
          </w:tcPr>
          <w:p>
            <w:pPr>
              <w:pStyle w:val="TableParagraph"/>
              <w:spacing w:line="240" w:lineRule="auto" w:before="60"/>
              <w:ind w:left="1673" w:right="0"/>
              <w:jc w:val="left"/>
              <w:rPr>
                <w:rFonts w:ascii="Times New Roman" w:hAnsi="Times New Roman" w:cs="Times New Roman" w:eastAsia="Times New Roman" w:hint="default"/>
                <w:sz w:val="18"/>
                <w:szCs w:val="18"/>
              </w:rPr>
            </w:pPr>
            <w:r>
              <w:rPr>
                <w:rFonts w:ascii="Times New Roman"/>
                <w:sz w:val="18"/>
              </w:rPr>
              <w:t>82,240,821.55</w:t>
            </w: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61" w:right="0"/>
              <w:jc w:val="left"/>
              <w:rPr>
                <w:rFonts w:ascii="Times New Roman" w:hAnsi="Times New Roman" w:cs="Times New Roman" w:eastAsia="Times New Roman" w:hint="default"/>
                <w:sz w:val="18"/>
                <w:szCs w:val="18"/>
              </w:rPr>
            </w:pPr>
            <w:r>
              <w:rPr>
                <w:rFonts w:ascii="Times New Roman"/>
                <w:sz w:val="18"/>
              </w:rPr>
              <w:t>---</w:t>
            </w:r>
          </w:p>
        </w:tc>
        <w:tc>
          <w:tcPr>
            <w:tcW w:w="2213" w:type="dxa"/>
            <w:vMerge/>
            <w:tcBorders>
              <w:left w:val="single" w:sz="4" w:space="0" w:color="000000"/>
              <w:bottom w:val="single" w:sz="4" w:space="0" w:color="000000"/>
              <w:right w:val="single" w:sz="4" w:space="0" w:color="000000"/>
            </w:tcBorders>
          </w:tcPr>
          <w:p>
            <w:pPr/>
          </w:p>
        </w:tc>
        <w:tc>
          <w:tcPr>
            <w:tcW w:w="2722" w:type="dxa"/>
            <w:vMerge/>
            <w:tcBorders>
              <w:left w:val="single" w:sz="4" w:space="0" w:color="000000"/>
              <w:bottom w:val="single" w:sz="4" w:space="0" w:color="000000"/>
              <w:right w:val="nil" w:sz="6" w:space="0" w:color="auto"/>
            </w:tcBorders>
          </w:tcPr>
          <w:p>
            <w:pP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5,711,094.00</w:t>
            </w:r>
          </w:p>
        </w:tc>
        <w:tc>
          <w:tcPr>
            <w:tcW w:w="2213" w:type="dxa"/>
            <w:vMerge w:val="restart"/>
            <w:tcBorders>
              <w:top w:val="single" w:sz="4" w:space="0" w:color="000000"/>
              <w:left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722" w:type="dxa"/>
            <w:vMerge w:val="restart"/>
            <w:tcBorders>
              <w:top w:val="single" w:sz="4" w:space="0" w:color="000000"/>
              <w:left w:val="single" w:sz="4" w:space="0" w:color="000000"/>
              <w:right w:val="nil" w:sz="6" w:space="0" w:color="auto"/>
            </w:tcBorders>
          </w:tcPr>
          <w:p>
            <w:pPr>
              <w:pStyle w:val="TableParagraph"/>
              <w:spacing w:line="240" w:lineRule="auto" w:before="60"/>
              <w:ind w:left="1673" w:right="0"/>
              <w:jc w:val="left"/>
              <w:rPr>
                <w:rFonts w:ascii="Times New Roman" w:hAnsi="Times New Roman" w:cs="Times New Roman" w:eastAsia="Times New Roman" w:hint="default"/>
                <w:sz w:val="18"/>
                <w:szCs w:val="18"/>
              </w:rPr>
            </w:pPr>
            <w:r>
              <w:rPr>
                <w:rFonts w:ascii="Times New Roman"/>
                <w:sz w:val="18"/>
              </w:rPr>
              <w:t>37,269,239.95</w:t>
            </w: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31,558,145.95</w:t>
            </w:r>
          </w:p>
        </w:tc>
        <w:tc>
          <w:tcPr>
            <w:tcW w:w="2213" w:type="dxa"/>
            <w:vMerge/>
            <w:tcBorders>
              <w:left w:val="single" w:sz="4" w:space="0" w:color="000000"/>
              <w:bottom w:val="single" w:sz="4" w:space="0" w:color="000000"/>
              <w:right w:val="single" w:sz="4" w:space="0" w:color="000000"/>
            </w:tcBorders>
          </w:tcPr>
          <w:p>
            <w:pPr/>
          </w:p>
        </w:tc>
        <w:tc>
          <w:tcPr>
            <w:tcW w:w="2722" w:type="dxa"/>
            <w:vMerge/>
            <w:tcBorders>
              <w:left w:val="single" w:sz="4" w:space="0" w:color="000000"/>
              <w:bottom w:val="single" w:sz="4" w:space="0" w:color="000000"/>
              <w:right w:val="nil" w:sz="6" w:space="0" w:color="auto"/>
            </w:tcBorders>
          </w:tcPr>
          <w:p>
            <w:pP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31,500.09</w:t>
            </w:r>
          </w:p>
        </w:tc>
        <w:tc>
          <w:tcPr>
            <w:tcW w:w="2213" w:type="dxa"/>
            <w:vMerge w:val="restart"/>
            <w:tcBorders>
              <w:top w:val="single" w:sz="4" w:space="0" w:color="000000"/>
              <w:left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22" w:type="dxa"/>
            <w:vMerge w:val="restart"/>
            <w:tcBorders>
              <w:top w:val="single" w:sz="4" w:space="0" w:color="000000"/>
              <w:left w:val="single" w:sz="4" w:space="0" w:color="000000"/>
              <w:right w:val="nil" w:sz="6" w:space="0" w:color="auto"/>
            </w:tcBorders>
          </w:tcPr>
          <w:p>
            <w:pPr>
              <w:pStyle w:val="TableParagraph"/>
              <w:spacing w:line="240" w:lineRule="auto" w:before="60"/>
              <w:ind w:left="1763" w:right="0"/>
              <w:jc w:val="left"/>
              <w:rPr>
                <w:rFonts w:ascii="Times New Roman" w:hAnsi="Times New Roman" w:cs="Times New Roman" w:eastAsia="Times New Roman" w:hint="default"/>
                <w:sz w:val="18"/>
                <w:szCs w:val="18"/>
              </w:rPr>
            </w:pPr>
            <w:r>
              <w:rPr>
                <w:rFonts w:ascii="Times New Roman"/>
                <w:sz w:val="18"/>
              </w:rPr>
              <w:t>5,336,584.97</w:t>
            </w: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61" w:right="0"/>
              <w:jc w:val="left"/>
              <w:rPr>
                <w:rFonts w:ascii="Times New Roman" w:hAnsi="Times New Roman" w:cs="Times New Roman" w:eastAsia="Times New Roman" w:hint="default"/>
                <w:sz w:val="18"/>
                <w:szCs w:val="18"/>
              </w:rPr>
            </w:pPr>
            <w:r>
              <w:rPr>
                <w:rFonts w:ascii="Times New Roman"/>
                <w:sz w:val="18"/>
              </w:rPr>
              <w:t>---</w:t>
            </w:r>
          </w:p>
        </w:tc>
        <w:tc>
          <w:tcPr>
            <w:tcW w:w="2213" w:type="dxa"/>
            <w:vMerge/>
            <w:tcBorders>
              <w:left w:val="single" w:sz="4" w:space="0" w:color="000000"/>
              <w:right w:val="single" w:sz="4" w:space="0" w:color="000000"/>
            </w:tcBorders>
          </w:tcPr>
          <w:p>
            <w:pPr/>
          </w:p>
        </w:tc>
        <w:tc>
          <w:tcPr>
            <w:tcW w:w="2722" w:type="dxa"/>
            <w:vMerge/>
            <w:tcBorders>
              <w:left w:val="single" w:sz="4" w:space="0" w:color="000000"/>
              <w:right w:val="nil" w:sz="6" w:space="0" w:color="auto"/>
            </w:tcBorders>
          </w:tcPr>
          <w:p>
            <w:pP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5,305,084.88</w:t>
            </w:r>
          </w:p>
        </w:tc>
        <w:tc>
          <w:tcPr>
            <w:tcW w:w="2213" w:type="dxa"/>
            <w:vMerge/>
            <w:tcBorders>
              <w:left w:val="single" w:sz="4" w:space="0" w:color="000000"/>
              <w:bottom w:val="single" w:sz="4" w:space="0" w:color="000000"/>
              <w:right w:val="single" w:sz="4" w:space="0" w:color="000000"/>
            </w:tcBorders>
          </w:tcPr>
          <w:p>
            <w:pPr/>
          </w:p>
        </w:tc>
        <w:tc>
          <w:tcPr>
            <w:tcW w:w="2722" w:type="dxa"/>
            <w:vMerge/>
            <w:tcBorders>
              <w:left w:val="single" w:sz="4" w:space="0" w:color="000000"/>
              <w:bottom w:val="single" w:sz="4" w:space="0" w:color="000000"/>
              <w:right w:val="nil" w:sz="6" w:space="0" w:color="auto"/>
            </w:tcBorders>
          </w:tcPr>
          <w:p>
            <w:pPr/>
          </w:p>
        </w:tc>
      </w:tr>
      <w:tr>
        <w:trPr>
          <w:trHeight w:val="342" w:hRule="exact"/>
        </w:trPr>
        <w:tc>
          <w:tcPr>
            <w:tcW w:w="2211" w:type="dxa"/>
            <w:vMerge w:val="restart"/>
            <w:tcBorders>
              <w:top w:val="single" w:sz="4" w:space="0" w:color="000000"/>
              <w:left w:val="nil" w:sz="6" w:space="0" w:color="auto"/>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13" w:type="dxa"/>
            <w:vMerge w:val="restart"/>
            <w:tcBorders>
              <w:top w:val="single" w:sz="4" w:space="0" w:color="000000"/>
              <w:left w:val="single" w:sz="4" w:space="0" w:color="000000"/>
              <w:right w:val="single" w:sz="4" w:space="0" w:color="000000"/>
            </w:tcBorders>
          </w:tcPr>
          <w:p>
            <w:pPr>
              <w:pStyle w:val="TableParagraph"/>
              <w:spacing w:line="240" w:lineRule="auto" w:before="60"/>
              <w:ind w:left="1463" w:right="0"/>
              <w:jc w:val="left"/>
              <w:rPr>
                <w:rFonts w:ascii="Times New Roman" w:hAnsi="Times New Roman" w:cs="Times New Roman" w:eastAsia="Times New Roman" w:hint="default"/>
                <w:sz w:val="18"/>
                <w:szCs w:val="18"/>
              </w:rPr>
            </w:pPr>
            <w:r>
              <w:rPr>
                <w:rFonts w:ascii="Times New Roman"/>
                <w:sz w:val="18"/>
              </w:rPr>
              <w:t>37,718,204.25</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19,962,899.22</w:t>
            </w:r>
          </w:p>
        </w:tc>
      </w:tr>
      <w:tr>
        <w:trPr>
          <w:trHeight w:val="342" w:hRule="exact"/>
        </w:trPr>
        <w:tc>
          <w:tcPr>
            <w:tcW w:w="2211" w:type="dxa"/>
            <w:vMerge/>
            <w:tcBorders>
              <w:left w:val="nil" w:sz="6" w:space="0" w:color="auto"/>
              <w:bottom w:val="single" w:sz="4" w:space="0" w:color="000000"/>
              <w:right w:val="single" w:sz="4" w:space="0" w:color="000000"/>
            </w:tcBorders>
          </w:tcPr>
          <w:p>
            <w:pPr/>
          </w:p>
        </w:tc>
        <w:tc>
          <w:tcPr>
            <w:tcW w:w="2513" w:type="dxa"/>
            <w:vMerge/>
            <w:tcBorders>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17,755,305.03</w:t>
            </w:r>
          </w:p>
        </w:tc>
      </w:tr>
    </w:tbl>
    <w:p>
      <w:pPr>
        <w:spacing w:line="240" w:lineRule="auto" w:before="2"/>
        <w:rPr>
          <w:rFonts w:ascii="宋体" w:hAnsi="宋体" w:cs="宋体" w:eastAsia="宋体" w:hint="default"/>
          <w:sz w:val="18"/>
          <w:szCs w:val="18"/>
        </w:rPr>
      </w:pPr>
    </w:p>
    <w:p>
      <w:pPr>
        <w:pStyle w:val="Heading3"/>
        <w:spacing w:line="240" w:lineRule="auto" w:before="26"/>
        <w:ind w:right="0"/>
        <w:jc w:val="both"/>
        <w:rPr>
          <w:b w:val="0"/>
          <w:bCs w:val="0"/>
        </w:rPr>
      </w:pPr>
      <w:bookmarkStart w:name="七、与上年度财务报告相比，合并报表范围发生变化的情况说明" w:id="68"/>
      <w:bookmarkEnd w:id="68"/>
      <w:r>
        <w:rPr>
          <w:b w:val="0"/>
          <w:bCs w:val="0"/>
        </w:rPr>
      </w:r>
      <w:r>
        <w:rPr/>
        <w:t>七、与上年度财务报告相比，合并报表范围发生变化的情况说明</w:t>
      </w:r>
      <w:r>
        <w:rPr>
          <w:b w:val="0"/>
          <w:bCs w:val="0"/>
        </w:rPr>
      </w:r>
    </w:p>
    <w:p>
      <w:pPr>
        <w:spacing w:line="240" w:lineRule="auto" w:before="3"/>
        <w:rPr>
          <w:rFonts w:ascii="宋体" w:hAnsi="宋体" w:cs="宋体" w:eastAsia="宋体" w:hint="default"/>
          <w:b/>
          <w:bCs/>
          <w:sz w:val="30"/>
          <w:szCs w:val="30"/>
        </w:rPr>
      </w:pPr>
    </w:p>
    <w:p>
      <w:pPr>
        <w:pStyle w:val="Heading5"/>
        <w:spacing w:line="345" w:lineRule="auto"/>
        <w:ind w:left="574" w:right="1151" w:hanging="4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本公司原持有东莞市金运汇研激光科技有限公司（已更名为</w:t>
      </w:r>
      <w:r>
        <w:rPr>
          <w:rFonts w:ascii="Times New Roman" w:hAnsi="Times New Roman" w:cs="Times New Roman" w:eastAsia="Times New Roman" w:hint="default"/>
        </w:rPr>
        <w:t>“</w:t>
      </w:r>
      <w:r>
        <w:rPr/>
        <w:t>东莞市汇樾科技有限公司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51%</w:t>
      </w:r>
      <w:r>
        <w:rPr/>
        <w:t>股权，</w:t>
      </w:r>
    </w:p>
    <w:p>
      <w:pPr>
        <w:pStyle w:val="Heading5"/>
        <w:spacing w:line="314" w:lineRule="auto"/>
        <w:ind w:right="1130"/>
        <w:jc w:val="both"/>
      </w:pPr>
      <w:r>
        <w:rPr/>
        <w:t>于</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23</w:t>
      </w:r>
      <w:r>
        <w:rPr>
          <w:rFonts w:ascii="Times New Roman" w:hAnsi="Times New Roman" w:cs="Times New Roman" w:eastAsia="Times New Roman" w:hint="default"/>
          <w:spacing w:val="29"/>
        </w:rPr>
        <w:t> </w:t>
      </w:r>
      <w:r>
        <w:rPr/>
        <w:t>日签订《东莞市金运汇研激光科技有限公司股东转让出资协议》，将东莞市金运汇研激 光科技有限公司</w:t>
      </w:r>
      <w:r>
        <w:rPr>
          <w:rFonts w:ascii="Times New Roman" w:hAnsi="Times New Roman" w:cs="Times New Roman" w:eastAsia="Times New Roman" w:hint="default"/>
        </w:rPr>
        <w:t>51%</w:t>
      </w:r>
      <w:r>
        <w:rPr/>
        <w:t>的股权以</w:t>
      </w:r>
      <w:r>
        <w:rPr>
          <w:rFonts w:ascii="Times New Roman" w:hAnsi="Times New Roman" w:cs="Times New Roman" w:eastAsia="Times New Roman" w:hint="default"/>
        </w:rPr>
        <w:t>60 </w:t>
      </w:r>
      <w:r>
        <w:rPr/>
        <w:t>万元的对价转让给张毅兵，该股权转让于</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日完成了工商变 更登记。本期不再纳入合并范围。</w:t>
      </w:r>
    </w:p>
    <w:p>
      <w:pPr>
        <w:spacing w:line="240" w:lineRule="auto" w:before="10"/>
        <w:rPr>
          <w:rFonts w:ascii="宋体" w:hAnsi="宋体" w:cs="宋体" w:eastAsia="宋体" w:hint="default"/>
          <w:sz w:val="18"/>
          <w:szCs w:val="18"/>
        </w:rPr>
      </w:pPr>
    </w:p>
    <w:p>
      <w:pPr>
        <w:pStyle w:val="Heading3"/>
        <w:spacing w:line="240" w:lineRule="auto"/>
        <w:ind w:right="0"/>
        <w:jc w:val="both"/>
        <w:rPr>
          <w:b w:val="0"/>
          <w:bCs w:val="0"/>
        </w:rPr>
      </w:pPr>
      <w:bookmarkStart w:name="八、聘任、解聘会计师事务所情况" w:id="69"/>
      <w:bookmarkEnd w:id="69"/>
      <w:r>
        <w:rPr>
          <w:b w:val="0"/>
          <w:bCs w:val="0"/>
        </w:rPr>
      </w:r>
      <w:r>
        <w:rPr/>
        <w:t>八、聘任、解聘会计师事务所情况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pPr>
      <w:r>
        <w:rPr/>
        <w:t>现聘任的会计事务所</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李轶芳、陈瑜星</w:t>
            </w:r>
          </w:p>
        </w:tc>
      </w:tr>
      <w:tr>
        <w:trPr>
          <w:trHeight w:val="402" w:hRule="exact"/>
        </w:trPr>
        <w:tc>
          <w:tcPr>
            <w:tcW w:w="47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bl>
    <w:p>
      <w:pPr>
        <w:spacing w:line="240" w:lineRule="auto" w:before="12"/>
        <w:rPr>
          <w:rFonts w:ascii="宋体" w:hAnsi="宋体" w:cs="宋体" w:eastAsia="宋体" w:hint="default"/>
          <w:sz w:val="4"/>
          <w:szCs w:val="4"/>
        </w:rPr>
      </w:pPr>
    </w:p>
    <w:p>
      <w:pPr>
        <w:pStyle w:val="Heading5"/>
        <w:spacing w:line="240" w:lineRule="auto" w:before="35"/>
        <w:ind w:right="0"/>
        <w:jc w:val="left"/>
      </w:pPr>
      <w:r>
        <w:rPr/>
        <w:t>是否改聘会计师事务所</w:t>
      </w:r>
    </w:p>
    <w:p>
      <w:pPr>
        <w:pStyle w:val="Heading5"/>
        <w:spacing w:line="345" w:lineRule="auto" w:before="146"/>
        <w:ind w:right="550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聘请内部控制审计会计师事务所、财务顾问或保荐人情况</w:t>
      </w:r>
    </w:p>
    <w:p>
      <w:pPr>
        <w:pStyle w:val="Heading5"/>
        <w:spacing w:line="240" w:lineRule="auto" w:before="5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九、年度报告披露后面临暂停上市和终止上市情况" w:id="70"/>
      <w:bookmarkEnd w:id="70"/>
      <w:r>
        <w:rPr>
          <w:b w:val="0"/>
          <w:bCs w:val="0"/>
        </w:rPr>
      </w:r>
      <w:r>
        <w:rPr/>
        <w:t>九、年度报告披露后面临暂停上市和终止上市情况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十、破产重整相关事项" w:id="71"/>
      <w:bookmarkEnd w:id="71"/>
      <w:r>
        <w:rPr>
          <w:b w:val="0"/>
          <w:bCs w:val="0"/>
        </w:rPr>
      </w:r>
      <w:r>
        <w:rPr/>
        <w:t>十、破产重整相关事项</w:t>
      </w:r>
      <w:r>
        <w:rPr>
          <w:b w:val="0"/>
          <w:bCs w:val="0"/>
        </w:rPr>
      </w:r>
    </w:p>
    <w:p>
      <w:pPr>
        <w:spacing w:line="240" w:lineRule="auto" w:before="3"/>
        <w:rPr>
          <w:rFonts w:ascii="宋体" w:hAnsi="宋体" w:cs="宋体" w:eastAsia="宋体" w:hint="default"/>
          <w:b/>
          <w:bCs/>
          <w:sz w:val="30"/>
          <w:szCs w:val="30"/>
        </w:rPr>
      </w:pPr>
    </w:p>
    <w:p>
      <w:pPr>
        <w:pStyle w:val="Heading5"/>
        <w:spacing w:line="345" w:lineRule="auto"/>
        <w:ind w:right="7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公司报告期未发生破产重整相关事项。</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bookmarkStart w:name="十一、重大诉讼、仲裁事项" w:id="72"/>
      <w:bookmarkEnd w:id="72"/>
      <w:r>
        <w:rPr>
          <w:b w:val="0"/>
          <w:bCs w:val="0"/>
        </w:rPr>
      </w:r>
      <w:r>
        <w:rPr/>
        <w:t>十一、重大诉讼、仲裁事项</w:t>
      </w:r>
      <w:r>
        <w:rPr>
          <w:b w:val="0"/>
          <w:bCs w:val="0"/>
        </w:rPr>
      </w:r>
    </w:p>
    <w:p>
      <w:pPr>
        <w:spacing w:line="240" w:lineRule="auto" w:before="4"/>
        <w:rPr>
          <w:rFonts w:ascii="宋体" w:hAnsi="宋体" w:cs="宋体" w:eastAsia="宋体" w:hint="default"/>
          <w:b/>
          <w:bCs/>
          <w:sz w:val="30"/>
          <w:szCs w:val="30"/>
        </w:rPr>
      </w:pPr>
    </w:p>
    <w:p>
      <w:pPr>
        <w:pStyle w:val="Heading5"/>
        <w:spacing w:line="345" w:lineRule="auto"/>
        <w:ind w:right="7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本年度公司无重大诉讼、仲裁事项。</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bookmarkStart w:name="十二、处罚及整改情况" w:id="73"/>
      <w:bookmarkEnd w:id="73"/>
      <w:r>
        <w:rPr>
          <w:b w:val="0"/>
          <w:bCs w:val="0"/>
        </w:rPr>
      </w:r>
      <w:r>
        <w:rPr/>
        <w:t>十二、处罚及整改情况</w:t>
      </w:r>
      <w:r>
        <w:rPr>
          <w:b w:val="0"/>
          <w:bCs w:val="0"/>
        </w:rPr>
      </w:r>
    </w:p>
    <w:p>
      <w:pPr>
        <w:spacing w:line="240" w:lineRule="auto" w:before="4"/>
        <w:rPr>
          <w:rFonts w:ascii="宋体" w:hAnsi="宋体" w:cs="宋体" w:eastAsia="宋体" w:hint="default"/>
          <w:b/>
          <w:bCs/>
          <w:sz w:val="30"/>
          <w:szCs w:val="30"/>
        </w:rPr>
      </w:pPr>
    </w:p>
    <w:p>
      <w:pPr>
        <w:pStyle w:val="Heading5"/>
        <w:spacing w:line="345" w:lineRule="auto"/>
        <w:ind w:right="7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公司报告期不存在处罚及整改情况。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bookmarkStart w:name="十三、公司及其控股股东、实际控制人的诚信状况" w:id="74"/>
      <w:bookmarkEnd w:id="74"/>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十四、公司股权激励计划、员工持股计划或其他员工激励措施的实施情况" w:id="75"/>
      <w:bookmarkEnd w:id="75"/>
      <w:r>
        <w:rPr>
          <w:b w:val="0"/>
          <w:bCs w:val="0"/>
        </w:rPr>
      </w:r>
      <w:r>
        <w:rPr/>
        <w:t>十四、公司股权激励计划、员工持股计划或其他员工激励措施的实施情况</w:t>
      </w:r>
      <w:r>
        <w:rPr>
          <w:b w:val="0"/>
          <w:bCs w:val="0"/>
        </w:rPr>
      </w:r>
    </w:p>
    <w:p>
      <w:pPr>
        <w:spacing w:line="240" w:lineRule="auto" w:before="4"/>
        <w:rPr>
          <w:rFonts w:ascii="宋体" w:hAnsi="宋体" w:cs="宋体" w:eastAsia="宋体" w:hint="default"/>
          <w:b/>
          <w:bCs/>
          <w:sz w:val="30"/>
          <w:szCs w:val="30"/>
        </w:rPr>
      </w:pPr>
    </w:p>
    <w:p>
      <w:pPr>
        <w:pStyle w:val="Heading5"/>
        <w:spacing w:line="345" w:lineRule="auto"/>
        <w:ind w:right="34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公司报告期无股权激励计划、员工持股计划或其他员工激励措施及其实施情况。</w:t>
      </w:r>
    </w:p>
    <w:p>
      <w:pPr>
        <w:spacing w:after="0" w:line="345"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十五、重大关联交易" w:id="76"/>
      <w:bookmarkEnd w:id="76"/>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77"/>
      <w:bookmarkEnd w:id="7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30"/>
          <w:szCs w:val="30"/>
        </w:rPr>
      </w:pPr>
    </w:p>
    <w:p>
      <w:pPr>
        <w:pStyle w:val="Heading5"/>
        <w:spacing w:line="345" w:lineRule="auto"/>
        <w:ind w:right="59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公司报告期未发生与日常经营相关的重大关联交易。</w:t>
      </w:r>
    </w:p>
    <w:p>
      <w:pPr>
        <w:spacing w:line="240" w:lineRule="auto" w:before="3"/>
        <w:rPr>
          <w:rFonts w:ascii="宋体" w:hAnsi="宋体" w:cs="宋体" w:eastAsia="宋体" w:hint="default"/>
          <w:sz w:val="18"/>
          <w:szCs w:val="18"/>
        </w:rPr>
      </w:pPr>
    </w:p>
    <w:p>
      <w:pPr>
        <w:pStyle w:val="Heading4"/>
        <w:spacing w:line="240" w:lineRule="auto"/>
        <w:ind w:right="0"/>
        <w:jc w:val="left"/>
        <w:rPr>
          <w:b w:val="0"/>
          <w:bCs w:val="0"/>
        </w:rPr>
      </w:pPr>
      <w:bookmarkStart w:name="2、资产或股权收购、出售发生的关联交易" w:id="78"/>
      <w:bookmarkEnd w:id="78"/>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30"/>
          <w:szCs w:val="30"/>
        </w:rPr>
      </w:pPr>
    </w:p>
    <w:p>
      <w:pPr>
        <w:pStyle w:val="Heading5"/>
        <w:spacing w:line="345" w:lineRule="auto"/>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公司报告期未发生资产或股权收购、出售的关联交易。</w:t>
      </w:r>
    </w:p>
    <w:p>
      <w:pPr>
        <w:spacing w:line="240" w:lineRule="auto" w:before="3"/>
        <w:rPr>
          <w:rFonts w:ascii="宋体" w:hAnsi="宋体" w:cs="宋体" w:eastAsia="宋体" w:hint="default"/>
          <w:sz w:val="18"/>
          <w:szCs w:val="18"/>
        </w:rPr>
      </w:pPr>
    </w:p>
    <w:p>
      <w:pPr>
        <w:pStyle w:val="Heading4"/>
        <w:spacing w:line="240" w:lineRule="auto"/>
        <w:ind w:right="0"/>
        <w:jc w:val="left"/>
        <w:rPr>
          <w:b w:val="0"/>
          <w:bCs w:val="0"/>
        </w:rPr>
      </w:pPr>
      <w:bookmarkStart w:name="3、共同对外投资的关联交易" w:id="79"/>
      <w:bookmarkEnd w:id="79"/>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30"/>
          <w:szCs w:val="30"/>
        </w:rPr>
      </w:pPr>
    </w:p>
    <w:p>
      <w:pPr>
        <w:pStyle w:val="Heading5"/>
        <w:spacing w:line="345" w:lineRule="auto"/>
        <w:ind w:right="65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公司报告期未发生共同对外投资的关联交易。</w:t>
      </w:r>
    </w:p>
    <w:p>
      <w:pPr>
        <w:spacing w:line="240" w:lineRule="auto" w:before="3"/>
        <w:rPr>
          <w:rFonts w:ascii="宋体" w:hAnsi="宋体" w:cs="宋体" w:eastAsia="宋体" w:hint="default"/>
          <w:sz w:val="18"/>
          <w:szCs w:val="18"/>
        </w:rPr>
      </w:pPr>
    </w:p>
    <w:p>
      <w:pPr>
        <w:pStyle w:val="Heading4"/>
        <w:spacing w:line="240" w:lineRule="auto"/>
        <w:ind w:right="0"/>
        <w:jc w:val="left"/>
        <w:rPr>
          <w:b w:val="0"/>
          <w:bCs w:val="0"/>
        </w:rPr>
      </w:pPr>
      <w:bookmarkStart w:name="4、关联债权债务往来" w:id="80"/>
      <w:bookmarkEnd w:id="8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3"/>
        <w:rPr>
          <w:rFonts w:ascii="宋体" w:hAnsi="宋体" w:cs="宋体" w:eastAsia="宋体" w:hint="default"/>
          <w:b/>
          <w:bCs/>
          <w:sz w:val="30"/>
          <w:szCs w:val="30"/>
        </w:rPr>
      </w:pPr>
    </w:p>
    <w:p>
      <w:pPr>
        <w:pStyle w:val="Heading5"/>
        <w:spacing w:line="348" w:lineRule="auto"/>
        <w:ind w:right="7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公司报告期不存在关联债权债务往来。</w:t>
      </w:r>
    </w:p>
    <w:p>
      <w:pPr>
        <w:spacing w:line="240" w:lineRule="auto" w:before="1"/>
        <w:rPr>
          <w:rFonts w:ascii="宋体" w:hAnsi="宋体" w:cs="宋体" w:eastAsia="宋体" w:hint="default"/>
          <w:sz w:val="18"/>
          <w:szCs w:val="18"/>
        </w:rPr>
      </w:pPr>
    </w:p>
    <w:p>
      <w:pPr>
        <w:pStyle w:val="Heading4"/>
        <w:spacing w:line="240" w:lineRule="auto"/>
        <w:ind w:right="0"/>
        <w:jc w:val="left"/>
        <w:rPr>
          <w:b w:val="0"/>
          <w:bCs w:val="0"/>
        </w:rPr>
      </w:pPr>
      <w:bookmarkStart w:name="5、其他重大关联交易" w:id="81"/>
      <w:bookmarkEnd w:id="8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30"/>
          <w:szCs w:val="30"/>
        </w:rPr>
      </w:pPr>
    </w:p>
    <w:p>
      <w:pPr>
        <w:pStyle w:val="Heading5"/>
        <w:spacing w:line="345" w:lineRule="auto"/>
        <w:ind w:right="7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公司报告期无其他重大关联交易。</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bookmarkStart w:name="十六、重大合同及其履行情况" w:id="82"/>
      <w:bookmarkEnd w:id="82"/>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3"/>
      <w:bookmarkEnd w:id="8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4"/>
      <w:bookmarkEnd w:id="8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3"/>
        <w:rPr>
          <w:rFonts w:ascii="宋体" w:hAnsi="宋体" w:cs="宋体" w:eastAsia="宋体" w:hint="default"/>
          <w:b/>
          <w:bCs/>
          <w:sz w:val="30"/>
          <w:szCs w:val="30"/>
        </w:rPr>
      </w:pPr>
    </w:p>
    <w:p>
      <w:pPr>
        <w:pStyle w:val="Heading5"/>
        <w:spacing w:line="345" w:lineRule="auto"/>
        <w:ind w:right="8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公司报告期不存在托管情况。</w:t>
      </w:r>
    </w:p>
    <w:p>
      <w:pPr>
        <w:spacing w:line="240" w:lineRule="auto" w:before="3"/>
        <w:rPr>
          <w:rFonts w:ascii="宋体" w:hAnsi="宋体" w:cs="宋体" w:eastAsia="宋体" w:hint="default"/>
          <w:sz w:val="18"/>
          <w:szCs w:val="18"/>
        </w:rPr>
      </w:pPr>
    </w:p>
    <w:p>
      <w:pPr>
        <w:pStyle w:val="Heading4"/>
        <w:spacing w:line="240" w:lineRule="auto"/>
        <w:ind w:right="0"/>
        <w:jc w:val="left"/>
        <w:rPr>
          <w:b w:val="0"/>
          <w:bCs w:val="0"/>
        </w:rPr>
      </w:pPr>
      <w:bookmarkStart w:name="（2）承包情况" w:id="85"/>
      <w:bookmarkEnd w:id="8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30"/>
          <w:szCs w:val="30"/>
        </w:rPr>
      </w:pPr>
    </w:p>
    <w:p>
      <w:pPr>
        <w:pStyle w:val="Heading5"/>
        <w:spacing w:line="345" w:lineRule="auto"/>
        <w:ind w:right="8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公司报告期不存在承包情况。</w:t>
      </w:r>
    </w:p>
    <w:p>
      <w:pPr>
        <w:spacing w:after="0" w:line="345"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234" w:right="7980"/>
        <w:jc w:val="left"/>
        <w:rPr>
          <w:b w:val="0"/>
          <w:bCs w:val="0"/>
        </w:rPr>
      </w:pPr>
      <w:bookmarkStart w:name="（3）租赁情况" w:id="86"/>
      <w:bookmarkEnd w:id="8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30"/>
          <w:szCs w:val="30"/>
        </w:rPr>
      </w:pPr>
    </w:p>
    <w:p>
      <w:pPr>
        <w:pStyle w:val="Heading5"/>
        <w:spacing w:line="345" w:lineRule="auto"/>
        <w:ind w:left="234" w:right="79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租赁情况说明</w:t>
      </w:r>
    </w:p>
    <w:tbl>
      <w:tblPr>
        <w:tblW w:w="0" w:type="auto"/>
        <w:jc w:val="left"/>
        <w:tblInd w:w="106" w:type="dxa"/>
        <w:tblLayout w:type="fixed"/>
        <w:tblCellMar>
          <w:top w:w="0" w:type="dxa"/>
          <w:left w:w="0" w:type="dxa"/>
          <w:bottom w:w="0" w:type="dxa"/>
          <w:right w:w="0" w:type="dxa"/>
        </w:tblCellMar>
        <w:tblLook w:val="01E0"/>
      </w:tblPr>
      <w:tblGrid>
        <w:gridCol w:w="3100"/>
        <w:gridCol w:w="2127"/>
        <w:gridCol w:w="2321"/>
        <w:gridCol w:w="2322"/>
      </w:tblGrid>
      <w:tr>
        <w:trPr>
          <w:trHeight w:val="402"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8"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本期确认租赁收入</w:t>
            </w:r>
          </w:p>
        </w:tc>
        <w:tc>
          <w:tcPr>
            <w:tcW w:w="2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4"/>
              <w:jc w:val="center"/>
              <w:rPr>
                <w:rFonts w:ascii="宋体" w:hAnsi="宋体" w:cs="宋体" w:eastAsia="宋体" w:hint="default"/>
                <w:sz w:val="18"/>
                <w:szCs w:val="18"/>
              </w:rPr>
            </w:pPr>
            <w:r>
              <w:rPr>
                <w:rFonts w:ascii="宋体" w:hAnsi="宋体" w:cs="宋体" w:eastAsia="宋体" w:hint="default"/>
                <w:sz w:val="18"/>
                <w:szCs w:val="18"/>
              </w:rPr>
              <w:t>上期确认租赁收入</w:t>
            </w:r>
          </w:p>
        </w:tc>
      </w:tr>
      <w:tr>
        <w:trPr>
          <w:trHeight w:val="402"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7" w:right="0"/>
              <w:jc w:val="center"/>
              <w:rPr>
                <w:rFonts w:ascii="宋体" w:hAnsi="宋体" w:cs="宋体" w:eastAsia="宋体" w:hint="default"/>
                <w:sz w:val="18"/>
                <w:szCs w:val="18"/>
              </w:rPr>
            </w:pPr>
            <w:r>
              <w:rPr>
                <w:rFonts w:ascii="宋体" w:hAnsi="宋体" w:cs="宋体" w:eastAsia="宋体" w:hint="default"/>
                <w:sz w:val="18"/>
                <w:szCs w:val="18"/>
              </w:rPr>
              <w:t>武汉金运加科技孵化器有限公司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Times New Roman" w:hAnsi="Times New Roman" w:cs="Times New Roman" w:eastAsia="Times New Roman" w:hint="default"/>
                <w:sz w:val="18"/>
                <w:szCs w:val="18"/>
              </w:rPr>
            </w:pPr>
            <w:r>
              <w:rPr>
                <w:rFonts w:ascii="Times New Roman"/>
                <w:sz w:val="18"/>
              </w:rPr>
              <w:t>2,514,285.72</w:t>
            </w:r>
          </w:p>
        </w:tc>
        <w:tc>
          <w:tcPr>
            <w:tcW w:w="2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2"/>
              <w:jc w:val="center"/>
              <w:rPr>
                <w:rFonts w:ascii="Times New Roman" w:hAnsi="Times New Roman" w:cs="Times New Roman" w:eastAsia="Times New Roman" w:hint="default"/>
                <w:sz w:val="18"/>
                <w:szCs w:val="18"/>
              </w:rPr>
            </w:pPr>
            <w:r>
              <w:rPr>
                <w:rFonts w:ascii="Times New Roman"/>
                <w:sz w:val="18"/>
              </w:rPr>
              <w:t>2,514,285.72</w:t>
            </w:r>
          </w:p>
        </w:tc>
      </w:tr>
      <w:tr>
        <w:trPr>
          <w:trHeight w:val="402"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Times New Roman" w:hAnsi="Times New Roman" w:cs="Times New Roman" w:eastAsia="Times New Roman" w:hint="default"/>
                <w:sz w:val="18"/>
                <w:szCs w:val="18"/>
              </w:rPr>
            </w:pPr>
            <w:r>
              <w:rPr>
                <w:rFonts w:ascii="Times New Roman"/>
                <w:sz w:val="18"/>
              </w:rPr>
              <w:t>2,514,285.72</w:t>
            </w:r>
          </w:p>
        </w:tc>
        <w:tc>
          <w:tcPr>
            <w:tcW w:w="2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2"/>
              <w:jc w:val="center"/>
              <w:rPr>
                <w:rFonts w:ascii="Times New Roman" w:hAnsi="Times New Roman" w:cs="Times New Roman" w:eastAsia="Times New Roman" w:hint="default"/>
                <w:sz w:val="18"/>
                <w:szCs w:val="18"/>
              </w:rPr>
            </w:pPr>
            <w:r>
              <w:rPr>
                <w:rFonts w:ascii="Times New Roman"/>
                <w:sz w:val="18"/>
              </w:rPr>
              <w:t>2,514,285.72</w:t>
            </w:r>
          </w:p>
        </w:tc>
      </w:tr>
    </w:tbl>
    <w:p>
      <w:pPr>
        <w:spacing w:line="240" w:lineRule="auto" w:before="3"/>
        <w:rPr>
          <w:rFonts w:ascii="宋体" w:hAnsi="宋体" w:cs="宋体" w:eastAsia="宋体" w:hint="default"/>
          <w:sz w:val="28"/>
          <w:szCs w:val="28"/>
        </w:rPr>
      </w:pPr>
    </w:p>
    <w:p>
      <w:pPr>
        <w:pStyle w:val="Heading5"/>
        <w:spacing w:line="240" w:lineRule="auto" w:before="35"/>
        <w:ind w:left="234" w:right="0"/>
        <w:jc w:val="left"/>
      </w:pPr>
      <w:r>
        <w:rPr/>
        <w:t>为公司带来的损益达到公司报告期利润总额</w:t>
      </w:r>
      <w:r>
        <w:rPr>
          <w:spacing w:val="-52"/>
        </w:rPr>
        <w:t> </w:t>
      </w:r>
      <w:r>
        <w:rPr>
          <w:rFonts w:ascii="Times New Roman" w:hAnsi="Times New Roman" w:cs="Times New Roman" w:eastAsia="Times New Roman" w:hint="default"/>
        </w:rPr>
        <w:t>10%</w:t>
      </w:r>
      <w:r>
        <w:rPr/>
        <w:t>以上的项目</w:t>
      </w:r>
    </w:p>
    <w:p>
      <w:pPr>
        <w:pStyle w:val="Heading5"/>
        <w:spacing w:line="240" w:lineRule="auto" w:before="130"/>
        <w:ind w:left="234" w:right="79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pStyle w:val="Heading5"/>
        <w:spacing w:line="240" w:lineRule="auto" w:before="129"/>
        <w:ind w:left="234" w:right="0"/>
        <w:jc w:val="left"/>
      </w:pPr>
      <w:r>
        <w:rPr/>
        <w:t>公司报告期不存在为公司带来的损益达到公司报告期利润总额</w:t>
      </w:r>
      <w:r>
        <w:rPr>
          <w:spacing w:val="-54"/>
        </w:rPr>
        <w:t> </w:t>
      </w:r>
      <w:r>
        <w:rPr>
          <w:rFonts w:ascii="Times New Roman" w:hAnsi="Times New Roman" w:cs="Times New Roman" w:eastAsia="Times New Roman" w:hint="default"/>
        </w:rPr>
        <w:t>10%</w:t>
      </w:r>
      <w:r>
        <w:rPr/>
        <w:t>以上的租赁项目。</w:t>
      </w:r>
    </w:p>
    <w:p>
      <w:pPr>
        <w:spacing w:line="240" w:lineRule="auto" w:before="1"/>
        <w:rPr>
          <w:rFonts w:ascii="宋体" w:hAnsi="宋体" w:cs="宋体" w:eastAsia="宋体" w:hint="default"/>
          <w:sz w:val="24"/>
          <w:szCs w:val="24"/>
        </w:rPr>
      </w:pPr>
    </w:p>
    <w:p>
      <w:pPr>
        <w:pStyle w:val="Heading4"/>
        <w:spacing w:line="240" w:lineRule="auto"/>
        <w:ind w:left="234" w:right="7980"/>
        <w:jc w:val="left"/>
        <w:rPr>
          <w:b w:val="0"/>
          <w:bCs w:val="0"/>
        </w:rPr>
      </w:pPr>
      <w:bookmarkStart w:name="2、重大担保" w:id="87"/>
      <w:bookmarkEnd w:id="87"/>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3"/>
        <w:rPr>
          <w:rFonts w:ascii="宋体" w:hAnsi="宋体" w:cs="宋体" w:eastAsia="宋体" w:hint="default"/>
          <w:b/>
          <w:bCs/>
          <w:sz w:val="30"/>
          <w:szCs w:val="30"/>
        </w:rPr>
      </w:pPr>
    </w:p>
    <w:p>
      <w:pPr>
        <w:pStyle w:val="Heading5"/>
        <w:spacing w:line="345" w:lineRule="auto"/>
        <w:ind w:left="234" w:right="79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公司报告期不存在担保情况。</w:t>
      </w:r>
    </w:p>
    <w:p>
      <w:pPr>
        <w:spacing w:line="240" w:lineRule="auto" w:before="3"/>
        <w:rPr>
          <w:rFonts w:ascii="宋体" w:hAnsi="宋体" w:cs="宋体" w:eastAsia="宋体" w:hint="default"/>
          <w:sz w:val="18"/>
          <w:szCs w:val="18"/>
        </w:rPr>
      </w:pPr>
    </w:p>
    <w:p>
      <w:pPr>
        <w:pStyle w:val="Heading4"/>
        <w:spacing w:line="240" w:lineRule="auto"/>
        <w:ind w:left="234" w:right="0"/>
        <w:jc w:val="left"/>
        <w:rPr>
          <w:b w:val="0"/>
          <w:bCs w:val="0"/>
        </w:rPr>
      </w:pPr>
      <w:bookmarkStart w:name="3、委托他人进行现金资产管理情况" w:id="88"/>
      <w:bookmarkEnd w:id="88"/>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34" w:right="7980"/>
        <w:jc w:val="left"/>
        <w:rPr>
          <w:b w:val="0"/>
          <w:bCs w:val="0"/>
        </w:rPr>
      </w:pPr>
      <w:bookmarkStart w:name="（1）委托理财情况" w:id="89"/>
      <w:bookmarkEnd w:id="8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30"/>
          <w:szCs w:val="30"/>
        </w:rPr>
      </w:pPr>
    </w:p>
    <w:p>
      <w:pPr>
        <w:pStyle w:val="Heading5"/>
        <w:spacing w:line="345" w:lineRule="auto"/>
        <w:ind w:left="234" w:right="8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公司报告期不存在委托理财。</w:t>
      </w:r>
    </w:p>
    <w:p>
      <w:pPr>
        <w:spacing w:line="240" w:lineRule="auto" w:before="3"/>
        <w:rPr>
          <w:rFonts w:ascii="宋体" w:hAnsi="宋体" w:cs="宋体" w:eastAsia="宋体" w:hint="default"/>
          <w:sz w:val="18"/>
          <w:szCs w:val="18"/>
        </w:rPr>
      </w:pPr>
    </w:p>
    <w:p>
      <w:pPr>
        <w:pStyle w:val="Heading4"/>
        <w:spacing w:line="240" w:lineRule="auto"/>
        <w:ind w:left="234" w:right="7980"/>
        <w:jc w:val="left"/>
        <w:rPr>
          <w:b w:val="0"/>
          <w:bCs w:val="0"/>
        </w:rPr>
      </w:pPr>
      <w:bookmarkStart w:name="（2）委托贷款情况" w:id="90"/>
      <w:bookmarkEnd w:id="90"/>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30"/>
          <w:szCs w:val="30"/>
        </w:rPr>
      </w:pPr>
    </w:p>
    <w:p>
      <w:pPr>
        <w:pStyle w:val="Heading5"/>
        <w:spacing w:line="345" w:lineRule="auto"/>
        <w:ind w:left="234" w:right="80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公司报告期不存在委托贷款。</w:t>
      </w:r>
    </w:p>
    <w:p>
      <w:pPr>
        <w:spacing w:line="240" w:lineRule="auto" w:before="3"/>
        <w:rPr>
          <w:rFonts w:ascii="宋体" w:hAnsi="宋体" w:cs="宋体" w:eastAsia="宋体" w:hint="default"/>
          <w:sz w:val="18"/>
          <w:szCs w:val="18"/>
        </w:rPr>
      </w:pPr>
    </w:p>
    <w:p>
      <w:pPr>
        <w:pStyle w:val="Heading4"/>
        <w:spacing w:line="240" w:lineRule="auto"/>
        <w:ind w:left="234" w:right="7980"/>
        <w:jc w:val="left"/>
        <w:rPr>
          <w:b w:val="0"/>
          <w:bCs w:val="0"/>
        </w:rPr>
      </w:pPr>
      <w:bookmarkStart w:name="4、其他重大合同" w:id="91"/>
      <w:bookmarkEnd w:id="91"/>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30"/>
          <w:szCs w:val="30"/>
        </w:rPr>
      </w:pPr>
    </w:p>
    <w:p>
      <w:pPr>
        <w:pStyle w:val="Heading5"/>
        <w:spacing w:line="345" w:lineRule="auto"/>
        <w:ind w:left="234" w:right="7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公司报告期不存在其他重大合同。</w:t>
      </w:r>
    </w:p>
    <w:p>
      <w:pPr>
        <w:spacing w:line="240" w:lineRule="auto" w:before="6"/>
        <w:rPr>
          <w:rFonts w:ascii="宋体" w:hAnsi="宋体" w:cs="宋体" w:eastAsia="宋体" w:hint="default"/>
          <w:sz w:val="16"/>
          <w:szCs w:val="16"/>
        </w:rPr>
      </w:pPr>
    </w:p>
    <w:p>
      <w:pPr>
        <w:pStyle w:val="Heading3"/>
        <w:spacing w:line="240" w:lineRule="auto"/>
        <w:ind w:left="234" w:right="7980"/>
        <w:jc w:val="left"/>
        <w:rPr>
          <w:b w:val="0"/>
          <w:bCs w:val="0"/>
        </w:rPr>
      </w:pPr>
      <w:bookmarkStart w:name="十七、社会责任情况" w:id="92"/>
      <w:bookmarkEnd w:id="92"/>
      <w:r>
        <w:rPr>
          <w:b w:val="0"/>
          <w:bCs w:val="0"/>
        </w:rPr>
      </w:r>
      <w:r>
        <w:rPr/>
        <w:t>十七、社会责任情况</w:t>
      </w:r>
      <w:r>
        <w:rPr>
          <w:b w:val="0"/>
          <w:bCs w:val="0"/>
        </w:rPr>
      </w:r>
    </w:p>
    <w:p>
      <w:pPr>
        <w:spacing w:line="240" w:lineRule="auto" w:before="10"/>
        <w:rPr>
          <w:rFonts w:ascii="宋体" w:hAnsi="宋体" w:cs="宋体" w:eastAsia="宋体" w:hint="default"/>
          <w:b/>
          <w:bCs/>
          <w:sz w:val="24"/>
          <w:szCs w:val="24"/>
        </w:rPr>
      </w:pPr>
    </w:p>
    <w:p>
      <w:pPr>
        <w:pStyle w:val="Heading5"/>
        <w:spacing w:line="566" w:lineRule="auto"/>
        <w:ind w:left="654" w:right="0" w:hanging="420"/>
        <w:jc w:val="left"/>
      </w:pPr>
      <w:bookmarkStart w:name="1、履行社会责任情况" w:id="93"/>
      <w:bookmarkEnd w:id="93"/>
      <w:r>
        <w:rPr/>
      </w: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99"/>
        </w:rPr>
        <w:t> </w:t>
      </w:r>
      <w:r>
        <w:rPr>
          <w:spacing w:val="-1"/>
        </w:rPr>
        <w:t>公司继续坚持在追求经济效益、保护股东利益的同时，积极保护债权人和职工的合法权益，诚信对待</w:t>
      </w:r>
    </w:p>
    <w:p>
      <w:pPr>
        <w:spacing w:after="0" w:line="566" w:lineRule="auto"/>
        <w:jc w:val="left"/>
        <w:sectPr>
          <w:pgSz w:w="11910" w:h="16840"/>
          <w:pgMar w:header="747" w:footer="979" w:top="1060" w:bottom="1160" w:left="900" w:right="0"/>
        </w:sectPr>
      </w:pPr>
    </w:p>
    <w:p>
      <w:pPr>
        <w:spacing w:line="240" w:lineRule="auto" w:before="0"/>
        <w:rPr>
          <w:rFonts w:ascii="宋体" w:hAnsi="宋体" w:cs="宋体" w:eastAsia="宋体" w:hint="default"/>
          <w:sz w:val="20"/>
          <w:szCs w:val="20"/>
        </w:rPr>
      </w:pPr>
    </w:p>
    <w:p>
      <w:pPr>
        <w:pStyle w:val="Heading5"/>
        <w:spacing w:line="331" w:lineRule="auto" w:before="169"/>
        <w:ind w:right="0"/>
        <w:jc w:val="left"/>
      </w:pPr>
      <w:r>
        <w:rPr>
          <w:spacing w:val="-1"/>
        </w:rPr>
        <w:t>供应商、客户，积极从事环境保护、社区建设等公益事业，促进公司本身与社会的协调、和谐发展，积极</w:t>
      </w:r>
      <w:r>
        <w:rPr>
          <w:spacing w:val="-83"/>
        </w:rPr>
        <w:t> </w:t>
      </w:r>
      <w:r>
        <w:rPr>
          <w:spacing w:val="-83"/>
        </w:rPr>
      </w:r>
      <w:r>
        <w:rPr/>
        <w:t>履行社会责任。</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2、环境保护相关的情况" w:id="94"/>
      <w:bookmarkEnd w:id="94"/>
      <w:r>
        <w:rPr>
          <w:b w:val="0"/>
          <w:bCs w:val="0"/>
        </w:rPr>
      </w:r>
      <w:r>
        <w:rPr>
          <w:rFonts w:ascii="Times New Roman" w:hAnsi="Times New Roman" w:cs="Times New Roman" w:eastAsia="Times New Roman" w:hint="default"/>
        </w:rPr>
        <w:t>2</w:t>
      </w:r>
      <w:r>
        <w:rPr/>
        <w:t>、环境保护相关的情况</w:t>
      </w:r>
      <w:r>
        <w:rPr>
          <w:b w:val="0"/>
          <w:bCs w:val="0"/>
        </w:rPr>
      </w:r>
    </w:p>
    <w:p>
      <w:pPr>
        <w:spacing w:line="240" w:lineRule="auto" w:before="4"/>
        <w:rPr>
          <w:rFonts w:ascii="宋体" w:hAnsi="宋体" w:cs="宋体" w:eastAsia="宋体" w:hint="default"/>
          <w:b/>
          <w:bCs/>
          <w:sz w:val="30"/>
          <w:szCs w:val="30"/>
        </w:rPr>
      </w:pPr>
    </w:p>
    <w:p>
      <w:pPr>
        <w:pStyle w:val="Heading5"/>
        <w:spacing w:line="367" w:lineRule="auto"/>
        <w:ind w:right="4872"/>
        <w:jc w:val="left"/>
      </w:pPr>
      <w:r>
        <w:rPr/>
        <w:t>上市公司及其子公司是否属于环境保护部门公布的重点排污单位 否</w:t>
      </w:r>
    </w:p>
    <w:p>
      <w:pPr>
        <w:pStyle w:val="Heading5"/>
        <w:spacing w:line="240" w:lineRule="auto" w:before="32"/>
        <w:ind w:right="0"/>
        <w:jc w:val="left"/>
      </w:pPr>
      <w:r>
        <w:rPr/>
        <w:t>公司及子公司不属于环境保护部门公布的重点排污单位。</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十八、其他重大事项的说明" w:id="95"/>
      <w:bookmarkEnd w:id="95"/>
      <w:r>
        <w:rPr>
          <w:b w:val="0"/>
          <w:bCs w:val="0"/>
        </w:rPr>
      </w:r>
      <w:r>
        <w:rPr/>
        <w:t>十八、其他重大事项的说明</w:t>
      </w:r>
      <w:r>
        <w:rPr>
          <w:b w:val="0"/>
          <w:bCs w:val="0"/>
        </w:rPr>
      </w:r>
    </w:p>
    <w:p>
      <w:pPr>
        <w:spacing w:line="240" w:lineRule="auto" w:before="3"/>
        <w:rPr>
          <w:rFonts w:ascii="宋体" w:hAnsi="宋体" w:cs="宋体" w:eastAsia="宋体" w:hint="default"/>
          <w:b/>
          <w:bCs/>
          <w:sz w:val="30"/>
          <w:szCs w:val="30"/>
        </w:rPr>
      </w:pPr>
    </w:p>
    <w:p>
      <w:pPr>
        <w:pStyle w:val="Heading5"/>
        <w:spacing w:line="345" w:lineRule="auto"/>
        <w:ind w:right="65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公司报告期不存在需要说明的其他重大事项。</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bookmarkStart w:name="十九、公司子公司重大事项" w:id="96"/>
      <w:bookmarkEnd w:id="96"/>
      <w:r>
        <w:rPr>
          <w:b w:val="0"/>
          <w:bCs w:val="0"/>
        </w:rPr>
      </w:r>
      <w:r>
        <w:rPr/>
        <w:t>十九、公司子公司重大事项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0"/>
        <w:jc w:val="left"/>
        <w:rPr>
          <w:b w:val="0"/>
          <w:bCs w:val="0"/>
        </w:rPr>
      </w:pPr>
      <w:bookmarkStart w:name="第六节 股份变动及股东情况" w:id="97"/>
      <w:bookmarkEnd w:id="97"/>
      <w:r>
        <w:rPr>
          <w:b w:val="0"/>
          <w:bCs w:val="0"/>
        </w:rPr>
      </w:r>
      <w:bookmarkStart w:name="_bookmark5" w:id="98"/>
      <w:bookmarkEnd w:id="98"/>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股份变动情况" w:id="99"/>
      <w:bookmarkEnd w:id="99"/>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0"/>
      <w:bookmarkEnd w:id="10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2"/>
        <w:rPr>
          <w:rFonts w:ascii="宋体" w:hAnsi="宋体" w:cs="宋体" w:eastAsia="宋体" w:hint="default"/>
          <w:sz w:val="10"/>
          <w:szCs w:val="10"/>
        </w:rPr>
      </w:pPr>
    </w:p>
    <w:tbl>
      <w:tblPr>
        <w:tblW w:w="0" w:type="auto"/>
        <w:jc w:val="left"/>
        <w:tblInd w:w="130" w:type="dxa"/>
        <w:tblLayout w:type="fixed"/>
        <w:tblCellMar>
          <w:top w:w="0" w:type="dxa"/>
          <w:left w:w="0" w:type="dxa"/>
          <w:bottom w:w="0" w:type="dxa"/>
          <w:right w:w="0" w:type="dxa"/>
        </w:tblCellMar>
        <w:tblLook w:val="01E0"/>
      </w:tblPr>
      <w:tblGrid>
        <w:gridCol w:w="2226"/>
        <w:gridCol w:w="1151"/>
        <w:gridCol w:w="844"/>
        <w:gridCol w:w="932"/>
        <w:gridCol w:w="500"/>
        <w:gridCol w:w="1151"/>
        <w:gridCol w:w="501"/>
        <w:gridCol w:w="500"/>
        <w:gridCol w:w="1151"/>
        <w:gridCol w:w="827"/>
      </w:tblGrid>
      <w:tr>
        <w:trPr>
          <w:trHeight w:val="224" w:hRule="exact"/>
        </w:trPr>
        <w:tc>
          <w:tcPr>
            <w:tcW w:w="2226" w:type="dxa"/>
            <w:tcBorders>
              <w:top w:val="single" w:sz="4" w:space="0" w:color="000000"/>
              <w:left w:val="nil" w:sz="6" w:space="0" w:color="auto"/>
              <w:bottom w:val="nil" w:sz="6" w:space="0" w:color="auto"/>
              <w:right w:val="single" w:sz="4" w:space="0" w:color="000000"/>
            </w:tcBorders>
            <w:shd w:val="clear" w:color="auto" w:fill="D2D2D2"/>
          </w:tcPr>
          <w:p>
            <w:pPr/>
          </w:p>
        </w:tc>
        <w:tc>
          <w:tcPr>
            <w:tcW w:w="19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54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58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79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78"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68"/>
              <w:ind w:left="5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18" w:hRule="exact"/>
        </w:trPr>
        <w:tc>
          <w:tcPr>
            <w:tcW w:w="2226" w:type="dxa"/>
            <w:vMerge w:val="restart"/>
            <w:tcBorders>
              <w:top w:val="nil" w:sz="6" w:space="0" w:color="auto"/>
              <w:left w:val="nil" w:sz="6" w:space="0" w:color="auto"/>
              <w:right w:val="single" w:sz="4" w:space="0" w:color="000000"/>
            </w:tcBorders>
            <w:shd w:val="clear" w:color="auto" w:fill="D2D2D2"/>
          </w:tcPr>
          <w:p>
            <w:pPr/>
          </w:p>
        </w:tc>
        <w:tc>
          <w:tcPr>
            <w:tcW w:w="1995" w:type="dxa"/>
            <w:gridSpan w:val="2"/>
            <w:vMerge/>
            <w:tcBorders>
              <w:left w:val="single" w:sz="4" w:space="0" w:color="000000"/>
              <w:bottom w:val="single" w:sz="4" w:space="0" w:color="000000"/>
              <w:right w:val="single" w:sz="4" w:space="0" w:color="000000"/>
            </w:tcBorders>
            <w:shd w:val="clear" w:color="auto" w:fill="D2D2D2"/>
          </w:tcPr>
          <w:p>
            <w:pPr/>
          </w:p>
        </w:tc>
        <w:tc>
          <w:tcPr>
            <w:tcW w:w="3585" w:type="dxa"/>
            <w:gridSpan w:val="5"/>
            <w:vMerge/>
            <w:tcBorders>
              <w:left w:val="single" w:sz="4" w:space="0" w:color="000000"/>
              <w:bottom w:val="single" w:sz="4" w:space="0" w:color="000000"/>
              <w:right w:val="single" w:sz="4" w:space="0" w:color="000000"/>
            </w:tcBorders>
            <w:shd w:val="clear" w:color="auto" w:fill="D2D2D2"/>
          </w:tcPr>
          <w:p>
            <w:pPr/>
          </w:p>
        </w:tc>
        <w:tc>
          <w:tcPr>
            <w:tcW w:w="1978" w:type="dxa"/>
            <w:gridSpan w:val="2"/>
            <w:vMerge/>
            <w:tcBorders>
              <w:left w:val="single" w:sz="4" w:space="0" w:color="000000"/>
              <w:bottom w:val="single" w:sz="4" w:space="0" w:color="000000"/>
              <w:right w:val="nil" w:sz="6" w:space="0" w:color="auto"/>
            </w:tcBorders>
            <w:shd w:val="clear" w:color="auto" w:fill="D2D2D2"/>
          </w:tcPr>
          <w:p>
            <w:pPr/>
          </w:p>
        </w:tc>
      </w:tr>
      <w:tr>
        <w:trPr>
          <w:trHeight w:val="173" w:hRule="exact"/>
        </w:trPr>
        <w:tc>
          <w:tcPr>
            <w:tcW w:w="2226" w:type="dxa"/>
            <w:vMerge/>
            <w:tcBorders>
              <w:left w:val="nil" w:sz="6" w:space="0" w:color="auto"/>
              <w:bottom w:val="nil" w:sz="6" w:space="0" w:color="auto"/>
              <w:right w:val="single" w:sz="4" w:space="0" w:color="000000"/>
            </w:tcBorders>
            <w:shd w:val="clear" w:color="auto" w:fill="D2D2D2"/>
          </w:tcPr>
          <w:p>
            <w:pP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3"/>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3"/>
              <w:ind w:left="10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3"/>
              <w:ind w:left="6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3"/>
              <w:ind w:left="11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3"/>
              <w:ind w:left="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3"/>
              <w:ind w:left="6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2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73"/>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51" w:hRule="exact"/>
        </w:trPr>
        <w:tc>
          <w:tcPr>
            <w:tcW w:w="2226" w:type="dxa"/>
            <w:tcBorders>
              <w:top w:val="nil" w:sz="6" w:space="0" w:color="auto"/>
              <w:left w:val="nil" w:sz="6" w:space="0" w:color="auto"/>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844"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501"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827" w:type="dxa"/>
            <w:vMerge/>
            <w:tcBorders>
              <w:left w:val="single" w:sz="4" w:space="0" w:color="000000"/>
              <w:bottom w:val="single" w:sz="4" w:space="0" w:color="000000"/>
              <w:right w:val="nil" w:sz="6" w:space="0" w:color="auto"/>
            </w:tcBorders>
            <w:shd w:val="clear" w:color="auto" w:fill="D2D2D2"/>
          </w:tcPr>
          <w:p>
            <w:pPr/>
          </w:p>
        </w:tc>
      </w:tr>
      <w:tr>
        <w:trPr>
          <w:trHeight w:val="491" w:hRule="exact"/>
        </w:trPr>
        <w:tc>
          <w:tcPr>
            <w:tcW w:w="22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5"/>
              <w:ind w:left="18"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z w:val="18"/>
              </w:rPr>
              <w:t>1,081,087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z w:val="18"/>
              </w:rPr>
              <w:t>0.86%</w:t>
            </w:r>
          </w:p>
        </w:tc>
        <w:tc>
          <w:tcPr>
            <w:tcW w:w="932"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501"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z w:val="18"/>
              </w:rPr>
              <w:t>1,081,087</w:t>
            </w:r>
          </w:p>
        </w:tc>
        <w:tc>
          <w:tcPr>
            <w:tcW w:w="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1"/>
              <w:jc w:val="right"/>
              <w:rPr>
                <w:rFonts w:ascii="Times New Roman" w:hAnsi="Times New Roman" w:cs="Times New Roman" w:eastAsia="Times New Roman" w:hint="default"/>
                <w:sz w:val="18"/>
                <w:szCs w:val="18"/>
              </w:rPr>
            </w:pPr>
            <w:r>
              <w:rPr>
                <w:rFonts w:ascii="Times New Roman"/>
                <w:sz w:val="18"/>
              </w:rPr>
              <w:t>0.86%</w:t>
            </w:r>
          </w:p>
        </w:tc>
      </w:tr>
      <w:tr>
        <w:trPr>
          <w:trHeight w:val="491" w:hRule="exact"/>
        </w:trPr>
        <w:tc>
          <w:tcPr>
            <w:tcW w:w="22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5"/>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z w:val="18"/>
              </w:rPr>
              <w:t>1,081,087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z w:val="18"/>
              </w:rPr>
              <w:t>0.86%</w:t>
            </w:r>
          </w:p>
        </w:tc>
        <w:tc>
          <w:tcPr>
            <w:tcW w:w="932"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501"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z w:val="18"/>
              </w:rPr>
              <w:t>1,081,087</w:t>
            </w:r>
          </w:p>
        </w:tc>
        <w:tc>
          <w:tcPr>
            <w:tcW w:w="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1"/>
              <w:jc w:val="right"/>
              <w:rPr>
                <w:rFonts w:ascii="Times New Roman" w:hAnsi="Times New Roman" w:cs="Times New Roman" w:eastAsia="Times New Roman" w:hint="default"/>
                <w:sz w:val="18"/>
                <w:szCs w:val="18"/>
              </w:rPr>
            </w:pPr>
            <w:r>
              <w:rPr>
                <w:rFonts w:ascii="Times New Roman"/>
                <w:sz w:val="18"/>
              </w:rPr>
              <w:t>0.86%</w:t>
            </w:r>
          </w:p>
        </w:tc>
      </w:tr>
      <w:tr>
        <w:trPr>
          <w:trHeight w:val="472" w:hRule="exact"/>
        </w:trPr>
        <w:tc>
          <w:tcPr>
            <w:tcW w:w="222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87"/>
              <w:ind w:left="558"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1,081,087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0.86%</w:t>
            </w:r>
          </w:p>
        </w:tc>
        <w:tc>
          <w:tcPr>
            <w:tcW w:w="932"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501"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1,081,087</w:t>
            </w:r>
          </w:p>
        </w:tc>
        <w:tc>
          <w:tcPr>
            <w:tcW w:w="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1"/>
              <w:jc w:val="right"/>
              <w:rPr>
                <w:rFonts w:ascii="Times New Roman" w:hAnsi="Times New Roman" w:cs="Times New Roman" w:eastAsia="Times New Roman" w:hint="default"/>
                <w:sz w:val="18"/>
                <w:szCs w:val="18"/>
              </w:rPr>
            </w:pPr>
            <w:r>
              <w:rPr>
                <w:rFonts w:ascii="Times New Roman"/>
                <w:sz w:val="18"/>
              </w:rPr>
              <w:t>0.86%</w:t>
            </w:r>
          </w:p>
        </w:tc>
      </w:tr>
      <w:tr>
        <w:trPr>
          <w:trHeight w:val="492" w:hRule="exact"/>
        </w:trPr>
        <w:tc>
          <w:tcPr>
            <w:tcW w:w="2226" w:type="dxa"/>
            <w:tcBorders>
              <w:top w:val="single" w:sz="4" w:space="0" w:color="000000"/>
              <w:left w:val="nil" w:sz="6" w:space="0" w:color="auto"/>
              <w:bottom w:val="single" w:sz="4" w:space="0" w:color="FFFFFF"/>
              <w:right w:val="single" w:sz="4" w:space="0" w:color="000000"/>
            </w:tcBorders>
            <w:shd w:val="clear" w:color="auto" w:fill="D2D2D2"/>
          </w:tcPr>
          <w:p>
            <w:pPr>
              <w:pStyle w:val="TableParagraph"/>
              <w:spacing w:line="240" w:lineRule="auto" w:before="97"/>
              <w:ind w:left="18"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5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124,918,913</w:t>
            </w:r>
          </w:p>
        </w:tc>
        <w:tc>
          <w:tcPr>
            <w:tcW w:w="84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99.14%</w:t>
            </w:r>
          </w:p>
        </w:tc>
        <w:tc>
          <w:tcPr>
            <w:tcW w:w="932" w:type="dxa"/>
            <w:tcBorders>
              <w:top w:val="single" w:sz="4" w:space="0" w:color="000000"/>
              <w:left w:val="single" w:sz="4" w:space="0" w:color="000000"/>
              <w:bottom w:val="single" w:sz="4" w:space="0" w:color="FFFFFF"/>
              <w:right w:val="single" w:sz="4" w:space="0" w:color="000000"/>
            </w:tcBorders>
          </w:tcPr>
          <w:p>
            <w:pPr/>
          </w:p>
        </w:tc>
        <w:tc>
          <w:tcPr>
            <w:tcW w:w="500" w:type="dxa"/>
            <w:tcBorders>
              <w:top w:val="single" w:sz="4" w:space="0" w:color="000000"/>
              <w:left w:val="single" w:sz="4" w:space="0" w:color="000000"/>
              <w:bottom w:val="single" w:sz="4" w:space="0" w:color="FFFFFF"/>
              <w:right w:val="single" w:sz="4" w:space="0" w:color="000000"/>
            </w:tcBorders>
          </w:tcPr>
          <w:p>
            <w:pPr/>
          </w:p>
        </w:tc>
        <w:tc>
          <w:tcPr>
            <w:tcW w:w="1151" w:type="dxa"/>
            <w:tcBorders>
              <w:top w:val="single" w:sz="4" w:space="0" w:color="000000"/>
              <w:left w:val="single" w:sz="4" w:space="0" w:color="000000"/>
              <w:bottom w:val="single" w:sz="4" w:space="0" w:color="FFFFFF"/>
              <w:right w:val="single" w:sz="4" w:space="0" w:color="000000"/>
            </w:tcBorders>
          </w:tcPr>
          <w:p>
            <w:pPr/>
          </w:p>
        </w:tc>
        <w:tc>
          <w:tcPr>
            <w:tcW w:w="501" w:type="dxa"/>
            <w:tcBorders>
              <w:top w:val="single" w:sz="4" w:space="0" w:color="000000"/>
              <w:left w:val="single" w:sz="4" w:space="0" w:color="000000"/>
              <w:bottom w:val="single" w:sz="4" w:space="0" w:color="FFFFFF"/>
              <w:right w:val="single" w:sz="4" w:space="0" w:color="000000"/>
            </w:tcBorders>
          </w:tcPr>
          <w:p>
            <w:pPr/>
          </w:p>
        </w:tc>
        <w:tc>
          <w:tcPr>
            <w:tcW w:w="500" w:type="dxa"/>
            <w:tcBorders>
              <w:top w:val="single" w:sz="4" w:space="0" w:color="000000"/>
              <w:left w:val="single" w:sz="4" w:space="0" w:color="000000"/>
              <w:bottom w:val="single" w:sz="4" w:space="0" w:color="FFFFFF"/>
              <w:right w:val="single" w:sz="4" w:space="0" w:color="000000"/>
            </w:tcBorders>
          </w:tcPr>
          <w:p>
            <w:pPr/>
          </w:p>
        </w:tc>
        <w:tc>
          <w:tcPr>
            <w:tcW w:w="115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124,918,913</w:t>
            </w:r>
          </w:p>
        </w:tc>
        <w:tc>
          <w:tcPr>
            <w:tcW w:w="827" w:type="dxa"/>
            <w:tcBorders>
              <w:top w:val="single" w:sz="4" w:space="0" w:color="000000"/>
              <w:left w:val="single" w:sz="4" w:space="0" w:color="000000"/>
              <w:bottom w:val="single" w:sz="4" w:space="0" w:color="FFFFFF"/>
              <w:right w:val="nil" w:sz="6" w:space="0" w:color="auto"/>
            </w:tcBorders>
          </w:tcPr>
          <w:p>
            <w:pPr>
              <w:pStyle w:val="TableParagraph"/>
              <w:spacing w:line="240" w:lineRule="auto" w:before="136"/>
              <w:ind w:right="11"/>
              <w:jc w:val="right"/>
              <w:rPr>
                <w:rFonts w:ascii="Times New Roman" w:hAnsi="Times New Roman" w:cs="Times New Roman" w:eastAsia="Times New Roman" w:hint="default"/>
                <w:sz w:val="18"/>
                <w:szCs w:val="18"/>
              </w:rPr>
            </w:pPr>
            <w:r>
              <w:rPr>
                <w:rFonts w:ascii="Times New Roman"/>
                <w:sz w:val="18"/>
              </w:rPr>
              <w:t>99.14%</w:t>
            </w:r>
          </w:p>
        </w:tc>
      </w:tr>
      <w:tr>
        <w:trPr>
          <w:trHeight w:val="491" w:hRule="exact"/>
        </w:trPr>
        <w:tc>
          <w:tcPr>
            <w:tcW w:w="2226" w:type="dxa"/>
            <w:tcBorders>
              <w:top w:val="single" w:sz="4" w:space="0" w:color="FFFFFF"/>
              <w:left w:val="nil" w:sz="6" w:space="0" w:color="auto"/>
              <w:bottom w:val="single" w:sz="4" w:space="0" w:color="FFFFFF"/>
              <w:right w:val="single" w:sz="4" w:space="0" w:color="000000"/>
            </w:tcBorders>
            <w:shd w:val="clear" w:color="auto" w:fill="D2D2D2"/>
          </w:tcPr>
          <w:p>
            <w:pPr>
              <w:pStyle w:val="TableParagraph"/>
              <w:spacing w:line="240" w:lineRule="auto" w:before="95"/>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5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z w:val="18"/>
              </w:rPr>
              <w:t>124,918,913</w:t>
            </w:r>
          </w:p>
        </w:tc>
        <w:tc>
          <w:tcPr>
            <w:tcW w:w="84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z w:val="18"/>
              </w:rPr>
              <w:t>99.14%</w:t>
            </w:r>
          </w:p>
        </w:tc>
        <w:tc>
          <w:tcPr>
            <w:tcW w:w="932" w:type="dxa"/>
            <w:tcBorders>
              <w:top w:val="single" w:sz="4" w:space="0" w:color="FFFFFF"/>
              <w:left w:val="single" w:sz="4" w:space="0" w:color="000000"/>
              <w:bottom w:val="single" w:sz="4" w:space="0" w:color="FFFFFF"/>
              <w:right w:val="single" w:sz="4" w:space="0" w:color="000000"/>
            </w:tcBorders>
          </w:tcPr>
          <w:p>
            <w:pPr/>
          </w:p>
        </w:tc>
        <w:tc>
          <w:tcPr>
            <w:tcW w:w="500" w:type="dxa"/>
            <w:tcBorders>
              <w:top w:val="single" w:sz="4" w:space="0" w:color="FFFFFF"/>
              <w:left w:val="single" w:sz="4" w:space="0" w:color="000000"/>
              <w:bottom w:val="single" w:sz="4" w:space="0" w:color="FFFFFF"/>
              <w:right w:val="single" w:sz="4" w:space="0" w:color="000000"/>
            </w:tcBorders>
          </w:tcPr>
          <w:p>
            <w:pPr/>
          </w:p>
        </w:tc>
        <w:tc>
          <w:tcPr>
            <w:tcW w:w="1151" w:type="dxa"/>
            <w:tcBorders>
              <w:top w:val="single" w:sz="4" w:space="0" w:color="FFFFFF"/>
              <w:left w:val="single" w:sz="4" w:space="0" w:color="000000"/>
              <w:bottom w:val="single" w:sz="4" w:space="0" w:color="FFFFFF"/>
              <w:right w:val="single" w:sz="4" w:space="0" w:color="000000"/>
            </w:tcBorders>
          </w:tcPr>
          <w:p>
            <w:pPr/>
          </w:p>
        </w:tc>
        <w:tc>
          <w:tcPr>
            <w:tcW w:w="501" w:type="dxa"/>
            <w:tcBorders>
              <w:top w:val="single" w:sz="4" w:space="0" w:color="FFFFFF"/>
              <w:left w:val="single" w:sz="4" w:space="0" w:color="000000"/>
              <w:bottom w:val="single" w:sz="4" w:space="0" w:color="FFFFFF"/>
              <w:right w:val="single" w:sz="4" w:space="0" w:color="000000"/>
            </w:tcBorders>
          </w:tcPr>
          <w:p>
            <w:pPr/>
          </w:p>
        </w:tc>
        <w:tc>
          <w:tcPr>
            <w:tcW w:w="500" w:type="dxa"/>
            <w:tcBorders>
              <w:top w:val="single" w:sz="4" w:space="0" w:color="FFFFFF"/>
              <w:left w:val="single" w:sz="4" w:space="0" w:color="000000"/>
              <w:bottom w:val="single" w:sz="4" w:space="0" w:color="FFFFFF"/>
              <w:right w:val="single" w:sz="4" w:space="0" w:color="000000"/>
            </w:tcBorders>
          </w:tcPr>
          <w:p>
            <w:pPr/>
          </w:p>
        </w:tc>
        <w:tc>
          <w:tcPr>
            <w:tcW w:w="115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z w:val="18"/>
              </w:rPr>
              <w:t>124,918,913</w:t>
            </w:r>
          </w:p>
        </w:tc>
        <w:tc>
          <w:tcPr>
            <w:tcW w:w="827" w:type="dxa"/>
            <w:tcBorders>
              <w:top w:val="single" w:sz="4" w:space="0" w:color="FFFFFF"/>
              <w:left w:val="single" w:sz="4" w:space="0" w:color="000000"/>
              <w:bottom w:val="single" w:sz="4" w:space="0" w:color="FFFFFF"/>
              <w:right w:val="nil" w:sz="6" w:space="0" w:color="auto"/>
            </w:tcBorders>
          </w:tcPr>
          <w:p>
            <w:pPr>
              <w:pStyle w:val="TableParagraph"/>
              <w:spacing w:line="240" w:lineRule="auto" w:before="135"/>
              <w:ind w:right="11"/>
              <w:jc w:val="right"/>
              <w:rPr>
                <w:rFonts w:ascii="Times New Roman" w:hAnsi="Times New Roman" w:cs="Times New Roman" w:eastAsia="Times New Roman" w:hint="default"/>
                <w:sz w:val="18"/>
                <w:szCs w:val="18"/>
              </w:rPr>
            </w:pPr>
            <w:r>
              <w:rPr>
                <w:rFonts w:ascii="Times New Roman"/>
                <w:sz w:val="18"/>
              </w:rPr>
              <w:t>99.14%</w:t>
            </w:r>
          </w:p>
        </w:tc>
      </w:tr>
      <w:tr>
        <w:trPr>
          <w:trHeight w:val="491" w:hRule="exact"/>
        </w:trPr>
        <w:tc>
          <w:tcPr>
            <w:tcW w:w="2226" w:type="dxa"/>
            <w:tcBorders>
              <w:top w:val="single" w:sz="4" w:space="0" w:color="FFFFFF"/>
              <w:left w:val="nil" w:sz="6" w:space="0" w:color="auto"/>
              <w:bottom w:val="single" w:sz="4" w:space="0" w:color="000000"/>
              <w:right w:val="single" w:sz="4" w:space="0" w:color="000000"/>
            </w:tcBorders>
            <w:shd w:val="clear" w:color="auto" w:fill="D2D2D2"/>
          </w:tcPr>
          <w:p>
            <w:pPr>
              <w:pStyle w:val="TableParagraph"/>
              <w:spacing w:line="240" w:lineRule="auto" w:before="95"/>
              <w:ind w:left="18"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5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z w:val="18"/>
              </w:rPr>
              <w:t>126,000,000</w:t>
            </w:r>
          </w:p>
        </w:tc>
        <w:tc>
          <w:tcPr>
            <w:tcW w:w="84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FFFFFF"/>
              <w:left w:val="single" w:sz="4" w:space="0" w:color="000000"/>
              <w:bottom w:val="single" w:sz="4" w:space="0" w:color="000000"/>
              <w:right w:val="single" w:sz="4" w:space="0" w:color="000000"/>
            </w:tcBorders>
          </w:tcPr>
          <w:p>
            <w:pPr/>
          </w:p>
        </w:tc>
        <w:tc>
          <w:tcPr>
            <w:tcW w:w="500" w:type="dxa"/>
            <w:tcBorders>
              <w:top w:val="single" w:sz="4" w:space="0" w:color="FFFFFF"/>
              <w:left w:val="single" w:sz="4" w:space="0" w:color="000000"/>
              <w:bottom w:val="single" w:sz="4" w:space="0" w:color="000000"/>
              <w:right w:val="single" w:sz="4" w:space="0" w:color="000000"/>
            </w:tcBorders>
          </w:tcPr>
          <w:p>
            <w:pPr/>
          </w:p>
        </w:tc>
        <w:tc>
          <w:tcPr>
            <w:tcW w:w="1151" w:type="dxa"/>
            <w:tcBorders>
              <w:top w:val="single" w:sz="4" w:space="0" w:color="FFFFFF"/>
              <w:left w:val="single" w:sz="4" w:space="0" w:color="000000"/>
              <w:bottom w:val="single" w:sz="4" w:space="0" w:color="000000"/>
              <w:right w:val="single" w:sz="4" w:space="0" w:color="000000"/>
            </w:tcBorders>
          </w:tcPr>
          <w:p>
            <w:pPr/>
          </w:p>
        </w:tc>
        <w:tc>
          <w:tcPr>
            <w:tcW w:w="501" w:type="dxa"/>
            <w:tcBorders>
              <w:top w:val="single" w:sz="4" w:space="0" w:color="FFFFFF"/>
              <w:left w:val="single" w:sz="4" w:space="0" w:color="000000"/>
              <w:bottom w:val="single" w:sz="4" w:space="0" w:color="000000"/>
              <w:right w:val="single" w:sz="4" w:space="0" w:color="000000"/>
            </w:tcBorders>
          </w:tcPr>
          <w:p>
            <w:pPr/>
          </w:p>
        </w:tc>
        <w:tc>
          <w:tcPr>
            <w:tcW w:w="500" w:type="dxa"/>
            <w:tcBorders>
              <w:top w:val="single" w:sz="4" w:space="0" w:color="FFFFFF"/>
              <w:left w:val="single" w:sz="4" w:space="0" w:color="000000"/>
              <w:bottom w:val="single" w:sz="4" w:space="0" w:color="000000"/>
              <w:right w:val="single" w:sz="4" w:space="0" w:color="000000"/>
            </w:tcBorders>
          </w:tcPr>
          <w:p>
            <w:pPr/>
          </w:p>
        </w:tc>
        <w:tc>
          <w:tcPr>
            <w:tcW w:w="115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z w:val="18"/>
              </w:rPr>
              <w:t>126,000,000</w:t>
            </w:r>
          </w:p>
        </w:tc>
        <w:tc>
          <w:tcPr>
            <w:tcW w:w="827" w:type="dxa"/>
            <w:tcBorders>
              <w:top w:val="single" w:sz="4" w:space="0" w:color="FFFFFF"/>
              <w:left w:val="single" w:sz="4" w:space="0" w:color="000000"/>
              <w:bottom w:val="single" w:sz="4" w:space="0" w:color="000000"/>
              <w:right w:val="nil" w:sz="6" w:space="0" w:color="auto"/>
            </w:tcBorders>
          </w:tcPr>
          <w:p>
            <w:pPr>
              <w:pStyle w:val="TableParagraph"/>
              <w:spacing w:line="240" w:lineRule="auto" w:before="135"/>
              <w:ind w:right="1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2"/>
        <w:rPr>
          <w:rFonts w:ascii="宋体" w:hAnsi="宋体" w:cs="宋体" w:eastAsia="宋体" w:hint="default"/>
          <w:sz w:val="4"/>
          <w:szCs w:val="4"/>
        </w:rPr>
      </w:pPr>
    </w:p>
    <w:p>
      <w:pPr>
        <w:pStyle w:val="Heading5"/>
        <w:spacing w:line="240" w:lineRule="auto" w:before="35"/>
        <w:ind w:right="0"/>
        <w:jc w:val="left"/>
      </w:pPr>
      <w:r>
        <w:rPr/>
        <w:t>股份变动的原因</w:t>
      </w:r>
    </w:p>
    <w:p>
      <w:pPr>
        <w:pStyle w:val="Heading5"/>
        <w:spacing w:line="345" w:lineRule="auto" w:before="146"/>
        <w:ind w:right="88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股份变动的批准情况</w:t>
      </w:r>
    </w:p>
    <w:p>
      <w:pPr>
        <w:pStyle w:val="Heading5"/>
        <w:spacing w:line="345" w:lineRule="auto" w:before="52"/>
        <w:ind w:right="88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股份变动的过户情况</w:t>
      </w:r>
    </w:p>
    <w:p>
      <w:pPr>
        <w:pStyle w:val="Heading5"/>
        <w:spacing w:line="345" w:lineRule="auto" w:before="52"/>
        <w:ind w:right="84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股份回购的实施进展情况</w:t>
      </w:r>
    </w:p>
    <w:p>
      <w:pPr>
        <w:pStyle w:val="Heading5"/>
        <w:spacing w:line="345" w:lineRule="auto" w:before="52"/>
        <w:ind w:right="63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采用集中竞价方式减持回购股份的实施进展情况</w:t>
      </w:r>
    </w:p>
    <w:p>
      <w:pPr>
        <w:pStyle w:val="Heading5"/>
        <w:spacing w:line="338" w:lineRule="auto" w:before="5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w:t>
      </w:r>
      <w:r>
        <w:rPr>
          <w:spacing w:val="-1"/>
        </w:rPr>
        <w:t>股份变动对最近一年和最近一期基本每股收益和稀释每股收益、归属于公司普通股股东的每股净资产等财</w:t>
      </w:r>
      <w:r>
        <w:rPr>
          <w:spacing w:val="-81"/>
        </w:rPr>
        <w:t> </w:t>
      </w:r>
      <w:r>
        <w:rPr>
          <w:spacing w:val="-81"/>
        </w:rPr>
      </w:r>
      <w:r>
        <w:rPr/>
        <w:t>务指标的影响</w:t>
      </w:r>
    </w:p>
    <w:p>
      <w:pPr>
        <w:pStyle w:val="Heading5"/>
        <w:spacing w:line="345" w:lineRule="auto" w:before="59"/>
        <w:ind w:right="6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公司认为必要或证券监管机构要求披露的其他内容</w:t>
      </w:r>
    </w:p>
    <w:p>
      <w:pPr>
        <w:pStyle w:val="Heading5"/>
        <w:spacing w:line="240" w:lineRule="auto" w:before="5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限售股份变动情况" w:id="101"/>
      <w:bookmarkEnd w:id="10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68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不适用 </w:t>
      </w:r>
      <w:bookmarkStart w:name="二、证券发行与上市情况" w:id="102"/>
      <w:bookmarkEnd w:id="102"/>
      <w:r>
        <w:rPr>
          <w:rFonts w:ascii="宋体" w:hAnsi="宋体" w:cs="宋体" w:eastAsia="宋体" w:hint="default"/>
          <w:sz w:val="21"/>
          <w:szCs w:val="21"/>
        </w:rPr>
      </w:r>
      <w:r>
        <w:rPr>
          <w:rFonts w:ascii="宋体" w:hAnsi="宋体" w:cs="宋体" w:eastAsia="宋体" w:hint="default"/>
          <w:b/>
          <w:bCs/>
          <w:sz w:val="24"/>
          <w:szCs w:val="24"/>
        </w:rPr>
        <w:t>二、证券发行与上市情况</w:t>
      </w:r>
      <w:r>
        <w:rPr>
          <w:rFonts w:ascii="宋体" w:hAnsi="宋体" w:cs="宋体" w:eastAsia="宋体" w:hint="default"/>
          <w:b/>
          <w:bCs/>
          <w:w w:val="99"/>
          <w:sz w:val="24"/>
          <w:szCs w:val="24"/>
        </w:rPr>
        <w:t> </w:t>
      </w:r>
      <w:bookmarkStart w:name="1、报告期内证券发行（不含优先股）情况" w:id="103"/>
      <w:bookmarkEnd w:id="10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pStyle w:val="Heading5"/>
        <w:spacing w:line="240" w:lineRule="auto" w:before="8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bookmarkStart w:name="2、公司股份总数及股东结构的变动、公司资产和负债结构的变动情况说明" w:id="104"/>
      <w:bookmarkEnd w:id="10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bookmarkStart w:name="3、现存的内部职工股情况" w:id="105"/>
      <w:bookmarkEnd w:id="10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18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不适用 </w:t>
      </w:r>
      <w:bookmarkStart w:name="三、股东和实际控制人情况" w:id="106"/>
      <w:bookmarkEnd w:id="106"/>
      <w:r>
        <w:rPr>
          <w:rFonts w:ascii="宋体" w:hAnsi="宋体" w:cs="宋体" w:eastAsia="宋体" w:hint="default"/>
          <w:sz w:val="21"/>
          <w:szCs w:val="21"/>
        </w:rPr>
      </w:r>
      <w:r>
        <w:rPr>
          <w:rFonts w:ascii="宋体" w:hAnsi="宋体" w:cs="宋体" w:eastAsia="宋体" w:hint="default"/>
          <w:b/>
          <w:bCs/>
          <w:w w:val="95"/>
          <w:sz w:val="24"/>
          <w:szCs w:val="24"/>
        </w:rPr>
        <w:t>三、股东和实际控制人情况</w:t>
      </w:r>
      <w:r>
        <w:rPr>
          <w:rFonts w:ascii="宋体" w:hAnsi="宋体" w:cs="宋体" w:eastAsia="宋体" w:hint="default"/>
          <w:b/>
          <w:bCs/>
          <w:spacing w:val="18"/>
          <w:w w:val="95"/>
          <w:sz w:val="24"/>
          <w:szCs w:val="24"/>
        </w:rPr>
        <w:t> </w:t>
      </w:r>
      <w:bookmarkStart w:name="1、公司股东数量及持股情况" w:id="107"/>
      <w:bookmarkEnd w:id="10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pStyle w:val="BodyText"/>
        <w:spacing w:line="240" w:lineRule="auto" w:before="109"/>
        <w:ind w:left="0" w:right="1130"/>
        <w:jc w:val="right"/>
      </w:pPr>
      <w:r>
        <w:rPr/>
        <w:pict>
          <v:shape style="position:absolute;margin-left:449.277008pt;margin-top:73.761719pt;width:86pt;height:31.2pt;mso-position-horizontal-relative:page;mso-position-vertical-relative:paragraph;z-index:-733672"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73.761719pt;width:52.9pt;height:31.2pt;mso-position-horizontal-relative:page;mso-position-vertical-relative:paragraph;z-index:-733648" coordorigin="9648,1475" coordsize="1058,624">
            <v:shape style="position:absolute;left:9648;top:1475;width:1058;height:624" coordorigin="9648,1475" coordsize="1058,624" path="m9648,2099l10705,2099,10705,1475,9648,1475,9648,2099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321"/>
        <w:gridCol w:w="402"/>
        <w:gridCol w:w="405"/>
        <w:gridCol w:w="994"/>
        <w:gridCol w:w="445"/>
        <w:gridCol w:w="257"/>
        <w:gridCol w:w="929"/>
        <w:gridCol w:w="765"/>
        <w:gridCol w:w="575"/>
        <w:gridCol w:w="377"/>
        <w:gridCol w:w="710"/>
        <w:gridCol w:w="313"/>
        <w:gridCol w:w="999"/>
        <w:gridCol w:w="508"/>
        <w:gridCol w:w="545"/>
      </w:tblGrid>
      <w:tr>
        <w:trPr>
          <w:trHeight w:val="161" w:hRule="exact"/>
        </w:trPr>
        <w:tc>
          <w:tcPr>
            <w:tcW w:w="1321" w:type="dxa"/>
            <w:vMerge w:val="restart"/>
            <w:tcBorders>
              <w:top w:val="single" w:sz="4" w:space="0" w:color="000000"/>
              <w:left w:val="nil" w:sz="6" w:space="0" w:color="auto"/>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13,617</w:t>
            </w:r>
          </w:p>
        </w:tc>
        <w:tc>
          <w:tcPr>
            <w:tcW w:w="1439" w:type="dxa"/>
            <w:gridSpan w:val="2"/>
            <w:vMerge w:val="restart"/>
            <w:tcBorders>
              <w:top w:val="single" w:sz="4" w:space="0" w:color="000000"/>
              <w:left w:val="single" w:sz="4" w:space="0" w:color="000000"/>
              <w:right w:val="single" w:sz="4" w:space="0" w:color="000000"/>
            </w:tcBorders>
            <w:shd w:val="clear" w:color="auto" w:fill="D2D2D2"/>
          </w:tcPr>
          <w:p>
            <w:pPr/>
          </w:p>
        </w:tc>
        <w:tc>
          <w:tcPr>
            <w:tcW w:w="1185"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3" w:right="-7"/>
              <w:jc w:val="left"/>
              <w:rPr>
                <w:rFonts w:ascii="Times New Roman" w:hAnsi="Times New Roman" w:cs="Times New Roman" w:eastAsia="Times New Roman" w:hint="default"/>
                <w:sz w:val="18"/>
                <w:szCs w:val="18"/>
              </w:rPr>
            </w:pPr>
            <w:r>
              <w:rPr>
                <w:rFonts w:ascii="Times New Roman"/>
                <w:sz w:val="18"/>
              </w:rPr>
              <w:t>13,300</w:t>
            </w:r>
          </w:p>
        </w:tc>
        <w:tc>
          <w:tcPr>
            <w:tcW w:w="134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8"/>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8" w:type="dxa"/>
            <w:tcBorders>
              <w:top w:val="single" w:sz="4" w:space="0" w:color="000000"/>
              <w:left w:val="single" w:sz="13" w:space="0" w:color="D2D2D2"/>
              <w:bottom w:val="nil" w:sz="6" w:space="0" w:color="auto"/>
              <w:right w:val="nil" w:sz="6" w:space="0" w:color="auto"/>
            </w:tcBorders>
          </w:tcPr>
          <w:p>
            <w:pPr/>
          </w:p>
        </w:tc>
        <w:tc>
          <w:tcPr>
            <w:tcW w:w="545" w:type="dxa"/>
            <w:tcBorders>
              <w:top w:val="single" w:sz="4" w:space="0" w:color="000000"/>
              <w:left w:val="nil" w:sz="6" w:space="0" w:color="auto"/>
              <w:bottom w:val="nil" w:sz="6" w:space="0" w:color="auto"/>
              <w:right w:val="nil" w:sz="6" w:space="0" w:color="auto"/>
            </w:tcBorders>
          </w:tcPr>
          <w:p>
            <w:pPr/>
          </w:p>
        </w:tc>
      </w:tr>
      <w:tr>
        <w:trPr>
          <w:trHeight w:val="156" w:hRule="exact"/>
        </w:trPr>
        <w:tc>
          <w:tcPr>
            <w:tcW w:w="1321" w:type="dxa"/>
            <w:vMerge/>
            <w:tcBorders>
              <w:left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39" w:type="dxa"/>
            <w:gridSpan w:val="2"/>
            <w:vMerge/>
            <w:tcBorders>
              <w:left w:val="single" w:sz="4" w:space="0" w:color="000000"/>
              <w:bottom w:val="nil" w:sz="6" w:space="0" w:color="auto"/>
              <w:right w:val="single" w:sz="4" w:space="0" w:color="000000"/>
            </w:tcBorders>
            <w:shd w:val="clear" w:color="auto" w:fill="D2D2D2"/>
          </w:tcPr>
          <w:p>
            <w:pPr/>
          </w:p>
        </w:tc>
        <w:tc>
          <w:tcPr>
            <w:tcW w:w="1185" w:type="dxa"/>
            <w:gridSpan w:val="2"/>
            <w:vMerge/>
            <w:tcBorders>
              <w:left w:val="single" w:sz="9" w:space="0" w:color="D2D2D2"/>
              <w:right w:val="single" w:sz="9" w:space="0" w:color="D2D2D2"/>
            </w:tcBorders>
          </w:tcPr>
          <w:p>
            <w:pPr/>
          </w:p>
        </w:tc>
        <w:tc>
          <w:tcPr>
            <w:tcW w:w="134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4"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44"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val="restart"/>
            <w:tcBorders>
              <w:top w:val="nil" w:sz="6" w:space="0" w:color="auto"/>
              <w:left w:val="single" w:sz="13" w:space="0" w:color="D2D2D2"/>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r>
      <w:tr>
        <w:trPr>
          <w:trHeight w:val="156" w:hRule="exact"/>
        </w:trPr>
        <w:tc>
          <w:tcPr>
            <w:tcW w:w="1321" w:type="dxa"/>
            <w:vMerge/>
            <w:tcBorders>
              <w:left w:val="nil" w:sz="6" w:space="0" w:color="auto"/>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3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5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85" w:type="dxa"/>
            <w:gridSpan w:val="2"/>
            <w:vMerge/>
            <w:tcBorders>
              <w:left w:val="single" w:sz="9" w:space="0" w:color="D2D2D2"/>
              <w:right w:val="single" w:sz="9" w:space="0" w:color="D2D2D2"/>
            </w:tcBorders>
          </w:tcPr>
          <w:p>
            <w:pPr/>
          </w:p>
        </w:tc>
        <w:tc>
          <w:tcPr>
            <w:tcW w:w="1340"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r>
      <w:tr>
        <w:trPr>
          <w:trHeight w:val="704" w:hRule="exact"/>
        </w:trPr>
        <w:tc>
          <w:tcPr>
            <w:tcW w:w="1321"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319" w:lineRule="auto" w:before="51"/>
              <w:ind w:left="13"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39" w:type="dxa"/>
            <w:gridSpan w:val="2"/>
            <w:vMerge/>
            <w:tcBorders>
              <w:left w:val="single" w:sz="4" w:space="0" w:color="000000"/>
              <w:right w:val="single" w:sz="4" w:space="0" w:color="000000"/>
            </w:tcBorders>
            <w:shd w:val="clear" w:color="auto" w:fill="D2D2D2"/>
          </w:tcPr>
          <w:p>
            <w:pPr/>
          </w:p>
        </w:tc>
        <w:tc>
          <w:tcPr>
            <w:tcW w:w="1185" w:type="dxa"/>
            <w:gridSpan w:val="2"/>
            <w:vMerge/>
            <w:tcBorders>
              <w:left w:val="single" w:sz="9" w:space="0" w:color="D2D2D2"/>
              <w:right w:val="single" w:sz="9" w:space="0" w:color="D2D2D2"/>
            </w:tcBorders>
          </w:tcPr>
          <w:p>
            <w:pPr/>
          </w:p>
        </w:tc>
        <w:tc>
          <w:tcPr>
            <w:tcW w:w="1340"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21" w:type="dxa"/>
            <w:vMerge w:val="restart"/>
            <w:tcBorders>
              <w:top w:val="nil" w:sz="6" w:space="0" w:color="auto"/>
              <w:left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39" w:type="dxa"/>
            <w:gridSpan w:val="2"/>
            <w:vMerge/>
            <w:tcBorders>
              <w:left w:val="single" w:sz="4" w:space="0" w:color="000000"/>
              <w:bottom w:val="nil" w:sz="6" w:space="0" w:color="auto"/>
              <w:right w:val="single" w:sz="4" w:space="0" w:color="000000"/>
            </w:tcBorders>
            <w:shd w:val="clear" w:color="auto" w:fill="D2D2D2"/>
          </w:tcPr>
          <w:p>
            <w:pPr/>
          </w:p>
        </w:tc>
        <w:tc>
          <w:tcPr>
            <w:tcW w:w="1185" w:type="dxa"/>
            <w:gridSpan w:val="2"/>
            <w:vMerge/>
            <w:tcBorders>
              <w:left w:val="single" w:sz="9" w:space="0" w:color="D2D2D2"/>
              <w:right w:val="single" w:sz="9" w:space="0" w:color="D2D2D2"/>
            </w:tcBorders>
          </w:tcPr>
          <w:p>
            <w:pPr/>
          </w:p>
        </w:tc>
        <w:tc>
          <w:tcPr>
            <w:tcW w:w="1340"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r>
      <w:tr>
        <w:trPr>
          <w:trHeight w:val="156" w:hRule="exact"/>
        </w:trPr>
        <w:tc>
          <w:tcPr>
            <w:tcW w:w="1321" w:type="dxa"/>
            <w:vMerge/>
            <w:tcBorders>
              <w:left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39" w:type="dxa"/>
            <w:gridSpan w:val="2"/>
            <w:vMerge w:val="restart"/>
            <w:tcBorders>
              <w:top w:val="nil" w:sz="6" w:space="0" w:color="auto"/>
              <w:left w:val="single" w:sz="4" w:space="0" w:color="000000"/>
              <w:right w:val="single" w:sz="4" w:space="0" w:color="000000"/>
            </w:tcBorders>
            <w:shd w:val="clear" w:color="auto" w:fill="D2D2D2"/>
          </w:tcPr>
          <w:p>
            <w:pPr/>
          </w:p>
        </w:tc>
        <w:tc>
          <w:tcPr>
            <w:tcW w:w="1185" w:type="dxa"/>
            <w:gridSpan w:val="2"/>
            <w:vMerge/>
            <w:tcBorders>
              <w:left w:val="single" w:sz="9" w:space="0" w:color="D2D2D2"/>
              <w:right w:val="single" w:sz="9" w:space="0" w:color="D2D2D2"/>
            </w:tcBorders>
          </w:tcPr>
          <w:p>
            <w:pPr/>
          </w:p>
        </w:tc>
        <w:tc>
          <w:tcPr>
            <w:tcW w:w="1340" w:type="dxa"/>
            <w:gridSpan w:val="2"/>
            <w:vMerge/>
            <w:tcBorders>
              <w:left w:val="single" w:sz="4" w:space="0" w:color="000000"/>
              <w:bottom w:val="nil" w:sz="6" w:space="0" w:color="auto"/>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r>
      <w:tr>
        <w:trPr>
          <w:trHeight w:val="166" w:hRule="exact"/>
        </w:trPr>
        <w:tc>
          <w:tcPr>
            <w:tcW w:w="1321" w:type="dxa"/>
            <w:vMerge/>
            <w:tcBorders>
              <w:left w:val="nil" w:sz="6" w:space="0" w:color="auto"/>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39" w:type="dxa"/>
            <w:gridSpan w:val="2"/>
            <w:vMerge/>
            <w:tcBorders>
              <w:left w:val="single" w:sz="4" w:space="0" w:color="000000"/>
              <w:bottom w:val="single" w:sz="4" w:space="0" w:color="000000"/>
              <w:right w:val="single" w:sz="4" w:space="0" w:color="000000"/>
            </w:tcBorders>
            <w:shd w:val="clear" w:color="auto" w:fill="D2D2D2"/>
          </w:tcPr>
          <w:p>
            <w:pPr/>
          </w:p>
        </w:tc>
        <w:tc>
          <w:tcPr>
            <w:tcW w:w="1185" w:type="dxa"/>
            <w:gridSpan w:val="2"/>
            <w:vMerge/>
            <w:tcBorders>
              <w:left w:val="single" w:sz="9" w:space="0" w:color="D2D2D2"/>
              <w:bottom w:val="single" w:sz="4" w:space="0" w:color="000000"/>
              <w:right w:val="single" w:sz="9" w:space="0" w:color="D2D2D2"/>
            </w:tcBorders>
          </w:tcPr>
          <w:p>
            <w:pPr/>
          </w:p>
        </w:tc>
        <w:tc>
          <w:tcPr>
            <w:tcW w:w="134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gridSpan w:val="2"/>
            <w:vMerge/>
            <w:tcBorders>
              <w:left w:val="single" w:sz="10" w:space="0" w:color="D2D2D2"/>
              <w:bottom w:val="single" w:sz="4" w:space="0" w:color="000000"/>
              <w:right w:val="single" w:sz="13" w:space="0" w:color="D2D2D2"/>
            </w:tcBorders>
          </w:tcPr>
          <w:p>
            <w:pPr/>
          </w:p>
        </w:tc>
        <w:tc>
          <w:tcPr>
            <w:tcW w:w="1311" w:type="dxa"/>
            <w:gridSpan w:val="2"/>
            <w:vMerge/>
            <w:tcBorders>
              <w:left w:val="single" w:sz="4" w:space="0" w:color="000000"/>
              <w:bottom w:val="single" w:sz="4" w:space="0" w:color="000000"/>
              <w:right w:val="single" w:sz="4" w:space="0" w:color="000000"/>
            </w:tcBorders>
            <w:shd w:val="clear" w:color="auto" w:fill="D2D2D2"/>
          </w:tcPr>
          <w:p>
            <w:pPr/>
          </w:p>
        </w:tc>
        <w:tc>
          <w:tcPr>
            <w:tcW w:w="508" w:type="dxa"/>
            <w:vMerge/>
            <w:tcBorders>
              <w:left w:val="single" w:sz="13" w:space="0" w:color="D2D2D2"/>
              <w:bottom w:val="single" w:sz="4" w:space="0" w:color="000000"/>
              <w:right w:val="nil" w:sz="6" w:space="0" w:color="auto"/>
            </w:tcBorders>
          </w:tcPr>
          <w:p>
            <w:pPr/>
          </w:p>
        </w:tc>
        <w:tc>
          <w:tcPr>
            <w:tcW w:w="545" w:type="dxa"/>
            <w:tcBorders>
              <w:top w:val="nil" w:sz="6" w:space="0" w:color="auto"/>
              <w:left w:val="nil" w:sz="6" w:space="0" w:color="auto"/>
              <w:bottom w:val="single" w:sz="4" w:space="0" w:color="000000"/>
              <w:right w:val="nil" w:sz="6" w:space="0" w:color="auto"/>
            </w:tcBorders>
          </w:tcPr>
          <w:p>
            <w:pPr/>
          </w:p>
        </w:tc>
      </w:tr>
      <w:tr>
        <w:trPr>
          <w:trHeight w:val="392" w:hRule="exact"/>
        </w:trPr>
        <w:tc>
          <w:tcPr>
            <w:tcW w:w="9544" w:type="dxa"/>
            <w:gridSpan w:val="15"/>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305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723" w:type="dxa"/>
            <w:gridSpan w:val="2"/>
            <w:vMerge w:val="restart"/>
            <w:tcBorders>
              <w:top w:val="single" w:sz="4" w:space="0" w:color="000000"/>
              <w:left w:val="nil" w:sz="6" w:space="0" w:color="auto"/>
              <w:right w:val="single" w:sz="4" w:space="0" w:color="000000"/>
            </w:tcBorders>
            <w:shd w:val="clear" w:color="auto" w:fill="D2D2D2"/>
          </w:tcPr>
          <w:p>
            <w:pPr/>
          </w:p>
        </w:tc>
        <w:tc>
          <w:tcPr>
            <w:tcW w:w="1399" w:type="dxa"/>
            <w:gridSpan w:val="2"/>
            <w:vMerge w:val="restart"/>
            <w:tcBorders>
              <w:top w:val="single" w:sz="4" w:space="0" w:color="000000"/>
              <w:left w:val="single" w:sz="4" w:space="0" w:color="000000"/>
              <w:right w:val="single" w:sz="4" w:space="0" w:color="000000"/>
            </w:tcBorders>
            <w:shd w:val="clear" w:color="auto" w:fill="D2D2D2"/>
          </w:tcPr>
          <w:p>
            <w:pPr/>
          </w:p>
        </w:tc>
        <w:tc>
          <w:tcPr>
            <w:tcW w:w="70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29" w:type="dxa"/>
            <w:tcBorders>
              <w:top w:val="single" w:sz="4" w:space="0" w:color="000000"/>
              <w:left w:val="single" w:sz="4" w:space="0" w:color="000000"/>
              <w:bottom w:val="nil" w:sz="6" w:space="0" w:color="auto"/>
              <w:right w:val="single" w:sz="4" w:space="0" w:color="000000"/>
            </w:tcBorders>
            <w:shd w:val="clear" w:color="auto" w:fill="D2D2D2"/>
          </w:tcPr>
          <w:p>
            <w:pPr/>
          </w:p>
        </w:tc>
        <w:tc>
          <w:tcPr>
            <w:tcW w:w="7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10" w:right="10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0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55" w:right="57"/>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53"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723" w:type="dxa"/>
            <w:gridSpan w:val="2"/>
            <w:vMerge/>
            <w:tcBorders>
              <w:left w:val="nil" w:sz="6" w:space="0" w:color="auto"/>
              <w:bottom w:val="nil" w:sz="6" w:space="0" w:color="auto"/>
              <w:right w:val="single" w:sz="4" w:space="0" w:color="000000"/>
            </w:tcBorders>
            <w:shd w:val="clear" w:color="auto" w:fill="D2D2D2"/>
          </w:tcPr>
          <w:p>
            <w:pPr/>
          </w:p>
        </w:tc>
        <w:tc>
          <w:tcPr>
            <w:tcW w:w="1399" w:type="dxa"/>
            <w:gridSpan w:val="2"/>
            <w:vMerge/>
            <w:tcBorders>
              <w:left w:val="single" w:sz="4" w:space="0" w:color="000000"/>
              <w:bottom w:val="nil" w:sz="6" w:space="0" w:color="auto"/>
              <w:right w:val="single" w:sz="4" w:space="0" w:color="000000"/>
            </w:tcBorders>
            <w:shd w:val="clear" w:color="auto" w:fill="D2D2D2"/>
          </w:tcPr>
          <w:p>
            <w:pPr/>
          </w:p>
        </w:tc>
        <w:tc>
          <w:tcPr>
            <w:tcW w:w="70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5" w:right="7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2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82" w:right="11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65" w:type="dxa"/>
            <w:vMerge/>
            <w:tcBorders>
              <w:left w:val="single" w:sz="4" w:space="0" w:color="000000"/>
              <w:right w:val="single" w:sz="4" w:space="0" w:color="000000"/>
            </w:tcBorders>
            <w:shd w:val="clear" w:color="auto" w:fill="D2D2D2"/>
          </w:tcPr>
          <w:p>
            <w:pPr/>
          </w:p>
        </w:tc>
        <w:tc>
          <w:tcPr>
            <w:tcW w:w="952" w:type="dxa"/>
            <w:gridSpan w:val="2"/>
            <w:vMerge/>
            <w:tcBorders>
              <w:left w:val="single" w:sz="4" w:space="0" w:color="000000"/>
              <w:right w:val="single" w:sz="4" w:space="0" w:color="000000"/>
            </w:tcBorders>
            <w:shd w:val="clear" w:color="auto" w:fill="D2D2D2"/>
          </w:tcPr>
          <w:p>
            <w:pPr/>
          </w:p>
        </w:tc>
        <w:tc>
          <w:tcPr>
            <w:tcW w:w="1023" w:type="dxa"/>
            <w:gridSpan w:val="2"/>
            <w:vMerge/>
            <w:tcBorders>
              <w:left w:val="single" w:sz="4" w:space="0" w:color="000000"/>
              <w:right w:val="single" w:sz="4" w:space="0" w:color="000000"/>
            </w:tcBorders>
            <w:shd w:val="clear" w:color="auto" w:fill="D2D2D2"/>
          </w:tcPr>
          <w:p>
            <w:pPr/>
          </w:p>
        </w:tc>
        <w:tc>
          <w:tcPr>
            <w:tcW w:w="2053" w:type="dxa"/>
            <w:gridSpan w:val="3"/>
            <w:vMerge/>
            <w:tcBorders>
              <w:left w:val="single" w:sz="4" w:space="0" w:color="000000"/>
              <w:right w:val="nil" w:sz="6" w:space="0" w:color="auto"/>
            </w:tcBorders>
            <w:shd w:val="clear" w:color="auto" w:fill="D2D2D2"/>
          </w:tcPr>
          <w:p>
            <w:pPr/>
          </w:p>
        </w:tc>
      </w:tr>
      <w:tr>
        <w:trPr>
          <w:trHeight w:val="141" w:hRule="exact"/>
        </w:trPr>
        <w:tc>
          <w:tcPr>
            <w:tcW w:w="1723" w:type="dxa"/>
            <w:gridSpan w:val="2"/>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9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1" w:type="dxa"/>
            <w:gridSpan w:val="2"/>
            <w:vMerge/>
            <w:tcBorders>
              <w:left w:val="single" w:sz="4" w:space="0" w:color="000000"/>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765" w:type="dxa"/>
            <w:vMerge/>
            <w:tcBorders>
              <w:left w:val="single" w:sz="4" w:space="0" w:color="000000"/>
              <w:right w:val="single" w:sz="4" w:space="0" w:color="000000"/>
            </w:tcBorders>
            <w:shd w:val="clear" w:color="auto" w:fill="D2D2D2"/>
          </w:tcPr>
          <w:p>
            <w:pPr/>
          </w:p>
        </w:tc>
        <w:tc>
          <w:tcPr>
            <w:tcW w:w="952" w:type="dxa"/>
            <w:gridSpan w:val="2"/>
            <w:vMerge/>
            <w:tcBorders>
              <w:left w:val="single" w:sz="4" w:space="0" w:color="000000"/>
              <w:right w:val="single" w:sz="4" w:space="0" w:color="000000"/>
            </w:tcBorders>
            <w:shd w:val="clear" w:color="auto" w:fill="D2D2D2"/>
          </w:tcPr>
          <w:p>
            <w:pPr/>
          </w:p>
        </w:tc>
        <w:tc>
          <w:tcPr>
            <w:tcW w:w="1023" w:type="dxa"/>
            <w:gridSpan w:val="2"/>
            <w:vMerge/>
            <w:tcBorders>
              <w:left w:val="single" w:sz="4" w:space="0" w:color="000000"/>
              <w:right w:val="single" w:sz="4" w:space="0" w:color="000000"/>
            </w:tcBorders>
            <w:shd w:val="clear" w:color="auto" w:fill="D2D2D2"/>
          </w:tcPr>
          <w:p>
            <w:pPr/>
          </w:p>
        </w:tc>
        <w:tc>
          <w:tcPr>
            <w:tcW w:w="2053" w:type="dxa"/>
            <w:gridSpan w:val="3"/>
            <w:vMerge/>
            <w:tcBorders>
              <w:left w:val="single" w:sz="4" w:space="0" w:color="000000"/>
              <w:bottom w:val="single" w:sz="4" w:space="0" w:color="000000"/>
              <w:right w:val="nil" w:sz="6" w:space="0" w:color="auto"/>
            </w:tcBorders>
            <w:shd w:val="clear" w:color="auto" w:fill="D2D2D2"/>
          </w:tcPr>
          <w:p>
            <w:pPr/>
          </w:p>
        </w:tc>
      </w:tr>
      <w:tr>
        <w:trPr>
          <w:trHeight w:val="251" w:hRule="exact"/>
        </w:trPr>
        <w:tc>
          <w:tcPr>
            <w:tcW w:w="1723" w:type="dxa"/>
            <w:gridSpan w:val="2"/>
            <w:vMerge/>
            <w:tcBorders>
              <w:left w:val="nil" w:sz="6" w:space="0" w:color="auto"/>
              <w:bottom w:val="nil" w:sz="6" w:space="0" w:color="auto"/>
              <w:right w:val="single" w:sz="4" w:space="0" w:color="000000"/>
            </w:tcBorders>
            <w:shd w:val="clear" w:color="auto" w:fill="D2D2D2"/>
          </w:tcPr>
          <w:p>
            <w:pPr/>
          </w:p>
        </w:tc>
        <w:tc>
          <w:tcPr>
            <w:tcW w:w="1399" w:type="dxa"/>
            <w:gridSpan w:val="2"/>
            <w:vMerge/>
            <w:tcBorders>
              <w:left w:val="single" w:sz="4" w:space="0" w:color="000000"/>
              <w:bottom w:val="nil" w:sz="6" w:space="0" w:color="auto"/>
              <w:right w:val="single" w:sz="4" w:space="0" w:color="000000"/>
            </w:tcBorders>
            <w:shd w:val="clear" w:color="auto" w:fill="D2D2D2"/>
          </w:tcPr>
          <w:p>
            <w:pPr/>
          </w:p>
        </w:tc>
        <w:tc>
          <w:tcPr>
            <w:tcW w:w="701" w:type="dxa"/>
            <w:gridSpan w:val="2"/>
            <w:vMerge/>
            <w:tcBorders>
              <w:left w:val="single" w:sz="4" w:space="0" w:color="000000"/>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765" w:type="dxa"/>
            <w:vMerge/>
            <w:tcBorders>
              <w:left w:val="single" w:sz="4" w:space="0" w:color="000000"/>
              <w:right w:val="single" w:sz="4" w:space="0" w:color="000000"/>
            </w:tcBorders>
            <w:shd w:val="clear" w:color="auto" w:fill="D2D2D2"/>
          </w:tcPr>
          <w:p>
            <w:pPr/>
          </w:p>
        </w:tc>
        <w:tc>
          <w:tcPr>
            <w:tcW w:w="952" w:type="dxa"/>
            <w:gridSpan w:val="2"/>
            <w:vMerge/>
            <w:tcBorders>
              <w:left w:val="single" w:sz="4" w:space="0" w:color="000000"/>
              <w:right w:val="single" w:sz="4" w:space="0" w:color="000000"/>
            </w:tcBorders>
            <w:shd w:val="clear" w:color="auto" w:fill="D2D2D2"/>
          </w:tcPr>
          <w:p>
            <w:pPr/>
          </w:p>
        </w:tc>
        <w:tc>
          <w:tcPr>
            <w:tcW w:w="1023" w:type="dxa"/>
            <w:gridSpan w:val="2"/>
            <w:vMerge/>
            <w:tcBorders>
              <w:left w:val="single" w:sz="4" w:space="0" w:color="000000"/>
              <w:right w:val="single" w:sz="4" w:space="0" w:color="000000"/>
            </w:tcBorders>
            <w:shd w:val="clear" w:color="auto" w:fill="D2D2D2"/>
          </w:tcPr>
          <w:p>
            <w:pPr/>
          </w:p>
        </w:tc>
        <w:tc>
          <w:tcPr>
            <w:tcW w:w="9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3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54"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107"/>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723" w:type="dxa"/>
            <w:gridSpan w:val="2"/>
            <w:vMerge w:val="restart"/>
            <w:tcBorders>
              <w:top w:val="nil" w:sz="6" w:space="0" w:color="auto"/>
              <w:left w:val="nil" w:sz="6" w:space="0" w:color="auto"/>
              <w:right w:val="single" w:sz="4" w:space="0" w:color="000000"/>
            </w:tcBorders>
            <w:shd w:val="clear" w:color="auto" w:fill="D2D2D2"/>
          </w:tcPr>
          <w:p>
            <w:pPr/>
          </w:p>
        </w:tc>
        <w:tc>
          <w:tcPr>
            <w:tcW w:w="1399" w:type="dxa"/>
            <w:gridSpan w:val="2"/>
            <w:vMerge w:val="restart"/>
            <w:tcBorders>
              <w:top w:val="nil" w:sz="6" w:space="0" w:color="auto"/>
              <w:left w:val="single" w:sz="4" w:space="0" w:color="000000"/>
              <w:right w:val="single" w:sz="4" w:space="0" w:color="000000"/>
            </w:tcBorders>
            <w:shd w:val="clear" w:color="auto" w:fill="D2D2D2"/>
          </w:tcPr>
          <w:p>
            <w:pPr/>
          </w:p>
        </w:tc>
        <w:tc>
          <w:tcPr>
            <w:tcW w:w="701" w:type="dxa"/>
            <w:gridSpan w:val="2"/>
            <w:vMerge/>
            <w:tcBorders>
              <w:left w:val="single" w:sz="4" w:space="0" w:color="000000"/>
              <w:bottom w:val="nil" w:sz="6" w:space="0" w:color="auto"/>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765" w:type="dxa"/>
            <w:vMerge/>
            <w:tcBorders>
              <w:left w:val="single" w:sz="4" w:space="0" w:color="000000"/>
              <w:right w:val="single" w:sz="4" w:space="0" w:color="000000"/>
            </w:tcBorders>
            <w:shd w:val="clear" w:color="auto" w:fill="D2D2D2"/>
          </w:tcPr>
          <w:p>
            <w:pPr/>
          </w:p>
        </w:tc>
        <w:tc>
          <w:tcPr>
            <w:tcW w:w="952" w:type="dxa"/>
            <w:gridSpan w:val="2"/>
            <w:vMerge/>
            <w:tcBorders>
              <w:left w:val="single" w:sz="4" w:space="0" w:color="000000"/>
              <w:right w:val="single" w:sz="4" w:space="0" w:color="000000"/>
            </w:tcBorders>
            <w:shd w:val="clear" w:color="auto" w:fill="D2D2D2"/>
          </w:tcPr>
          <w:p>
            <w:pPr/>
          </w:p>
        </w:tc>
        <w:tc>
          <w:tcPr>
            <w:tcW w:w="1023" w:type="dxa"/>
            <w:gridSpan w:val="2"/>
            <w:vMerge/>
            <w:tcBorders>
              <w:left w:val="single" w:sz="4" w:space="0" w:color="000000"/>
              <w:right w:val="single" w:sz="4" w:space="0" w:color="000000"/>
            </w:tcBorders>
            <w:shd w:val="clear" w:color="auto" w:fill="D2D2D2"/>
          </w:tcPr>
          <w:p>
            <w:pPr/>
          </w:p>
        </w:tc>
        <w:tc>
          <w:tcPr>
            <w:tcW w:w="999" w:type="dxa"/>
            <w:vMerge/>
            <w:tcBorders>
              <w:left w:val="single" w:sz="4" w:space="0" w:color="000000"/>
              <w:right w:val="single" w:sz="4" w:space="0" w:color="000000"/>
            </w:tcBorders>
            <w:shd w:val="clear" w:color="auto" w:fill="D2D2D2"/>
          </w:tcPr>
          <w:p>
            <w:pPr/>
          </w:p>
        </w:tc>
        <w:tc>
          <w:tcPr>
            <w:tcW w:w="1054" w:type="dxa"/>
            <w:gridSpan w:val="2"/>
            <w:vMerge/>
            <w:tcBorders>
              <w:left w:val="single" w:sz="4" w:space="0" w:color="000000"/>
              <w:right w:val="nil" w:sz="6" w:space="0" w:color="auto"/>
            </w:tcBorders>
            <w:shd w:val="clear" w:color="auto" w:fill="D2D2D2"/>
          </w:tcPr>
          <w:p>
            <w:pPr/>
          </w:p>
        </w:tc>
      </w:tr>
      <w:tr>
        <w:trPr>
          <w:trHeight w:val="161" w:hRule="exact"/>
        </w:trPr>
        <w:tc>
          <w:tcPr>
            <w:tcW w:w="1723" w:type="dxa"/>
            <w:gridSpan w:val="2"/>
            <w:vMerge/>
            <w:tcBorders>
              <w:left w:val="nil" w:sz="6" w:space="0" w:color="auto"/>
              <w:bottom w:val="single" w:sz="4" w:space="0" w:color="000000"/>
              <w:right w:val="single" w:sz="4" w:space="0" w:color="000000"/>
            </w:tcBorders>
            <w:shd w:val="clear" w:color="auto" w:fill="D2D2D2"/>
          </w:tcPr>
          <w:p>
            <w:pPr/>
          </w:p>
        </w:tc>
        <w:tc>
          <w:tcPr>
            <w:tcW w:w="1399" w:type="dxa"/>
            <w:gridSpan w:val="2"/>
            <w:vMerge/>
            <w:tcBorders>
              <w:left w:val="single" w:sz="4" w:space="0" w:color="000000"/>
              <w:bottom w:val="single" w:sz="4" w:space="0" w:color="000000"/>
              <w:right w:val="single" w:sz="4" w:space="0" w:color="000000"/>
            </w:tcBorders>
            <w:shd w:val="clear" w:color="auto" w:fill="D2D2D2"/>
          </w:tcPr>
          <w:p>
            <w:pPr/>
          </w:p>
        </w:tc>
        <w:tc>
          <w:tcPr>
            <w:tcW w:w="70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single" w:sz="4" w:space="0" w:color="000000"/>
              <w:right w:val="single" w:sz="4" w:space="0" w:color="000000"/>
            </w:tcBorders>
            <w:shd w:val="clear" w:color="auto" w:fill="D2D2D2"/>
          </w:tcPr>
          <w:p>
            <w:pPr/>
          </w:p>
        </w:tc>
        <w:tc>
          <w:tcPr>
            <w:tcW w:w="765" w:type="dxa"/>
            <w:vMerge/>
            <w:tcBorders>
              <w:left w:val="single" w:sz="4" w:space="0" w:color="000000"/>
              <w:bottom w:val="single" w:sz="4" w:space="0" w:color="000000"/>
              <w:right w:val="single" w:sz="4" w:space="0" w:color="000000"/>
            </w:tcBorders>
            <w:shd w:val="clear" w:color="auto" w:fill="D2D2D2"/>
          </w:tcPr>
          <w:p>
            <w:pPr/>
          </w:p>
        </w:tc>
        <w:tc>
          <w:tcPr>
            <w:tcW w:w="952" w:type="dxa"/>
            <w:gridSpan w:val="2"/>
            <w:vMerge/>
            <w:tcBorders>
              <w:left w:val="single" w:sz="4" w:space="0" w:color="000000"/>
              <w:bottom w:val="single" w:sz="4" w:space="0" w:color="000000"/>
              <w:right w:val="single" w:sz="4" w:space="0" w:color="000000"/>
            </w:tcBorders>
            <w:shd w:val="clear" w:color="auto" w:fill="D2D2D2"/>
          </w:tcPr>
          <w:p>
            <w:pPr/>
          </w:p>
        </w:tc>
        <w:tc>
          <w:tcPr>
            <w:tcW w:w="1023" w:type="dxa"/>
            <w:gridSpan w:val="2"/>
            <w:vMerge/>
            <w:tcBorders>
              <w:left w:val="single" w:sz="4" w:space="0" w:color="000000"/>
              <w:bottom w:val="single" w:sz="4" w:space="0" w:color="000000"/>
              <w:right w:val="single" w:sz="4" w:space="0" w:color="000000"/>
            </w:tcBorders>
            <w:shd w:val="clear" w:color="auto" w:fill="D2D2D2"/>
          </w:tcPr>
          <w:p>
            <w:pPr/>
          </w:p>
        </w:tc>
        <w:tc>
          <w:tcPr>
            <w:tcW w:w="999" w:type="dxa"/>
            <w:vMerge/>
            <w:tcBorders>
              <w:left w:val="single" w:sz="4" w:space="0" w:color="000000"/>
              <w:bottom w:val="single" w:sz="4" w:space="0" w:color="000000"/>
              <w:right w:val="single" w:sz="4" w:space="0" w:color="000000"/>
            </w:tcBorders>
            <w:shd w:val="clear" w:color="auto" w:fill="D2D2D2"/>
          </w:tcPr>
          <w:p>
            <w:pPr/>
          </w:p>
        </w:tc>
        <w:tc>
          <w:tcPr>
            <w:tcW w:w="1054" w:type="dxa"/>
            <w:gridSpan w:val="2"/>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72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49.64%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z w:val="18"/>
              </w:rPr>
              <w:t>62,540,753</w:t>
            </w:r>
          </w:p>
        </w:tc>
        <w:tc>
          <w:tcPr>
            <w:tcW w:w="765" w:type="dxa"/>
            <w:tcBorders>
              <w:top w:val="single" w:sz="4" w:space="0" w:color="000000"/>
              <w:left w:val="single" w:sz="4" w:space="0" w:color="000000"/>
              <w:bottom w:val="single" w:sz="4" w:space="0" w:color="000000"/>
              <w:right w:val="single" w:sz="4" w:space="0" w:color="000000"/>
            </w:tcBorders>
          </w:tcPr>
          <w:p>
            <w:pPr/>
          </w:p>
        </w:tc>
        <w:tc>
          <w:tcPr>
            <w:tcW w:w="952" w:type="dxa"/>
            <w:gridSpan w:val="2"/>
            <w:tcBorders>
              <w:top w:val="single" w:sz="4" w:space="0" w:color="000000"/>
              <w:left w:val="single" w:sz="4" w:space="0" w:color="000000"/>
              <w:bottom w:val="single" w:sz="4" w:space="0" w:color="000000"/>
              <w:right w:val="single" w:sz="4" w:space="0" w:color="000000"/>
            </w:tcBorders>
          </w:tcPr>
          <w:p>
            <w:pPr/>
          </w:p>
        </w:tc>
        <w:tc>
          <w:tcPr>
            <w:tcW w:w="1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left"/>
              <w:rPr>
                <w:rFonts w:ascii="Times New Roman" w:hAnsi="Times New Roman" w:cs="Times New Roman" w:eastAsia="Times New Roman" w:hint="default"/>
                <w:sz w:val="18"/>
                <w:szCs w:val="18"/>
              </w:rPr>
            </w:pPr>
            <w:r>
              <w:rPr>
                <w:rFonts w:ascii="Times New Roman"/>
                <w:sz w:val="18"/>
              </w:rPr>
              <w:t>62,540,753</w:t>
            </w:r>
          </w:p>
        </w:tc>
        <w:tc>
          <w:tcPr>
            <w:tcW w:w="999"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4" w:type="dxa"/>
            <w:gridSpan w:val="2"/>
            <w:tcBorders>
              <w:top w:val="single" w:sz="45" w:space="0" w:color="D2D2D2"/>
              <w:left w:val="single" w:sz="4" w:space="0" w:color="000000"/>
              <w:bottom w:val="single" w:sz="4" w:space="0" w:color="000000"/>
              <w:right w:val="nil" w:sz="6" w:space="0" w:color="auto"/>
            </w:tcBorders>
          </w:tcPr>
          <w:p>
            <w:pPr>
              <w:pStyle w:val="TableParagraph"/>
              <w:spacing w:line="240" w:lineRule="auto" w:before="40"/>
              <w:ind w:left="224" w:right="0"/>
              <w:jc w:val="left"/>
              <w:rPr>
                <w:rFonts w:ascii="Times New Roman" w:hAnsi="Times New Roman" w:cs="Times New Roman" w:eastAsia="Times New Roman" w:hint="default"/>
                <w:sz w:val="18"/>
                <w:szCs w:val="18"/>
              </w:rPr>
            </w:pPr>
            <w:r>
              <w:rPr>
                <w:rFonts w:ascii="Times New Roman"/>
                <w:sz w:val="18"/>
              </w:rPr>
              <w:t>54,840,000</w:t>
            </w:r>
          </w:p>
        </w:tc>
      </w:tr>
      <w:tr>
        <w:trPr>
          <w:trHeight w:val="714" w:hRule="exact"/>
        </w:trPr>
        <w:tc>
          <w:tcPr>
            <w:tcW w:w="1723" w:type="dxa"/>
            <w:gridSpan w:val="2"/>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3" w:right="82"/>
              <w:jc w:val="left"/>
              <w:rPr>
                <w:rFonts w:ascii="宋体" w:hAnsi="宋体" w:cs="宋体" w:eastAsia="宋体" w:hint="default"/>
                <w:sz w:val="18"/>
                <w:szCs w:val="18"/>
              </w:rPr>
            </w:pPr>
            <w:r>
              <w:rPr>
                <w:rFonts w:ascii="宋体" w:hAnsi="宋体" w:cs="宋体" w:eastAsia="宋体" w:hint="default"/>
                <w:sz w:val="18"/>
                <w:szCs w:val="18"/>
              </w:rPr>
              <w:t>新余全盛通投资管理 有限公司</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2.79%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z w:val="18"/>
              </w:rPr>
              <w:t>3,510,000</w:t>
            </w:r>
          </w:p>
        </w:tc>
        <w:tc>
          <w:tcPr>
            <w:tcW w:w="765" w:type="dxa"/>
            <w:tcBorders>
              <w:top w:val="single" w:sz="4" w:space="0" w:color="000000"/>
              <w:left w:val="single" w:sz="4" w:space="0" w:color="000000"/>
              <w:bottom w:val="single" w:sz="4" w:space="0" w:color="000000"/>
              <w:right w:val="single" w:sz="4" w:space="0" w:color="000000"/>
            </w:tcBorders>
          </w:tcPr>
          <w:p>
            <w:pPr/>
          </w:p>
        </w:tc>
        <w:tc>
          <w:tcPr>
            <w:tcW w:w="952" w:type="dxa"/>
            <w:gridSpan w:val="2"/>
            <w:tcBorders>
              <w:top w:val="single" w:sz="4" w:space="0" w:color="000000"/>
              <w:left w:val="single" w:sz="4" w:space="0" w:color="000000"/>
              <w:bottom w:val="single" w:sz="4" w:space="0" w:color="000000"/>
              <w:right w:val="single" w:sz="4" w:space="0" w:color="000000"/>
            </w:tcBorders>
          </w:tcPr>
          <w:p>
            <w:pPr/>
          </w:p>
        </w:tc>
        <w:tc>
          <w:tcPr>
            <w:tcW w:w="1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3,510,000</w:t>
            </w:r>
          </w:p>
        </w:tc>
        <w:tc>
          <w:tcPr>
            <w:tcW w:w="999" w:type="dxa"/>
            <w:tcBorders>
              <w:top w:val="single" w:sz="4" w:space="0" w:color="000000"/>
              <w:left w:val="single" w:sz="4" w:space="0" w:color="000000"/>
              <w:bottom w:val="single" w:sz="4" w:space="0" w:color="000000"/>
              <w:right w:val="single" w:sz="4" w:space="0" w:color="000000"/>
            </w:tcBorders>
          </w:tcPr>
          <w:p>
            <w:pPr/>
          </w:p>
        </w:tc>
        <w:tc>
          <w:tcPr>
            <w:tcW w:w="1054" w:type="dxa"/>
            <w:gridSpan w:val="2"/>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2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1.49%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z w:val="18"/>
              </w:rPr>
              <w:t>1,878,900</w:t>
            </w:r>
          </w:p>
        </w:tc>
        <w:tc>
          <w:tcPr>
            <w:tcW w:w="765" w:type="dxa"/>
            <w:tcBorders>
              <w:top w:val="single" w:sz="4" w:space="0" w:color="000000"/>
              <w:left w:val="single" w:sz="4" w:space="0" w:color="000000"/>
              <w:bottom w:val="single" w:sz="4" w:space="0" w:color="000000"/>
              <w:right w:val="single" w:sz="4" w:space="0" w:color="000000"/>
            </w:tcBorders>
          </w:tcPr>
          <w:p>
            <w:pPr/>
          </w:p>
        </w:tc>
        <w:tc>
          <w:tcPr>
            <w:tcW w:w="952" w:type="dxa"/>
            <w:gridSpan w:val="2"/>
            <w:tcBorders>
              <w:top w:val="single" w:sz="4" w:space="0" w:color="000000"/>
              <w:left w:val="single" w:sz="4" w:space="0" w:color="000000"/>
              <w:bottom w:val="single" w:sz="4" w:space="0" w:color="000000"/>
              <w:right w:val="single" w:sz="4" w:space="0" w:color="000000"/>
            </w:tcBorders>
          </w:tcPr>
          <w:p>
            <w:pPr/>
          </w:p>
        </w:tc>
        <w:tc>
          <w:tcPr>
            <w:tcW w:w="1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1,878,900</w:t>
            </w:r>
          </w:p>
        </w:tc>
        <w:tc>
          <w:tcPr>
            <w:tcW w:w="999" w:type="dxa"/>
            <w:tcBorders>
              <w:top w:val="single" w:sz="4" w:space="0" w:color="000000"/>
              <w:left w:val="single" w:sz="4" w:space="0" w:color="000000"/>
              <w:bottom w:val="single" w:sz="4" w:space="0" w:color="000000"/>
              <w:right w:val="single" w:sz="4" w:space="0" w:color="000000"/>
            </w:tcBorders>
          </w:tcPr>
          <w:p>
            <w:pPr/>
          </w:p>
        </w:tc>
        <w:tc>
          <w:tcPr>
            <w:tcW w:w="1054" w:type="dxa"/>
            <w:gridSpan w:val="2"/>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2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陈勤慧</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0.97%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z w:val="18"/>
              </w:rPr>
              <w:t>1,228,100</w:t>
            </w:r>
          </w:p>
        </w:tc>
        <w:tc>
          <w:tcPr>
            <w:tcW w:w="765" w:type="dxa"/>
            <w:tcBorders>
              <w:top w:val="single" w:sz="4" w:space="0" w:color="000000"/>
              <w:left w:val="single" w:sz="4" w:space="0" w:color="000000"/>
              <w:bottom w:val="single" w:sz="4" w:space="0" w:color="000000"/>
              <w:right w:val="single" w:sz="4" w:space="0" w:color="000000"/>
            </w:tcBorders>
          </w:tcPr>
          <w:p>
            <w:pPr/>
          </w:p>
        </w:tc>
        <w:tc>
          <w:tcPr>
            <w:tcW w:w="952" w:type="dxa"/>
            <w:gridSpan w:val="2"/>
            <w:tcBorders>
              <w:top w:val="single" w:sz="4" w:space="0" w:color="000000"/>
              <w:left w:val="single" w:sz="4" w:space="0" w:color="000000"/>
              <w:bottom w:val="single" w:sz="4" w:space="0" w:color="000000"/>
              <w:right w:val="single" w:sz="4" w:space="0" w:color="000000"/>
            </w:tcBorders>
          </w:tcPr>
          <w:p>
            <w:pPr/>
          </w:p>
        </w:tc>
        <w:tc>
          <w:tcPr>
            <w:tcW w:w="1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1,228,100</w:t>
            </w:r>
          </w:p>
        </w:tc>
        <w:tc>
          <w:tcPr>
            <w:tcW w:w="999" w:type="dxa"/>
            <w:tcBorders>
              <w:top w:val="single" w:sz="4" w:space="0" w:color="000000"/>
              <w:left w:val="single" w:sz="4" w:space="0" w:color="000000"/>
              <w:bottom w:val="single" w:sz="4" w:space="0" w:color="000000"/>
              <w:right w:val="single" w:sz="4" w:space="0" w:color="000000"/>
            </w:tcBorders>
          </w:tcPr>
          <w:p>
            <w:pPr/>
          </w:p>
        </w:tc>
        <w:tc>
          <w:tcPr>
            <w:tcW w:w="1054" w:type="dxa"/>
            <w:gridSpan w:val="2"/>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2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0.74%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z w:val="18"/>
              </w:rPr>
              <w:t>930,544</w:t>
            </w:r>
          </w:p>
        </w:tc>
        <w:tc>
          <w:tcPr>
            <w:tcW w:w="765" w:type="dxa"/>
            <w:tcBorders>
              <w:top w:val="single" w:sz="4" w:space="0" w:color="000000"/>
              <w:left w:val="single" w:sz="4" w:space="0" w:color="000000"/>
              <w:bottom w:val="single" w:sz="4" w:space="0" w:color="000000"/>
              <w:right w:val="single" w:sz="4" w:space="0" w:color="000000"/>
            </w:tcBorders>
          </w:tcPr>
          <w:p>
            <w:pPr/>
          </w:p>
        </w:tc>
        <w:tc>
          <w:tcPr>
            <w:tcW w:w="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4" w:right="0"/>
              <w:jc w:val="left"/>
              <w:rPr>
                <w:rFonts w:ascii="Times New Roman" w:hAnsi="Times New Roman" w:cs="Times New Roman" w:eastAsia="Times New Roman" w:hint="default"/>
                <w:sz w:val="18"/>
                <w:szCs w:val="18"/>
              </w:rPr>
            </w:pPr>
            <w:r>
              <w:rPr>
                <w:rFonts w:ascii="Times New Roman"/>
                <w:sz w:val="18"/>
              </w:rPr>
              <w:t>930,544</w:t>
            </w:r>
          </w:p>
        </w:tc>
        <w:tc>
          <w:tcPr>
            <w:tcW w:w="1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9" w:type="dxa"/>
            <w:tcBorders>
              <w:top w:val="single" w:sz="4" w:space="0" w:color="000000"/>
              <w:left w:val="single" w:sz="4" w:space="0" w:color="000000"/>
              <w:bottom w:val="single" w:sz="4" w:space="0" w:color="000000"/>
              <w:right w:val="single" w:sz="4" w:space="0" w:color="000000"/>
            </w:tcBorders>
          </w:tcPr>
          <w:p>
            <w:pPr/>
          </w:p>
        </w:tc>
        <w:tc>
          <w:tcPr>
            <w:tcW w:w="1054" w:type="dxa"/>
            <w:gridSpan w:val="2"/>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2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张克宁</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0.72%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z w:val="18"/>
              </w:rPr>
              <w:t>902,000</w:t>
            </w:r>
          </w:p>
        </w:tc>
        <w:tc>
          <w:tcPr>
            <w:tcW w:w="765" w:type="dxa"/>
            <w:tcBorders>
              <w:top w:val="single" w:sz="4" w:space="0" w:color="000000"/>
              <w:left w:val="single" w:sz="4" w:space="0" w:color="000000"/>
              <w:bottom w:val="single" w:sz="4" w:space="0" w:color="000000"/>
              <w:right w:val="single" w:sz="4" w:space="0" w:color="000000"/>
            </w:tcBorders>
          </w:tcPr>
          <w:p>
            <w:pPr/>
          </w:p>
        </w:tc>
        <w:tc>
          <w:tcPr>
            <w:tcW w:w="952" w:type="dxa"/>
            <w:gridSpan w:val="2"/>
            <w:tcBorders>
              <w:top w:val="single" w:sz="4" w:space="0" w:color="000000"/>
              <w:left w:val="single" w:sz="4" w:space="0" w:color="000000"/>
              <w:bottom w:val="single" w:sz="4" w:space="0" w:color="000000"/>
              <w:right w:val="single" w:sz="4" w:space="0" w:color="000000"/>
            </w:tcBorders>
          </w:tcPr>
          <w:p>
            <w:pPr/>
          </w:p>
        </w:tc>
        <w:tc>
          <w:tcPr>
            <w:tcW w:w="1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4" w:right="0"/>
              <w:jc w:val="left"/>
              <w:rPr>
                <w:rFonts w:ascii="Times New Roman" w:hAnsi="Times New Roman" w:cs="Times New Roman" w:eastAsia="Times New Roman" w:hint="default"/>
                <w:sz w:val="18"/>
                <w:szCs w:val="18"/>
              </w:rPr>
            </w:pPr>
            <w:r>
              <w:rPr>
                <w:rFonts w:ascii="Times New Roman"/>
                <w:sz w:val="18"/>
              </w:rPr>
              <w:t>902,000</w:t>
            </w:r>
          </w:p>
        </w:tc>
        <w:tc>
          <w:tcPr>
            <w:tcW w:w="999" w:type="dxa"/>
            <w:tcBorders>
              <w:top w:val="single" w:sz="4" w:space="0" w:color="000000"/>
              <w:left w:val="single" w:sz="4" w:space="0" w:color="000000"/>
              <w:bottom w:val="single" w:sz="4" w:space="0" w:color="000000"/>
              <w:right w:val="single" w:sz="4" w:space="0" w:color="000000"/>
            </w:tcBorders>
          </w:tcPr>
          <w:p>
            <w:pPr/>
          </w:p>
        </w:tc>
        <w:tc>
          <w:tcPr>
            <w:tcW w:w="1054" w:type="dxa"/>
            <w:gridSpan w:val="2"/>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2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金建勋</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0.57%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z w:val="18"/>
              </w:rPr>
              <w:t>713,600</w:t>
            </w:r>
          </w:p>
        </w:tc>
        <w:tc>
          <w:tcPr>
            <w:tcW w:w="765" w:type="dxa"/>
            <w:tcBorders>
              <w:top w:val="single" w:sz="4" w:space="0" w:color="000000"/>
              <w:left w:val="single" w:sz="4" w:space="0" w:color="000000"/>
              <w:bottom w:val="single" w:sz="4" w:space="0" w:color="000000"/>
              <w:right w:val="single" w:sz="4" w:space="0" w:color="000000"/>
            </w:tcBorders>
          </w:tcPr>
          <w:p>
            <w:pPr/>
          </w:p>
        </w:tc>
        <w:tc>
          <w:tcPr>
            <w:tcW w:w="952" w:type="dxa"/>
            <w:gridSpan w:val="2"/>
            <w:tcBorders>
              <w:top w:val="single" w:sz="4" w:space="0" w:color="000000"/>
              <w:left w:val="single" w:sz="4" w:space="0" w:color="000000"/>
              <w:bottom w:val="single" w:sz="4" w:space="0" w:color="000000"/>
              <w:right w:val="single" w:sz="4" w:space="0" w:color="000000"/>
            </w:tcBorders>
          </w:tcPr>
          <w:p>
            <w:pPr/>
          </w:p>
        </w:tc>
        <w:tc>
          <w:tcPr>
            <w:tcW w:w="1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4" w:right="0"/>
              <w:jc w:val="left"/>
              <w:rPr>
                <w:rFonts w:ascii="Times New Roman" w:hAnsi="Times New Roman" w:cs="Times New Roman" w:eastAsia="Times New Roman" w:hint="default"/>
                <w:sz w:val="18"/>
                <w:szCs w:val="18"/>
              </w:rPr>
            </w:pPr>
            <w:r>
              <w:rPr>
                <w:rFonts w:ascii="Times New Roman"/>
                <w:sz w:val="18"/>
              </w:rPr>
              <w:t>713,600</w:t>
            </w:r>
          </w:p>
        </w:tc>
        <w:tc>
          <w:tcPr>
            <w:tcW w:w="999" w:type="dxa"/>
            <w:tcBorders>
              <w:top w:val="single" w:sz="4" w:space="0" w:color="000000"/>
              <w:left w:val="single" w:sz="4" w:space="0" w:color="000000"/>
              <w:bottom w:val="single" w:sz="4" w:space="0" w:color="000000"/>
              <w:right w:val="single" w:sz="4" w:space="0" w:color="000000"/>
            </w:tcBorders>
          </w:tcPr>
          <w:p>
            <w:pPr/>
          </w:p>
        </w:tc>
        <w:tc>
          <w:tcPr>
            <w:tcW w:w="1054" w:type="dxa"/>
            <w:gridSpan w:val="2"/>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2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3" w:right="0"/>
              <w:jc w:val="left"/>
              <w:rPr>
                <w:rFonts w:ascii="宋体" w:hAnsi="宋体" w:cs="宋体" w:eastAsia="宋体" w:hint="default"/>
                <w:sz w:val="18"/>
                <w:szCs w:val="18"/>
              </w:rPr>
            </w:pPr>
            <w:r>
              <w:rPr>
                <w:rFonts w:ascii="宋体" w:hAnsi="宋体" w:cs="宋体" w:eastAsia="宋体" w:hint="default"/>
                <w:sz w:val="18"/>
                <w:szCs w:val="18"/>
              </w:rPr>
              <w:t>中国工商银行股份有</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0.54%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z w:val="18"/>
              </w:rPr>
              <w:t>680,081</w:t>
            </w:r>
          </w:p>
        </w:tc>
        <w:tc>
          <w:tcPr>
            <w:tcW w:w="765" w:type="dxa"/>
            <w:tcBorders>
              <w:top w:val="single" w:sz="4" w:space="0" w:color="000000"/>
              <w:left w:val="single" w:sz="4" w:space="0" w:color="000000"/>
              <w:bottom w:val="single" w:sz="4" w:space="0" w:color="000000"/>
              <w:right w:val="single" w:sz="4" w:space="0" w:color="000000"/>
            </w:tcBorders>
          </w:tcPr>
          <w:p>
            <w:pPr/>
          </w:p>
        </w:tc>
        <w:tc>
          <w:tcPr>
            <w:tcW w:w="952" w:type="dxa"/>
            <w:gridSpan w:val="2"/>
            <w:tcBorders>
              <w:top w:val="single" w:sz="4" w:space="0" w:color="000000"/>
              <w:left w:val="single" w:sz="4" w:space="0" w:color="000000"/>
              <w:bottom w:val="single" w:sz="4" w:space="0" w:color="000000"/>
              <w:right w:val="single" w:sz="4" w:space="0" w:color="000000"/>
            </w:tcBorders>
          </w:tcPr>
          <w:p>
            <w:pPr/>
          </w:p>
        </w:tc>
        <w:tc>
          <w:tcPr>
            <w:tcW w:w="1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4" w:right="0"/>
              <w:jc w:val="left"/>
              <w:rPr>
                <w:rFonts w:ascii="Times New Roman" w:hAnsi="Times New Roman" w:cs="Times New Roman" w:eastAsia="Times New Roman" w:hint="default"/>
                <w:sz w:val="18"/>
                <w:szCs w:val="18"/>
              </w:rPr>
            </w:pPr>
            <w:r>
              <w:rPr>
                <w:rFonts w:ascii="Times New Roman"/>
                <w:sz w:val="18"/>
              </w:rPr>
              <w:t>680,081</w:t>
            </w:r>
          </w:p>
        </w:tc>
        <w:tc>
          <w:tcPr>
            <w:tcW w:w="999" w:type="dxa"/>
            <w:tcBorders>
              <w:top w:val="single" w:sz="4" w:space="0" w:color="000000"/>
              <w:left w:val="single" w:sz="4" w:space="0" w:color="000000"/>
              <w:bottom w:val="single" w:sz="4" w:space="0" w:color="000000"/>
              <w:right w:val="single" w:sz="4" w:space="0" w:color="000000"/>
            </w:tcBorders>
          </w:tcPr>
          <w:p>
            <w:pPr/>
          </w:p>
        </w:tc>
        <w:tc>
          <w:tcPr>
            <w:tcW w:w="1054" w:type="dxa"/>
            <w:gridSpan w:val="2"/>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56" w:type="dxa"/>
        <w:tblLayout w:type="fixed"/>
        <w:tblCellMar>
          <w:top w:w="0" w:type="dxa"/>
          <w:left w:w="0" w:type="dxa"/>
          <w:bottom w:w="0" w:type="dxa"/>
          <w:right w:w="0" w:type="dxa"/>
        </w:tblCellMar>
        <w:tblLook w:val="01E0"/>
      </w:tblPr>
      <w:tblGrid>
        <w:gridCol w:w="1730"/>
        <w:gridCol w:w="1144"/>
        <w:gridCol w:w="256"/>
        <w:gridCol w:w="701"/>
        <w:gridCol w:w="895"/>
        <w:gridCol w:w="798"/>
        <w:gridCol w:w="952"/>
        <w:gridCol w:w="388"/>
        <w:gridCol w:w="635"/>
        <w:gridCol w:w="714"/>
        <w:gridCol w:w="290"/>
        <w:gridCol w:w="1048"/>
      </w:tblGrid>
      <w:tr>
        <w:trPr>
          <w:trHeight w:val="674" w:hRule="exact"/>
        </w:trPr>
        <w:tc>
          <w:tcPr>
            <w:tcW w:w="173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10"/>
              <w:ind w:left="20" w:right="82"/>
              <w:jc w:val="left"/>
              <w:rPr>
                <w:rFonts w:ascii="宋体" w:hAnsi="宋体" w:cs="宋体" w:eastAsia="宋体" w:hint="default"/>
                <w:sz w:val="18"/>
                <w:szCs w:val="18"/>
              </w:rPr>
            </w:pPr>
            <w:r>
              <w:rPr>
                <w:rFonts w:ascii="宋体" w:hAnsi="宋体" w:cs="宋体" w:eastAsia="宋体" w:hint="default"/>
                <w:sz w:val="18"/>
                <w:szCs w:val="18"/>
              </w:rPr>
              <w:t>限公司－诺安新经济 股票型证券投资基金</w:t>
            </w:r>
          </w:p>
        </w:tc>
        <w:tc>
          <w:tcPr>
            <w:tcW w:w="1399" w:type="dxa"/>
            <w:gridSpan w:val="2"/>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1023" w:type="dxa"/>
            <w:gridSpan w:val="2"/>
            <w:tcBorders>
              <w:top w:val="single" w:sz="4" w:space="0" w:color="000000"/>
              <w:left w:val="single" w:sz="4" w:space="0" w:color="000000"/>
              <w:bottom w:val="single" w:sz="4" w:space="0" w:color="000000"/>
              <w:right w:val="single" w:sz="4" w:space="0" w:color="000000"/>
            </w:tcBorders>
          </w:tcPr>
          <w:p>
            <w:pPr/>
          </w:p>
        </w:tc>
        <w:tc>
          <w:tcPr>
            <w:tcW w:w="1004" w:type="dxa"/>
            <w:gridSpan w:val="2"/>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73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0" w:right="82"/>
              <w:jc w:val="left"/>
              <w:rPr>
                <w:rFonts w:ascii="宋体" w:hAnsi="宋体" w:cs="宋体" w:eastAsia="宋体" w:hint="default"/>
                <w:sz w:val="18"/>
                <w:szCs w:val="18"/>
              </w:rPr>
            </w:pPr>
            <w:r>
              <w:rPr>
                <w:rFonts w:ascii="宋体" w:hAnsi="宋体" w:cs="宋体" w:eastAsia="宋体" w:hint="default"/>
                <w:sz w:val="18"/>
                <w:szCs w:val="18"/>
              </w:rPr>
              <w:t>中央汇金资产管理有 限责任公司</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1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610,700</w:t>
            </w:r>
          </w:p>
        </w:tc>
        <w:tc>
          <w:tcPr>
            <w:tcW w:w="1004" w:type="dxa"/>
            <w:gridSpan w:val="2"/>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唐杨</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1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4" w:right="0"/>
              <w:jc w:val="left"/>
              <w:rPr>
                <w:rFonts w:ascii="Times New Roman" w:hAnsi="Times New Roman" w:cs="Times New Roman" w:eastAsia="Times New Roman" w:hint="default"/>
                <w:sz w:val="18"/>
                <w:szCs w:val="18"/>
              </w:rPr>
            </w:pPr>
            <w:r>
              <w:rPr>
                <w:rFonts w:ascii="Times New Roman"/>
                <w:sz w:val="18"/>
              </w:rPr>
              <w:t>430,000</w:t>
            </w:r>
          </w:p>
        </w:tc>
        <w:tc>
          <w:tcPr>
            <w:tcW w:w="1004" w:type="dxa"/>
            <w:gridSpan w:val="2"/>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129" w:type="dxa"/>
            <w:gridSpan w:val="3"/>
            <w:tcBorders>
              <w:top w:val="single" w:sz="4" w:space="0" w:color="000000"/>
              <w:left w:val="nil" w:sz="6" w:space="0" w:color="auto"/>
              <w:bottom w:val="nil" w:sz="6" w:space="0" w:color="auto"/>
              <w:right w:val="single" w:sz="4" w:space="0" w:color="000000"/>
            </w:tcBorders>
            <w:shd w:val="clear" w:color="auto" w:fill="D2D2D2"/>
          </w:tcPr>
          <w:p>
            <w:pPr/>
          </w:p>
        </w:tc>
        <w:tc>
          <w:tcPr>
            <w:tcW w:w="6421" w:type="dxa"/>
            <w:gridSpan w:val="9"/>
            <w:vMerge w:val="restart"/>
            <w:tcBorders>
              <w:top w:val="single" w:sz="4" w:space="0" w:color="000000"/>
              <w:left w:val="single" w:sz="9" w:space="0" w:color="D2D2D2"/>
              <w:right w:val="nil" w:sz="6" w:space="0" w:color="auto"/>
            </w:tcBorders>
          </w:tcPr>
          <w:p>
            <w:pPr>
              <w:pStyle w:val="TableParagraph"/>
              <w:spacing w:line="309" w:lineRule="auto" w:before="51"/>
              <w:ind w:left="17" w:right="12"/>
              <w:jc w:val="left"/>
              <w:rPr>
                <w:rFonts w:ascii="宋体" w:hAnsi="宋体" w:cs="宋体" w:eastAsia="宋体" w:hint="default"/>
                <w:sz w:val="18"/>
                <w:szCs w:val="18"/>
              </w:rPr>
            </w:pPr>
            <w:r>
              <w:rPr>
                <w:rFonts w:ascii="宋体" w:hAnsi="宋体" w:cs="宋体" w:eastAsia="宋体" w:hint="default"/>
                <w:sz w:val="18"/>
                <w:szCs w:val="18"/>
              </w:rPr>
              <w:t>新余全盛通法定代表人梁芳女士为公司实际控制人及控股股东梁伟先生的姐姐， 除此之外，公司无法确定其他前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名股东间是否存在关联关系或属于《上市公司 股东持股变动信息披露管理办法》规定的一致行动人。</w:t>
            </w:r>
          </w:p>
        </w:tc>
      </w:tr>
      <w:tr>
        <w:trPr>
          <w:trHeight w:val="392" w:hRule="exact"/>
        </w:trPr>
        <w:tc>
          <w:tcPr>
            <w:tcW w:w="3129" w:type="dxa"/>
            <w:gridSpan w:val="3"/>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421" w:type="dxa"/>
            <w:gridSpan w:val="9"/>
            <w:vMerge/>
            <w:tcBorders>
              <w:left w:val="single" w:sz="9" w:space="0" w:color="D2D2D2"/>
              <w:right w:val="nil" w:sz="6" w:space="0" w:color="auto"/>
            </w:tcBorders>
          </w:tcPr>
          <w:p>
            <w:pPr/>
          </w:p>
        </w:tc>
      </w:tr>
      <w:tr>
        <w:trPr>
          <w:trHeight w:val="317" w:hRule="exact"/>
        </w:trPr>
        <w:tc>
          <w:tcPr>
            <w:tcW w:w="3129" w:type="dxa"/>
            <w:gridSpan w:val="3"/>
            <w:tcBorders>
              <w:top w:val="nil" w:sz="6" w:space="0" w:color="auto"/>
              <w:left w:val="nil" w:sz="6" w:space="0" w:color="auto"/>
              <w:bottom w:val="single" w:sz="4" w:space="0" w:color="000000"/>
              <w:right w:val="single" w:sz="4" w:space="0" w:color="000000"/>
            </w:tcBorders>
            <w:shd w:val="clear" w:color="auto" w:fill="D2D2D2"/>
          </w:tcPr>
          <w:p>
            <w:pPr/>
          </w:p>
        </w:tc>
        <w:tc>
          <w:tcPr>
            <w:tcW w:w="6421" w:type="dxa"/>
            <w:gridSpan w:val="9"/>
            <w:vMerge/>
            <w:tcBorders>
              <w:left w:val="single" w:sz="9" w:space="0" w:color="D2D2D2"/>
              <w:bottom w:val="single" w:sz="4" w:space="0" w:color="000000"/>
              <w:right w:val="nil" w:sz="6" w:space="0" w:color="auto"/>
            </w:tcBorders>
          </w:tcPr>
          <w:p>
            <w:pPr/>
          </w:p>
        </w:tc>
      </w:tr>
      <w:tr>
        <w:trPr>
          <w:trHeight w:val="402" w:hRule="exact"/>
        </w:trPr>
        <w:tc>
          <w:tcPr>
            <w:tcW w:w="9550" w:type="dxa"/>
            <w:gridSpan w:val="1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73" w:type="dxa"/>
            <w:gridSpan w:val="2"/>
            <w:tcBorders>
              <w:top w:val="single" w:sz="4" w:space="0" w:color="000000"/>
              <w:left w:val="nil" w:sz="6" w:space="0" w:color="auto"/>
              <w:bottom w:val="nil" w:sz="6" w:space="0" w:color="auto"/>
              <w:right w:val="single" w:sz="4" w:space="0" w:color="000000"/>
            </w:tcBorders>
            <w:shd w:val="clear" w:color="auto" w:fill="D2D2D2"/>
          </w:tcPr>
          <w:p>
            <w:pPr/>
          </w:p>
        </w:tc>
        <w:tc>
          <w:tcPr>
            <w:tcW w:w="3989"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2688" w:type="dxa"/>
            <w:gridSpan w:val="4"/>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73" w:type="dxa"/>
            <w:gridSpan w:val="2"/>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88" w:type="dxa"/>
            <w:gridSpan w:val="4"/>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2873" w:type="dxa"/>
            <w:gridSpan w:val="2"/>
            <w:vMerge/>
            <w:tcBorders>
              <w:left w:val="nil" w:sz="6" w:space="0" w:color="auto"/>
              <w:bottom w:val="nil" w:sz="6" w:space="0" w:color="auto"/>
              <w:right w:val="single" w:sz="4" w:space="0" w:color="000000"/>
            </w:tcBorders>
            <w:shd w:val="clear" w:color="auto" w:fill="D2D2D2"/>
          </w:tcPr>
          <w:p>
            <w:pPr/>
          </w:p>
        </w:tc>
        <w:tc>
          <w:tcPr>
            <w:tcW w:w="3989" w:type="dxa"/>
            <w:gridSpan w:val="6"/>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39"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3" w:type="dxa"/>
            <w:gridSpan w:val="2"/>
            <w:tcBorders>
              <w:top w:val="nil" w:sz="6" w:space="0" w:color="auto"/>
              <w:left w:val="nil" w:sz="6" w:space="0" w:color="auto"/>
              <w:bottom w:val="single" w:sz="4" w:space="0" w:color="000000"/>
              <w:right w:val="single" w:sz="4" w:space="0" w:color="000000"/>
            </w:tcBorders>
            <w:shd w:val="clear" w:color="auto" w:fill="D2D2D2"/>
          </w:tcPr>
          <w:p>
            <w:pPr/>
          </w:p>
        </w:tc>
        <w:tc>
          <w:tcPr>
            <w:tcW w:w="3989"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39" w:type="dxa"/>
            <w:gridSpan w:val="2"/>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62,540,753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510" w:right="0"/>
              <w:jc w:val="left"/>
              <w:rPr>
                <w:rFonts w:ascii="Times New Roman" w:hAnsi="Times New Roman" w:cs="Times New Roman" w:eastAsia="Times New Roman" w:hint="default"/>
                <w:sz w:val="18"/>
                <w:szCs w:val="18"/>
              </w:rPr>
            </w:pPr>
            <w:r>
              <w:rPr>
                <w:rFonts w:ascii="Times New Roman"/>
                <w:sz w:val="18"/>
              </w:rPr>
              <w:t>62,540,753</w:t>
            </w:r>
          </w:p>
        </w:tc>
      </w:tr>
      <w:tr>
        <w:trPr>
          <w:trHeight w:val="402"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新余全盛通投资管理有限公司</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3,510,000</w:t>
            </w:r>
          </w:p>
        </w:tc>
      </w:tr>
      <w:tr>
        <w:trPr>
          <w:trHeight w:val="402"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王丹梅</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1,878,900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1,878,900</w:t>
            </w:r>
          </w:p>
        </w:tc>
      </w:tr>
      <w:tr>
        <w:trPr>
          <w:trHeight w:val="402"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陈勤慧</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1,228,100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1,228,100</w:t>
            </w:r>
          </w:p>
        </w:tc>
      </w:tr>
      <w:tr>
        <w:trPr>
          <w:trHeight w:val="402"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张克宁</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902,000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735" w:right="0"/>
              <w:jc w:val="left"/>
              <w:rPr>
                <w:rFonts w:ascii="Times New Roman" w:hAnsi="Times New Roman" w:cs="Times New Roman" w:eastAsia="Times New Roman" w:hint="default"/>
                <w:sz w:val="18"/>
                <w:szCs w:val="18"/>
              </w:rPr>
            </w:pPr>
            <w:r>
              <w:rPr>
                <w:rFonts w:ascii="Times New Roman"/>
                <w:sz w:val="18"/>
              </w:rPr>
              <w:t>902,000</w:t>
            </w:r>
          </w:p>
        </w:tc>
      </w:tr>
      <w:tr>
        <w:trPr>
          <w:trHeight w:val="402"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金建勋</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713,600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735" w:right="0"/>
              <w:jc w:val="left"/>
              <w:rPr>
                <w:rFonts w:ascii="Times New Roman" w:hAnsi="Times New Roman" w:cs="Times New Roman" w:eastAsia="Times New Roman" w:hint="default"/>
                <w:sz w:val="18"/>
                <w:szCs w:val="18"/>
              </w:rPr>
            </w:pPr>
            <w:r>
              <w:rPr>
                <w:rFonts w:ascii="Times New Roman"/>
                <w:sz w:val="18"/>
              </w:rPr>
              <w:t>713,600</w:t>
            </w:r>
          </w:p>
        </w:tc>
      </w:tr>
      <w:tr>
        <w:trPr>
          <w:trHeight w:val="714"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0"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中国工商银行股份有限公司－诺安 新经济股票型证券投资基金</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680,081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5" w:right="0"/>
              <w:jc w:val="left"/>
              <w:rPr>
                <w:rFonts w:ascii="Times New Roman" w:hAnsi="Times New Roman" w:cs="Times New Roman" w:eastAsia="Times New Roman" w:hint="default"/>
                <w:sz w:val="18"/>
                <w:szCs w:val="18"/>
              </w:rPr>
            </w:pPr>
            <w:r>
              <w:rPr>
                <w:rFonts w:ascii="Times New Roman"/>
                <w:sz w:val="18"/>
              </w:rPr>
              <w:t>680,081</w:t>
            </w:r>
          </w:p>
        </w:tc>
      </w:tr>
      <w:tr>
        <w:trPr>
          <w:trHeight w:val="402"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610,700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735" w:right="0"/>
              <w:jc w:val="left"/>
              <w:rPr>
                <w:rFonts w:ascii="Times New Roman" w:hAnsi="Times New Roman" w:cs="Times New Roman" w:eastAsia="Times New Roman" w:hint="default"/>
                <w:sz w:val="18"/>
                <w:szCs w:val="18"/>
              </w:rPr>
            </w:pPr>
            <w:r>
              <w:rPr>
                <w:rFonts w:ascii="Times New Roman"/>
                <w:sz w:val="18"/>
              </w:rPr>
              <w:t>610,700</w:t>
            </w:r>
          </w:p>
        </w:tc>
      </w:tr>
      <w:tr>
        <w:trPr>
          <w:trHeight w:val="402"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唐杨</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735" w:right="0"/>
              <w:jc w:val="left"/>
              <w:rPr>
                <w:rFonts w:ascii="Times New Roman" w:hAnsi="Times New Roman" w:cs="Times New Roman" w:eastAsia="Times New Roman" w:hint="default"/>
                <w:sz w:val="18"/>
                <w:szCs w:val="18"/>
              </w:rPr>
            </w:pPr>
            <w:r>
              <w:rPr>
                <w:rFonts w:ascii="Times New Roman"/>
                <w:sz w:val="18"/>
              </w:rPr>
              <w:t>430,000</w:t>
            </w:r>
          </w:p>
        </w:tc>
      </w:tr>
      <w:tr>
        <w:trPr>
          <w:trHeight w:val="402" w:hRule="exact"/>
        </w:trPr>
        <w:tc>
          <w:tcPr>
            <w:tcW w:w="287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王开湖</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407,900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735" w:right="0"/>
              <w:jc w:val="left"/>
              <w:rPr>
                <w:rFonts w:ascii="Times New Roman" w:hAnsi="Times New Roman" w:cs="Times New Roman" w:eastAsia="Times New Roman" w:hint="default"/>
                <w:sz w:val="18"/>
                <w:szCs w:val="18"/>
              </w:rPr>
            </w:pPr>
            <w:r>
              <w:rPr>
                <w:rFonts w:ascii="Times New Roman"/>
                <w:sz w:val="18"/>
              </w:rPr>
              <w:t>407,900</w:t>
            </w:r>
          </w:p>
        </w:tc>
      </w:tr>
      <w:tr>
        <w:trPr>
          <w:trHeight w:val="1338" w:hRule="exact"/>
        </w:trPr>
        <w:tc>
          <w:tcPr>
            <w:tcW w:w="2873" w:type="dxa"/>
            <w:gridSpan w:val="2"/>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0"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77" w:type="dxa"/>
            <w:gridSpan w:val="10"/>
            <w:tcBorders>
              <w:top w:val="single" w:sz="4" w:space="0" w:color="000000"/>
              <w:left w:val="single" w:sz="9" w:space="0" w:color="D2D2D2"/>
              <w:bottom w:val="single" w:sz="4" w:space="0" w:color="000000"/>
              <w:right w:val="nil" w:sz="6" w:space="0" w:color="auto"/>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名股东中新余全盛通法定代表人梁芳女士为公司实际控制人及控股股东梁伟先</w:t>
            </w:r>
          </w:p>
          <w:p>
            <w:pPr>
              <w:pStyle w:val="TableParagraph"/>
              <w:spacing w:line="240" w:lineRule="auto" w:before="61"/>
              <w:ind w:left="16" w:right="0"/>
              <w:jc w:val="left"/>
              <w:rPr>
                <w:rFonts w:ascii="宋体" w:hAnsi="宋体" w:cs="宋体" w:eastAsia="宋体" w:hint="default"/>
                <w:sz w:val="18"/>
                <w:szCs w:val="18"/>
              </w:rPr>
            </w:pPr>
            <w:r>
              <w:rPr>
                <w:rFonts w:ascii="宋体" w:hAnsi="宋体" w:cs="宋体" w:eastAsia="宋体" w:hint="default"/>
                <w:sz w:val="18"/>
                <w:szCs w:val="18"/>
              </w:rPr>
              <w:t>生的姐姐，除此之外，公司无法确定前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名无限售流通股股东间以及前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w:t>
            </w:r>
          </w:p>
          <w:p>
            <w:pPr>
              <w:pStyle w:val="TableParagraph"/>
              <w:spacing w:line="302" w:lineRule="auto" w:before="63"/>
              <w:ind w:left="16" w:right="77"/>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名股东之间是否存在关联关系或属于《上市公司股东持股变动信息披露 管理办法》规定的一致行动人。</w:t>
            </w:r>
          </w:p>
        </w:tc>
      </w:tr>
      <w:tr>
        <w:trPr>
          <w:trHeight w:val="714" w:hRule="exact"/>
        </w:trPr>
        <w:tc>
          <w:tcPr>
            <w:tcW w:w="2873" w:type="dxa"/>
            <w:gridSpan w:val="2"/>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20"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77" w:type="dxa"/>
            <w:gridSpan w:val="10"/>
            <w:tcBorders>
              <w:top w:val="single" w:sz="4" w:space="0" w:color="000000"/>
              <w:left w:val="single" w:sz="9" w:space="0" w:color="D2D2D2"/>
              <w:bottom w:val="single" w:sz="4" w:space="0" w:color="000000"/>
              <w:right w:val="nil" w:sz="6" w:space="0" w:color="auto"/>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公司股东王开湖通过长江证券股份有限公司客户信用交易担保证券账户持有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407,900</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股，合计持有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407,900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line="240" w:lineRule="auto" w:before="12"/>
        <w:rPr>
          <w:rFonts w:ascii="宋体" w:hAnsi="宋体" w:cs="宋体" w:eastAsia="宋体" w:hint="default"/>
          <w:sz w:val="4"/>
          <w:szCs w:val="4"/>
        </w:rPr>
      </w:pPr>
    </w:p>
    <w:p>
      <w:pPr>
        <w:pStyle w:val="Heading5"/>
        <w:spacing w:line="240" w:lineRule="auto" w:before="35"/>
        <w:ind w:right="0"/>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名无限售条件普通股股东在报告期内是否进行约定购回交易</w:t>
      </w:r>
    </w:p>
    <w:p>
      <w:pPr>
        <w:pStyle w:val="Heading5"/>
        <w:spacing w:line="240" w:lineRule="auto" w:before="12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Heading5"/>
        <w:spacing w:line="240" w:lineRule="auto" w:before="129"/>
        <w:ind w:right="0"/>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名无限售条件普通股股东在报告期内未进行约定购回交易。</w:t>
      </w:r>
    </w:p>
    <w:p>
      <w:pPr>
        <w:spacing w:line="240" w:lineRule="auto" w:before="1"/>
        <w:rPr>
          <w:rFonts w:ascii="宋体" w:hAnsi="宋体" w:cs="宋体" w:eastAsia="宋体" w:hint="default"/>
          <w:sz w:val="24"/>
          <w:szCs w:val="24"/>
        </w:rPr>
      </w:pPr>
    </w:p>
    <w:p>
      <w:pPr>
        <w:pStyle w:val="Heading4"/>
        <w:spacing w:line="240" w:lineRule="auto"/>
        <w:ind w:right="0"/>
        <w:jc w:val="left"/>
        <w:rPr>
          <w:b w:val="0"/>
          <w:bCs w:val="0"/>
        </w:rPr>
      </w:pPr>
      <w:bookmarkStart w:name="2、公司控股股东情况" w:id="108"/>
      <w:bookmarkEnd w:id="10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30"/>
          <w:szCs w:val="30"/>
        </w:rPr>
      </w:pPr>
    </w:p>
    <w:p>
      <w:pPr>
        <w:pStyle w:val="Heading5"/>
        <w:spacing w:line="367" w:lineRule="auto"/>
        <w:ind w:right="8232"/>
        <w:jc w:val="left"/>
      </w:pPr>
      <w:r>
        <w:rPr/>
        <w:pict>
          <v:shape style="position:absolute;margin-left:56.460011pt;margin-top:39.023636pt;width:479.2pt;height:20.6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p>
              </w:txbxContent>
            </v:textbox>
            <w10:wrap type="none"/>
          </v:shape>
        </w:pict>
      </w:r>
      <w:r>
        <w:rPr/>
        <w:t>控股股东性质：自然人控股 控股股东类型：自然人</w:t>
      </w:r>
    </w:p>
    <w:p>
      <w:pPr>
        <w:spacing w:after="0" w:line="367"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23" w:right="26"/>
              <w:jc w:val="left"/>
              <w:rPr>
                <w:rFonts w:ascii="宋体" w:hAnsi="宋体" w:cs="宋体" w:eastAsia="宋体" w:hint="default"/>
                <w:sz w:val="18"/>
                <w:szCs w:val="18"/>
              </w:rPr>
            </w:pPr>
            <w:r>
              <w:rPr>
                <w:rFonts w:ascii="宋体" w:hAnsi="宋体" w:cs="宋体" w:eastAsia="宋体" w:hint="default"/>
                <w:spacing w:val="-1"/>
                <w:sz w:val="18"/>
                <w:szCs w:val="18"/>
              </w:rPr>
              <w:t>曾任武汉金运激光股份有限公司董事长、总经理，现担任公司营运顾问、数字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化新兴业务开发中心总监</w:t>
            </w:r>
          </w:p>
        </w:tc>
      </w:tr>
    </w:tbl>
    <w:p>
      <w:pPr>
        <w:spacing w:line="240" w:lineRule="auto" w:before="12"/>
        <w:rPr>
          <w:rFonts w:ascii="宋体" w:hAnsi="宋体" w:cs="宋体" w:eastAsia="宋体" w:hint="default"/>
          <w:sz w:val="4"/>
          <w:szCs w:val="4"/>
        </w:rPr>
      </w:pPr>
    </w:p>
    <w:p>
      <w:pPr>
        <w:pStyle w:val="Heading5"/>
        <w:spacing w:line="240" w:lineRule="auto" w:before="35"/>
        <w:ind w:right="0"/>
        <w:jc w:val="left"/>
      </w:pPr>
      <w:r>
        <w:rPr/>
        <w:t>控股股东报告期内变更</w:t>
      </w:r>
    </w:p>
    <w:p>
      <w:pPr>
        <w:pStyle w:val="Heading5"/>
        <w:spacing w:line="345" w:lineRule="auto" w:before="146"/>
        <w:ind w:right="6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公司报告期控股股东未发生变更。</w:t>
      </w:r>
    </w:p>
    <w:p>
      <w:pPr>
        <w:spacing w:line="240" w:lineRule="auto" w:before="3"/>
        <w:rPr>
          <w:rFonts w:ascii="宋体" w:hAnsi="宋体" w:cs="宋体" w:eastAsia="宋体" w:hint="default"/>
          <w:sz w:val="18"/>
          <w:szCs w:val="18"/>
        </w:rPr>
      </w:pPr>
    </w:p>
    <w:p>
      <w:pPr>
        <w:pStyle w:val="Heading4"/>
        <w:spacing w:line="240" w:lineRule="auto"/>
        <w:ind w:right="0"/>
        <w:jc w:val="left"/>
        <w:rPr>
          <w:b w:val="0"/>
          <w:bCs w:val="0"/>
        </w:rPr>
      </w:pPr>
      <w:bookmarkStart w:name="3、公司实际控制人及其一致行动人" w:id="109"/>
      <w:bookmarkEnd w:id="109"/>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3"/>
        <w:rPr>
          <w:rFonts w:ascii="宋体" w:hAnsi="宋体" w:cs="宋体" w:eastAsia="宋体" w:hint="default"/>
          <w:b/>
          <w:bCs/>
          <w:sz w:val="30"/>
          <w:szCs w:val="30"/>
        </w:rPr>
      </w:pPr>
    </w:p>
    <w:p>
      <w:pPr>
        <w:pStyle w:val="Heading5"/>
        <w:spacing w:line="367" w:lineRule="auto"/>
        <w:ind w:right="8022"/>
        <w:jc w:val="left"/>
      </w:pPr>
      <w:r>
        <w:rPr/>
        <w:pict>
          <v:shape style="position:absolute;margin-left:56.459995pt;margin-top:39.053631pt;width:479.2pt;height:127.7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2"/>
                          <w:ind w:left="1010" w:right="114"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梁伟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nil" w:sz="6" w:space="0" w:color="auto"/>
                        </w:tcBorders>
                      </w:tcPr>
                      <w:p>
                        <w:pPr>
                          <w:pStyle w:val="TableParagraph"/>
                          <w:spacing w:line="316" w:lineRule="auto" w:before="52"/>
                          <w:ind w:left="23" w:right="25"/>
                          <w:jc w:val="left"/>
                          <w:rPr>
                            <w:rFonts w:ascii="宋体" w:hAnsi="宋体" w:cs="宋体" w:eastAsia="宋体" w:hint="default"/>
                            <w:sz w:val="18"/>
                            <w:szCs w:val="18"/>
                          </w:rPr>
                        </w:pPr>
                        <w:r>
                          <w:rPr>
                            <w:rFonts w:ascii="宋体" w:hAnsi="宋体" w:cs="宋体" w:eastAsia="宋体" w:hint="default"/>
                            <w:spacing w:val="-3"/>
                            <w:sz w:val="18"/>
                            <w:szCs w:val="18"/>
                          </w:rPr>
                          <w:t>曾任武汉金运激光股份有限公司董事长、总经理，现担任公司营运顾问、数字化新兴业务开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发中心总监</w:t>
                        </w:r>
                      </w:p>
                    </w:tc>
                  </w:tr>
                  <w:tr>
                    <w:trPr>
                      <w:trHeight w:val="715"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2"/>
                          <w:ind w:left="27"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实际控制人性质：境外自然人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5"/>
        <w:spacing w:line="240" w:lineRule="auto" w:before="35"/>
        <w:ind w:right="0"/>
        <w:jc w:val="left"/>
      </w:pPr>
      <w:r>
        <w:rPr/>
        <w:t>实际控制人报告期内变更</w:t>
      </w:r>
    </w:p>
    <w:p>
      <w:pPr>
        <w:pStyle w:val="Heading5"/>
        <w:spacing w:line="357" w:lineRule="auto" w:before="145"/>
        <w:ind w:right="6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公司报告期实际控制人未发生变更。 公司与实际控制人之间的产权及控制关系的方框图</w:t>
      </w:r>
    </w:p>
    <w:p>
      <w:pPr>
        <w:spacing w:line="240" w:lineRule="auto" w:before="3"/>
        <w:rPr>
          <w:rFonts w:ascii="宋体" w:hAnsi="宋体" w:cs="宋体" w:eastAsia="宋体" w:hint="default"/>
          <w:sz w:val="11"/>
          <w:szCs w:val="11"/>
        </w:rPr>
      </w:pPr>
    </w:p>
    <w:p>
      <w:pPr>
        <w:spacing w:line="3420" w:lineRule="exact"/>
        <w:ind w:left="1358"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590342" cy="217170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4590342" cy="2171700"/>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10"/>
        <w:rPr>
          <w:rFonts w:ascii="宋体" w:hAnsi="宋体" w:cs="宋体" w:eastAsia="宋体" w:hint="default"/>
          <w:sz w:val="14"/>
          <w:szCs w:val="14"/>
        </w:rPr>
      </w:pPr>
    </w:p>
    <w:p>
      <w:pPr>
        <w:pStyle w:val="Heading5"/>
        <w:spacing w:line="240" w:lineRule="auto"/>
        <w:ind w:right="0"/>
        <w:jc w:val="left"/>
      </w:pPr>
      <w:r>
        <w:rPr/>
        <w:t>实际控制人通过信托或其他资产管理方式控制公司</w:t>
      </w:r>
    </w:p>
    <w:p>
      <w:pPr>
        <w:spacing w:line="240" w:lineRule="auto" w:before="4"/>
        <w:rPr>
          <w:rFonts w:ascii="宋体" w:hAnsi="宋体" w:cs="宋体" w:eastAsia="宋体" w:hint="default"/>
          <w:sz w:val="18"/>
          <w:szCs w:val="18"/>
        </w:rPr>
      </w:pP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其他持股在10%以上的法人股东" w:id="110"/>
      <w:bookmarkEnd w:id="110"/>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5、控股股东、实际控制人、重组方及其他承诺主体股份限制减持情况" w:id="111"/>
      <w:bookmarkEnd w:id="11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2"/>
      <w:bookmarkEnd w:id="112"/>
      <w:r>
        <w:rPr>
          <w:b w:val="0"/>
          <w:bCs w:val="0"/>
        </w:rPr>
      </w:r>
      <w:bookmarkStart w:name="_bookmark6" w:id="113"/>
      <w:bookmarkEnd w:id="113"/>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3"/>
          <w:szCs w:val="23"/>
        </w:rPr>
      </w:pPr>
    </w:p>
    <w:p>
      <w:pPr>
        <w:pStyle w:val="Heading5"/>
        <w:spacing w:line="345" w:lineRule="auto" w:before="35"/>
        <w:ind w:right="82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报告期公司不存在优先股。</w:t>
      </w:r>
    </w:p>
    <w:p>
      <w:pPr>
        <w:spacing w:after="0" w:line="345"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14"/>
      <w:bookmarkEnd w:id="114"/>
      <w:r>
        <w:rPr>
          <w:b w:val="0"/>
          <w:bCs w:val="0"/>
        </w:rPr>
      </w:r>
      <w:bookmarkStart w:name="_bookmark7" w:id="115"/>
      <w:bookmarkEnd w:id="115"/>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董事、监事和高级管理人员持股变动" w:id="116"/>
      <w:bookmarkEnd w:id="11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58"/>
        <w:gridCol w:w="686"/>
        <w:gridCol w:w="560"/>
        <w:gridCol w:w="546"/>
        <w:gridCol w:w="532"/>
        <w:gridCol w:w="1624"/>
        <w:gridCol w:w="1483"/>
        <w:gridCol w:w="827"/>
        <w:gridCol w:w="630"/>
        <w:gridCol w:w="616"/>
        <w:gridCol w:w="630"/>
        <w:gridCol w:w="781"/>
      </w:tblGrid>
      <w:tr>
        <w:trPr>
          <w:trHeight w:val="1337" w:hRule="exact"/>
        </w:trPr>
        <w:tc>
          <w:tcPr>
            <w:tcW w:w="6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94" w:right="95"/>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8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48" w:right="4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9" w:right="39"/>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3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 w:right="31"/>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3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 w:right="38"/>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3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8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5" w:right="29"/>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梁萍</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0"/>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p>
            <w:pPr>
              <w:pStyle w:val="TableParagraph"/>
              <w:spacing w:line="558" w:lineRule="exact"/>
              <w:ind w:right="-37"/>
              <w:jc w:val="left"/>
              <w:rPr>
                <w:rFonts w:ascii="宋体" w:hAnsi="宋体" w:cs="宋体" w:eastAsia="宋体" w:hint="default"/>
                <w:sz w:val="20"/>
                <w:szCs w:val="20"/>
              </w:rPr>
            </w:pPr>
            <w:r>
              <w:rPr>
                <w:rFonts w:ascii="宋体" w:hAnsi="宋体" w:cs="宋体" w:eastAsia="宋体" w:hint="default"/>
                <w:position w:val="-10"/>
                <w:sz w:val="20"/>
                <w:szCs w:val="20"/>
              </w:rPr>
              <w:pict>
                <v:group style="width:27.5pt;height:27.95pt;mso-position-horizontal-relative:char;mso-position-vertical-relative:line" coordorigin="0,0" coordsize="550,559">
                  <v:group style="position:absolute;left:0;top:0;width:550;height:156" coordorigin="0,0" coordsize="550,156">
                    <v:shape style="position:absolute;left:0;top:0;width:550;height:156" coordorigin="0,0" coordsize="550,156" path="m0,156l550,156,550,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7e" filled="false" stroked="true" strokeweight="1.140pt" strokecolor="#ffffff">
                      <v:path arrowok="t"/>
                    </v:shape>
                  </v:group>
                  <v:group style="position:absolute;left:23;top:156;width:504;height:392" coordorigin="23,156" coordsize="504,392">
                    <v:shape style="position:absolute;left:23;top:156;width:504;height:392" coordorigin="23,156" coordsize="504,392" path="m23,547l527,547,527,156,23,156,23,547xe" filled="true" fillcolor="#ffffff" stroked="false">
                      <v:path arrowok="t"/>
                      <v:fill type="solid"/>
                    </v:shape>
                  </v:group>
                </v:group>
              </w:pict>
            </w:r>
            <w:r>
              <w:rPr>
                <w:rFonts w:ascii="宋体" w:hAnsi="宋体" w:cs="宋体" w:eastAsia="宋体" w:hint="default"/>
                <w:position w:val="-10"/>
                <w:sz w:val="20"/>
                <w:szCs w:val="20"/>
              </w:rPr>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200,724</w:t>
            </w:r>
          </w:p>
        </w:tc>
        <w:tc>
          <w:tcPr>
            <w:tcW w:w="63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200,724</w:t>
            </w:r>
          </w:p>
        </w:tc>
      </w:tr>
      <w:tr>
        <w:trPr>
          <w:trHeight w:val="402" w:hRule="exact"/>
        </w:trPr>
        <w:tc>
          <w:tcPr>
            <w:tcW w:w="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肖璇</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7"/>
              <w:jc w:val="right"/>
              <w:rPr>
                <w:rFonts w:ascii="宋体" w:hAnsi="宋体" w:cs="宋体" w:eastAsia="宋体" w:hint="default"/>
                <w:sz w:val="18"/>
                <w:szCs w:val="18"/>
              </w:rPr>
            </w:pPr>
            <w:r>
              <w:rPr>
                <w:rFonts w:ascii="宋体" w:hAnsi="宋体" w:cs="宋体" w:eastAsia="宋体" w:hint="default"/>
                <w:sz w:val="18"/>
                <w:szCs w:val="18"/>
              </w:rPr>
              <w:t>现任</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27"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7"/>
              <w:jc w:val="right"/>
              <w:rPr>
                <w:rFonts w:ascii="宋体" w:hAnsi="宋体" w:cs="宋体" w:eastAsia="宋体" w:hint="default"/>
                <w:sz w:val="18"/>
                <w:szCs w:val="18"/>
              </w:rPr>
            </w:pPr>
            <w:r>
              <w:rPr>
                <w:rFonts w:ascii="宋体" w:hAnsi="宋体" w:cs="宋体" w:eastAsia="宋体" w:hint="default"/>
                <w:sz w:val="18"/>
                <w:szCs w:val="18"/>
              </w:rPr>
              <w:t>现任</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930,544</w:t>
            </w:r>
          </w:p>
        </w:tc>
        <w:tc>
          <w:tcPr>
            <w:tcW w:w="63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930,544</w:t>
            </w:r>
          </w:p>
        </w:tc>
      </w:tr>
      <w:tr>
        <w:trPr>
          <w:trHeight w:val="714" w:hRule="exact"/>
        </w:trPr>
        <w:tc>
          <w:tcPr>
            <w:tcW w:w="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现任</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27"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现任</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27"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李爱静</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7"/>
              <w:jc w:val="right"/>
              <w:rPr>
                <w:rFonts w:ascii="宋体" w:hAnsi="宋体" w:cs="宋体" w:eastAsia="宋体" w:hint="default"/>
                <w:sz w:val="18"/>
                <w:szCs w:val="18"/>
              </w:rPr>
            </w:pPr>
            <w:r>
              <w:rPr>
                <w:rFonts w:ascii="宋体" w:hAnsi="宋体" w:cs="宋体" w:eastAsia="宋体" w:hint="default"/>
                <w:sz w:val="18"/>
                <w:szCs w:val="18"/>
              </w:rPr>
              <w:t>现任</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27"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聂金萍</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7"/>
              <w:jc w:val="right"/>
              <w:rPr>
                <w:rFonts w:ascii="宋体" w:hAnsi="宋体" w:cs="宋体" w:eastAsia="宋体" w:hint="default"/>
                <w:sz w:val="18"/>
                <w:szCs w:val="18"/>
              </w:rPr>
            </w:pPr>
            <w:r>
              <w:rPr>
                <w:rFonts w:ascii="宋体" w:hAnsi="宋体" w:cs="宋体" w:eastAsia="宋体" w:hint="default"/>
                <w:sz w:val="18"/>
                <w:szCs w:val="18"/>
              </w:rPr>
              <w:t>现任</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27"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于潇潇</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7"/>
              <w:jc w:val="right"/>
              <w:rPr>
                <w:rFonts w:ascii="宋体" w:hAnsi="宋体" w:cs="宋体" w:eastAsia="宋体" w:hint="default"/>
                <w:sz w:val="18"/>
                <w:szCs w:val="18"/>
              </w:rPr>
            </w:pPr>
            <w:r>
              <w:rPr>
                <w:rFonts w:ascii="宋体" w:hAnsi="宋体" w:cs="宋体" w:eastAsia="宋体" w:hint="default"/>
                <w:sz w:val="18"/>
                <w:szCs w:val="18"/>
              </w:rPr>
              <w:t>离任</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27"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黄海霞</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7"/>
              <w:jc w:val="right"/>
              <w:rPr>
                <w:rFonts w:ascii="宋体" w:hAnsi="宋体" w:cs="宋体" w:eastAsia="宋体" w:hint="default"/>
                <w:sz w:val="18"/>
                <w:szCs w:val="18"/>
              </w:rPr>
            </w:pPr>
            <w:r>
              <w:rPr>
                <w:rFonts w:ascii="宋体" w:hAnsi="宋体" w:cs="宋体" w:eastAsia="宋体" w:hint="default"/>
                <w:sz w:val="18"/>
                <w:szCs w:val="18"/>
              </w:rPr>
              <w:t>现任</w:t>
            </w:r>
          </w:p>
        </w:tc>
        <w:tc>
          <w:tcPr>
            <w:tcW w:w="54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27"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0"/>
              <w:jc w:val="left"/>
              <w:rPr>
                <w:rFonts w:ascii="宋体" w:hAnsi="宋体" w:cs="宋体" w:eastAsia="宋体" w:hint="default"/>
                <w:sz w:val="18"/>
                <w:szCs w:val="18"/>
              </w:rPr>
            </w:pPr>
            <w:r>
              <w:rPr>
                <w:rFonts w:ascii="宋体" w:hAnsi="宋体" w:cs="宋体" w:eastAsia="宋体" w:hint="default"/>
                <w:sz w:val="18"/>
                <w:szCs w:val="18"/>
              </w:rPr>
              <w:t>副总经 </w:t>
            </w:r>
            <w:r>
              <w:rPr>
                <w:rFonts w:ascii="宋体" w:hAnsi="宋体" w:cs="宋体" w:eastAsia="宋体" w:hint="default"/>
                <w:spacing w:val="-23"/>
                <w:sz w:val="18"/>
                <w:szCs w:val="18"/>
              </w:rPr>
              <w:t>理、董秘</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现任</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27"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陈维斯</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0"/>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离任</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27"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廖琨</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0"/>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现任</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27"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65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15"/>
              <w:jc w:val="right"/>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1,131,268</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1,131,268</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二、公司董事、监事、高级管理人员变动情况" w:id="117"/>
      <w:bookmarkEnd w:id="117"/>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2815"/>
        <w:gridCol w:w="2763"/>
      </w:tblGrid>
      <w:tr>
        <w:trPr>
          <w:trHeight w:val="402" w:hRule="exact"/>
        </w:trPr>
        <w:tc>
          <w:tcPr>
            <w:tcW w:w="133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276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于潇潇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黄海霞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陈维斯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廖琨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三、任职情况" w:id="118"/>
      <w:bookmarkEnd w:id="118"/>
      <w:r>
        <w:rPr>
          <w:b w:val="0"/>
          <w:bCs w:val="0"/>
        </w:rPr>
      </w:r>
      <w:r>
        <w:rPr/>
        <w:t>三、任职情况</w:t>
      </w:r>
      <w:r>
        <w:rPr>
          <w:b w:val="0"/>
          <w:bCs w:val="0"/>
        </w:rPr>
      </w:r>
    </w:p>
    <w:p>
      <w:pPr>
        <w:spacing w:line="240" w:lineRule="auto" w:before="3"/>
        <w:rPr>
          <w:rFonts w:ascii="宋体" w:hAnsi="宋体" w:cs="宋体" w:eastAsia="宋体" w:hint="default"/>
          <w:b/>
          <w:bCs/>
          <w:sz w:val="30"/>
          <w:szCs w:val="30"/>
        </w:rPr>
      </w:pPr>
    </w:p>
    <w:p>
      <w:pPr>
        <w:pStyle w:val="Heading5"/>
        <w:spacing w:line="240" w:lineRule="auto"/>
        <w:ind w:right="0"/>
        <w:jc w:val="left"/>
      </w:pPr>
      <w:r>
        <w:rPr/>
        <w:t>公司现任董事、监事、高级管理人员专业背景、主要工作经历以及目前在公司的主要职责</w:t>
      </w:r>
    </w:p>
    <w:p>
      <w:pPr>
        <w:pStyle w:val="Heading4"/>
        <w:spacing w:line="240" w:lineRule="auto" w:before="144"/>
        <w:ind w:left="576" w:right="0"/>
        <w:jc w:val="left"/>
        <w:rPr>
          <w:b w:val="0"/>
          <w:bCs w:val="0"/>
        </w:rPr>
      </w:pPr>
      <w:r>
        <w:rPr>
          <w:rFonts w:ascii="Times New Roman" w:hAnsi="Times New Roman" w:cs="Times New Roman" w:eastAsia="Times New Roman" w:hint="default"/>
        </w:rPr>
        <w:t>1</w:t>
      </w:r>
      <w:r>
        <w:rPr/>
        <w:t>、董事会成员</w:t>
      </w:r>
      <w:r>
        <w:rPr>
          <w:b w:val="0"/>
          <w:bCs w:val="0"/>
        </w:rPr>
      </w:r>
    </w:p>
    <w:p>
      <w:pPr>
        <w:pStyle w:val="Heading5"/>
        <w:spacing w:line="314" w:lineRule="auto" w:before="90"/>
        <w:ind w:right="1026" w:firstLine="420"/>
        <w:jc w:val="left"/>
      </w:pPr>
      <w:r>
        <w:rPr>
          <w:spacing w:val="-2"/>
        </w:rPr>
        <w:t>梁萍女士：中国国籍，无永久境外居留权，</w:t>
      </w:r>
      <w:r>
        <w:rPr>
          <w:rFonts w:ascii="Times New Roman" w:hAnsi="Times New Roman" w:cs="Times New Roman" w:eastAsia="Times New Roman" w:hint="default"/>
          <w:spacing w:val="-2"/>
        </w:rPr>
        <w:t>1960</w:t>
      </w:r>
      <w:r>
        <w:rPr>
          <w:spacing w:val="-2"/>
        </w:rPr>
        <w:t>年出生，大学学历。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-2009</w:t>
      </w:r>
      <w:r>
        <w:rPr>
          <w:spacing w:val="-2"/>
        </w:rPr>
        <w:t>年任武汉金运激光股</w:t>
      </w:r>
      <w:r>
        <w:rPr/>
        <w:t> </w:t>
      </w:r>
      <w:r>
        <w:rPr>
          <w:spacing w:val="-4"/>
        </w:rPr>
        <w:t>份有限公司销售部经理、</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-2014</w:t>
      </w:r>
      <w:r>
        <w:rPr>
          <w:spacing w:val="-4"/>
        </w:rPr>
        <w:t>年任公司国内销售中心副总经理，</w:t>
      </w:r>
      <w:r>
        <w:rPr>
          <w:rFonts w:ascii="Times New Roman" w:hAnsi="Times New Roman" w:cs="Times New Roman" w:eastAsia="Times New Roman" w:hint="default"/>
          <w:spacing w:val="-4"/>
        </w:rPr>
        <w:t>2014</w:t>
      </w:r>
      <w:r>
        <w:rPr>
          <w:spacing w:val="-4"/>
        </w:rPr>
        <w:t>年至今任公司营运中心副总监。</w:t>
      </w:r>
      <w:r>
        <w:rPr>
          <w:spacing w:val="-88"/>
        </w:rPr>
        <w:t> </w:t>
      </w:r>
      <w:r>
        <w:rPr>
          <w:spacing w:val="-88"/>
        </w:rPr>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日至今任公司董事长、总经理职务</w:t>
      </w:r>
    </w:p>
    <w:p>
      <w:pPr>
        <w:pStyle w:val="Heading5"/>
        <w:spacing w:line="312" w:lineRule="auto" w:before="17"/>
        <w:ind w:right="1132" w:firstLine="420"/>
        <w:jc w:val="both"/>
      </w:pPr>
      <w:r>
        <w:rPr>
          <w:spacing w:val="-1"/>
        </w:rPr>
        <w:t>肖璇女士：中国国籍，无永久境外居留权，</w:t>
      </w:r>
      <w:r>
        <w:rPr>
          <w:rFonts w:ascii="Times New Roman" w:hAnsi="Times New Roman" w:cs="Times New Roman" w:eastAsia="Times New Roman" w:hint="default"/>
          <w:spacing w:val="-1"/>
        </w:rPr>
        <w:t>1987</w:t>
      </w:r>
      <w:r>
        <w:rPr>
          <w:spacing w:val="-1"/>
        </w:rPr>
        <w:t>年出生，大学学历。</w:t>
      </w:r>
      <w:r>
        <w:rPr>
          <w:rFonts w:ascii="Times New Roman" w:hAnsi="Times New Roman" w:cs="Times New Roman" w:eastAsia="Times New Roman" w:hint="default"/>
          <w:spacing w:val="-1"/>
        </w:rPr>
        <w:t>2014</w:t>
      </w:r>
      <w:r>
        <w:rPr>
          <w:spacing w:val="-1"/>
        </w:rPr>
        <w:t>年至今任湖北高投金运激光</w:t>
      </w:r>
      <w:r>
        <w:rPr/>
        <w:t> 产业投资管理有限公司行政主管。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日至今任公司董事。</w:t>
      </w:r>
    </w:p>
    <w:p>
      <w:pPr>
        <w:pStyle w:val="Heading5"/>
        <w:spacing w:line="314" w:lineRule="auto" w:before="20"/>
        <w:ind w:right="1109" w:firstLine="420"/>
        <w:jc w:val="both"/>
      </w:pPr>
      <w:r>
        <w:rPr>
          <w:spacing w:val="-1"/>
        </w:rPr>
        <w:t>李俊先生：中国国籍，无永久境外居留权，</w:t>
      </w:r>
      <w:r>
        <w:rPr>
          <w:rFonts w:ascii="Times New Roman" w:hAnsi="Times New Roman" w:cs="Times New Roman" w:eastAsia="Times New Roman" w:hint="default"/>
          <w:spacing w:val="-1"/>
        </w:rPr>
        <w:t>1957</w:t>
      </w:r>
      <w:r>
        <w:rPr>
          <w:spacing w:val="-1"/>
        </w:rPr>
        <w:t>年出生，大学学历。</w:t>
      </w:r>
      <w:r>
        <w:rPr>
          <w:rFonts w:ascii="Times New Roman" w:hAnsi="Times New Roman" w:cs="Times New Roman" w:eastAsia="Times New Roman" w:hint="default"/>
          <w:spacing w:val="-1"/>
        </w:rPr>
        <w:t>2000</w:t>
      </w:r>
      <w:r>
        <w:rPr>
          <w:spacing w:val="-1"/>
        </w:rPr>
        <w:t>年至</w:t>
      </w:r>
      <w:r>
        <w:rPr>
          <w:rFonts w:ascii="Times New Roman" w:hAnsi="Times New Roman" w:cs="Times New Roman" w:eastAsia="Times New Roman" w:hint="default"/>
          <w:spacing w:val="-1"/>
        </w:rPr>
        <w:t>2005</w:t>
      </w:r>
      <w:r>
        <w:rPr>
          <w:spacing w:val="-1"/>
        </w:rPr>
        <w:t>年期间先后任职于</w:t>
      </w:r>
      <w:r>
        <w:rPr/>
        <w:t> 武汉金运机电设备制造有限公司及武汉金运光电产业有限公司，</w:t>
      </w:r>
      <w:r>
        <w:rPr>
          <w:rFonts w:ascii="Times New Roman" w:hAnsi="Times New Roman" w:cs="Times New Roman" w:eastAsia="Times New Roman" w:hint="default"/>
        </w:rPr>
        <w:t>2005</w:t>
      </w:r>
      <w:r>
        <w:rPr/>
        <w:t>年以来任本公司国内销售总监职务。 现任公司董事、副总经理。</w:t>
      </w:r>
    </w:p>
    <w:p>
      <w:pPr>
        <w:pStyle w:val="Heading5"/>
        <w:spacing w:line="321" w:lineRule="auto" w:before="40"/>
        <w:ind w:right="1132" w:firstLine="420"/>
        <w:jc w:val="both"/>
      </w:pPr>
      <w:r>
        <w:rPr>
          <w:spacing w:val="-1"/>
        </w:rPr>
        <w:t>施先旺先生：中国国籍，无永久境外居留权，</w:t>
      </w:r>
      <w:r>
        <w:rPr>
          <w:rFonts w:ascii="Times New Roman" w:hAnsi="Times New Roman" w:cs="Times New Roman" w:eastAsia="Times New Roman" w:hint="default"/>
          <w:spacing w:val="-1"/>
        </w:rPr>
        <w:t>1968</w:t>
      </w:r>
      <w:r>
        <w:rPr>
          <w:spacing w:val="-1"/>
        </w:rPr>
        <w:t>年出生，管理学博士。曾任湖北潜江供销职工中专</w:t>
      </w:r>
      <w:r>
        <w:rPr/>
        <w:t> </w:t>
      </w:r>
      <w:r>
        <w:rPr>
          <w:spacing w:val="-1"/>
        </w:rPr>
        <w:t>学校教师，现任中南财经政法大学会计学教授、博导，兼任湖北省国家税务局和湖北省地方税务局，主要</w:t>
      </w:r>
      <w:r>
        <w:rPr>
          <w:spacing w:val="-86"/>
        </w:rPr>
        <w:t> </w:t>
      </w:r>
      <w:r>
        <w:rPr>
          <w:spacing w:val="-86"/>
        </w:rPr>
      </w:r>
      <w:r>
        <w:rPr/>
        <w:t>培训专家之一。</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日至今任公司独立董事。</w:t>
      </w:r>
    </w:p>
    <w:p>
      <w:pPr>
        <w:pStyle w:val="Heading5"/>
        <w:spacing w:line="319" w:lineRule="auto" w:before="10"/>
        <w:ind w:right="1131" w:firstLine="420"/>
        <w:jc w:val="both"/>
      </w:pPr>
      <w:r>
        <w:rPr>
          <w:spacing w:val="-1"/>
        </w:rPr>
        <w:t>李秉成先生：中国国籍，无永久境外居留权，</w:t>
      </w:r>
      <w:r>
        <w:rPr>
          <w:rFonts w:ascii="Times New Roman" w:hAnsi="Times New Roman" w:cs="Times New Roman" w:eastAsia="Times New Roman" w:hint="default"/>
          <w:spacing w:val="-1"/>
        </w:rPr>
        <w:t>1964</w:t>
      </w:r>
      <w:r>
        <w:rPr>
          <w:spacing w:val="-1"/>
        </w:rPr>
        <w:t>年出生，管理学博士后、注册会计师。曾任第一治</w:t>
      </w:r>
      <w:r>
        <w:rPr/>
        <w:t> </w:t>
      </w:r>
      <w:r>
        <w:rPr>
          <w:spacing w:val="-1"/>
        </w:rPr>
        <w:t>金建设公司机械动力公司助理工程师、武汉科技大学管理学教师、现任中南财经政法大学会计学教授、博</w:t>
      </w:r>
      <w:r>
        <w:rPr>
          <w:spacing w:val="-83"/>
        </w:rPr>
        <w:t> </w:t>
      </w:r>
      <w:r>
        <w:rPr>
          <w:spacing w:val="-83"/>
        </w:rPr>
      </w:r>
      <w:r>
        <w:rPr>
          <w:spacing w:val="-1"/>
        </w:rPr>
        <w:t>导。有限公司独立董事（</w:t>
      </w:r>
      <w:r>
        <w:rPr>
          <w:rFonts w:ascii="Times New Roman" w:hAnsi="Times New Roman" w:cs="Times New Roman" w:eastAsia="Times New Roman" w:hint="default"/>
          <w:spacing w:val="-1"/>
        </w:rPr>
        <w:t>2009</w:t>
      </w:r>
      <w:r>
        <w:rPr>
          <w:spacing w:val="-1"/>
        </w:rPr>
        <w:t>年至今）、武汉理工光科股份有限公司独立董事（</w:t>
      </w:r>
      <w:r>
        <w:rPr>
          <w:rFonts w:ascii="Times New Roman" w:hAnsi="Times New Roman" w:cs="Times New Roman" w:eastAsia="Times New Roman" w:hint="default"/>
          <w:spacing w:val="-1"/>
        </w:rPr>
        <w:t>2012</w:t>
      </w:r>
      <w:r>
        <w:rPr>
          <w:spacing w:val="-1"/>
        </w:rPr>
        <w:t>年至今）、湖北绿色</w:t>
      </w:r>
      <w:r>
        <w:rPr>
          <w:spacing w:val="-82"/>
        </w:rPr>
        <w:t> </w:t>
      </w:r>
      <w:r>
        <w:rPr>
          <w:spacing w:val="-82"/>
        </w:rPr>
      </w:r>
      <w:r>
        <w:rPr/>
        <w:t>家园精细化工股份有限公司独立董事（</w:t>
      </w:r>
      <w:r>
        <w:rPr>
          <w:rFonts w:ascii="Times New Roman" w:hAnsi="Times New Roman" w:cs="Times New Roman" w:eastAsia="Times New Roman" w:hint="default"/>
        </w:rPr>
        <w:t>2015</w:t>
      </w:r>
      <w:r>
        <w:rPr/>
        <w:t>年至今）。</w:t>
      </w:r>
      <w:r>
        <w:rPr>
          <w:spacing w:val="-26"/>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日至今任公司独立董事。</w:t>
      </w:r>
    </w:p>
    <w:p>
      <w:pPr>
        <w:pStyle w:val="Heading5"/>
        <w:spacing w:line="312" w:lineRule="auto" w:before="13"/>
        <w:ind w:left="574" w:right="0" w:firstLine="2"/>
        <w:jc w:val="left"/>
      </w:pPr>
      <w:r>
        <w:rPr>
          <w:rFonts w:ascii="Times New Roman" w:hAnsi="Times New Roman" w:cs="Times New Roman" w:eastAsia="Times New Roman" w:hint="default"/>
          <w:b/>
          <w:bCs/>
        </w:rPr>
        <w:t>2</w:t>
      </w:r>
      <w:r>
        <w:rPr>
          <w:rFonts w:ascii="宋体" w:hAnsi="宋体" w:cs="宋体" w:eastAsia="宋体" w:hint="default"/>
          <w:b/>
          <w:bCs/>
        </w:rPr>
        <w:t>、监事会成员</w:t>
      </w:r>
      <w:r>
        <w:rPr>
          <w:rFonts w:ascii="宋体" w:hAnsi="宋体" w:cs="宋体" w:eastAsia="宋体" w:hint="default"/>
          <w:b/>
          <w:bCs/>
          <w:w w:val="99"/>
        </w:rPr>
        <w:t> </w:t>
      </w:r>
      <w:r>
        <w:rPr>
          <w:spacing w:val="-1"/>
        </w:rPr>
        <w:t>李爱静女士：监事，中国国籍，无永久境外居留权，</w:t>
      </w:r>
      <w:r>
        <w:rPr>
          <w:rFonts w:ascii="Times New Roman" w:hAnsi="Times New Roman" w:cs="Times New Roman" w:eastAsia="Times New Roman" w:hint="default"/>
          <w:spacing w:val="-1"/>
        </w:rPr>
        <w:t>1985</w:t>
      </w:r>
      <w:r>
        <w:rPr>
          <w:spacing w:val="-1"/>
        </w:rPr>
        <w:t>年出生，大学学历。</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01</w:t>
      </w:r>
      <w:r>
        <w:rPr>
          <w:spacing w:val="-1"/>
        </w:rPr>
        <w:t>月</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2008</w:t>
      </w:r>
      <w:r>
        <w:rPr>
          <w:spacing w:val="-1"/>
        </w:rPr>
        <w:t>年</w:t>
      </w:r>
    </w:p>
    <w:p>
      <w:pPr>
        <w:pStyle w:val="Heading5"/>
        <w:spacing w:line="240" w:lineRule="auto" w:before="20"/>
        <w:ind w:right="0"/>
        <w:jc w:val="left"/>
        <w:rPr>
          <w:rFonts w:ascii="Times New Roman" w:hAnsi="Times New Roman" w:cs="Times New Roman" w:eastAsia="Times New Roman" w:hint="default"/>
        </w:rPr>
      </w:pPr>
      <w:r>
        <w:rPr>
          <w:rFonts w:ascii="Times New Roman" w:hAnsi="Times New Roman" w:cs="Times New Roman" w:eastAsia="Times New Roman" w:hint="default"/>
        </w:rPr>
        <w:t>02</w:t>
      </w:r>
      <w:r>
        <w:rPr/>
        <w:t>月曾任武汉大西洋广告有限公司；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05</w:t>
      </w:r>
      <w:r>
        <w:rPr/>
        <w:t>月曾任武汉市承志汽车销售有限公司。</w:t>
      </w:r>
      <w:r>
        <w:rPr>
          <w:rFonts w:ascii="Times New Roman" w:hAnsi="Times New Roman" w:cs="Times New Roman" w:eastAsia="Times New Roman" w:hint="default"/>
        </w:rPr>
        <w:t>2009</w:t>
      </w:r>
    </w:p>
    <w:p>
      <w:pPr>
        <w:pStyle w:val="Heading5"/>
        <w:spacing w:line="331" w:lineRule="auto" w:before="89"/>
        <w:ind w:left="574" w:right="0" w:hanging="420"/>
        <w:jc w:val="left"/>
      </w:pPr>
      <w:r>
        <w:rPr/>
        <w:t>年至今在武汉市金运激光股份有限公司任资讯管理专员。 </w:t>
      </w:r>
      <w:r>
        <w:rPr>
          <w:spacing w:val="-1"/>
        </w:rPr>
        <w:t>聂金萍女士：监事，中国国籍，无永久境外居留权，</w:t>
      </w:r>
      <w:r>
        <w:rPr>
          <w:rFonts w:ascii="Times New Roman" w:hAnsi="Times New Roman" w:cs="Times New Roman" w:eastAsia="Times New Roman" w:hint="default"/>
          <w:spacing w:val="-1"/>
        </w:rPr>
        <w:t>1985</w:t>
      </w:r>
      <w:r>
        <w:rPr>
          <w:spacing w:val="-1"/>
        </w:rPr>
        <w:t>年出生，大学学历。</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w:t>
      </w:r>
      <w:r>
        <w:rPr>
          <w:spacing w:val="-1"/>
        </w:rPr>
        <w:t>月至</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8</w:t>
      </w:r>
      <w:r>
        <w:rPr>
          <w:spacing w:val="-1"/>
        </w:rPr>
        <w:t>月</w:t>
      </w:r>
    </w:p>
    <w:p>
      <w:pPr>
        <w:pStyle w:val="Heading5"/>
        <w:spacing w:line="314" w:lineRule="auto" w:before="1"/>
        <w:ind w:right="0"/>
        <w:jc w:val="left"/>
      </w:pPr>
      <w:r>
        <w:rPr>
          <w:spacing w:val="-3"/>
        </w:rPr>
        <w:t>曾任金马凯旋家居</w:t>
      </w:r>
      <w:r>
        <w:rPr>
          <w:rFonts w:ascii="Times New Roman" w:hAnsi="Times New Roman" w:cs="Times New Roman" w:eastAsia="Times New Roman" w:hint="default"/>
          <w:spacing w:val="-3"/>
        </w:rPr>
        <w:t>-</w:t>
      </w:r>
      <w:r>
        <w:rPr>
          <w:spacing w:val="-3"/>
        </w:rPr>
        <w:t>中国家俱</w:t>
      </w:r>
      <w:r>
        <w:rPr>
          <w:rFonts w:ascii="Times New Roman" w:hAnsi="Times New Roman" w:cs="Times New Roman" w:eastAsia="Times New Roman" w:hint="default"/>
          <w:spacing w:val="-3"/>
        </w:rPr>
        <w:t>CBD</w:t>
      </w:r>
      <w:r>
        <w:rPr>
          <w:spacing w:val="-3"/>
        </w:rPr>
        <w:t>公司人事主管，</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9</w:t>
      </w:r>
      <w:r>
        <w:rPr>
          <w:spacing w:val="-3"/>
        </w:rPr>
        <w:t>月至今任武汉金运激光股份有限公司董事长助理；</w:t>
      </w:r>
      <w:r>
        <w:rPr>
          <w:spacing w:val="-60"/>
        </w:rPr>
        <w:t> </w:t>
      </w:r>
      <w:r>
        <w:rPr>
          <w:spacing w:val="-60"/>
        </w:rPr>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日任公司监事会主席。</w:t>
      </w:r>
    </w:p>
    <w:p>
      <w:pPr>
        <w:pStyle w:val="Heading5"/>
        <w:spacing w:line="314" w:lineRule="auto" w:before="16"/>
        <w:ind w:right="1132" w:firstLine="420"/>
        <w:jc w:val="both"/>
      </w:pPr>
      <w:r>
        <w:rPr>
          <w:spacing w:val="-1"/>
        </w:rPr>
        <w:t>黄海霞女士：中国国籍，无永久境外居留权，</w:t>
      </w:r>
      <w:r>
        <w:rPr>
          <w:rFonts w:ascii="Times New Roman" w:hAnsi="Times New Roman" w:cs="Times New Roman" w:eastAsia="Times New Roman" w:hint="default"/>
          <w:spacing w:val="-1"/>
        </w:rPr>
        <w:t>1987</w:t>
      </w:r>
      <w:r>
        <w:rPr>
          <w:spacing w:val="-1"/>
        </w:rPr>
        <w:t>年出生，大学学历。</w:t>
      </w:r>
      <w:r>
        <w:rPr>
          <w:rFonts w:ascii="Times New Roman" w:hAnsi="Times New Roman" w:cs="Times New Roman" w:eastAsia="Times New Roman" w:hint="default"/>
          <w:spacing w:val="-1"/>
        </w:rPr>
        <w:t>2010</w:t>
      </w:r>
      <w:r>
        <w:rPr>
          <w:spacing w:val="-1"/>
        </w:rPr>
        <w:t>年至今任职武汉金运激光</w:t>
      </w:r>
      <w:r>
        <w:rPr/>
        <w:t> 股份有限公司财务部。于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日任公司职工监事。</w:t>
      </w:r>
    </w:p>
    <w:p>
      <w:pPr>
        <w:pStyle w:val="Heading5"/>
        <w:spacing w:line="314" w:lineRule="auto" w:before="17"/>
        <w:ind w:left="574" w:right="5106" w:firstLine="2"/>
        <w:jc w:val="left"/>
      </w:pPr>
      <w:r>
        <w:rPr>
          <w:rFonts w:ascii="Times New Roman" w:hAnsi="Times New Roman" w:cs="Times New Roman" w:eastAsia="Times New Roman" w:hint="default"/>
          <w:b/>
          <w:bCs/>
        </w:rPr>
        <w:t>3</w:t>
      </w:r>
      <w:r>
        <w:rPr>
          <w:rFonts w:ascii="宋体" w:hAnsi="宋体" w:cs="宋体" w:eastAsia="宋体" w:hint="default"/>
          <w:b/>
          <w:bCs/>
        </w:rPr>
        <w:t>、高级管理人员</w:t>
      </w:r>
      <w:r>
        <w:rPr>
          <w:rFonts w:ascii="宋体" w:hAnsi="宋体" w:cs="宋体" w:eastAsia="宋体" w:hint="default"/>
          <w:b/>
          <w:bCs/>
          <w:w w:val="99"/>
        </w:rPr>
        <w:t> </w:t>
      </w:r>
      <w:r>
        <w:rPr/>
        <w:t>梁萍女士：公司总经理，详见</w:t>
      </w:r>
      <w:r>
        <w:rPr>
          <w:rFonts w:ascii="Times New Roman" w:hAnsi="Times New Roman" w:cs="Times New Roman" w:eastAsia="Times New Roman" w:hint="default"/>
        </w:rPr>
        <w:t>“</w:t>
      </w:r>
      <w:r>
        <w:rPr/>
        <w:t>本节中的董事会成员</w:t>
      </w:r>
      <w:r>
        <w:rPr>
          <w:rFonts w:ascii="Times New Roman" w:hAnsi="Times New Roman" w:cs="Times New Roman" w:eastAsia="Times New Roman" w:hint="default"/>
        </w:rPr>
        <w:t>”</w:t>
      </w:r>
      <w:r>
        <w:rPr/>
        <w:t>。 李俊先生：公司副总经理，详见</w:t>
      </w:r>
      <w:r>
        <w:rPr>
          <w:rFonts w:ascii="Times New Roman" w:hAnsi="Times New Roman" w:cs="Times New Roman" w:eastAsia="Times New Roman" w:hint="default"/>
        </w:rPr>
        <w:t>“</w:t>
      </w:r>
      <w:r>
        <w:rPr/>
        <w:t>本节中的董事会成员</w:t>
      </w:r>
      <w:r>
        <w:rPr>
          <w:rFonts w:ascii="Times New Roman" w:hAnsi="Times New Roman" w:cs="Times New Roman" w:eastAsia="Times New Roman" w:hint="default"/>
        </w:rPr>
        <w:t>”</w:t>
      </w:r>
      <w:r>
        <w:rPr/>
        <w:t>。</w:t>
      </w:r>
    </w:p>
    <w:p>
      <w:pPr>
        <w:pStyle w:val="Heading5"/>
        <w:spacing w:line="314" w:lineRule="auto" w:before="17"/>
        <w:ind w:right="1129" w:firstLine="420"/>
        <w:jc w:val="both"/>
      </w:pPr>
      <w:r>
        <w:rPr/>
        <w:t>李丹女士：公司副总经理、董秘，中国国籍，经济师，无永久境外居留权，</w:t>
      </w:r>
      <w:r>
        <w:rPr>
          <w:rFonts w:ascii="Times New Roman" w:hAnsi="Times New Roman" w:cs="Times New Roman" w:eastAsia="Times New Roman" w:hint="default"/>
        </w:rPr>
        <w:t>1975 </w:t>
      </w:r>
      <w:r>
        <w:rPr/>
        <w:t>年出生，</w:t>
      </w:r>
      <w:r>
        <w:rPr>
          <w:rFonts w:ascii="Times New Roman" w:hAnsi="Times New Roman" w:cs="Times New Roman" w:eastAsia="Times New Roman" w:hint="default"/>
        </w:rPr>
        <w:t>1997</w:t>
      </w:r>
      <w:r>
        <w:rPr>
          <w:rFonts w:ascii="Times New Roman" w:hAnsi="Times New Roman" w:cs="Times New Roman" w:eastAsia="Times New Roman" w:hint="default"/>
          <w:spacing w:val="26"/>
        </w:rPr>
        <w:t> </w:t>
      </w:r>
      <w:r>
        <w:rPr/>
        <w:t>年毕 业于武汉大学国际金融专业，</w:t>
      </w:r>
      <w:r>
        <w:rPr>
          <w:rFonts w:ascii="Times New Roman" w:hAnsi="Times New Roman" w:cs="Times New Roman" w:eastAsia="Times New Roman" w:hint="default"/>
        </w:rPr>
        <w:t>2006 </w:t>
      </w:r>
      <w:r>
        <w:rPr/>
        <w:t>年毕业于华中科技大学西方经济学专业，获经济学硕士学位。</w:t>
      </w:r>
      <w:r>
        <w:rPr>
          <w:rFonts w:ascii="Times New Roman" w:hAnsi="Times New Roman" w:cs="Times New Roman" w:eastAsia="Times New Roman" w:hint="default"/>
        </w:rPr>
        <w:t>1999</w:t>
      </w:r>
      <w:r>
        <w:rPr>
          <w:rFonts w:ascii="Times New Roman" w:hAnsi="Times New Roman" w:cs="Times New Roman" w:eastAsia="Times New Roman" w:hint="default"/>
          <w:spacing w:val="28"/>
        </w:rPr>
        <w:t> </w:t>
      </w:r>
      <w:r>
        <w:rPr/>
        <w:t>年 至 </w:t>
      </w:r>
      <w:r>
        <w:rPr>
          <w:rFonts w:ascii="Times New Roman" w:hAnsi="Times New Roman" w:cs="Times New Roman" w:eastAsia="Times New Roman" w:hint="default"/>
        </w:rPr>
        <w:t>2005 </w:t>
      </w:r>
      <w:r>
        <w:rPr>
          <w:spacing w:val="-3"/>
        </w:rPr>
        <w:t>年曾任武汉三镇实业控股股份有限公司监事、证券事务代表；</w:t>
      </w:r>
      <w:r>
        <w:rPr>
          <w:rFonts w:ascii="Times New Roman" w:hAnsi="Times New Roman" w:cs="Times New Roman" w:eastAsia="Times New Roman" w:hint="default"/>
          <w:spacing w:val="-3"/>
        </w:rPr>
        <w:t>2005</w:t>
      </w:r>
      <w:r>
        <w:rPr>
          <w:rFonts w:ascii="Times New Roman" w:hAnsi="Times New Roman" w:cs="Times New Roman" w:eastAsia="Times New Roman" w:hint="default"/>
          <w:spacing w:val="13"/>
        </w:rPr>
        <w:t> </w:t>
      </w:r>
      <w:r>
        <w:rPr/>
        <w:t>年至</w:t>
      </w:r>
      <w:r>
        <w:rPr>
          <w:rFonts w:ascii="Times New Roman" w:hAnsi="Times New Roman" w:cs="Times New Roman" w:eastAsia="Times New Roman" w:hint="default"/>
        </w:rPr>
        <w:t>2014</w:t>
      </w:r>
      <w:r>
        <w:rPr/>
        <w:t>年曾任武汉三镇实业 </w:t>
      </w:r>
      <w:r>
        <w:rPr>
          <w:spacing w:val="-1"/>
        </w:rPr>
        <w:t>控股股份有限公司董事会秘书、团委书记；湖北华昌达智能装备股份有限公司副总、董秘。</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月至</w:t>
      </w:r>
      <w:r>
        <w:rPr>
          <w:spacing w:val="-81"/>
        </w:rPr>
        <w:t> </w:t>
      </w:r>
      <w:r>
        <w:rPr>
          <w:spacing w:val="-81"/>
        </w:rPr>
      </w:r>
      <w:r>
        <w:rPr/>
        <w:t>今任公司副总经理、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月至今任董事会秘书。</w:t>
      </w:r>
    </w:p>
    <w:p>
      <w:pPr>
        <w:pStyle w:val="Heading5"/>
        <w:spacing w:line="240" w:lineRule="auto" w:before="17"/>
        <w:ind w:left="574" w:right="0"/>
        <w:jc w:val="left"/>
      </w:pPr>
      <w:r>
        <w:rPr/>
        <w:t>廖琨先生：中国国籍，</w:t>
      </w:r>
      <w:r>
        <w:rPr>
          <w:rFonts w:ascii="Times New Roman" w:hAnsi="Times New Roman" w:cs="Times New Roman" w:eastAsia="Times New Roman" w:hint="default"/>
        </w:rPr>
        <w:t>1973</w:t>
      </w:r>
      <w:r>
        <w:rPr/>
        <w:t>年出生，注册会计师，无永久境外居留权，大学本科学历。曾任中勤万信</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5"/>
        <w:spacing w:line="240" w:lineRule="auto" w:before="169"/>
        <w:ind w:right="0"/>
        <w:jc w:val="left"/>
      </w:pPr>
      <w:r>
        <w:rPr/>
        <w:t>会计师事务所项目经理、深圳亿铖达工业有限公司副总经理、安徽欣意电缆有限公司财务总监。于</w:t>
      </w:r>
      <w:r>
        <w:rPr>
          <w:rFonts w:ascii="Times New Roman" w:hAnsi="Times New Roman" w:cs="Times New Roman" w:eastAsia="Times New Roman" w:hint="default"/>
        </w:rPr>
        <w:t>2018</w:t>
      </w:r>
      <w:r>
        <w:rPr/>
        <w:t>年</w:t>
      </w:r>
    </w:p>
    <w:p>
      <w:pPr>
        <w:pStyle w:val="Heading5"/>
        <w:spacing w:line="240" w:lineRule="auto" w:before="89"/>
        <w:ind w:right="0"/>
        <w:jc w:val="left"/>
      </w:pP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日任公司财务总监。</w:t>
      </w:r>
    </w:p>
    <w:p>
      <w:pPr>
        <w:spacing w:line="240" w:lineRule="auto" w:before="0"/>
        <w:rPr>
          <w:rFonts w:ascii="宋体" w:hAnsi="宋体" w:cs="宋体" w:eastAsia="宋体" w:hint="default"/>
          <w:sz w:val="22"/>
          <w:szCs w:val="22"/>
        </w:rPr>
      </w:pPr>
    </w:p>
    <w:p>
      <w:pPr>
        <w:pStyle w:val="Heading5"/>
        <w:spacing w:line="240" w:lineRule="auto" w:before="154"/>
        <w:ind w:right="0"/>
        <w:jc w:val="left"/>
      </w:pPr>
      <w:r>
        <w:rPr/>
        <w:t>在股东单位任职情况</w:t>
      </w:r>
    </w:p>
    <w:p>
      <w:pPr>
        <w:pStyle w:val="Heading5"/>
        <w:spacing w:line="345" w:lineRule="auto" w:before="146"/>
        <w:ind w:right="88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在其他单位任职情况</w:t>
      </w:r>
    </w:p>
    <w:p>
      <w:pPr>
        <w:pStyle w:val="Heading5"/>
        <w:spacing w:line="240" w:lineRule="auto" w:before="5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4"/>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202"/>
        <w:gridCol w:w="2342"/>
        <w:gridCol w:w="1911"/>
        <w:gridCol w:w="1492"/>
        <w:gridCol w:w="1277"/>
        <w:gridCol w:w="1345"/>
      </w:tblGrid>
      <w:tr>
        <w:trPr>
          <w:trHeight w:val="714" w:hRule="exact"/>
        </w:trPr>
        <w:tc>
          <w:tcPr>
            <w:tcW w:w="12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1"/>
              <w:ind w:left="127" w:right="4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center"/>
              <w:rPr>
                <w:rFonts w:ascii="宋体" w:hAnsi="宋体" w:cs="宋体" w:eastAsia="宋体" w:hint="default"/>
                <w:sz w:val="18"/>
                <w:szCs w:val="18"/>
              </w:rPr>
            </w:pPr>
            <w:r>
              <w:rPr>
                <w:rFonts w:ascii="宋体" w:hAnsi="宋体" w:cs="宋体" w:eastAsia="宋体" w:hint="default"/>
                <w:sz w:val="18"/>
                <w:szCs w:val="18"/>
              </w:rPr>
              <w:t>中南财经政法大学会计学院</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会计学教授、博导</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1987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center"/>
              <w:rPr>
                <w:rFonts w:ascii="宋体" w:hAnsi="宋体" w:cs="宋体" w:eastAsia="宋体" w:hint="default"/>
                <w:sz w:val="18"/>
                <w:szCs w:val="18"/>
              </w:rPr>
            </w:pPr>
            <w:r>
              <w:rPr>
                <w:rFonts w:ascii="宋体" w:hAnsi="宋体" w:cs="宋体" w:eastAsia="宋体" w:hint="default"/>
                <w:sz w:val="18"/>
                <w:szCs w:val="18"/>
              </w:rPr>
              <w:t>中南财经政法大学会计学院</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会计学教授、博导</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2"/>
        <w:rPr>
          <w:rFonts w:ascii="宋体" w:hAnsi="宋体" w:cs="宋体" w:eastAsia="宋体" w:hint="default"/>
          <w:sz w:val="4"/>
          <w:szCs w:val="4"/>
        </w:rPr>
      </w:pPr>
    </w:p>
    <w:p>
      <w:pPr>
        <w:pStyle w:val="Heading5"/>
        <w:spacing w:line="240" w:lineRule="auto" w:before="35"/>
        <w:ind w:right="0"/>
        <w:jc w:val="left"/>
      </w:pPr>
      <w:r>
        <w:rPr/>
        <w:t>公司现任及报告期内离任董事、监事和高级管理人员近三年证券监管机构处罚的情况</w:t>
      </w:r>
    </w:p>
    <w:p>
      <w:pPr>
        <w:pStyle w:val="Heading5"/>
        <w:spacing w:line="240" w:lineRule="auto" w:before="14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四、董事、监事、高级管理人员报酬情况" w:id="119"/>
      <w:bookmarkEnd w:id="119"/>
      <w:r>
        <w:rPr>
          <w:b w:val="0"/>
          <w:bCs w:val="0"/>
        </w:rPr>
      </w:r>
      <w:r>
        <w:rPr/>
        <w:t>四、董事、监事、高级管理人员报酬情况</w:t>
      </w:r>
      <w:r>
        <w:rPr>
          <w:b w:val="0"/>
          <w:bCs w:val="0"/>
        </w:rPr>
      </w:r>
    </w:p>
    <w:p>
      <w:pPr>
        <w:spacing w:line="240" w:lineRule="auto" w:before="4"/>
        <w:rPr>
          <w:rFonts w:ascii="宋体" w:hAnsi="宋体" w:cs="宋体" w:eastAsia="宋体" w:hint="default"/>
          <w:b/>
          <w:bCs/>
          <w:sz w:val="30"/>
          <w:szCs w:val="30"/>
        </w:rPr>
      </w:pPr>
    </w:p>
    <w:p>
      <w:pPr>
        <w:pStyle w:val="Heading5"/>
        <w:spacing w:line="364" w:lineRule="auto"/>
        <w:ind w:left="514" w:right="0" w:hanging="360"/>
        <w:jc w:val="left"/>
      </w:pPr>
      <w:r>
        <w:rPr/>
        <w:t>董事、监事、高级管理人员报酬的决策程序、确定依据、实际支付情况 公司董事、监事的津贴由薪酬与考核委员会提出，经董事会、监事会批准后，提交股东大会审议通过</w:t>
      </w:r>
    </w:p>
    <w:p>
      <w:pPr>
        <w:pStyle w:val="Heading5"/>
        <w:spacing w:line="331" w:lineRule="auto"/>
        <w:ind w:left="514" w:right="0" w:hanging="360"/>
        <w:jc w:val="left"/>
      </w:pPr>
      <w:r>
        <w:rPr/>
        <w:t>后实施；高级管理人员的绩效考核方案由董事会批准后实施。 公司薪酬与考核委员会依据公司每年度财务指标和经营目标的完成情况以及公司董事、监事、高级管</w:t>
      </w:r>
    </w:p>
    <w:p>
      <w:pPr>
        <w:pStyle w:val="Heading5"/>
        <w:spacing w:line="331" w:lineRule="auto" w:before="25"/>
        <w:ind w:left="514" w:right="1932" w:hanging="360"/>
        <w:jc w:val="left"/>
      </w:pPr>
      <w:r>
        <w:rPr/>
        <w:t>理人员的履职情况，对董事、监事、高级管理人员公司薪酬与考核委员人员的薪酬进行了考核。 报告期内，公司已向董事、监事和高级管理人员支付全部薪酬。</w:t>
      </w:r>
    </w:p>
    <w:p>
      <w:pPr>
        <w:pStyle w:val="Heading5"/>
        <w:spacing w:line="240" w:lineRule="auto" w:before="65"/>
        <w:ind w:right="0"/>
        <w:jc w:val="left"/>
      </w:pPr>
      <w:r>
        <w:rPr/>
        <w:t>公司报告期内董事、监事和高级管理人员报酬情况</w:t>
      </w:r>
    </w:p>
    <w:p>
      <w:pPr>
        <w:pStyle w:val="BodyText"/>
        <w:spacing w:line="240" w:lineRule="auto" w:before="98"/>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227" w:right="53"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18.84</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肖璇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20.42</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李爱静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聂金萍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12.12</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于潇潇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黄海霞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17.44</w:t>
            </w:r>
          </w:p>
        </w:tc>
        <w:tc>
          <w:tcPr>
            <w:tcW w:w="136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陈维斯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11.52</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廖琨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17.76</w:t>
            </w: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121.71</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4"/>
          <w:szCs w:val="4"/>
        </w:rPr>
      </w:pPr>
    </w:p>
    <w:p>
      <w:pPr>
        <w:pStyle w:val="Heading5"/>
        <w:spacing w:line="240" w:lineRule="auto" w:before="35"/>
        <w:ind w:right="0"/>
        <w:jc w:val="left"/>
      </w:pPr>
      <w:r>
        <w:rPr/>
        <w:t>公司董事、高级管理人员报告期内被授予的股权激励情况</w:t>
      </w:r>
    </w:p>
    <w:p>
      <w:pPr>
        <w:spacing w:line="484" w:lineRule="auto" w:before="146"/>
        <w:ind w:left="154" w:right="74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不适用 </w:t>
      </w:r>
      <w:bookmarkStart w:name="五、公司员工情况" w:id="120"/>
      <w:bookmarkEnd w:id="120"/>
      <w:r>
        <w:rPr>
          <w:rFonts w:ascii="宋体" w:hAnsi="宋体" w:cs="宋体" w:eastAsia="宋体" w:hint="default"/>
          <w:sz w:val="21"/>
          <w:szCs w:val="21"/>
        </w:rPr>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bookmarkStart w:name="1、员工数量、专业构成及教育程度" w:id="121"/>
      <w:bookmarkEnd w:id="12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7"/>
        <w:rPr>
          <w:rFonts w:ascii="宋体" w:hAnsi="宋体" w:cs="宋体" w:eastAsia="宋体" w:hint="default"/>
          <w:b/>
          <w:bCs/>
          <w:sz w:val="7"/>
          <w:szCs w:val="7"/>
        </w:rPr>
      </w:pPr>
    </w:p>
    <w:tbl>
      <w:tblPr>
        <w:tblW w:w="0" w:type="auto"/>
        <w:jc w:val="left"/>
        <w:tblInd w:w="156" w:type="dxa"/>
        <w:tblLayout w:type="fixed"/>
        <w:tblCellMar>
          <w:top w:w="0" w:type="dxa"/>
          <w:left w:w="0" w:type="dxa"/>
          <w:bottom w:w="0" w:type="dxa"/>
          <w:right w:w="0" w:type="dxa"/>
        </w:tblCellMar>
        <w:tblLook w:val="01E0"/>
      </w:tblPr>
      <w:tblGrid>
        <w:gridCol w:w="4770"/>
        <w:gridCol w:w="4778"/>
      </w:tblGrid>
      <w:tr>
        <w:trPr>
          <w:trHeight w:val="403"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72</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248</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252</w:t>
            </w:r>
          </w:p>
        </w:tc>
      </w:tr>
      <w:tr>
        <w:trPr>
          <w:trHeight w:val="407"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48"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7"/>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7"/>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78</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30</w:t>
            </w:r>
          </w:p>
        </w:tc>
      </w:tr>
      <w:tr>
        <w:trPr>
          <w:trHeight w:val="407"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7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248</w:t>
            </w:r>
          </w:p>
        </w:tc>
      </w:tr>
      <w:tr>
        <w:trPr>
          <w:trHeight w:val="391" w:hRule="exact"/>
        </w:trPr>
        <w:tc>
          <w:tcPr>
            <w:tcW w:w="9548" w:type="dxa"/>
            <w:gridSpan w:val="2"/>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7"/>
              <w:ind w:left="20"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7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7"/>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93</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101</w:t>
            </w:r>
          </w:p>
        </w:tc>
      </w:tr>
      <w:tr>
        <w:trPr>
          <w:trHeight w:val="402" w:hRule="exact"/>
        </w:trPr>
        <w:tc>
          <w:tcPr>
            <w:tcW w:w="47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52</w:t>
            </w:r>
          </w:p>
        </w:tc>
      </w:tr>
      <w:tr>
        <w:trPr>
          <w:trHeight w:val="403" w:hRule="exact"/>
        </w:trPr>
        <w:tc>
          <w:tcPr>
            <w:tcW w:w="47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248</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22"/>
      <w:bookmarkEnd w:id="12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30"/>
          <w:szCs w:val="30"/>
        </w:rPr>
      </w:pPr>
    </w:p>
    <w:p>
      <w:pPr>
        <w:pStyle w:val="Heading5"/>
        <w:spacing w:line="331" w:lineRule="auto"/>
        <w:ind w:right="1110" w:firstLine="360"/>
        <w:jc w:val="both"/>
      </w:pPr>
      <w:r>
        <w:rPr/>
        <w:t>公司员工薪酬主要分为基本薪酬、岗位工资和绩效资金三部分，基本薪酬根据当地工资标准的和物价 指数、劳动力市场薪资水平综合确定，岗位薪酬部分由岗位价值、职级水平等因素确定；绩效资金部分， 以企业年度经营目标为导向，以个人业绩为依据。</w:t>
      </w:r>
    </w:p>
    <w:p>
      <w:pPr>
        <w:spacing w:after="0" w:line="331"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69"/>
        <w:ind w:right="0"/>
        <w:jc w:val="left"/>
        <w:rPr>
          <w:b w:val="0"/>
          <w:bCs w:val="0"/>
        </w:rPr>
      </w:pPr>
      <w:bookmarkStart w:name="3、培训计划" w:id="123"/>
      <w:bookmarkEnd w:id="12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10"/>
        <w:rPr>
          <w:rFonts w:ascii="宋体" w:hAnsi="宋体" w:cs="宋体" w:eastAsia="宋体" w:hint="default"/>
          <w:b/>
          <w:bCs/>
          <w:sz w:val="29"/>
          <w:szCs w:val="29"/>
        </w:rPr>
      </w:pPr>
    </w:p>
    <w:p>
      <w:pPr>
        <w:pStyle w:val="Heading5"/>
        <w:spacing w:line="331" w:lineRule="auto"/>
        <w:ind w:right="1131" w:firstLine="360"/>
        <w:jc w:val="both"/>
      </w:pPr>
      <w:r>
        <w:rPr/>
        <w:t>为了提高员工在目前和将来工作岗位上的工作效率和业绩，公司向所有员工提供平等的学习和发展机 </w:t>
      </w:r>
      <w:r>
        <w:rPr>
          <w:spacing w:val="-1"/>
        </w:rPr>
        <w:t>会。公司将根据企业发展战略，同时结合员工个人需求制定全方位的培训计划，内容包括知识技能以及专</w:t>
      </w:r>
      <w:r>
        <w:rPr>
          <w:spacing w:val="-83"/>
        </w:rPr>
        <w:t> </w:t>
      </w:r>
      <w:r>
        <w:rPr>
          <w:spacing w:val="-83"/>
        </w:rPr>
      </w:r>
      <w:r>
        <w:rPr/>
        <w:t>业素养等方面的培训。</w:t>
      </w:r>
    </w:p>
    <w:p>
      <w:pPr>
        <w:spacing w:line="240" w:lineRule="auto" w:before="12"/>
        <w:rPr>
          <w:rFonts w:ascii="宋体" w:hAnsi="宋体" w:cs="宋体" w:eastAsia="宋体" w:hint="default"/>
          <w:sz w:val="24"/>
          <w:szCs w:val="24"/>
        </w:rPr>
      </w:pPr>
    </w:p>
    <w:p>
      <w:pPr>
        <w:pStyle w:val="Heading4"/>
        <w:spacing w:line="240" w:lineRule="auto"/>
        <w:ind w:right="0"/>
        <w:jc w:val="left"/>
        <w:rPr>
          <w:b w:val="0"/>
          <w:bCs w:val="0"/>
        </w:rPr>
      </w:pPr>
      <w:bookmarkStart w:name="4、劳务外包情况" w:id="124"/>
      <w:bookmarkEnd w:id="12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0"/>
        <w:rPr>
          <w:rFonts w:ascii="宋体" w:hAnsi="宋体" w:cs="宋体" w:eastAsia="宋体" w:hint="default"/>
          <w:b/>
          <w:bCs/>
          <w:sz w:val="29"/>
          <w:szCs w:val="29"/>
        </w:rPr>
      </w:pPr>
    </w:p>
    <w:p>
      <w:pPr>
        <w:pStyle w:val="Heading5"/>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第九节 公司治理" w:id="125"/>
      <w:bookmarkEnd w:id="125"/>
      <w:r>
        <w:rPr>
          <w:b w:val="0"/>
          <w:bCs w:val="0"/>
        </w:rPr>
      </w:r>
      <w:bookmarkStart w:name="_bookmark8" w:id="126"/>
      <w:bookmarkEnd w:id="126"/>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治理的基本状况" w:id="127"/>
      <w:bookmarkEnd w:id="127"/>
      <w:r>
        <w:rPr>
          <w:b w:val="0"/>
          <w:bCs w:val="0"/>
        </w:rPr>
      </w:r>
      <w:r>
        <w:rPr/>
        <w:t>一、公司治理的基本状况</w:t>
      </w:r>
      <w:r>
        <w:rPr>
          <w:b w:val="0"/>
          <w:bCs w:val="0"/>
        </w:rPr>
      </w:r>
    </w:p>
    <w:p>
      <w:pPr>
        <w:spacing w:line="240" w:lineRule="auto" w:before="2"/>
        <w:rPr>
          <w:rFonts w:ascii="宋体" w:hAnsi="宋体" w:cs="宋体" w:eastAsia="宋体" w:hint="default"/>
          <w:b/>
          <w:bCs/>
          <w:sz w:val="30"/>
          <w:szCs w:val="30"/>
        </w:rPr>
      </w:pPr>
    </w:p>
    <w:p>
      <w:pPr>
        <w:pStyle w:val="Heading5"/>
        <w:spacing w:line="331" w:lineRule="auto"/>
        <w:ind w:right="1132" w:firstLine="357"/>
        <w:jc w:val="both"/>
      </w:pPr>
      <w:r>
        <w:rPr/>
        <w:t>公司严格按照《公司法》、《证券法》、《上市公司治理准则》、《深圳证券交易所创业板股票上市 </w:t>
      </w:r>
      <w:r>
        <w:rPr>
          <w:spacing w:val="-1"/>
        </w:rPr>
        <w:t>规则》、《深圳证券交易所创业板上市公司规范运作指引》等法律、法规和中国证监会有关法律法规的要</w:t>
      </w:r>
      <w:r>
        <w:rPr>
          <w:spacing w:val="-82"/>
        </w:rPr>
        <w:t> </w:t>
      </w:r>
      <w:r>
        <w:rPr>
          <w:spacing w:val="-82"/>
        </w:rPr>
      </w:r>
      <w:r>
        <w:rPr/>
        <w:t>求，不断完善公司治理结构，建立健全公司内部控制度，促进公司规范运作，提高公司治理水平。</w:t>
      </w:r>
    </w:p>
    <w:p>
      <w:pPr>
        <w:pStyle w:val="Heading5"/>
        <w:spacing w:line="326" w:lineRule="auto" w:before="24"/>
        <w:ind w:right="1131" w:firstLine="357"/>
        <w:jc w:val="both"/>
      </w:pPr>
      <w:r>
        <w:rPr>
          <w:rFonts w:ascii="Times New Roman" w:hAnsi="Times New Roman" w:cs="Times New Roman" w:eastAsia="Times New Roman" w:hint="default"/>
          <w:spacing w:val="-2"/>
        </w:rPr>
        <w:t>1</w:t>
      </w:r>
      <w:r>
        <w:rPr>
          <w:spacing w:val="-2"/>
        </w:rPr>
        <w:t>、关于股东与股东大会：报告期内公司严格按照《公司章程》、《上市公司股东大会规则》和《公司</w:t>
      </w:r>
      <w:r>
        <w:rPr/>
        <w:t> </w:t>
      </w:r>
      <w:r>
        <w:rPr>
          <w:spacing w:val="-1"/>
        </w:rPr>
        <w:t>股东大会议事规则》等规定要求，召集、召开股东大会，确保股东合法行使权益，平等对待所有股东，为</w:t>
      </w:r>
      <w:r>
        <w:rPr>
          <w:spacing w:val="-83"/>
        </w:rPr>
        <w:t> </w:t>
      </w:r>
      <w:r>
        <w:rPr>
          <w:spacing w:val="-83"/>
        </w:rPr>
      </w:r>
      <w:r>
        <w:rPr>
          <w:spacing w:val="-1"/>
        </w:rPr>
        <w:t>股东参加股东大会提供便利，使其充分行使股东的权利。同时，公司聘请专业的律师见证股东大会，确保</w:t>
      </w:r>
      <w:r>
        <w:rPr>
          <w:spacing w:val="-86"/>
        </w:rPr>
        <w:t> </w:t>
      </w:r>
      <w:r>
        <w:rPr>
          <w:spacing w:val="-86"/>
        </w:rPr>
      </w:r>
      <w:r>
        <w:rPr/>
        <w:t>会议召集召开及表决程序符合相关法律法规的规定。维护股东合法权益。</w:t>
      </w:r>
    </w:p>
    <w:p>
      <w:pPr>
        <w:pStyle w:val="Heading5"/>
        <w:spacing w:line="326" w:lineRule="auto" w:before="30"/>
        <w:ind w:right="1131" w:firstLine="357"/>
        <w:jc w:val="both"/>
      </w:pPr>
      <w:r>
        <w:rPr>
          <w:rFonts w:ascii="Times New Roman" w:hAnsi="Times New Roman" w:cs="Times New Roman" w:eastAsia="Times New Roman" w:hint="default"/>
          <w:spacing w:val="-2"/>
        </w:rPr>
        <w:t>2</w:t>
      </w:r>
      <w:r>
        <w:rPr>
          <w:spacing w:val="-2"/>
        </w:rPr>
        <w:t>、关于董事与董事会：公司控股股东、实际控制人梁伟严格按照《上市公司治理准则》、《深圳证券</w:t>
      </w:r>
      <w:r>
        <w:rPr/>
        <w:t> </w:t>
      </w:r>
      <w:r>
        <w:rPr>
          <w:spacing w:val="-1"/>
        </w:rPr>
        <w:t>交易所创业板股票上市规则》、《深圳证券交易所创业板上市公司规范运作指引》、《公司章程》等有关</w:t>
      </w:r>
      <w:r>
        <w:rPr>
          <w:spacing w:val="-85"/>
        </w:rPr>
        <w:t> </w:t>
      </w:r>
      <w:r>
        <w:rPr>
          <w:spacing w:val="-85"/>
        </w:rPr>
      </w:r>
      <w:r>
        <w:rPr>
          <w:spacing w:val="-1"/>
        </w:rPr>
        <w:t>规定，公司控股股东严格规范自身行为，依法行使其权利并承担相应义务，不存在超越股东大会直接或间</w:t>
      </w:r>
      <w:r>
        <w:rPr>
          <w:spacing w:val="-83"/>
        </w:rPr>
        <w:t> </w:t>
      </w:r>
      <w:r>
        <w:rPr>
          <w:spacing w:val="-83"/>
        </w:rPr>
      </w:r>
      <w:r>
        <w:rPr>
          <w:spacing w:val="-1"/>
        </w:rPr>
        <w:t>接干预本公司的决策和经营活动。在人员、资产、财务、机构、业务上独立，亦无为控股股东占用资金以</w:t>
      </w:r>
      <w:r>
        <w:rPr>
          <w:spacing w:val="-83"/>
        </w:rPr>
        <w:t> </w:t>
      </w:r>
      <w:r>
        <w:rPr>
          <w:spacing w:val="-83"/>
        </w:rPr>
      </w:r>
      <w:r>
        <w:rPr/>
        <w:t>及公司为控股股东提供担保的情形。</w:t>
      </w:r>
    </w:p>
    <w:p>
      <w:pPr>
        <w:pStyle w:val="Heading5"/>
        <w:spacing w:line="326" w:lineRule="auto" w:before="28"/>
        <w:ind w:right="1024" w:firstLine="357"/>
        <w:jc w:val="left"/>
      </w:pPr>
      <w:r>
        <w:rPr>
          <w:rFonts w:ascii="Times New Roman" w:hAnsi="Times New Roman" w:cs="Times New Roman" w:eastAsia="Times New Roman" w:hint="default"/>
          <w:spacing w:val="-4"/>
        </w:rPr>
        <w:t>3</w:t>
      </w:r>
      <w:r>
        <w:rPr>
          <w:spacing w:val="-4"/>
        </w:rPr>
        <w:t>、关于监事和监事会：公司严格按照《公司法》、《公司章程》等有关规定选举监事，推举职工监事，</w:t>
      </w:r>
      <w:r>
        <w:rPr/>
        <w:t> 监事会的人数及结构符合法律法规和公司《章程》的要求。监事会严格按照《公司章程》、《监事会议事 规则》认真履行自己的职责，除审议日常事项外，对公司的关联交易、财务状况以及董事、高级管理人员 履行职责等方面发挥了良好的监督职能，切实维护公司及股东的合法权益。</w:t>
      </w:r>
    </w:p>
    <w:p>
      <w:pPr>
        <w:pStyle w:val="Heading5"/>
        <w:spacing w:line="326" w:lineRule="auto" w:before="30"/>
        <w:ind w:right="1131" w:firstLine="357"/>
        <w:jc w:val="both"/>
      </w:pPr>
      <w:r>
        <w:rPr>
          <w:rFonts w:ascii="Times New Roman" w:hAnsi="Times New Roman" w:cs="Times New Roman" w:eastAsia="Times New Roman" w:hint="default"/>
          <w:spacing w:val="-2"/>
        </w:rPr>
        <w:t>4</w:t>
      </w:r>
      <w:r>
        <w:rPr>
          <w:spacing w:val="-2"/>
        </w:rPr>
        <w:t>、关于公司与控股股东：公司控股股东、实际控制人梁伟严格按照《上市公司治理准则》、《深圳证</w:t>
      </w:r>
      <w:r>
        <w:rPr/>
        <w:t> </w:t>
      </w:r>
      <w:r>
        <w:rPr>
          <w:spacing w:val="-1"/>
        </w:rPr>
        <w:t>券交易所创业板股票上市规则》、《深圳证券交易所创业板上市公司规范运作指引》、《公司章程》等有</w:t>
      </w:r>
      <w:r>
        <w:rPr>
          <w:spacing w:val="-84"/>
        </w:rPr>
        <w:t> </w:t>
      </w:r>
      <w:r>
        <w:rPr>
          <w:spacing w:val="-84"/>
        </w:rPr>
      </w:r>
      <w:r>
        <w:rPr>
          <w:spacing w:val="-1"/>
        </w:rPr>
        <w:t>关规定，公司控股股东严格规范自身行为，依法行使其权利并承担相应义务，不存在超越股东大会直接或</w:t>
      </w:r>
      <w:r>
        <w:rPr>
          <w:spacing w:val="-83"/>
        </w:rPr>
        <w:t> </w:t>
      </w:r>
      <w:r>
        <w:rPr>
          <w:spacing w:val="-83"/>
        </w:rPr>
      </w:r>
      <w:r>
        <w:rPr>
          <w:spacing w:val="-1"/>
        </w:rPr>
        <w:t>间接干预本公司的决策和经营活动。在人员、资产、财务、机构、业务上独立，亦无为控股股东占用资金</w:t>
      </w:r>
      <w:r>
        <w:rPr>
          <w:spacing w:val="-83"/>
        </w:rPr>
        <w:t> </w:t>
      </w:r>
      <w:r>
        <w:rPr>
          <w:spacing w:val="-83"/>
        </w:rPr>
      </w:r>
      <w:r>
        <w:rPr/>
        <w:t>以及公司为控股股东提供担保的情形。</w:t>
      </w:r>
    </w:p>
    <w:p>
      <w:pPr>
        <w:pStyle w:val="Heading5"/>
        <w:spacing w:line="314" w:lineRule="auto" w:before="28"/>
        <w:ind w:right="1132" w:firstLine="357"/>
        <w:jc w:val="both"/>
      </w:pPr>
      <w:r>
        <w:rPr>
          <w:rFonts w:ascii="Times New Roman" w:hAnsi="Times New Roman" w:cs="Times New Roman" w:eastAsia="Times New Roman" w:hint="default"/>
          <w:spacing w:val="-2"/>
        </w:rPr>
        <w:t>5</w:t>
      </w:r>
      <w:r>
        <w:rPr>
          <w:spacing w:val="-2"/>
        </w:rPr>
        <w:t>、关于绩效评价与激励约束机制：公司正持续完善高级管理人员绩效评价与激励约束机制。高级管理</w:t>
      </w:r>
      <w:r>
        <w:rPr/>
        <w:t> 人员的聘任能够做到公开、透明，符合法律、法规的规定。</w:t>
      </w:r>
    </w:p>
    <w:p>
      <w:pPr>
        <w:pStyle w:val="Heading5"/>
        <w:spacing w:line="312" w:lineRule="auto" w:before="40"/>
        <w:ind w:right="1130" w:firstLine="357"/>
        <w:jc w:val="both"/>
      </w:pPr>
      <w:r>
        <w:rPr>
          <w:rFonts w:ascii="Times New Roman" w:hAnsi="Times New Roman" w:cs="Times New Roman" w:eastAsia="Times New Roman" w:hint="default"/>
          <w:spacing w:val="-2"/>
        </w:rPr>
        <w:t>6</w:t>
      </w:r>
      <w:r>
        <w:rPr>
          <w:spacing w:val="-2"/>
        </w:rPr>
        <w:t>、关于利益相关者：公司充分尊重和维护相关利益者的合法权益，积极与相关利益者合作，加强与各</w:t>
      </w:r>
      <w:r>
        <w:rPr/>
        <w:t> 方的沟通和交流，实现股东、员工、社会等各方利益的协调平衡，共同推动公司持续、健康的发展。</w:t>
      </w:r>
    </w:p>
    <w:p>
      <w:pPr>
        <w:pStyle w:val="Heading5"/>
        <w:spacing w:line="324" w:lineRule="auto" w:before="42"/>
        <w:ind w:right="1118" w:firstLine="357"/>
        <w:jc w:val="left"/>
      </w:pPr>
      <w:r>
        <w:rPr>
          <w:rFonts w:ascii="Times New Roman" w:hAnsi="Times New Roman" w:cs="Times New Roman" w:eastAsia="Times New Roman" w:hint="default"/>
          <w:spacing w:val="-2"/>
        </w:rPr>
        <w:t>7</w:t>
      </w:r>
      <w:r>
        <w:rPr>
          <w:spacing w:val="-2"/>
        </w:rPr>
        <w:t>、关于信息披露与透明度：公司严格按照有关法律法规以及《信息披露事务管理制度》、《投资者关</w:t>
      </w:r>
      <w:r>
        <w:rPr/>
        <w:t> </w:t>
      </w:r>
      <w:r>
        <w:rPr>
          <w:spacing w:val="-1"/>
        </w:rPr>
        <w:t>系管理制度》等的要求，真实、准确、及时、公平、完整地披露有关信息；并指定公司董事会秘书为信息</w:t>
      </w:r>
      <w:r>
        <w:rPr>
          <w:spacing w:val="-85"/>
        </w:rPr>
        <w:t> </w:t>
      </w:r>
      <w:r>
        <w:rPr>
          <w:spacing w:val="-85"/>
        </w:rPr>
      </w:r>
      <w:r>
        <w:rPr>
          <w:spacing w:val="-1"/>
        </w:rPr>
        <w:t>披露负责人，协调公司与投资者之间的关系，接待股东来访，回答投资者咨询，向投资者提供公司已披露</w:t>
      </w:r>
      <w:r>
        <w:rPr>
          <w:spacing w:val="-86"/>
        </w:rPr>
        <w:t> </w:t>
      </w:r>
      <w:r>
        <w:rPr>
          <w:spacing w:val="-86"/>
        </w:rPr>
      </w:r>
      <w:r>
        <w:rPr>
          <w:spacing w:val="-1"/>
        </w:rPr>
        <w:t>的资料；并指定《中国证券报》、《证券时报》、《上海证券报》、《证券日报》为信息披露报纸，巨潮</w:t>
      </w:r>
      <w:r>
        <w:rPr>
          <w:spacing w:val="-88"/>
        </w:rPr>
        <w:t> </w:t>
      </w:r>
      <w:r>
        <w:rPr>
          <w:spacing w:val="-88"/>
        </w:rPr>
      </w:r>
      <w:r>
        <w:rPr/>
        <w:t>资讯网（</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）为信息披露的指定网站，确保公司所有股东能够以平等的机会获得信 息。</w:t>
      </w:r>
    </w:p>
    <w:p>
      <w:pPr>
        <w:spacing w:after="0" w:line="324"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5"/>
        <w:spacing w:line="240" w:lineRule="auto" w:before="170"/>
        <w:ind w:right="0"/>
        <w:jc w:val="left"/>
      </w:pPr>
      <w:r>
        <w:rPr/>
        <w:t>公司治理的实际状况与中国证监会发布的有关上市公司治理的规范性文件是否存在重大差异</w:t>
      </w:r>
    </w:p>
    <w:p>
      <w:pPr>
        <w:pStyle w:val="Heading5"/>
        <w:spacing w:line="345" w:lineRule="auto" w:before="145"/>
        <w:ind w:right="23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 公司治理的实际状况与中国证监会发布的有关上市公司治理的规范性文件不存在重大差异。</w:t>
      </w:r>
    </w:p>
    <w:p>
      <w:pPr>
        <w:spacing w:line="240" w:lineRule="auto" w:before="7"/>
        <w:rPr>
          <w:rFonts w:ascii="宋体" w:hAnsi="宋体" w:cs="宋体" w:eastAsia="宋体" w:hint="default"/>
          <w:sz w:val="16"/>
          <w:szCs w:val="16"/>
        </w:rPr>
      </w:pPr>
    </w:p>
    <w:p>
      <w:pPr>
        <w:pStyle w:val="Heading3"/>
        <w:spacing w:line="240" w:lineRule="auto"/>
        <w:ind w:right="0"/>
        <w:jc w:val="left"/>
        <w:rPr>
          <w:b w:val="0"/>
          <w:bCs w:val="0"/>
        </w:rPr>
      </w:pPr>
      <w:bookmarkStart w:name="二、公司相对于控股股东在业务、人员、资产、机构、财务等方面的独立情况" w:id="128"/>
      <w:bookmarkEnd w:id="128"/>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30"/>
          <w:szCs w:val="30"/>
        </w:rPr>
      </w:pPr>
    </w:p>
    <w:p>
      <w:pPr>
        <w:pStyle w:val="Heading5"/>
        <w:spacing w:line="240" w:lineRule="auto"/>
        <w:ind w:left="511" w:right="0"/>
        <w:jc w:val="left"/>
      </w:pPr>
      <w:r>
        <w:rPr/>
        <w:t>公司与控股股东在业务、人员、资产、机构、财务等方面已做到完全分开。</w:t>
      </w:r>
    </w:p>
    <w:p>
      <w:pPr>
        <w:pStyle w:val="Heading5"/>
        <w:spacing w:line="240" w:lineRule="auto" w:before="104"/>
        <w:ind w:left="511" w:right="0"/>
        <w:jc w:val="left"/>
      </w:pPr>
      <w:r>
        <w:rPr>
          <w:rFonts w:ascii="Times New Roman" w:hAnsi="Times New Roman" w:cs="Times New Roman" w:eastAsia="Times New Roman" w:hint="default"/>
        </w:rPr>
        <w:t>1</w:t>
      </w:r>
      <w:r>
        <w:rPr/>
        <w:t>、业务方面：公司具有独立完整的业务与自主经营能力。</w:t>
      </w:r>
    </w:p>
    <w:p>
      <w:pPr>
        <w:pStyle w:val="Heading5"/>
        <w:spacing w:line="240" w:lineRule="auto" w:before="89"/>
        <w:ind w:left="511" w:right="0"/>
        <w:jc w:val="left"/>
      </w:pPr>
      <w:r>
        <w:rPr>
          <w:rFonts w:ascii="Times New Roman" w:hAnsi="Times New Roman" w:cs="Times New Roman" w:eastAsia="Times New Roman" w:hint="default"/>
        </w:rPr>
        <w:t>2</w:t>
      </w:r>
      <w:r>
        <w:rPr/>
        <w:t>、人员方面：公司有独立的劳动、人事及薪酬管理制度。</w:t>
      </w:r>
    </w:p>
    <w:p>
      <w:pPr>
        <w:pStyle w:val="Heading5"/>
        <w:spacing w:line="240" w:lineRule="auto" w:before="89"/>
        <w:ind w:left="511" w:right="0"/>
        <w:jc w:val="left"/>
      </w:pPr>
      <w:r>
        <w:rPr>
          <w:rFonts w:ascii="Times New Roman" w:hAnsi="Times New Roman" w:cs="Times New Roman" w:eastAsia="Times New Roman" w:hint="default"/>
        </w:rPr>
        <w:t>3</w:t>
      </w:r>
      <w:r>
        <w:rPr/>
        <w:t>、资产方面：公司与控股股东产权关系明晰，公司的资产与控股股东资产明确分开。</w:t>
      </w:r>
    </w:p>
    <w:p>
      <w:pPr>
        <w:pStyle w:val="Heading5"/>
        <w:spacing w:line="240" w:lineRule="auto" w:before="88"/>
        <w:ind w:left="511" w:right="0"/>
        <w:jc w:val="left"/>
      </w:pPr>
      <w:r>
        <w:rPr>
          <w:rFonts w:ascii="Times New Roman" w:hAnsi="Times New Roman" w:cs="Times New Roman" w:eastAsia="Times New Roman" w:hint="default"/>
        </w:rPr>
        <w:t>4</w:t>
      </w:r>
      <w:r>
        <w:rPr/>
        <w:t>、机构设置：公司有自身完整、独立的机构设置，与控股股东及其职能部门之间没有上下级关系。</w:t>
      </w:r>
    </w:p>
    <w:p>
      <w:pPr>
        <w:pStyle w:val="Heading5"/>
        <w:spacing w:line="314" w:lineRule="auto" w:before="130"/>
        <w:ind w:right="1118" w:firstLine="357"/>
        <w:jc w:val="left"/>
      </w:pPr>
      <w:r>
        <w:rPr>
          <w:rFonts w:ascii="Times New Roman" w:hAnsi="Times New Roman" w:cs="Times New Roman" w:eastAsia="Times New Roman" w:hint="default"/>
          <w:spacing w:val="-2"/>
        </w:rPr>
        <w:t>5</w:t>
      </w:r>
      <w:r>
        <w:rPr>
          <w:spacing w:val="-2"/>
        </w:rPr>
        <w:t>、财务方面：公司设有独立的财会部门，建立了独立的会计核算体系和财务管理制度，独立在银行开</w:t>
      </w:r>
      <w:r>
        <w:rPr/>
        <w:t> 设帐户。</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bookmarkStart w:name="三、同业竞争情况" w:id="129"/>
      <w:bookmarkEnd w:id="129"/>
      <w:r>
        <w:rPr>
          <w:b w:val="0"/>
          <w:bCs w:val="0"/>
        </w:rPr>
      </w:r>
      <w:r>
        <w:rPr/>
        <w:t>三、同业竞争情况</w:t>
      </w:r>
      <w:r>
        <w:rPr>
          <w:b w:val="0"/>
          <w:bCs w:val="0"/>
        </w:rPr>
      </w:r>
    </w:p>
    <w:p>
      <w:pPr>
        <w:spacing w:line="240" w:lineRule="auto" w:before="9"/>
        <w:rPr>
          <w:rFonts w:ascii="宋体" w:hAnsi="宋体" w:cs="宋体" w:eastAsia="宋体" w:hint="default"/>
          <w:b/>
          <w:bCs/>
          <w:sz w:val="24"/>
          <w:szCs w:val="24"/>
        </w:rPr>
      </w:pPr>
    </w:p>
    <w:p>
      <w:pPr>
        <w:spacing w:line="487" w:lineRule="auto" w:before="0"/>
        <w:ind w:left="154" w:right="382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不适用 </w:t>
      </w:r>
      <w:bookmarkStart w:name="四、报告期内召开的年度股东大会和临时股东大会的有关情况" w:id="130"/>
      <w:bookmarkEnd w:id="130"/>
      <w:r>
        <w:rPr>
          <w:rFonts w:ascii="宋体" w:hAnsi="宋体" w:cs="宋体" w:eastAsia="宋体" w:hint="default"/>
          <w:sz w:val="21"/>
          <w:szCs w:val="21"/>
        </w:rPr>
      </w:r>
      <w:r>
        <w:rPr>
          <w:rFonts w:ascii="宋体" w:hAnsi="宋体" w:cs="宋体" w:eastAsia="宋体" w:hint="default"/>
          <w:b/>
          <w:bCs/>
          <w:w w:val="95"/>
          <w:sz w:val="24"/>
          <w:szCs w:val="24"/>
        </w:rPr>
        <w:t>四、报告期内召开的年度股东大会和临时股东大会的有关情况</w:t>
      </w:r>
      <w:r>
        <w:rPr>
          <w:rFonts w:ascii="宋体" w:hAnsi="宋体" w:cs="宋体" w:eastAsia="宋体" w:hint="default"/>
          <w:b/>
          <w:bCs/>
          <w:spacing w:val="70"/>
          <w:w w:val="95"/>
          <w:sz w:val="24"/>
          <w:szCs w:val="24"/>
        </w:rPr>
        <w:t> </w:t>
      </w:r>
      <w:bookmarkStart w:name="1、本报告期股东大会情况" w:id="131"/>
      <w:bookmarkEnd w:id="131"/>
      <w:r>
        <w:rPr>
          <w:rFonts w:ascii="宋体" w:hAnsi="宋体" w:cs="宋体" w:eastAsia="宋体" w:hint="default"/>
          <w:b/>
          <w:bCs/>
          <w:spacing w:val="70"/>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2410"/>
        <w:gridCol w:w="1277"/>
        <w:gridCol w:w="878"/>
        <w:gridCol w:w="1532"/>
        <w:gridCol w:w="1520"/>
        <w:gridCol w:w="1951"/>
      </w:tblGrid>
      <w:tr>
        <w:trPr>
          <w:trHeight w:val="714" w:hRule="exact"/>
        </w:trPr>
        <w:tc>
          <w:tcPr>
            <w:tcW w:w="24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3" w:right="72"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95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9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5"/>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9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5"/>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32"/>
      <w:bookmarkEnd w:id="13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13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不适用 </w:t>
      </w:r>
      <w:bookmarkStart w:name="五、报告期内独立董事履行职责的情况" w:id="133"/>
      <w:bookmarkEnd w:id="133"/>
      <w:r>
        <w:rPr>
          <w:rFonts w:ascii="宋体" w:hAnsi="宋体" w:cs="宋体" w:eastAsia="宋体" w:hint="default"/>
          <w:sz w:val="21"/>
          <w:szCs w:val="21"/>
        </w:rPr>
      </w:r>
      <w:r>
        <w:rPr>
          <w:rFonts w:ascii="宋体" w:hAnsi="宋体" w:cs="宋体" w:eastAsia="宋体" w:hint="default"/>
          <w:b/>
          <w:bCs/>
          <w:w w:val="95"/>
          <w:sz w:val="24"/>
          <w:szCs w:val="24"/>
        </w:rPr>
        <w:t>五、报告期内独立董事履行职责的情况</w:t>
      </w:r>
      <w:r>
        <w:rPr>
          <w:rFonts w:ascii="宋体" w:hAnsi="宋体" w:cs="宋体" w:eastAsia="宋体" w:hint="default"/>
          <w:b/>
          <w:bCs/>
          <w:spacing w:val="73"/>
          <w:w w:val="95"/>
          <w:sz w:val="24"/>
          <w:szCs w:val="24"/>
        </w:rPr>
        <w:t> </w:t>
      </w:r>
      <w:bookmarkStart w:name="1、独立董事出席董事会及股东大会的情况" w:id="134"/>
      <w:bookmarkEnd w:id="134"/>
      <w:r>
        <w:rPr>
          <w:rFonts w:ascii="宋体" w:hAnsi="宋体" w:cs="宋体" w:eastAsia="宋体" w:hint="default"/>
          <w:b/>
          <w:bCs/>
          <w:spacing w:val="73"/>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72"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41"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施先旺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34" w:type="dxa"/>
        <w:tblLayout w:type="fixed"/>
        <w:tblCellMar>
          <w:top w:w="0" w:type="dxa"/>
          <w:left w:w="0" w:type="dxa"/>
          <w:bottom w:w="0" w:type="dxa"/>
          <w:right w:w="0" w:type="dxa"/>
        </w:tblCellMar>
        <w:tblLook w:val="01E0"/>
      </w:tblPr>
      <w:tblGrid>
        <w:gridCol w:w="1442"/>
        <w:gridCol w:w="1164"/>
        <w:gridCol w:w="1164"/>
        <w:gridCol w:w="1163"/>
        <w:gridCol w:w="1164"/>
        <w:gridCol w:w="1163"/>
        <w:gridCol w:w="1163"/>
        <w:gridCol w:w="1163"/>
      </w:tblGrid>
      <w:tr>
        <w:trPr>
          <w:trHeight w:val="402" w:hRule="exact"/>
        </w:trPr>
        <w:tc>
          <w:tcPr>
            <w:tcW w:w="1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李秉成</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独立董事对公司有关事项提出异议的情况" w:id="135"/>
      <w:bookmarkEnd w:id="13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30"/>
          <w:szCs w:val="30"/>
        </w:rPr>
      </w:pPr>
    </w:p>
    <w:p>
      <w:pPr>
        <w:pStyle w:val="Heading5"/>
        <w:spacing w:line="240" w:lineRule="auto"/>
        <w:ind w:right="0"/>
        <w:jc w:val="left"/>
      </w:pPr>
      <w:r>
        <w:rPr/>
        <w:t>独立董事对公司有关事项是否提出异议</w:t>
      </w:r>
    </w:p>
    <w:p>
      <w:pPr>
        <w:pStyle w:val="Heading5"/>
        <w:spacing w:line="345" w:lineRule="auto" w:before="145"/>
        <w:ind w:right="63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报告期内独立董事对公司有关事项未提出异议。</w:t>
      </w:r>
    </w:p>
    <w:p>
      <w:pPr>
        <w:spacing w:line="682" w:lineRule="exact" w:before="11"/>
        <w:ind w:left="154" w:right="7392" w:firstLine="0"/>
        <w:jc w:val="left"/>
        <w:rPr>
          <w:rFonts w:ascii="宋体" w:hAnsi="宋体" w:cs="宋体" w:eastAsia="宋体" w:hint="default"/>
          <w:sz w:val="21"/>
          <w:szCs w:val="21"/>
        </w:rPr>
      </w:pPr>
      <w:bookmarkStart w:name="3、独立董事履行职责的其他说明" w:id="136"/>
      <w:bookmarkEnd w:id="1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b/>
          <w:bCs/>
          <w:w w:val="99"/>
          <w:sz w:val="21"/>
          <w:szCs w:val="21"/>
        </w:rPr>
        <w:t> </w:t>
      </w:r>
      <w:r>
        <w:rPr>
          <w:rFonts w:ascii="宋体" w:hAnsi="宋体" w:cs="宋体" w:eastAsia="宋体" w:hint="default"/>
          <w:sz w:val="21"/>
          <w:szCs w:val="21"/>
        </w:rPr>
        <w:t>独立董事对公司有关建议是否被采纳</w:t>
      </w:r>
    </w:p>
    <w:p>
      <w:pPr>
        <w:pStyle w:val="Heading5"/>
        <w:spacing w:line="345" w:lineRule="auto" w:before="38"/>
        <w:ind w:right="61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独立董事对公司有关建议被采纳或未被采纳的说明</w:t>
      </w:r>
    </w:p>
    <w:p>
      <w:pPr>
        <w:pStyle w:val="Heading5"/>
        <w:spacing w:line="331" w:lineRule="auto" w:before="51"/>
        <w:ind w:right="0" w:firstLine="360"/>
        <w:jc w:val="left"/>
      </w:pPr>
      <w:r>
        <w:rPr>
          <w:spacing w:val="-2"/>
        </w:rPr>
        <w:t>独立董事严格按照《公司法》、《关于在上市公司建立独立董事的指导意见》、《上市公司治理准则》</w:t>
      </w:r>
      <w:r>
        <w:rPr/>
        <w:t> 等法律、法规、规范性文件以及《公司章程》、《独立董事工作制度》的规定，认真、勤勉、谨慎履行职 责，积极出席相关会议，对各项议案进行认真审议，对公司重大事项发表了独立意见，充分发挥了独立董 事的作用，努力维护公司整体利益和全体股东特别是中小股东的合法权益。</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bookmarkStart w:name="六、董事会下设专门委员会在报告期内履行职责情况" w:id="137"/>
      <w:bookmarkEnd w:id="137"/>
      <w:r>
        <w:rPr>
          <w:b w:val="0"/>
          <w:bCs w:val="0"/>
        </w:rPr>
      </w:r>
      <w:r>
        <w:rPr/>
        <w:t>六、董事会下设专门委员会在报告期内履行职责情况</w:t>
      </w:r>
      <w:r>
        <w:rPr>
          <w:b w:val="0"/>
          <w:bCs w:val="0"/>
        </w:rPr>
      </w:r>
    </w:p>
    <w:p>
      <w:pPr>
        <w:spacing w:line="240" w:lineRule="auto" w:before="2"/>
        <w:rPr>
          <w:rFonts w:ascii="宋体" w:hAnsi="宋体" w:cs="宋体" w:eastAsia="宋体" w:hint="default"/>
          <w:b/>
          <w:bCs/>
          <w:sz w:val="30"/>
          <w:szCs w:val="30"/>
        </w:rPr>
      </w:pPr>
    </w:p>
    <w:p>
      <w:pPr>
        <w:pStyle w:val="Heading5"/>
        <w:spacing w:line="314" w:lineRule="auto"/>
        <w:ind w:right="0" w:firstLine="357"/>
        <w:jc w:val="left"/>
      </w:pPr>
      <w:r>
        <w:rPr>
          <w:rFonts w:ascii="Times New Roman" w:hAnsi="Times New Roman" w:cs="Times New Roman" w:eastAsia="Times New Roman" w:hint="default"/>
          <w:spacing w:val="-2"/>
        </w:rPr>
        <w:t>1</w:t>
      </w:r>
      <w:r>
        <w:rPr>
          <w:spacing w:val="-2"/>
        </w:rPr>
        <w:t>、薪酬与考核委员会履职情况：报告期内，薪酬与考核委员会对公司高级管理人员的薪酬情况进行了</w:t>
      </w:r>
      <w:r>
        <w:rPr/>
        <w:t> 审核，使公司高级管理人员的考评和激励标准化、程序化、制度化和合理化。</w:t>
      </w:r>
    </w:p>
    <w:p>
      <w:pPr>
        <w:pStyle w:val="Heading5"/>
        <w:spacing w:line="312" w:lineRule="auto" w:before="40"/>
        <w:ind w:right="0" w:firstLine="357"/>
        <w:jc w:val="left"/>
      </w:pPr>
      <w:r>
        <w:rPr>
          <w:rFonts w:ascii="Times New Roman" w:hAnsi="Times New Roman" w:cs="Times New Roman" w:eastAsia="Times New Roman" w:hint="default"/>
          <w:spacing w:val="-2"/>
        </w:rPr>
        <w:t>2</w:t>
      </w:r>
      <w:r>
        <w:rPr>
          <w:spacing w:val="-2"/>
        </w:rPr>
        <w:t>、审计委员会履职情况：审计委员会主要负责公司内外部审计的沟通和协调，组织内部审计、续聘年</w:t>
      </w:r>
      <w:r>
        <w:rPr/>
        <w:t> 审会计师事务所等工作，切实履行了董事会审计委员会的责任和义务。</w:t>
      </w:r>
    </w:p>
    <w:p>
      <w:pPr>
        <w:spacing w:line="240" w:lineRule="auto" w:before="12"/>
        <w:rPr>
          <w:rFonts w:ascii="宋体" w:hAnsi="宋体" w:cs="宋体" w:eastAsia="宋体" w:hint="default"/>
          <w:sz w:val="18"/>
          <w:szCs w:val="18"/>
        </w:rPr>
      </w:pPr>
    </w:p>
    <w:p>
      <w:pPr>
        <w:pStyle w:val="Heading3"/>
        <w:spacing w:line="240" w:lineRule="auto"/>
        <w:ind w:right="0"/>
        <w:jc w:val="left"/>
        <w:rPr>
          <w:b w:val="0"/>
          <w:bCs w:val="0"/>
        </w:rPr>
      </w:pPr>
      <w:bookmarkStart w:name="七、监事会工作情况" w:id="138"/>
      <w:bookmarkEnd w:id="138"/>
      <w:r>
        <w:rPr>
          <w:b w:val="0"/>
          <w:bCs w:val="0"/>
        </w:rPr>
      </w:r>
      <w:r>
        <w:rPr/>
        <w:t>七、监事会工作情况</w:t>
      </w:r>
      <w:r>
        <w:rPr>
          <w:b w:val="0"/>
          <w:bCs w:val="0"/>
        </w:rPr>
      </w:r>
    </w:p>
    <w:p>
      <w:pPr>
        <w:spacing w:line="240" w:lineRule="auto" w:before="3"/>
        <w:rPr>
          <w:rFonts w:ascii="宋体" w:hAnsi="宋体" w:cs="宋体" w:eastAsia="宋体" w:hint="default"/>
          <w:b/>
          <w:bCs/>
          <w:sz w:val="30"/>
          <w:szCs w:val="30"/>
        </w:rPr>
      </w:pPr>
    </w:p>
    <w:p>
      <w:pPr>
        <w:pStyle w:val="Heading5"/>
        <w:spacing w:line="240" w:lineRule="auto"/>
        <w:ind w:right="0"/>
        <w:jc w:val="left"/>
      </w:pPr>
      <w:r>
        <w:rPr/>
        <w:t>监事会在报告期内的监督活动中发现公司是否存在风险</w:t>
      </w:r>
    </w:p>
    <w:p>
      <w:pPr>
        <w:pStyle w:val="Heading5"/>
        <w:spacing w:line="345" w:lineRule="auto" w:before="145"/>
        <w:ind w:right="676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公司监事会对报告期内的监督事项无异议。</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bookmarkStart w:name="八、高级管理人员的考评及激励情况" w:id="139"/>
      <w:bookmarkEnd w:id="139"/>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30"/>
          <w:szCs w:val="30"/>
        </w:rPr>
      </w:pPr>
    </w:p>
    <w:p>
      <w:pPr>
        <w:pStyle w:val="Heading5"/>
        <w:spacing w:line="331" w:lineRule="auto"/>
        <w:ind w:right="0" w:firstLine="357"/>
        <w:jc w:val="left"/>
      </w:pPr>
      <w:r>
        <w:rPr/>
        <w:t>公司董事、监事的津贴由薪酬与考核委员会提出，经董事会、监事会批准后，提交股东大会审议通过 后实施；高级管理人员的绩效考核方案由董事会批准后实施。</w:t>
      </w:r>
    </w:p>
    <w:p>
      <w:pPr>
        <w:pStyle w:val="Heading5"/>
        <w:spacing w:line="331" w:lineRule="auto" w:before="25"/>
        <w:ind w:right="0" w:firstLine="357"/>
        <w:jc w:val="left"/>
      </w:pPr>
      <w:r>
        <w:rPr/>
        <w:t>公司薪酬与考核委员会依据公司每年度财务指标和经营目标的完成情况以及公司董事、监事、高级管 理人员的履职情况，对董事、监事、高级管理人员公司薪酬与考核委员人员的薪酬进行了考核。</w:t>
      </w:r>
    </w:p>
    <w:p>
      <w:pPr>
        <w:spacing w:after="0" w:line="331"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九、内部控制评价报告" w:id="140"/>
      <w:bookmarkEnd w:id="140"/>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1"/>
      <w:bookmarkEnd w:id="14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2、内控自我评价报告" w:id="142"/>
      <w:bookmarkEnd w:id="14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3169"/>
        <w:gridCol w:w="3335"/>
        <w:gridCol w:w="3037"/>
      </w:tblGrid>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14"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41" w:type="dxa"/>
            <w:gridSpan w:val="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0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0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2"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十、内部控制审计报告或鉴证报告" w:id="143"/>
      <w:bookmarkEnd w:id="143"/>
      <w:r>
        <w:rPr>
          <w:b w:val="0"/>
          <w:bCs w:val="0"/>
        </w:rPr>
      </w:r>
      <w:r>
        <w:rPr/>
        <w:t>十、内部控制审计报告或鉴证报告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44"/>
      <w:bookmarkEnd w:id="144"/>
      <w:r>
        <w:rPr>
          <w:b w:val="0"/>
          <w:bCs w:val="0"/>
        </w:rPr>
      </w:r>
      <w:bookmarkStart w:name="_bookmark9" w:id="145"/>
      <w:bookmarkEnd w:id="145"/>
      <w:r>
        <w:rPr>
          <w:b w:val="0"/>
          <w:bCs w:val="0"/>
        </w:rPr>
      </w:r>
      <w:r>
        <w:rPr/>
        <w:t>第十节</w:t>
      </w:r>
      <w:r>
        <w:rPr>
          <w:spacing w:val="-9"/>
        </w:rPr>
        <w:t> </w:t>
      </w:r>
      <w:r>
        <w:rPr/>
        <w:t>公司债券相关情况</w:t>
      </w:r>
      <w:r>
        <w:rPr>
          <w:b w:val="0"/>
          <w:bCs w:val="0"/>
        </w:rPr>
      </w:r>
    </w:p>
    <w:p>
      <w:pPr>
        <w:spacing w:line="240" w:lineRule="auto" w:before="2"/>
        <w:rPr>
          <w:rFonts w:ascii="宋体" w:hAnsi="宋体" w:cs="宋体" w:eastAsia="宋体" w:hint="default"/>
          <w:b/>
          <w:bCs/>
          <w:sz w:val="46"/>
          <w:szCs w:val="46"/>
        </w:rPr>
      </w:pPr>
    </w:p>
    <w:p>
      <w:pPr>
        <w:pStyle w:val="Heading5"/>
        <w:spacing w:line="333" w:lineRule="auto"/>
        <w:ind w:right="1118"/>
        <w:jc w:val="left"/>
      </w:pPr>
      <w:r>
        <w:rPr>
          <w:spacing w:val="-1"/>
        </w:rPr>
        <w:t>公司是否存在公开发行并在证券交易所上市，且在年度报告批准报出日未到期或到期未能全额兑付的公司</w:t>
      </w:r>
      <w:r>
        <w:rPr>
          <w:spacing w:val="-81"/>
        </w:rPr>
        <w:t> </w:t>
      </w:r>
      <w:r>
        <w:rPr>
          <w:spacing w:val="-81"/>
        </w:rPr>
      </w:r>
      <w:r>
        <w:rPr/>
        <w:t>债券</w:t>
      </w:r>
    </w:p>
    <w:p>
      <w:pPr>
        <w:pStyle w:val="Heading5"/>
        <w:spacing w:line="240" w:lineRule="auto" w:before="63"/>
        <w:ind w:right="0"/>
        <w:jc w:val="left"/>
      </w:pP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46"/>
      <w:bookmarkEnd w:id="146"/>
      <w:r>
        <w:rPr>
          <w:b w:val="0"/>
          <w:bCs w:val="0"/>
        </w:rPr>
      </w:r>
      <w:bookmarkStart w:name="_bookmark10" w:id="147"/>
      <w:bookmarkEnd w:id="147"/>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审计报告" w:id="148"/>
      <w:bookmarkEnd w:id="14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[2019]002043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李轶芳、陈瑜星</w:t>
            </w:r>
          </w:p>
        </w:tc>
      </w:tr>
    </w:tbl>
    <w:p>
      <w:pPr>
        <w:pStyle w:val="BodyText"/>
        <w:spacing w:line="240" w:lineRule="auto" w:before="51"/>
        <w:ind w:left="2786" w:right="3762"/>
        <w:jc w:val="center"/>
      </w:pPr>
      <w:r>
        <w:rPr/>
        <w:t>审计报告正文</w:t>
      </w:r>
    </w:p>
    <w:p>
      <w:pPr>
        <w:pStyle w:val="Heading2"/>
        <w:spacing w:line="240" w:lineRule="auto" w:before="59"/>
        <w:ind w:left="2625" w:right="3763"/>
        <w:jc w:val="center"/>
        <w:rPr>
          <w:rFonts w:ascii="黑体" w:hAnsi="黑体" w:cs="黑体" w:eastAsia="黑体" w:hint="default"/>
          <w:b w:val="0"/>
          <w:bCs w:val="0"/>
        </w:rPr>
      </w:pPr>
      <w:bookmarkStart w:name="审计报告" w:id="149"/>
      <w:bookmarkEnd w:id="149"/>
      <w:r>
        <w:rPr>
          <w:b w:val="0"/>
          <w:bCs w:val="0"/>
        </w:rPr>
      </w:r>
      <w:r>
        <w:rPr>
          <w:rFonts w:ascii="黑体" w:hAnsi="黑体" w:cs="黑体" w:eastAsia="黑体" w:hint="default"/>
        </w:rPr>
        <w:t>审 计 报</w:t>
      </w:r>
      <w:r>
        <w:rPr>
          <w:rFonts w:ascii="黑体" w:hAnsi="黑体" w:cs="黑体" w:eastAsia="黑体" w:hint="default"/>
          <w:spacing w:val="53"/>
        </w:rPr>
        <w:t> </w:t>
      </w:r>
      <w:r>
        <w:rPr>
          <w:rFonts w:ascii="黑体" w:hAnsi="黑体" w:cs="黑体" w:eastAsia="黑体" w:hint="default"/>
        </w:rPr>
        <w:t>告</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21"/>
          <w:szCs w:val="21"/>
        </w:rPr>
      </w:pPr>
    </w:p>
    <w:p>
      <w:pPr>
        <w:pStyle w:val="Heading4"/>
        <w:spacing w:line="240" w:lineRule="auto" w:before="35"/>
        <w:ind w:left="0" w:right="1130"/>
        <w:jc w:val="right"/>
        <w:rPr>
          <w:b w:val="0"/>
          <w:bCs w:val="0"/>
        </w:rPr>
      </w:pPr>
      <w:r>
        <w:rPr>
          <w:w w:val="95"/>
        </w:rPr>
        <w:t>大华审字</w:t>
      </w:r>
      <w:r>
        <w:rPr>
          <w:rFonts w:ascii="Times New Roman" w:hAnsi="Times New Roman" w:cs="Times New Roman" w:eastAsia="Times New Roman" w:hint="default"/>
          <w:w w:val="95"/>
        </w:rPr>
        <w:t>[2019]002043</w:t>
      </w:r>
      <w:r>
        <w:rPr>
          <w:w w:val="95"/>
        </w:rPr>
        <w:t>号</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4"/>
        <w:spacing w:line="240" w:lineRule="auto" w:before="35"/>
        <w:ind w:right="0"/>
        <w:jc w:val="left"/>
        <w:rPr>
          <w:b w:val="0"/>
          <w:bCs w:val="0"/>
        </w:rPr>
      </w:pPr>
      <w:r>
        <w:rPr/>
        <w:t>武汉金运激光股份有限公司全体股东：</w:t>
      </w:r>
      <w:r>
        <w:rPr>
          <w:b w:val="0"/>
          <w:bCs w:val="0"/>
        </w:rPr>
      </w:r>
    </w:p>
    <w:p>
      <w:pPr>
        <w:spacing w:line="240" w:lineRule="auto" w:before="1"/>
        <w:rPr>
          <w:rFonts w:ascii="宋体" w:hAnsi="宋体" w:cs="宋体" w:eastAsia="宋体" w:hint="default"/>
          <w:b/>
          <w:bCs/>
          <w:sz w:val="28"/>
          <w:szCs w:val="28"/>
        </w:rPr>
      </w:pPr>
    </w:p>
    <w:p>
      <w:pPr>
        <w:pStyle w:val="Heading4"/>
        <w:tabs>
          <w:tab w:pos="1414" w:val="left" w:leader="none"/>
        </w:tabs>
        <w:spacing w:line="240" w:lineRule="auto"/>
        <w:ind w:left="576" w:right="0"/>
        <w:jc w:val="left"/>
        <w:rPr>
          <w:b w:val="0"/>
          <w:bCs w:val="0"/>
        </w:rPr>
      </w:pPr>
      <w:bookmarkStart w:name="一、 审计意见" w:id="150"/>
      <w:bookmarkEnd w:id="150"/>
      <w:r>
        <w:rPr>
          <w:b w:val="0"/>
          <w:bCs w:val="0"/>
        </w:rPr>
      </w:r>
      <w:r>
        <w:rPr>
          <w:w w:val="95"/>
        </w:rPr>
        <w:t>一、</w:t>
        <w:tab/>
      </w:r>
      <w:r>
        <w:rPr/>
        <w:t>审计意见</w:t>
      </w:r>
      <w:r>
        <w:rPr>
          <w:b w:val="0"/>
          <w:bCs w:val="0"/>
        </w:rPr>
      </w:r>
    </w:p>
    <w:p>
      <w:pPr>
        <w:pStyle w:val="Heading5"/>
        <w:spacing w:line="280" w:lineRule="auto" w:before="106"/>
        <w:ind w:right="1132" w:firstLine="420"/>
        <w:jc w:val="both"/>
      </w:pPr>
      <w:r>
        <w:rPr/>
        <w:t>我们审计了武汉金运激光股份有限公司（以下简称金运激光</w:t>
      </w:r>
      <w:r>
        <w:rPr>
          <w:rFonts w:ascii="Times New Roman" w:hAnsi="Times New Roman" w:cs="Times New Roman" w:eastAsia="Times New Roman" w:hint="default"/>
        </w:rPr>
        <w:t>)</w:t>
      </w:r>
      <w:r>
        <w:rPr/>
        <w:t>财务报表，包括</w:t>
      </w:r>
      <w:r>
        <w:rPr>
          <w:spacing w:val="-51"/>
        </w:rPr>
        <w:t> </w:t>
      </w:r>
      <w:r>
        <w:rPr>
          <w:rFonts w:ascii="Times New Roman" w:hAnsi="Times New Roman" w:cs="Times New Roman" w:eastAsia="Times New Roman" w:hint="default"/>
        </w:rPr>
        <w:t>2018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 </w:t>
      </w:r>
      <w:r>
        <w:rPr>
          <w:spacing w:val="-2"/>
        </w:rPr>
        <w:t>并及母公司资产负债表，</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5"/>
        </w:rPr>
        <w:t> </w:t>
      </w:r>
      <w:r>
        <w:rPr>
          <w:spacing w:val="-2"/>
        </w:rPr>
        <w:t>年度的合并及母公司利润表、合并及母公司现金流量表、合并及母公司股东</w:t>
      </w:r>
      <w:r>
        <w:rPr>
          <w:spacing w:val="-103"/>
        </w:rPr>
        <w:t> </w:t>
      </w:r>
      <w:r>
        <w:rPr>
          <w:spacing w:val="-103"/>
        </w:rPr>
      </w:r>
      <w:r>
        <w:rPr/>
        <w:t>权益变动表以及相关财务报表附注。</w:t>
      </w:r>
    </w:p>
    <w:p>
      <w:pPr>
        <w:pStyle w:val="Heading5"/>
        <w:spacing w:line="240" w:lineRule="auto" w:before="68"/>
        <w:ind w:left="574" w:right="0"/>
        <w:jc w:val="left"/>
        <w:rPr>
          <w:rFonts w:ascii="Times New Roman" w:hAnsi="Times New Roman" w:cs="Times New Roman" w:eastAsia="Times New Roman" w:hint="default"/>
        </w:rPr>
      </w:pPr>
      <w:r>
        <w:rPr>
          <w:spacing w:val="-2"/>
        </w:rPr>
        <w:t>我们认为，后附的财务报表在所有重大方面按照企业会计准则的规定编制，公允反映了金运激光</w:t>
      </w:r>
      <w:r>
        <w:rPr>
          <w:spacing w:val="-44"/>
        </w:rPr>
        <w:t> </w:t>
      </w:r>
      <w:r>
        <w:rPr>
          <w:rFonts w:ascii="Times New Roman" w:hAnsi="Times New Roman" w:cs="Times New Roman" w:eastAsia="Times New Roman" w:hint="default"/>
        </w:rPr>
        <w:t>2018</w:t>
      </w:r>
    </w:p>
    <w:p>
      <w:pPr>
        <w:pStyle w:val="Heading5"/>
        <w:tabs>
          <w:tab w:pos="1414" w:val="left" w:leader="none"/>
        </w:tabs>
        <w:spacing w:line="312" w:lineRule="auto" w:before="50"/>
        <w:ind w:left="576" w:right="2265" w:hanging="423"/>
        <w:jc w:val="left"/>
        <w:rPr>
          <w:rFonts w:ascii="宋体" w:hAnsi="宋体" w:cs="宋体" w:eastAsia="宋体" w:hint="default"/>
        </w:rPr>
      </w:pPr>
      <w:r>
        <w:rPr/>
        <w:t>年</w:t>
      </w:r>
      <w:r>
        <w:rPr>
          <w:spacing w:val="-54"/>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日的合并及母公司财务状况以及</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年度的合并及母公司经营成果和现金流量。 </w:t>
      </w:r>
      <w:bookmarkStart w:name="二、 形成审计意见的基础" w:id="151"/>
      <w:bookmarkEnd w:id="151"/>
      <w:r>
        <w:rPr/>
      </w:r>
      <w:r>
        <w:rPr>
          <w:rFonts w:ascii="宋体" w:hAnsi="宋体" w:cs="宋体" w:eastAsia="宋体" w:hint="default"/>
          <w:b/>
          <w:bCs/>
          <w:w w:val="95"/>
        </w:rPr>
        <w:t>二、</w:t>
        <w:tab/>
      </w:r>
      <w:r>
        <w:rPr>
          <w:rFonts w:ascii="宋体" w:hAnsi="宋体" w:cs="宋体" w:eastAsia="宋体" w:hint="default"/>
          <w:b/>
          <w:bCs/>
        </w:rPr>
        <w:t>形成审计意见的基础</w:t>
      </w:r>
      <w:r>
        <w:rPr>
          <w:rFonts w:ascii="宋体" w:hAnsi="宋体" w:cs="宋体" w:eastAsia="宋体" w:hint="default"/>
        </w:rPr>
      </w:r>
    </w:p>
    <w:p>
      <w:pPr>
        <w:pStyle w:val="Heading5"/>
        <w:spacing w:line="285" w:lineRule="auto" w:before="43"/>
        <w:ind w:right="1128" w:firstLine="42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 的责任</w:t>
      </w:r>
      <w:r>
        <w:rPr>
          <w:rFonts w:ascii="Times New Roman" w:hAnsi="Times New Roman" w:cs="Times New Roman" w:eastAsia="Times New Roman" w:hint="default"/>
          <w:spacing w:val="2"/>
        </w:rPr>
        <w:t>”</w:t>
      </w:r>
      <w:r>
        <w:rPr>
          <w:spacing w:val="2"/>
        </w:rPr>
        <w:t>部分进一步阐述了我们在这些准则下的责任。按照中国注册会计师职业道德守则，我们独立于金</w:t>
      </w:r>
      <w:r>
        <w:rPr/>
        <w:t> </w:t>
      </w:r>
      <w:r>
        <w:rPr>
          <w:spacing w:val="-1"/>
        </w:rPr>
        <w:t>运激光，并履行了职业道德方面的其他责任。我们相信，我们获取的审计证据是充分、适当的，为发表审</w:t>
      </w:r>
      <w:r>
        <w:rPr>
          <w:spacing w:val="-82"/>
        </w:rPr>
        <w:t> </w:t>
      </w:r>
      <w:r>
        <w:rPr>
          <w:spacing w:val="-82"/>
        </w:rPr>
      </w:r>
      <w:r>
        <w:rPr/>
        <w:t>计意见提供了基础。</w:t>
      </w:r>
    </w:p>
    <w:p>
      <w:pPr>
        <w:pStyle w:val="Heading5"/>
        <w:tabs>
          <w:tab w:pos="1414" w:val="left" w:leader="none"/>
        </w:tabs>
        <w:spacing w:line="297" w:lineRule="auto" w:before="64"/>
        <w:ind w:left="576" w:right="1131"/>
        <w:jc w:val="left"/>
      </w:pPr>
      <w:bookmarkStart w:name="三、 关键审计事项" w:id="152"/>
      <w:bookmarkEnd w:id="152"/>
      <w:r>
        <w:rPr/>
      </w:r>
      <w:r>
        <w:rPr/>
        <w:t>三、</w:t>
        <w:tab/>
      </w:r>
      <w:r>
        <w:rPr>
          <w:rFonts w:ascii="宋体" w:hAnsi="宋体" w:cs="宋体" w:eastAsia="宋体" w:hint="default"/>
          <w:b/>
          <w:bCs/>
        </w:rPr>
        <w:t>关键审计事项</w:t>
      </w:r>
      <w:r>
        <w:rPr>
          <w:rFonts w:ascii="宋体" w:hAnsi="宋体" w:cs="宋体" w:eastAsia="宋体" w:hint="default"/>
          <w:b/>
          <w:bCs/>
          <w:w w:val="99"/>
        </w:rPr>
        <w:t> </w:t>
      </w:r>
      <w:bookmarkStart w:name="关键审计事项是我们根据职业判断，认为对本期财务报表审计最为重要的事项。这些事项的" w:id="153"/>
      <w:bookmarkEnd w:id="153"/>
      <w:r>
        <w:rPr>
          <w:rFonts w:ascii="宋体" w:hAnsi="宋体" w:cs="宋体" w:eastAsia="宋体" w:hint="default"/>
          <w:b/>
          <w:bCs/>
          <w:w w:val="99"/>
        </w:rPr>
      </w:r>
      <w:r>
        <w:rPr>
          <w:spacing w:val="-1"/>
        </w:rPr>
        <w:t>关键审计事项是我们根据职业判断，认为对本期财务报表审计最为重要的事项。这些事项的应对以对</w:t>
      </w:r>
    </w:p>
    <w:p>
      <w:pPr>
        <w:pStyle w:val="Heading5"/>
        <w:spacing w:line="297" w:lineRule="auto" w:before="15"/>
        <w:ind w:left="156" w:right="0"/>
        <w:jc w:val="left"/>
      </w:pPr>
      <w:r>
        <w:rPr>
          <w:spacing w:val="-1"/>
        </w:rPr>
        <w:t>财务报表整体进行审计并形成审计意见为背景，我们不对这些事项单独发表意见。我们确定下列事项是需</w:t>
      </w:r>
      <w:r>
        <w:rPr>
          <w:spacing w:val="-83"/>
        </w:rPr>
        <w:t> </w:t>
      </w:r>
      <w:r>
        <w:rPr>
          <w:spacing w:val="-83"/>
        </w:rPr>
      </w:r>
      <w:r>
        <w:rPr/>
        <w:t>要在审计报告中沟通的关键审计事项：</w:t>
      </w:r>
    </w:p>
    <w:p>
      <w:pPr>
        <w:pStyle w:val="Heading5"/>
        <w:spacing w:line="240" w:lineRule="auto" w:before="116"/>
        <w:ind w:left="574" w:right="0"/>
        <w:jc w:val="left"/>
      </w:pPr>
      <w:r>
        <w:rPr>
          <w:rFonts w:ascii="Times New Roman" w:hAnsi="Times New Roman" w:cs="Times New Roman" w:eastAsia="Times New Roman" w:hint="default"/>
        </w:rPr>
        <w:t>1</w:t>
      </w:r>
      <w:r>
        <w:rPr/>
        <w:t>．存货跌价准备</w:t>
      </w:r>
    </w:p>
    <w:p>
      <w:pPr>
        <w:pStyle w:val="Heading5"/>
        <w:spacing w:line="240" w:lineRule="auto" w:before="140"/>
        <w:ind w:left="574" w:right="0"/>
        <w:jc w:val="left"/>
      </w:pPr>
      <w:r>
        <w:rPr>
          <w:rFonts w:ascii="Times New Roman" w:hAnsi="Times New Roman" w:cs="Times New Roman" w:eastAsia="Times New Roman" w:hint="default"/>
        </w:rPr>
        <w:t>2</w:t>
      </w:r>
      <w:r>
        <w:rPr/>
        <w:t>．收入的真实性和截止性</w:t>
      </w:r>
    </w:p>
    <w:p>
      <w:pPr>
        <w:pStyle w:val="Heading4"/>
        <w:spacing w:line="240" w:lineRule="auto" w:before="139"/>
        <w:ind w:left="577" w:right="0"/>
        <w:jc w:val="left"/>
        <w:rPr>
          <w:b w:val="0"/>
          <w:bCs w:val="0"/>
        </w:rPr>
      </w:pPr>
      <w:r>
        <w:rPr/>
        <w:t>（一）存货跌价准备</w:t>
      </w:r>
      <w:r>
        <w:rPr>
          <w:b w:val="0"/>
          <w:bCs w:val="0"/>
        </w:rPr>
      </w:r>
    </w:p>
    <w:p>
      <w:pPr>
        <w:pStyle w:val="Heading4"/>
        <w:spacing w:line="240" w:lineRule="auto" w:before="154"/>
        <w:ind w:left="577"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事项描述</w:t>
      </w:r>
      <w:r>
        <w:rPr>
          <w:b w:val="0"/>
          <w:bCs w:val="0"/>
        </w:rPr>
      </w:r>
    </w:p>
    <w:p>
      <w:pPr>
        <w:spacing w:after="0" w:line="240" w:lineRule="auto"/>
        <w:jc w:val="left"/>
        <w:sectPr>
          <w:pgSz w:w="11910" w:h="16840"/>
          <w:pgMar w:header="747" w:footer="979" w:top="1060" w:bottom="1160" w:left="980" w:right="0"/>
        </w:sectPr>
      </w:pPr>
    </w:p>
    <w:p>
      <w:pPr>
        <w:spacing w:line="240" w:lineRule="auto" w:before="3"/>
        <w:rPr>
          <w:rFonts w:ascii="宋体" w:hAnsi="宋体" w:cs="宋体" w:eastAsia="宋体" w:hint="default"/>
          <w:b/>
          <w:bCs/>
          <w:sz w:val="23"/>
          <w:szCs w:val="23"/>
        </w:rPr>
      </w:pPr>
    </w:p>
    <w:p>
      <w:pPr>
        <w:pStyle w:val="Heading5"/>
        <w:spacing w:line="240" w:lineRule="auto" w:before="35"/>
        <w:ind w:left="576" w:right="0"/>
        <w:jc w:val="left"/>
      </w:pPr>
      <w:r>
        <w:rPr/>
        <w:t>截至</w:t>
      </w:r>
      <w:r>
        <w:rPr>
          <w:spacing w:val="-52"/>
        </w:rPr>
        <w:t> </w:t>
      </w:r>
      <w:r>
        <w:rPr>
          <w:rFonts w:ascii="Times New Roman" w:hAnsi="Times New Roman" w:cs="Times New Roman" w:eastAsia="Times New Roman" w:hint="default"/>
        </w:rPr>
        <w:t>2018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w:t>
      </w:r>
      <w:r>
        <w:rPr>
          <w:spacing w:val="-7"/>
        </w:rPr>
        <w:t>，</w:t>
      </w:r>
      <w:r>
        <w:rPr/>
        <w:t>如合并财务报表附注四</w:t>
      </w:r>
      <w:r>
        <w:rPr>
          <w:spacing w:val="-111"/>
        </w:rPr>
        <w:t>、</w:t>
      </w:r>
      <w:r>
        <w:rPr/>
        <w:t>（十三</w:t>
      </w:r>
      <w:r>
        <w:rPr>
          <w:spacing w:val="-5"/>
        </w:rPr>
        <w:t>）</w:t>
      </w:r>
      <w:r>
        <w:rPr/>
        <w:t>与合并财务报表附注六</w:t>
      </w:r>
      <w:r>
        <w:rPr>
          <w:spacing w:val="-5"/>
        </w:rPr>
        <w:t>、</w:t>
      </w:r>
      <w:r>
        <w:rPr/>
        <w:t>注释</w:t>
      </w:r>
      <w:r>
        <w:rPr>
          <w:spacing w:val="-52"/>
        </w:rPr>
        <w:t> </w:t>
      </w:r>
      <w:r>
        <w:rPr>
          <w:rFonts w:ascii="Times New Roman" w:hAnsi="Times New Roman" w:cs="Times New Roman" w:eastAsia="Times New Roman" w:hint="default"/>
        </w:rPr>
        <w:t>5 </w:t>
      </w:r>
      <w:r>
        <w:rPr/>
        <w:t>所</w:t>
      </w:r>
      <w:r>
        <w:rPr>
          <w:spacing w:val="-2"/>
        </w:rPr>
        <w:t>述</w:t>
      </w:r>
      <w:r>
        <w:rPr>
          <w:spacing w:val="-5"/>
        </w:rPr>
        <w:t>，</w:t>
      </w:r>
      <w:r>
        <w:rPr/>
        <w:t>金</w:t>
      </w:r>
    </w:p>
    <w:p>
      <w:pPr>
        <w:pStyle w:val="Heading5"/>
        <w:spacing w:line="280" w:lineRule="auto" w:before="49"/>
        <w:ind w:left="156" w:right="1130"/>
        <w:jc w:val="both"/>
      </w:pPr>
      <w:r>
        <w:rPr/>
        <w:t>运激光存货余额为</w:t>
      </w:r>
      <w:r>
        <w:rPr>
          <w:spacing w:val="-40"/>
        </w:rPr>
        <w:t> </w:t>
      </w:r>
      <w:r>
        <w:rPr>
          <w:rFonts w:ascii="Times New Roman" w:hAnsi="Times New Roman" w:cs="Times New Roman" w:eastAsia="Times New Roman" w:hint="default"/>
        </w:rPr>
        <w:t>11,214.59</w:t>
      </w:r>
      <w:r>
        <w:rPr>
          <w:rFonts w:ascii="Times New Roman" w:hAnsi="Times New Roman" w:cs="Times New Roman" w:eastAsia="Times New Roman" w:hint="default"/>
          <w:spacing w:val="12"/>
        </w:rPr>
        <w:t> </w:t>
      </w:r>
      <w:r>
        <w:rPr/>
        <w:t>万元，已计提存货跌价准备为</w:t>
      </w:r>
      <w:r>
        <w:rPr>
          <w:spacing w:val="-40"/>
        </w:rPr>
        <w:t> </w:t>
      </w:r>
      <w:r>
        <w:rPr>
          <w:rFonts w:ascii="Times New Roman" w:hAnsi="Times New Roman" w:cs="Times New Roman" w:eastAsia="Times New Roman" w:hint="default"/>
        </w:rPr>
        <w:t>2,592.62</w:t>
      </w:r>
      <w:r>
        <w:rPr>
          <w:rFonts w:ascii="Times New Roman" w:hAnsi="Times New Roman" w:cs="Times New Roman" w:eastAsia="Times New Roman" w:hint="default"/>
          <w:spacing w:val="13"/>
        </w:rPr>
        <w:t> </w:t>
      </w:r>
      <w:r>
        <w:rPr/>
        <w:t>万元，账面价值为</w:t>
      </w:r>
      <w:r>
        <w:rPr>
          <w:spacing w:val="-40"/>
        </w:rPr>
        <w:t> </w:t>
      </w:r>
      <w:r>
        <w:rPr>
          <w:rFonts w:ascii="Times New Roman" w:hAnsi="Times New Roman" w:cs="Times New Roman" w:eastAsia="Times New Roman" w:hint="default"/>
        </w:rPr>
        <w:t>8,621.97</w:t>
      </w:r>
      <w:r>
        <w:rPr>
          <w:rFonts w:ascii="Times New Roman" w:hAnsi="Times New Roman" w:cs="Times New Roman" w:eastAsia="Times New Roman" w:hint="default"/>
          <w:spacing w:val="12"/>
        </w:rPr>
        <w:t> </w:t>
      </w:r>
      <w:r>
        <w:rPr/>
        <w:t>万元，占 总资产的比重为</w:t>
      </w:r>
      <w:r>
        <w:rPr>
          <w:spacing w:val="-26"/>
        </w:rPr>
        <w:t> </w:t>
      </w:r>
      <w:r>
        <w:rPr>
          <w:rFonts w:ascii="Times New Roman" w:hAnsi="Times New Roman" w:cs="Times New Roman" w:eastAsia="Times New Roman" w:hint="default"/>
          <w:spacing w:val="-3"/>
        </w:rPr>
        <w:t>24.27%</w:t>
      </w:r>
      <w:r>
        <w:rPr>
          <w:spacing w:val="-3"/>
        </w:rPr>
        <w:t>，存货跌价准备计提充分与否对财务报表影响较大，且该事项需要管理层作出重大</w:t>
      </w:r>
      <w:r>
        <w:rPr>
          <w:spacing w:val="-101"/>
        </w:rPr>
        <w:t> </w:t>
      </w:r>
      <w:r>
        <w:rPr>
          <w:spacing w:val="-101"/>
        </w:rPr>
      </w:r>
      <w:r>
        <w:rPr/>
        <w:t>判断，因此我们将存货跌价准备作为关键审计事项。</w:t>
      </w:r>
    </w:p>
    <w:p>
      <w:pPr>
        <w:spacing w:line="362" w:lineRule="auto" w:before="30"/>
        <w:ind w:left="576" w:right="44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审计应对</w:t>
      </w:r>
      <w:r>
        <w:rPr>
          <w:rFonts w:ascii="宋体" w:hAnsi="宋体" w:cs="宋体" w:eastAsia="宋体" w:hint="default"/>
          <w:b/>
          <w:bCs/>
          <w:w w:val="99"/>
          <w:sz w:val="21"/>
          <w:szCs w:val="21"/>
        </w:rPr>
        <w:t> </w:t>
      </w:r>
      <w:r>
        <w:rPr>
          <w:rFonts w:ascii="宋体" w:hAnsi="宋体" w:cs="宋体" w:eastAsia="宋体" w:hint="default"/>
          <w:sz w:val="21"/>
          <w:szCs w:val="21"/>
        </w:rPr>
        <w:t>我们针对存货跌价准备计提是否充分执行的审计程序主要包括：</w:t>
      </w:r>
    </w:p>
    <w:p>
      <w:pPr>
        <w:pStyle w:val="Heading5"/>
        <w:spacing w:line="240" w:lineRule="auto" w:before="49"/>
        <w:ind w:left="469" w:right="0"/>
        <w:jc w:val="left"/>
      </w:pPr>
      <w:r>
        <w:rPr/>
        <w:t>（</w:t>
      </w:r>
      <w:r>
        <w:rPr>
          <w:rFonts w:ascii="Times New Roman" w:hAnsi="Times New Roman" w:cs="Times New Roman" w:eastAsia="Times New Roman" w:hint="default"/>
        </w:rPr>
        <w:t>1</w:t>
      </w:r>
      <w:r>
        <w:rPr/>
        <w:t>）评估并测试与库存商品跌价准备相关的关键内部控制；</w:t>
      </w:r>
    </w:p>
    <w:p>
      <w:pPr>
        <w:pStyle w:val="Heading5"/>
        <w:spacing w:line="240" w:lineRule="auto" w:before="139"/>
        <w:ind w:left="469" w:right="0"/>
        <w:jc w:val="left"/>
      </w:pPr>
      <w:r>
        <w:rPr/>
        <w:t>（</w:t>
      </w:r>
      <w:r>
        <w:rPr>
          <w:rFonts w:ascii="Times New Roman" w:hAnsi="Times New Roman" w:cs="Times New Roman" w:eastAsia="Times New Roman" w:hint="default"/>
        </w:rPr>
        <w:t>2</w:t>
      </w:r>
      <w:r>
        <w:rPr/>
        <w:t>）对存货实施监盘程序，检查库存商品的数量及状况，并重点对长库龄库存商品进行了检查；</w:t>
      </w:r>
    </w:p>
    <w:p>
      <w:pPr>
        <w:pStyle w:val="Heading5"/>
        <w:spacing w:line="324" w:lineRule="auto" w:before="139"/>
        <w:ind w:right="0" w:firstLine="315"/>
        <w:jc w:val="left"/>
      </w:pPr>
      <w:r>
        <w:rPr>
          <w:spacing w:val="-1"/>
        </w:rPr>
        <w:t>（</w:t>
      </w:r>
      <w:r>
        <w:rPr>
          <w:rFonts w:ascii="Times New Roman" w:hAnsi="Times New Roman" w:cs="Times New Roman" w:eastAsia="Times New Roman" w:hint="default"/>
          <w:spacing w:val="-1"/>
        </w:rPr>
        <w:t>3</w:t>
      </w:r>
      <w:r>
        <w:rPr>
          <w:spacing w:val="-1"/>
        </w:rPr>
        <w:t>）获取存货跌价准备计算表，抽取部分型号产品比较其在该表中记载的状态和库龄与通过监盘获知</w:t>
      </w:r>
      <w:r>
        <w:rPr/>
        <w:t> 的情况是否相符；</w:t>
      </w:r>
    </w:p>
    <w:p>
      <w:pPr>
        <w:pStyle w:val="Heading5"/>
        <w:spacing w:line="324" w:lineRule="auto" w:before="80"/>
        <w:ind w:right="0" w:firstLine="315"/>
        <w:jc w:val="left"/>
      </w:pPr>
      <w:r>
        <w:rPr>
          <w:spacing w:val="-1"/>
        </w:rPr>
        <w:t>（</w:t>
      </w:r>
      <w:r>
        <w:rPr>
          <w:rFonts w:ascii="Times New Roman" w:hAnsi="Times New Roman" w:cs="Times New Roman" w:eastAsia="Times New Roman" w:hint="default"/>
          <w:spacing w:val="-1"/>
        </w:rPr>
        <w:t>4</w:t>
      </w:r>
      <w:r>
        <w:rPr>
          <w:spacing w:val="-1"/>
        </w:rPr>
        <w:t>）获取产品跌价准备计算表，执行存货减值测试，检查是否按金运激光相关会计政策执行，检查以</w:t>
      </w:r>
      <w:r>
        <w:rPr/>
        <w:t> 前年度已计提跌价准备的存货在本期的变化情况等，分析存货跌价准备计提是否充分。</w:t>
      </w:r>
    </w:p>
    <w:p>
      <w:pPr>
        <w:pStyle w:val="Heading5"/>
        <w:spacing w:line="364" w:lineRule="auto" w:before="20"/>
        <w:ind w:left="469" w:right="1118" w:firstLine="108"/>
        <w:jc w:val="left"/>
      </w:pPr>
      <w:r>
        <w:rPr>
          <w:rFonts w:ascii="Times New Roman" w:hAnsi="Times New Roman" w:cs="Times New Roman" w:eastAsia="Times New Roman" w:hint="default"/>
          <w:b/>
          <w:bCs/>
        </w:rPr>
        <w:t>3. </w:t>
      </w:r>
      <w:r>
        <w:rPr>
          <w:rFonts w:ascii="宋体" w:hAnsi="宋体" w:cs="宋体" w:eastAsia="宋体" w:hint="default"/>
          <w:b/>
          <w:bCs/>
        </w:rPr>
        <w:t>审计结论</w:t>
      </w:r>
      <w:r>
        <w:rPr>
          <w:rFonts w:ascii="宋体" w:hAnsi="宋体" w:cs="宋体" w:eastAsia="宋体" w:hint="default"/>
          <w:b/>
          <w:bCs/>
          <w:w w:val="99"/>
        </w:rPr>
        <w:t> </w:t>
      </w:r>
      <w:r>
        <w:rPr/>
        <w:t>基于已执行的审计工作，我们认为，管理层对存货价值的确认符合企业会计准则及存货确认政策的规</w:t>
      </w:r>
    </w:p>
    <w:p>
      <w:pPr>
        <w:pStyle w:val="Heading5"/>
        <w:spacing w:line="240" w:lineRule="auto" w:before="6"/>
        <w:ind w:right="0"/>
        <w:jc w:val="both"/>
      </w:pPr>
      <w:r>
        <w:rPr/>
        <w:t>定，对相关信息的披露是适当的。</w:t>
      </w:r>
    </w:p>
    <w:p>
      <w:pPr>
        <w:pStyle w:val="Heading4"/>
        <w:spacing w:line="240" w:lineRule="auto" w:before="156"/>
        <w:ind w:left="577" w:right="0"/>
        <w:jc w:val="left"/>
        <w:rPr>
          <w:b w:val="0"/>
          <w:bCs w:val="0"/>
        </w:rPr>
      </w:pPr>
      <w:r>
        <w:rPr/>
        <w:t>（二）收入的真实性和截止性</w:t>
      </w:r>
      <w:r>
        <w:rPr>
          <w:b w:val="0"/>
          <w:bCs w:val="0"/>
        </w:rPr>
      </w:r>
    </w:p>
    <w:p>
      <w:pPr>
        <w:pStyle w:val="Heading4"/>
        <w:spacing w:line="240" w:lineRule="auto" w:before="93"/>
        <w:ind w:left="683"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事项描述</w:t>
      </w:r>
      <w:r>
        <w:rPr>
          <w:b w:val="0"/>
          <w:bCs w:val="0"/>
        </w:rPr>
      </w:r>
    </w:p>
    <w:p>
      <w:pPr>
        <w:pStyle w:val="Heading5"/>
        <w:spacing w:line="280" w:lineRule="auto" w:before="100"/>
        <w:ind w:left="156" w:right="1131" w:firstLine="420"/>
        <w:jc w:val="both"/>
      </w:pPr>
      <w:r>
        <w:rPr>
          <w:spacing w:val="-6"/>
        </w:rPr>
        <w:t>如合并财务报表附注四、（二十四）与合并财务报表附注六、注释</w:t>
      </w:r>
      <w:r>
        <w:rPr>
          <w:spacing w:val="-48"/>
        </w:rPr>
        <w:t> </w:t>
      </w:r>
      <w:r>
        <w:rPr>
          <w:rFonts w:ascii="Times New Roman" w:hAnsi="Times New Roman" w:cs="Times New Roman" w:eastAsia="Times New Roman" w:hint="default"/>
          <w:spacing w:val="-4"/>
        </w:rPr>
        <w:t>28</w:t>
      </w:r>
      <w:r>
        <w:rPr>
          <w:spacing w:val="-4"/>
        </w:rPr>
        <w:t>，金运激光</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年度实现主营业 务收入 </w:t>
      </w:r>
      <w:r>
        <w:rPr>
          <w:rFonts w:ascii="Times New Roman" w:hAnsi="Times New Roman" w:cs="Times New Roman" w:eastAsia="Times New Roman" w:hint="default"/>
        </w:rPr>
        <w:t>20,011.38</w:t>
      </w:r>
      <w:r>
        <w:rPr>
          <w:rFonts w:ascii="Times New Roman" w:hAnsi="Times New Roman" w:cs="Times New Roman" w:eastAsia="Times New Roman" w:hint="default"/>
          <w:spacing w:val="26"/>
        </w:rPr>
        <w:t> </w:t>
      </w:r>
      <w:r>
        <w:rPr/>
        <w:t>万元，由于金运激光上期亏损，本期存在管理层为了达到特定目标或期望而操纵收入确 认时点的固有风险，因此我们将收入的真实性和截止性确认为关键审计事项。</w:t>
      </w:r>
    </w:p>
    <w:p>
      <w:pPr>
        <w:spacing w:line="362" w:lineRule="auto" w:before="30"/>
        <w:ind w:left="576" w:right="4030" w:firstLine="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审计应对</w:t>
      </w:r>
      <w:r>
        <w:rPr>
          <w:rFonts w:ascii="宋体" w:hAnsi="宋体" w:cs="宋体" w:eastAsia="宋体" w:hint="default"/>
          <w:b/>
          <w:bCs/>
          <w:w w:val="99"/>
          <w:sz w:val="21"/>
          <w:szCs w:val="21"/>
        </w:rPr>
        <w:t> </w:t>
      </w:r>
      <w:r>
        <w:rPr>
          <w:rFonts w:ascii="宋体" w:hAnsi="宋体" w:cs="宋体" w:eastAsia="宋体" w:hint="default"/>
          <w:sz w:val="21"/>
          <w:szCs w:val="21"/>
        </w:rPr>
        <w:t>我们针对主营业务收入的真实性和截止性执行的审计程序主要包括：</w:t>
      </w:r>
    </w:p>
    <w:p>
      <w:pPr>
        <w:pStyle w:val="Heading5"/>
        <w:spacing w:line="289" w:lineRule="exact"/>
        <w:ind w:left="576" w:right="0"/>
        <w:jc w:val="left"/>
      </w:pPr>
      <w:r>
        <w:rPr/>
        <w:t>（</w:t>
      </w:r>
      <w:r>
        <w:rPr>
          <w:rFonts w:ascii="Times New Roman" w:hAnsi="Times New Roman" w:cs="Times New Roman" w:eastAsia="Times New Roman" w:hint="default"/>
        </w:rPr>
        <w:t>1</w:t>
      </w:r>
      <w:r>
        <w:rPr/>
        <w:t>）了解、评估并测试与收入和成本相关的控制，评价内部控制是否有效；</w:t>
      </w:r>
    </w:p>
    <w:p>
      <w:pPr>
        <w:pStyle w:val="Heading5"/>
        <w:spacing w:line="288" w:lineRule="auto" w:before="99"/>
        <w:ind w:left="156" w:right="1023" w:firstLine="420"/>
        <w:jc w:val="left"/>
      </w:pPr>
      <w:r>
        <w:rPr>
          <w:spacing w:val="-1"/>
        </w:rPr>
        <w:t>（</w:t>
      </w:r>
      <w:r>
        <w:rPr>
          <w:rFonts w:ascii="Times New Roman" w:hAnsi="Times New Roman" w:cs="Times New Roman" w:eastAsia="Times New Roman" w:hint="default"/>
          <w:spacing w:val="-1"/>
        </w:rPr>
        <w:t>2</w:t>
      </w:r>
      <w:r>
        <w:rPr>
          <w:spacing w:val="-1"/>
        </w:rPr>
        <w:t>）选取样本检查销售合同以及收入确认相关原始单据，包括培训单、验收单、报关单、提货单等，</w:t>
      </w:r>
      <w:r>
        <w:rPr/>
        <w:t> 识别与商品所有权上的风险和报酬转移相关的合同条款与条件，评价收入确认时点是否符合企业会计准则 的要求；</w:t>
      </w:r>
    </w:p>
    <w:p>
      <w:pPr>
        <w:pStyle w:val="Heading5"/>
        <w:spacing w:line="240" w:lineRule="auto" w:before="74"/>
        <w:ind w:left="576" w:right="0"/>
        <w:jc w:val="left"/>
      </w:pPr>
      <w:r>
        <w:rPr/>
        <w:t>（</w:t>
      </w:r>
      <w:r>
        <w:rPr>
          <w:rFonts w:ascii="Times New Roman" w:hAnsi="Times New Roman" w:cs="Times New Roman" w:eastAsia="Times New Roman" w:hint="default"/>
        </w:rPr>
        <w:t>3</w:t>
      </w:r>
      <w:r>
        <w:rPr/>
        <w:t>）复核收入与成本的结转是否配比，是否被记录在恰当的会计期间；</w:t>
      </w:r>
    </w:p>
    <w:p>
      <w:pPr>
        <w:pStyle w:val="Heading5"/>
        <w:spacing w:line="240" w:lineRule="auto" w:before="99"/>
        <w:ind w:left="576" w:right="0"/>
        <w:jc w:val="left"/>
      </w:pPr>
      <w:r>
        <w:rPr/>
        <w:t>（</w:t>
      </w:r>
      <w:r>
        <w:rPr>
          <w:rFonts w:ascii="Times New Roman" w:hAnsi="Times New Roman" w:cs="Times New Roman" w:eastAsia="Times New Roman" w:hint="default"/>
        </w:rPr>
        <w:t>4</w:t>
      </w:r>
      <w:r>
        <w:rPr/>
        <w:t>）将本期主要产品和主要客户的的毛利率执行分析性复核程序；</w:t>
      </w:r>
    </w:p>
    <w:p>
      <w:pPr>
        <w:pStyle w:val="Heading5"/>
        <w:spacing w:line="240" w:lineRule="auto" w:before="99"/>
        <w:ind w:left="576" w:right="0"/>
        <w:jc w:val="left"/>
      </w:pPr>
      <w:r>
        <w:rPr/>
        <w:t>（</w:t>
      </w:r>
      <w:r>
        <w:rPr>
          <w:rFonts w:ascii="Times New Roman" w:hAnsi="Times New Roman" w:cs="Times New Roman" w:eastAsia="Times New Roman" w:hint="default"/>
        </w:rPr>
        <w:t>5</w:t>
      </w:r>
      <w:r>
        <w:rPr/>
        <w:t>）选取重要客户进行发函，询证本期发生的销售额及往来款项余额，确认收入的真实性与完整性；</w:t>
      </w:r>
    </w:p>
    <w:p>
      <w:pPr>
        <w:pStyle w:val="Heading5"/>
        <w:spacing w:line="280" w:lineRule="auto" w:before="100"/>
        <w:ind w:left="156" w:right="1118" w:firstLine="420"/>
        <w:jc w:val="left"/>
      </w:pPr>
      <w:r>
        <w:rPr/>
        <w:t>（</w:t>
      </w:r>
      <w:r>
        <w:rPr>
          <w:rFonts w:ascii="Times New Roman" w:hAnsi="Times New Roman" w:cs="Times New Roman" w:eastAsia="Times New Roman" w:hint="default"/>
        </w:rPr>
        <w:t>6</w:t>
      </w:r>
      <w:r>
        <w:rPr/>
        <w:t>）抽样测试审计截止日前后重要的营业收入会计记录，确定是否存在提前或延后确认营业收入的 情况。</w:t>
      </w:r>
    </w:p>
    <w:p>
      <w:pPr>
        <w:pStyle w:val="Heading5"/>
        <w:spacing w:line="321" w:lineRule="auto" w:before="30"/>
        <w:ind w:left="576" w:right="1118" w:firstLine="1"/>
        <w:jc w:val="left"/>
      </w:pPr>
      <w:r>
        <w:rPr>
          <w:rFonts w:ascii="Times New Roman" w:hAnsi="Times New Roman" w:cs="Times New Roman" w:eastAsia="Times New Roman" w:hint="default"/>
          <w:b/>
          <w:bCs/>
        </w:rPr>
        <w:t>3. </w:t>
      </w:r>
      <w:r>
        <w:rPr>
          <w:rFonts w:ascii="宋体" w:hAnsi="宋体" w:cs="宋体" w:eastAsia="宋体" w:hint="default"/>
          <w:b/>
          <w:bCs/>
        </w:rPr>
        <w:t>审计结论</w:t>
      </w:r>
      <w:r>
        <w:rPr>
          <w:rFonts w:ascii="宋体" w:hAnsi="宋体" w:cs="宋体" w:eastAsia="宋体" w:hint="default"/>
          <w:b/>
          <w:bCs/>
          <w:w w:val="99"/>
        </w:rPr>
        <w:t> </w:t>
      </w:r>
      <w:r>
        <w:rPr>
          <w:spacing w:val="-1"/>
        </w:rPr>
        <w:t>基于已执行的审计工作，我们认为，管理层对营业收入的确认符合企业会计准则及收入确认政策的规</w:t>
      </w:r>
    </w:p>
    <w:p>
      <w:pPr>
        <w:pStyle w:val="Heading5"/>
        <w:spacing w:line="270" w:lineRule="exact"/>
        <w:ind w:left="156" w:right="0"/>
        <w:jc w:val="both"/>
      </w:pPr>
      <w:r>
        <w:rPr/>
        <w:t>定，对相关信息的披露是适当的。</w:t>
      </w:r>
    </w:p>
    <w:p>
      <w:pPr>
        <w:spacing w:line="240" w:lineRule="auto" w:before="0"/>
        <w:rPr>
          <w:rFonts w:ascii="宋体" w:hAnsi="宋体" w:cs="宋体" w:eastAsia="宋体" w:hint="default"/>
          <w:sz w:val="20"/>
          <w:szCs w:val="20"/>
        </w:rPr>
      </w:pPr>
    </w:p>
    <w:p>
      <w:pPr>
        <w:pStyle w:val="Heading4"/>
        <w:tabs>
          <w:tab w:pos="1414" w:val="left" w:leader="none"/>
        </w:tabs>
        <w:spacing w:line="240" w:lineRule="auto" w:before="156"/>
        <w:ind w:left="576" w:right="0"/>
        <w:jc w:val="left"/>
        <w:rPr>
          <w:b w:val="0"/>
          <w:bCs w:val="0"/>
        </w:rPr>
      </w:pPr>
      <w:bookmarkStart w:name="四、 其他信息" w:id="154"/>
      <w:bookmarkEnd w:id="154"/>
      <w:r>
        <w:rPr>
          <w:b w:val="0"/>
          <w:bCs w:val="0"/>
        </w:rPr>
      </w:r>
      <w:r>
        <w:rPr>
          <w:w w:val="95"/>
        </w:rPr>
        <w:t>四、</w:t>
        <w:tab/>
      </w:r>
      <w:r>
        <w:rPr/>
        <w:t>其他信息</w:t>
      </w:r>
      <w:r>
        <w:rPr>
          <w:b w:val="0"/>
          <w:bCs w:val="0"/>
        </w:rPr>
      </w:r>
    </w:p>
    <w:p>
      <w:pPr>
        <w:pStyle w:val="Heading5"/>
        <w:spacing w:line="240" w:lineRule="auto" w:before="105"/>
        <w:ind w:left="514" w:right="0"/>
        <w:jc w:val="left"/>
      </w:pPr>
      <w:r>
        <w:rPr/>
        <w:t>金运激光管理层对其他信息负责。其他信息包括</w:t>
      </w:r>
      <w:r>
        <w:rPr>
          <w:spacing w:val="-8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5"/>
        </w:rPr>
        <w:t> </w:t>
      </w:r>
      <w:r>
        <w:rPr/>
        <w:t>年年度报告中涵盖的信息，但不包括财务报表和</w:t>
      </w:r>
    </w:p>
    <w:p>
      <w:pPr>
        <w:spacing w:after="0" w:line="240" w:lineRule="auto"/>
        <w:jc w:val="left"/>
        <w:sectPr>
          <w:pgSz w:w="11910" w:h="16840"/>
          <w:pgMar w:header="747" w:footer="979" w:top="1060" w:bottom="1160" w:left="980" w:right="0"/>
        </w:sectPr>
      </w:pPr>
    </w:p>
    <w:p>
      <w:pPr>
        <w:spacing w:line="240" w:lineRule="auto" w:before="3"/>
        <w:rPr>
          <w:rFonts w:ascii="宋体" w:hAnsi="宋体" w:cs="宋体" w:eastAsia="宋体" w:hint="default"/>
          <w:sz w:val="23"/>
          <w:szCs w:val="23"/>
        </w:rPr>
      </w:pPr>
    </w:p>
    <w:p>
      <w:pPr>
        <w:pStyle w:val="Heading5"/>
        <w:spacing w:line="331" w:lineRule="auto" w:before="35"/>
        <w:ind w:left="574" w:right="1118" w:hanging="420"/>
        <w:jc w:val="left"/>
      </w:pPr>
      <w:r>
        <w:rPr/>
        <w:t>我们的审计报告。 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w:t>
      </w:r>
    </w:p>
    <w:p>
      <w:pPr>
        <w:pStyle w:val="Heading5"/>
        <w:spacing w:line="331" w:lineRule="auto"/>
        <w:ind w:left="574" w:right="0" w:hanging="420"/>
        <w:jc w:val="left"/>
      </w:pPr>
      <w:r>
        <w:rPr/>
        <w:t>表或我们在审计过程中了解的情况存在重大不一致或者似乎存在重大错报。 </w:t>
      </w:r>
      <w:r>
        <w:rPr>
          <w:spacing w:val="-1"/>
        </w:rPr>
        <w:t>基于我们已执行的工作，如果我们确定其他信息存在重大错报，我们应当报告该事实。在这方面，我</w:t>
      </w:r>
    </w:p>
    <w:p>
      <w:pPr>
        <w:pStyle w:val="Heading5"/>
        <w:spacing w:line="261" w:lineRule="exact"/>
        <w:ind w:right="0"/>
        <w:jc w:val="left"/>
      </w:pPr>
      <w:r>
        <w:rPr/>
        <w:t>们无任何事项需要报告。</w:t>
      </w:r>
    </w:p>
    <w:p>
      <w:pPr>
        <w:tabs>
          <w:tab w:pos="1414" w:val="left" w:leader="none"/>
        </w:tabs>
        <w:spacing w:line="333" w:lineRule="auto" w:before="104"/>
        <w:ind w:left="514" w:right="1133" w:firstLine="62"/>
        <w:jc w:val="left"/>
        <w:rPr>
          <w:rFonts w:ascii="宋体" w:hAnsi="宋体" w:cs="宋体" w:eastAsia="宋体" w:hint="default"/>
          <w:sz w:val="21"/>
          <w:szCs w:val="21"/>
        </w:rPr>
      </w:pPr>
      <w:bookmarkStart w:name="五、 管理层和治理层对财务报表的责任" w:id="155"/>
      <w:bookmarkEnd w:id="155"/>
      <w:r>
        <w:rPr/>
      </w:r>
      <w:r>
        <w:rPr>
          <w:rFonts w:ascii="宋体" w:hAnsi="宋体" w:cs="宋体" w:eastAsia="宋体" w:hint="default"/>
          <w:b/>
          <w:bCs/>
          <w:w w:val="95"/>
          <w:sz w:val="21"/>
          <w:szCs w:val="21"/>
        </w:rPr>
        <w:t>五、</w:t>
        <w:tab/>
      </w:r>
      <w:r>
        <w:rPr>
          <w:rFonts w:ascii="宋体" w:hAnsi="宋体" w:cs="宋体" w:eastAsia="宋体" w:hint="default"/>
          <w:b/>
          <w:bCs/>
          <w:sz w:val="21"/>
          <w:szCs w:val="21"/>
        </w:rPr>
        <w:t>管理层和治理层对财务报表的责任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金运激光管理层负责按照企业会计准则的规定编制财务报表，使其实现公允反映，并设计、执行和维</w:t>
      </w:r>
    </w:p>
    <w:p>
      <w:pPr>
        <w:pStyle w:val="Heading5"/>
        <w:spacing w:line="259" w:lineRule="exact"/>
        <w:ind w:right="0"/>
        <w:jc w:val="left"/>
      </w:pPr>
      <w:r>
        <w:rPr/>
        <w:t>护必要的内部控制，以使财务报表不存在由于舞弊或错误导致的重大错报。</w:t>
      </w:r>
    </w:p>
    <w:p>
      <w:pPr>
        <w:pStyle w:val="Heading5"/>
        <w:spacing w:line="240" w:lineRule="auto" w:before="104"/>
        <w:ind w:left="574" w:right="0"/>
        <w:jc w:val="left"/>
      </w:pPr>
      <w:r>
        <w:rPr/>
        <w:t>在编制财务报表时，金运激光管理层负责评估金运激光的持续经营能力，披露与持续经营相关的事项</w:t>
      </w:r>
    </w:p>
    <w:p>
      <w:pPr>
        <w:pStyle w:val="Heading5"/>
        <w:spacing w:line="331" w:lineRule="auto" w:before="67"/>
        <w:ind w:left="574" w:right="0" w:hanging="420"/>
        <w:jc w:val="left"/>
      </w:pPr>
      <w:r>
        <w:rPr>
          <w:spacing w:val="-3"/>
        </w:rPr>
        <w:t>（如适用），并运用持续经营假设，除非管理层计划清算金运激光、终止运营或别无其他现实的选择。</w:t>
      </w:r>
      <w:r>
        <w:rPr>
          <w:spacing w:val="-77"/>
        </w:rPr>
        <w:t> </w:t>
      </w:r>
      <w:r>
        <w:rPr>
          <w:spacing w:val="-77"/>
        </w:rPr>
      </w:r>
      <w:r>
        <w:rPr/>
        <w:t>治理层负责监督金运激光的财务报告过程。</w:t>
      </w:r>
    </w:p>
    <w:p>
      <w:pPr>
        <w:tabs>
          <w:tab w:pos="1414" w:val="left" w:leader="none"/>
        </w:tabs>
        <w:spacing w:line="333" w:lineRule="auto" w:before="24"/>
        <w:ind w:left="574" w:right="1132" w:firstLine="2"/>
        <w:jc w:val="left"/>
        <w:rPr>
          <w:rFonts w:ascii="宋体" w:hAnsi="宋体" w:cs="宋体" w:eastAsia="宋体" w:hint="default"/>
          <w:sz w:val="21"/>
          <w:szCs w:val="21"/>
        </w:rPr>
      </w:pPr>
      <w:bookmarkStart w:name="六、 注册会计师对财务报表审计的责任" w:id="156"/>
      <w:bookmarkEnd w:id="156"/>
      <w:r>
        <w:rPr/>
      </w:r>
      <w:r>
        <w:rPr>
          <w:rFonts w:ascii="宋体" w:hAnsi="宋体" w:cs="宋体" w:eastAsia="宋体" w:hint="default"/>
          <w:b/>
          <w:bCs/>
          <w:w w:val="95"/>
          <w:sz w:val="21"/>
          <w:szCs w:val="21"/>
        </w:rPr>
        <w:t>六、</w:t>
        <w:tab/>
      </w:r>
      <w:r>
        <w:rPr>
          <w:rFonts w:ascii="宋体" w:hAnsi="宋体" w:cs="宋体" w:eastAsia="宋体" w:hint="default"/>
          <w:b/>
          <w:bCs/>
          <w:sz w:val="21"/>
          <w:szCs w:val="21"/>
        </w:rPr>
        <w:t>注册会计师对财务报表审计的责任</w:t>
      </w:r>
      <w:r>
        <w:rPr>
          <w:rFonts w:ascii="宋体" w:hAnsi="宋体" w:cs="宋体" w:eastAsia="宋体" w:hint="default"/>
          <w:b/>
          <w:bCs/>
          <w:w w:val="99"/>
          <w:sz w:val="21"/>
          <w:szCs w:val="21"/>
        </w:rPr>
        <w:t> </w:t>
      </w:r>
      <w:r>
        <w:rPr>
          <w:rFonts w:ascii="宋体" w:hAnsi="宋体" w:cs="宋体" w:eastAsia="宋体" w:hint="default"/>
          <w:spacing w:val="-1"/>
          <w:sz w:val="21"/>
          <w:szCs w:val="21"/>
        </w:rPr>
        <w:t>我们的目标是对财务报表整体是否不存在由于舞弊或错误导致的重大错报获取合理保证，并出具包含</w:t>
      </w:r>
    </w:p>
    <w:p>
      <w:pPr>
        <w:pStyle w:val="Heading5"/>
        <w:spacing w:line="258" w:lineRule="exact"/>
        <w:ind w:right="0"/>
        <w:jc w:val="left"/>
      </w:pPr>
      <w:r>
        <w:rPr/>
        <w:t>审计意见的审计报告。合理保证是高水平的保证，但并不能保证按照审计准则执行的审计在某一重大错报</w:t>
      </w:r>
    </w:p>
    <w:p>
      <w:pPr>
        <w:pStyle w:val="Heading5"/>
        <w:spacing w:line="297" w:lineRule="auto" w:before="64"/>
        <w:ind w:right="0"/>
        <w:jc w:val="left"/>
      </w:pP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Heading5"/>
        <w:spacing w:line="297" w:lineRule="auto" w:before="54"/>
        <w:ind w:right="1118" w:firstLine="420"/>
        <w:jc w:val="left"/>
      </w:pPr>
      <w:r>
        <w:rPr>
          <w:spacing w:val="-1"/>
        </w:rPr>
        <w:t>在按照审计准则执行审计工作的过程中，我们运用职业判断，并保持职业怀疑。同时，我们也执行以</w:t>
      </w:r>
      <w:r>
        <w:rPr/>
        <w:t> 下工作：</w:t>
      </w:r>
    </w:p>
    <w:p>
      <w:pPr>
        <w:pStyle w:val="Heading5"/>
        <w:spacing w:line="292" w:lineRule="auto" w:before="54"/>
        <w:ind w:right="0" w:firstLine="420"/>
        <w:jc w:val="left"/>
      </w:pPr>
      <w:r>
        <w:rPr>
          <w:rFonts w:ascii="Times New Roman" w:hAnsi="Times New Roman" w:cs="Times New Roman" w:eastAsia="Times New Roman" w:hint="default"/>
          <w:spacing w:val="-1"/>
        </w:rPr>
        <w:t>1</w:t>
      </w:r>
      <w:r>
        <w:rPr>
          <w:spacing w:val="-1"/>
        </w:rPr>
        <w:t>．识别和评估由于舞弊或错误导致的财务报表重大错报风险，设计和实施审计程序以应对这些风险，</w:t>
      </w:r>
      <w:r>
        <w:rPr/>
        <w:t> 并获取充分、适当的审计证据，作为发表审计意见的基础。由于舞弊可能涉及串通、伪造、故意遗漏、虚 假陈述或凌驾于内部控制之上，未能发现由于舞弊导致的重大错报的风险高于未能发现由于错误导致的重 大错报的风险。</w:t>
      </w:r>
    </w:p>
    <w:p>
      <w:pPr>
        <w:pStyle w:val="Heading5"/>
        <w:spacing w:line="240" w:lineRule="auto" w:before="19"/>
        <w:ind w:left="574" w:right="0"/>
        <w:jc w:val="left"/>
      </w:pP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Heading5"/>
        <w:spacing w:line="240" w:lineRule="auto" w:before="49"/>
        <w:ind w:left="574" w:right="0"/>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Heading5"/>
        <w:spacing w:line="292" w:lineRule="auto" w:before="50"/>
        <w:ind w:right="1128" w:firstLine="420"/>
        <w:jc w:val="both"/>
      </w:pPr>
      <w:r>
        <w:rPr>
          <w:rFonts w:ascii="Times New Roman" w:hAnsi="Times New Roman" w:cs="Times New Roman" w:eastAsia="Times New Roman" w:hint="default"/>
        </w:rPr>
        <w:t>4</w:t>
      </w:r>
      <w:r>
        <w:rPr/>
        <w:t>．对管理层使用持续经营假设的恰当性得出结论。同时，根据获取的审计证据，就可能导致对金运</w:t>
      </w:r>
      <w:r>
        <w:rPr>
          <w:spacing w:val="3"/>
        </w:rPr>
        <w:t> </w:t>
      </w:r>
      <w:r>
        <w:rPr>
          <w:spacing w:val="-1"/>
        </w:rPr>
        <w:t>激光持续经营能力产生重大疑虑的事项或情况是否存在重大不确定性得出结论。如果我们得出结论认为存</w:t>
      </w:r>
      <w:r>
        <w:rPr>
          <w:spacing w:val="-81"/>
        </w:rPr>
        <w:t> </w:t>
      </w:r>
      <w:r>
        <w:rPr>
          <w:spacing w:val="-81"/>
        </w:rPr>
      </w:r>
      <w:r>
        <w:rPr>
          <w:spacing w:val="-1"/>
        </w:rPr>
        <w:t>在重大不确定性，审计准则要求我们在审计报告中提请报告使用者注意财务报表中的相关披露；如果披露</w:t>
      </w:r>
      <w:r>
        <w:rPr>
          <w:spacing w:val="-81"/>
        </w:rPr>
        <w:t> </w:t>
      </w:r>
      <w:r>
        <w:rPr>
          <w:spacing w:val="-81"/>
        </w:rPr>
      </w:r>
      <w:r>
        <w:rPr>
          <w:spacing w:val="-1"/>
        </w:rPr>
        <w:t>不充分，我们应当发表非无保留意见。我们的结论基于截至审计报告日可获得的信息。然而，未来的事项</w:t>
      </w:r>
      <w:r>
        <w:rPr>
          <w:spacing w:val="-86"/>
        </w:rPr>
        <w:t> </w:t>
      </w:r>
      <w:r>
        <w:rPr>
          <w:spacing w:val="-86"/>
        </w:rPr>
      </w:r>
      <w:r>
        <w:rPr/>
        <w:t>或情况可能导致金运激光不能持续经营。</w:t>
      </w:r>
    </w:p>
    <w:p>
      <w:pPr>
        <w:pStyle w:val="Heading5"/>
        <w:spacing w:line="280" w:lineRule="auto" w:before="18"/>
        <w:ind w:right="1122" w:firstLine="420"/>
        <w:jc w:val="left"/>
      </w:pPr>
      <w:r>
        <w:rPr>
          <w:rFonts w:ascii="Times New Roman" w:hAnsi="Times New Roman" w:cs="Times New Roman" w:eastAsia="Times New Roman" w:hint="default"/>
          <w:spacing w:val="-3"/>
        </w:rPr>
        <w:t>5</w:t>
      </w:r>
      <w:r>
        <w:rPr>
          <w:spacing w:val="-3"/>
        </w:rPr>
        <w:t>．评价财务报表的总体列报、结构和内容（包括披露），并评价财务报表是否公允反映相关交易和事</w:t>
      </w:r>
      <w:r>
        <w:rPr/>
        <w:t> 项。</w:t>
      </w:r>
    </w:p>
    <w:p>
      <w:pPr>
        <w:pStyle w:val="Heading5"/>
        <w:spacing w:line="280" w:lineRule="auto" w:before="30"/>
        <w:ind w:right="0" w:firstLine="420"/>
        <w:jc w:val="left"/>
      </w:pPr>
      <w:r>
        <w:rPr>
          <w:rFonts w:ascii="Times New Roman" w:hAnsi="Times New Roman" w:cs="Times New Roman" w:eastAsia="Times New Roman" w:hint="default"/>
        </w:rPr>
        <w:t>6</w:t>
      </w:r>
      <w:r>
        <w:rPr/>
        <w:t>．就金运激光中实体或业务活动的财务信息获取充分、适当的审计证据，以对合并财务报表发表审 计意见。我们负责指导、监督和执行集团审计，并对审计意见承担全部责任。</w:t>
      </w:r>
    </w:p>
    <w:p>
      <w:pPr>
        <w:pStyle w:val="Heading5"/>
        <w:spacing w:line="297" w:lineRule="auto" w:before="71"/>
        <w:ind w:right="0" w:firstLine="420"/>
        <w:jc w:val="left"/>
      </w:pPr>
      <w:r>
        <w:rPr>
          <w:spacing w:val="-1"/>
        </w:rPr>
        <w:t>我们与治理层就计划的审计范围、时间安排和重大审计发现等事项进行沟通，包括沟通我们在审计中</w:t>
      </w:r>
      <w:r>
        <w:rPr/>
        <w:t> 识别出的值得关注的内部控制缺陷。</w:t>
      </w:r>
    </w:p>
    <w:p>
      <w:pPr>
        <w:pStyle w:val="Heading5"/>
        <w:spacing w:line="297" w:lineRule="auto" w:before="54"/>
        <w:ind w:right="0" w:firstLine="420"/>
        <w:jc w:val="left"/>
      </w:pPr>
      <w:r>
        <w:rPr>
          <w:spacing w:val="-1"/>
        </w:rPr>
        <w:t>我们还就已遵守与独立性相关的职业道德要求向治理层提供声明，并与治理层沟通可能被合理认为影</w:t>
      </w:r>
      <w:r>
        <w:rPr/>
        <w:t> </w:t>
      </w:r>
      <w:r>
        <w:rPr>
          <w:spacing w:val="-4"/>
        </w:rPr>
        <w:t>响我们独立性的所有关系和其他事项，以及相关的防范措施（如适用）。</w:t>
      </w:r>
    </w:p>
    <w:p>
      <w:pPr>
        <w:pStyle w:val="Heading5"/>
        <w:spacing w:line="240" w:lineRule="auto" w:before="54"/>
        <w:ind w:left="574" w:right="0"/>
        <w:jc w:val="left"/>
      </w:pPr>
      <w:r>
        <w:rPr/>
        <w:t>从与治理层沟通过的事项中，我们确定哪些事项对本期财务报表审计最为重要，因而构成关键审计事</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3"/>
          <w:szCs w:val="23"/>
        </w:rPr>
      </w:pPr>
    </w:p>
    <w:p>
      <w:pPr>
        <w:pStyle w:val="Heading5"/>
        <w:spacing w:line="297" w:lineRule="auto" w:before="35"/>
        <w:ind w:right="1132"/>
        <w:jc w:val="both"/>
      </w:pP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5"/>
        <w:tabs>
          <w:tab w:pos="6104" w:val="left" w:leader="none"/>
        </w:tabs>
        <w:spacing w:line="240" w:lineRule="auto"/>
        <w:ind w:left="2464" w:right="0"/>
        <w:jc w:val="left"/>
        <w:rPr>
          <w:rFonts w:ascii="Times New Roman" w:hAnsi="Times New Roman" w:cs="Times New Roman" w:eastAsia="Times New Roman" w:hint="default"/>
        </w:rPr>
      </w:pPr>
      <w:r>
        <w:rPr>
          <w:spacing w:val="-1"/>
        </w:rPr>
        <w:t>大华会计师事务所</w:t>
      </w:r>
      <w:r>
        <w:rPr>
          <w:rFonts w:ascii="Times New Roman" w:hAnsi="Times New Roman" w:cs="Times New Roman" w:eastAsia="Times New Roman" w:hint="default"/>
          <w:spacing w:val="-1"/>
        </w:rPr>
        <w:t>(</w:t>
      </w:r>
      <w:r>
        <w:rPr>
          <w:spacing w:val="-1"/>
        </w:rPr>
        <w:t>特殊普通合伙）</w:t>
        <w:tab/>
        <w:t>中国注册会计师</w:t>
      </w:r>
      <w:r>
        <w:rPr>
          <w:rFonts w:ascii="Times New Roman" w:hAnsi="Times New Roman" w:cs="Times New Roman" w:eastAsia="Times New Roman" w:hint="default"/>
          <w:spacing w:val="-1"/>
        </w:rPr>
        <w:t>:</w:t>
      </w:r>
    </w:p>
    <w:p>
      <w:pPr>
        <w:pStyle w:val="Heading5"/>
        <w:spacing w:line="240" w:lineRule="auto" w:before="139"/>
        <w:ind w:left="6140" w:right="0"/>
        <w:jc w:val="left"/>
      </w:pPr>
      <w:r>
        <w:rPr/>
        <w:t>（项目合伙人）</w:t>
      </w:r>
    </w:p>
    <w:p>
      <w:pPr>
        <w:pStyle w:val="Heading5"/>
        <w:tabs>
          <w:tab w:pos="6105" w:val="left" w:leader="none"/>
        </w:tabs>
        <w:spacing w:line="710" w:lineRule="auto" w:before="154"/>
        <w:ind w:left="6140" w:right="2474" w:hanging="2521"/>
        <w:jc w:val="left"/>
      </w:pPr>
      <w:r>
        <w:rPr>
          <w:spacing w:val="-1"/>
        </w:rPr>
        <w:t>中国</w:t>
      </w:r>
      <w:r>
        <w:rPr>
          <w:rFonts w:ascii="Times New Roman" w:hAnsi="Times New Roman" w:cs="Times New Roman" w:eastAsia="Times New Roman" w:hint="default"/>
          <w:b/>
          <w:bCs/>
          <w:spacing w:val="-1"/>
        </w:rPr>
        <w:t>·</w:t>
      </w:r>
      <w:r>
        <w:rPr>
          <w:spacing w:val="-1"/>
        </w:rPr>
        <w:t>北京</w:t>
        <w:tab/>
        <w:t>中国注册会计师</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47"/>
        </w:rPr>
        <w:t> </w:t>
      </w:r>
      <w:r>
        <w:rPr/>
        <w:t>二〇一九年二月二十六日</w:t>
      </w:r>
    </w:p>
    <w:p>
      <w:pPr>
        <w:spacing w:line="240" w:lineRule="auto" w:before="4"/>
        <w:rPr>
          <w:rFonts w:ascii="宋体" w:hAnsi="宋体" w:cs="宋体" w:eastAsia="宋体" w:hint="default"/>
          <w:sz w:val="28"/>
          <w:szCs w:val="28"/>
        </w:rPr>
      </w:pPr>
    </w:p>
    <w:p>
      <w:pPr>
        <w:pStyle w:val="Heading3"/>
        <w:spacing w:line="240" w:lineRule="auto"/>
        <w:ind w:right="0"/>
        <w:jc w:val="both"/>
        <w:rPr>
          <w:b w:val="0"/>
          <w:bCs w:val="0"/>
        </w:rPr>
      </w:pPr>
      <w:bookmarkStart w:name="二、财务报表" w:id="157"/>
      <w:bookmarkEnd w:id="157"/>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编制单位：武汉金运激光股份有限公司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169"/>
        <w:gridCol w:w="3418"/>
        <w:gridCol w:w="2954"/>
      </w:tblGrid>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5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54"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80,019,990.36</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59,017,225.76</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31,829,378.42</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29,394,186.03</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8,349,420.52</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3,520,946.36</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53"/>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23,479,957.90</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25,873,239.67</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4,484,150.76</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8,178,926.61</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3169"/>
        <w:gridCol w:w="3418"/>
        <w:gridCol w:w="2954"/>
      </w:tblGrid>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6,621,077.51</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6,478,215.08</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5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86,219,676.70</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98,449,634.95</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2,597,515.04</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2,886,411.76</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211,771,788.79</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204,404,600.19</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54"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187,272.00</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170,040.26</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77,725,415.19</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82,240,821.55</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202,977.68</w:t>
            </w: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11,379,297.38</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11,666,026.65</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441,168.78</w:t>
            </w: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676,940.37</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993,823.02</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13,963,347.02</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13,857,858.11</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38,658,743.56</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37,599,540.77</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143,535,161.98</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146,828,110.36</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355,306,950.77</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351,232,710.55</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54"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3169"/>
        <w:gridCol w:w="3418"/>
        <w:gridCol w:w="2954"/>
      </w:tblGrid>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42,387,053.65</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37,269,239.95</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24,267,788.33</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30,103,103.81</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6,488,525.96</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5,828,923.78</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1,699,437.54</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1,021,202.60</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4,776,981.48</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5,336,584.97</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24,650.00</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31,500.09</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5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96,619,786.96</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99,559,055.11</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54"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3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1,050,828.01</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1,305,966.25</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1,050,828.01</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1,305,966.25</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97,670,614.97</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100,865,021.36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3169"/>
        <w:gridCol w:w="3418"/>
        <w:gridCol w:w="2954"/>
      </w:tblGrid>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54"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126,000,000.00</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3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85,222,850.09</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85,222,850.09</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265,291.36</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260,857.16</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11,598,381.40</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9,985,834.59</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27,518,919.06</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21,989,423.67</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250,605,441.91</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243,458,965.51</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7,030,893.89</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6,908,723.68</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257,636,335.80</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250,367,689.19</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355,306,950.77</w:t>
            </w:r>
          </w:p>
        </w:tc>
        <w:tc>
          <w:tcPr>
            <w:tcW w:w="2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351,232,710.55</w:t>
            </w:r>
          </w:p>
        </w:tc>
      </w:tr>
    </w:tbl>
    <w:p>
      <w:pPr>
        <w:spacing w:line="240" w:lineRule="auto" w:before="3"/>
        <w:rPr>
          <w:rFonts w:ascii="Times New Roman" w:hAnsi="Times New Roman" w:cs="Times New Roman" w:eastAsia="Times New Roman" w:hint="default"/>
          <w:sz w:val="23"/>
          <w:szCs w:val="23"/>
        </w:rPr>
      </w:pPr>
    </w:p>
    <w:p>
      <w:pPr>
        <w:pStyle w:val="BodyText"/>
        <w:tabs>
          <w:tab w:pos="3482" w:val="left" w:leader="none"/>
          <w:tab w:pos="7685" w:val="left" w:leader="none"/>
        </w:tabs>
        <w:spacing w:line="240" w:lineRule="auto" w:before="44"/>
        <w:ind w:left="0" w:right="1132"/>
        <w:jc w:val="right"/>
      </w:pPr>
      <w:r>
        <w:rPr>
          <w:spacing w:val="-4"/>
        </w:rPr>
        <w:t>法定代表人：梁萍</w:t>
        <w:tab/>
      </w:r>
      <w:r>
        <w:rPr>
          <w:spacing w:val="-3"/>
        </w:rPr>
        <w:t>主管会计工作负责人：廖琨</w:t>
        <w:tab/>
        <w:t>会计机构负责人：吴学林</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276"/>
        <w:gridCol w:w="3314"/>
        <w:gridCol w:w="2952"/>
      </w:tblGrid>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5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52"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73,837,565.86</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50,341,952.12</w:t>
            </w:r>
          </w:p>
        </w:tc>
      </w:tr>
      <w:tr>
        <w:trPr>
          <w:trHeight w:val="714"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42,367,622.24</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40,076,755.10</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42,000.00</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322,400.00</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42,325,622.24</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39,754,355.10</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8,928,985.92</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6,888,928.94</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28,790,663.38</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25,211,613.03</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42,446,655.90</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48,621,573.06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3276"/>
        <w:gridCol w:w="3314"/>
        <w:gridCol w:w="2952"/>
      </w:tblGrid>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42,727.50</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509,945.64</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196,414,220.80</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171,650,767.89</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52"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23,741,043.32</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24,001,043.32</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72,046,357.78</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75,321,199.73</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6,249,155.54</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6,370,079.87</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604,571.23</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834,610.84</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9,447,557.13</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9,424,161.25</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36,873,089.86</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37,599,540.77</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148,961,774.86</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153,550,635.78</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345,375,995.66</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325,201,403.67</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52"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4"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28,943,773.19</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17,936,806.39</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15,893,315.22</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20,297,460.17</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2,819,180.74</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2,792,241.74</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846,965.05</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294,356.13</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963,054.68</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841,162.36</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24,650.00</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31,500.09</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3276"/>
        <w:gridCol w:w="3314"/>
        <w:gridCol w:w="2952"/>
      </w:tblGrid>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66,466,288.88</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62,162,026.79</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52"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1,050,828.01</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1,305,966.25</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1,050,828.01</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1,305,966.25</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67,517,116.89</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63,467,993.04</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52"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126,000,000.00</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126,000,000.00</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83,631,541.26</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83,631,541.26</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5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11,598,381.40</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9,985,834.59</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56,628,956.11</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42,116,034.78</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277,858,878.77</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261,733,410.63</w:t>
            </w:r>
          </w:p>
        </w:tc>
      </w:tr>
      <w:tr>
        <w:trPr>
          <w:trHeight w:val="402" w:hRule="exact"/>
        </w:trPr>
        <w:tc>
          <w:tcPr>
            <w:tcW w:w="32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345,375,995.66</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325,201,403.67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212,787,605.82</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184,949,471.36</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212,787,605.82</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184,949,471.36</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203,757,358.18</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253,028,630.27</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141,671,981.81</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129,958,754.94</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1,559,100.89</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1,706,040.19</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28,857,675.65</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31,224,790.28</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17,450,444.47</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19,962,899.22</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12,369,532.45</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17,755,305.03</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-1,726,873.58</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3,310,370.52</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107"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501,537.42</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2,329,490.00</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64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259,097.07</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727,347.60</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3,575,496.49</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49,110,470.09</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1,217,331.31</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1,515,779.32</w:t>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-429,767.77</w:t>
            </w:r>
            <w:r>
              <w:rPr>
                <w:rFonts w:ascii="Times New Roman"/>
                <w:sz w:val="18"/>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15,048,872.50</w:t>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-441,336.95</w:t>
            </w:r>
            <w:r>
              <w:rPr>
                <w:rFonts w:ascii="Times New Roman"/>
                <w:sz w:val="18"/>
              </w:rPr>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15,048,872.50</w:t>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-37,268.35</w:t>
            </w:r>
            <w:r>
              <w:rPr>
                <w:rFonts w:ascii="Times New Roman"/>
                <w:sz w:val="18"/>
              </w:rPr>
            </w: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9,780,542.83</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-51,514,507.09</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233,440.47</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212,826.30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53,251.89</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571,611.48</w:t>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9,960,731.41</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-51,873,292.27</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2,113,870.72</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-9,092,444.36</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7,846,860.69</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-42,780,847.91</w:t>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7,846,860.69</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-42,780,847.91</w:t>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7,142,042.20</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-42,345,109.04</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704,818.49</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-435,738.87</w:t>
            </w:r>
            <w:r>
              <w:rPr>
                <w:rFonts w:ascii="Times New Roman"/>
                <w:sz w:val="18"/>
              </w:rPr>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4,434.20</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-5,543.55</w:t>
            </w:r>
            <w:r>
              <w:rPr>
                <w:rFonts w:ascii="Times New Roman"/>
                <w:sz w:val="18"/>
              </w:rPr>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4,434.20</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-5,543.55</w:t>
            </w:r>
            <w:r>
              <w:rPr>
                <w:rFonts w:ascii="Times New Roman"/>
                <w:sz w:val="18"/>
              </w:rPr>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4,434.20</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-5,543.55</w:t>
            </w:r>
            <w:r>
              <w:rPr>
                <w:rFonts w:ascii="Times New Roman"/>
                <w:sz w:val="18"/>
              </w:rPr>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4,434.20</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-5,543.55</w:t>
            </w:r>
            <w:r>
              <w:rPr>
                <w:rFonts w:ascii="Times New Roman"/>
                <w:sz w:val="18"/>
              </w:rPr>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7,851,294.89</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-42,786,391.46</w:t>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7,146,476.40</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-42,350,652.59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2942"/>
        <w:gridCol w:w="3312"/>
        <w:gridCol w:w="3287"/>
      </w:tblGrid>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704,818.49</w:t>
            </w:r>
          </w:p>
        </w:tc>
        <w:tc>
          <w:tcPr>
            <w:tcW w:w="3287" w:type="dxa"/>
            <w:tcBorders>
              <w:top w:val="single" w:sz="4" w:space="0" w:color="000000"/>
              <w:left w:val="single" w:sz="4" w:space="0" w:color="FFFFFF"/>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-435,738.87</w:t>
            </w:r>
            <w:r>
              <w:rPr>
                <w:rFonts w:ascii="Times New Roman"/>
                <w:sz w:val="18"/>
              </w:rPr>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FFFFFF"/>
            </w:tcBorders>
            <w:shd w:val="clear" w:color="auto" w:fill="D2D2D2"/>
          </w:tcPr>
          <w:p>
            <w:pPr/>
          </w:p>
        </w:tc>
        <w:tc>
          <w:tcPr>
            <w:tcW w:w="3287" w:type="dxa"/>
            <w:tcBorders>
              <w:top w:val="single" w:sz="4" w:space="0" w:color="000000"/>
              <w:left w:val="single" w:sz="4" w:space="0" w:color="FFFFFF"/>
              <w:bottom w:val="single" w:sz="4" w:space="0" w:color="000000"/>
              <w:right w:val="nil" w:sz="6" w:space="0" w:color="auto"/>
            </w:tcBorders>
            <w:shd w:val="clear" w:color="auto" w:fill="D2D2D2"/>
          </w:tcPr>
          <w:p>
            <w:pP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3287" w:type="dxa"/>
            <w:tcBorders>
              <w:top w:val="single" w:sz="4" w:space="0" w:color="000000"/>
              <w:left w:val="single" w:sz="4" w:space="0" w:color="FFFFFF"/>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w w:val="95"/>
                <w:sz w:val="18"/>
              </w:rPr>
              <w:t>-0.34</w:t>
            </w:r>
            <w:r>
              <w:rPr>
                <w:rFonts w:ascii="Times New Roman"/>
                <w:sz w:val="18"/>
              </w:rPr>
            </w:r>
          </w:p>
        </w:tc>
      </w:tr>
      <w:tr>
        <w:trPr>
          <w:trHeight w:val="402" w:hRule="exact"/>
        </w:trPr>
        <w:tc>
          <w:tcPr>
            <w:tcW w:w="294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3287" w:type="dxa"/>
            <w:tcBorders>
              <w:top w:val="single" w:sz="4" w:space="0" w:color="000000"/>
              <w:left w:val="single" w:sz="4" w:space="0" w:color="FFFFFF"/>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w w:val="95"/>
                <w:sz w:val="18"/>
              </w:rPr>
              <w:t>-0.34</w:t>
            </w:r>
            <w:r>
              <w:rPr>
                <w:rFonts w:ascii="Times New Roman"/>
                <w:sz w:val="18"/>
              </w:rPr>
            </w:r>
          </w:p>
        </w:tc>
      </w:tr>
    </w:tbl>
    <w:p>
      <w:pPr>
        <w:pStyle w:val="BodyText"/>
        <w:tabs>
          <w:tab w:pos="3636" w:val="left" w:leader="none"/>
          <w:tab w:pos="7839" w:val="left" w:leader="none"/>
        </w:tabs>
        <w:spacing w:line="592" w:lineRule="auto" w:before="51"/>
        <w:ind w:right="1132"/>
        <w:jc w:val="left"/>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 </w:t>
      </w:r>
      <w:r>
        <w:rPr/>
        <w:t>元，上期被合并方实现的净利润为：</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 </w:t>
      </w:r>
      <w:r>
        <w:rPr>
          <w:spacing w:val="-4"/>
        </w:rPr>
        <w:t>法定代表人：梁萍</w:t>
        <w:tab/>
      </w:r>
      <w:r>
        <w:rPr>
          <w:spacing w:val="-3"/>
        </w:rPr>
        <w:t>主管会计工作负责人：廖琨</w:t>
        <w:tab/>
        <w:t>会计机构负责人：吴学林</w:t>
      </w:r>
      <w:r>
        <w:rPr>
          <w:spacing w:val="-85"/>
        </w:rPr>
        <w:t> </w:t>
      </w:r>
      <w:r>
        <w:rPr>
          <w:spacing w:val="-85"/>
        </w:rPr>
      </w:r>
      <w:bookmarkStart w:name="4、母公司利润表" w:id="161"/>
      <w:bookmarkEnd w:id="161"/>
      <w:r>
        <w:rPr>
          <w:spacing w:val="-85"/>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2941"/>
        <w:gridCol w:w="3314"/>
        <w:gridCol w:w="3287"/>
      </w:tblGrid>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137,191,224.78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124,114,668.66</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86,439,882.58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85,178,730.33</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1,200,655.48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1,489,050.16</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14,699,440.07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17,086,335.35</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11,423,007.17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12,623,221.77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5,955,955.73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9,601,763.57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-1,605,044.31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3,418,980.82</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501,537.42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2,026,133.33</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5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120,028.59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293,131.47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1,662,565.12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44,908,577.31</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1,197,751.31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1,510,401.69</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-336,223.41</w:t>
            </w:r>
            <w:r>
              <w:rPr>
                <w:rFonts w:ascii="Times New Roman"/>
                <w:sz w:val="18"/>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15,771,071.01</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-444,222.40</w:t>
            </w:r>
            <w:r>
              <w:rPr>
                <w:rFonts w:ascii="Times New Roman"/>
                <w:sz w:val="18"/>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1,469,811.18</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-37,268.35</w:t>
            </w:r>
            <w:r>
              <w:rPr>
                <w:rFonts w:ascii="Times New Roman"/>
                <w:sz w:val="18"/>
              </w:rPr>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18,239,022.49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-32,910,517.95</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133,346.42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197,369.59</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52,982.05</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561,840.99</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18,319,386.86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-33,274,989.35</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2,193,918.72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-5,623,761.28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2" w:type="dxa"/>
        <w:tblLayout w:type="fixed"/>
        <w:tblCellMar>
          <w:top w:w="0" w:type="dxa"/>
          <w:left w:w="0" w:type="dxa"/>
          <w:bottom w:w="0" w:type="dxa"/>
          <w:right w:w="0" w:type="dxa"/>
        </w:tblCellMar>
        <w:tblLook w:val="01E0"/>
      </w:tblPr>
      <w:tblGrid>
        <w:gridCol w:w="2941"/>
        <w:gridCol w:w="3314"/>
        <w:gridCol w:w="3287"/>
      </w:tblGrid>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16,125,468.14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-27,651,228.07</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16,125,468.14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-27,651,228.07</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3"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3"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16,125,468.14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-27,651,228.07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941"/>
        <w:gridCol w:w="3314"/>
        <w:gridCol w:w="3287"/>
      </w:tblGrid>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188,901,248.89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149" w:right="0"/>
              <w:jc w:val="left"/>
              <w:rPr>
                <w:rFonts w:ascii="Times New Roman" w:hAnsi="Times New Roman" w:cs="Times New Roman" w:eastAsia="Times New Roman" w:hint="default"/>
                <w:sz w:val="18"/>
                <w:szCs w:val="18"/>
              </w:rPr>
            </w:pPr>
            <w:r>
              <w:rPr>
                <w:rFonts w:ascii="Times New Roman"/>
                <w:sz w:val="18"/>
              </w:rPr>
              <w:t>205,115,604.72</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2941"/>
        <w:gridCol w:w="3314"/>
        <w:gridCol w:w="3287"/>
      </w:tblGrid>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10,041,185.31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8,307,670.01</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5,117,630.42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3,842,811.77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204,060,064.62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217,266,086.50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106,171,824.92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138,019,510.64</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33,269,828.77</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35,224,859.02</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6,409,024.89</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5,694,100.13</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28,506,389.03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37,942,194.89</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174,357,067.61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216,880,664.68</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29,702,997.01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385,421.82</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76,127,074.13</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4,580,284.11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12,914,399.00</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27,012.63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94,568.18</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515,610.67</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81,249,981.54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13,008,967.18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2941"/>
        <w:gridCol w:w="3314"/>
        <w:gridCol w:w="3287"/>
      </w:tblGrid>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7,340,451.86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1,854,353.80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10,300,000.00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33,871,697.25</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86,740,451.86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46,026,051.05</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-5,490,470.32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-33,017,083.87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2,555,918.70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22,555,918.70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1,195,887.51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2,341,519.20</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26,310,353.50</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47,506,241.01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57,341,519.20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-30,506,241.01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-34,785,600.50</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1,593,403.42</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1,803,209.37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-4,700,310.90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-65,614,053.18</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55,944,113.76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121,558,166.94</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51,243,802.86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55,944,113.76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nil" w:sz="6" w:space="0" w:color="auto"/>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2941"/>
        <w:gridCol w:w="3314"/>
        <w:gridCol w:w="3287"/>
      </w:tblGrid>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131,583,139.74</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132,259,352.41</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10,014,023.88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8,307,670.01</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1,767,812.88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1,513,431.47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143,364,976.50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142,080,453.89</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79,176,185.36</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95,796,984.03</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17,837,328.48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20,664,238.54</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3,856,857.23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3,228,556.17</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15,864,889.13</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31,155,861.15</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116,735,260.20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150,845,639.89</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26,629,716.30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-8,765,186.00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24,500,000.00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4,580,284.11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12,914,399.00</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29,610.92</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81,010,284.11</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37,444,009.92</w:t>
            </w: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5,496,336.78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778,172.32</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75,800,000.00</w:t>
            </w: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1,250,000.00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81,546,336.78</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2,028,172.32</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-536,052.67</w:t>
            </w:r>
            <w:r>
              <w:rPr>
                <w:rFonts w:ascii="Times New Roman"/>
                <w:sz w:val="18"/>
              </w:rPr>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35,415,837.60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7"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2,555,918.70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22,555,918.70</w:t>
            </w:r>
          </w:p>
        </w:tc>
      </w:tr>
      <w:tr>
        <w:trPr>
          <w:trHeight w:val="402" w:hRule="exact"/>
        </w:trPr>
        <w:tc>
          <w:tcPr>
            <w:tcW w:w="294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1,195,887.51</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2,341,454.19</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25,703,075.50</w:t>
            </w:r>
          </w:p>
        </w:tc>
        <w:tc>
          <w:tcPr>
            <w:tcW w:w="33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46,898,963.01</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47,341,454.19</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-29,898,963.01</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-24,785,535.49</w:t>
            </w:r>
          </w:p>
        </w:tc>
      </w:tr>
      <w:tr>
        <w:trPr>
          <w:trHeight w:val="714"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1,597,837.62</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1,797,665.82</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-2,207,461.76</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3,662,781.93</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47,268,840.12</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43,606,058.19</w:t>
            </w:r>
          </w:p>
        </w:tc>
      </w:tr>
      <w:tr>
        <w:trPr>
          <w:trHeight w:val="402" w:hRule="exact"/>
        </w:trPr>
        <w:tc>
          <w:tcPr>
            <w:tcW w:w="29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45,061,378.36</w:t>
            </w:r>
          </w:p>
        </w:tc>
        <w:tc>
          <w:tcPr>
            <w:tcW w:w="3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47,268,840.12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40" w:right="0"/>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0"/>
        <w:jc w:val="left"/>
      </w:pPr>
      <w:r>
        <w:rPr/>
        <w:t>本期金额</w:t>
      </w:r>
    </w:p>
    <w:p>
      <w:pPr>
        <w:pStyle w:val="BodyText"/>
        <w:spacing w:line="240" w:lineRule="auto" w:before="116"/>
        <w:ind w:left="0" w:right="235"/>
        <w:jc w:val="right"/>
      </w:pPr>
      <w:r>
        <w:rPr/>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962"/>
        <w:gridCol w:w="1193"/>
        <w:gridCol w:w="658"/>
        <w:gridCol w:w="658"/>
        <w:gridCol w:w="661"/>
        <w:gridCol w:w="1091"/>
        <w:gridCol w:w="856"/>
        <w:gridCol w:w="866"/>
        <w:gridCol w:w="844"/>
        <w:gridCol w:w="1085"/>
        <w:gridCol w:w="856"/>
        <w:gridCol w:w="1091"/>
        <w:gridCol w:w="1001"/>
        <w:gridCol w:w="1167"/>
      </w:tblGrid>
      <w:tr>
        <w:trPr>
          <w:trHeight w:val="402" w:hRule="exact"/>
        </w:trPr>
        <w:tc>
          <w:tcPr>
            <w:tcW w:w="1962" w:type="dxa"/>
            <w:vMerge w:val="restart"/>
            <w:tcBorders>
              <w:top w:val="single" w:sz="4" w:space="0" w:color="000000"/>
              <w:left w:val="nil" w:sz="6" w:space="0" w:color="auto"/>
              <w:right w:val="single" w:sz="4" w:space="0" w:color="000000"/>
            </w:tcBorders>
            <w:shd w:val="clear" w:color="auto" w:fill="D2D2D2"/>
          </w:tcPr>
          <w:p>
            <w:pPr/>
          </w:p>
        </w:tc>
        <w:tc>
          <w:tcPr>
            <w:tcW w:w="12025" w:type="dxa"/>
            <w:gridSpan w:val="1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29" w:hRule="exact"/>
        </w:trPr>
        <w:tc>
          <w:tcPr>
            <w:tcW w:w="1962" w:type="dxa"/>
            <w:vMerge/>
            <w:tcBorders>
              <w:left w:val="nil" w:sz="6" w:space="0" w:color="auto"/>
              <w:bottom w:val="nil" w:sz="6" w:space="0" w:color="auto"/>
              <w:right w:val="single" w:sz="4" w:space="0" w:color="000000"/>
            </w:tcBorders>
            <w:shd w:val="clear" w:color="auto" w:fill="D2D2D2"/>
          </w:tcPr>
          <w:p>
            <w:pPr/>
          </w:p>
        </w:tc>
        <w:tc>
          <w:tcPr>
            <w:tcW w:w="9857"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73" w:hRule="exact"/>
        </w:trPr>
        <w:tc>
          <w:tcPr>
            <w:tcW w:w="1962"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857" w:type="dxa"/>
            <w:gridSpan w:val="11"/>
            <w:vMerge/>
            <w:tcBorders>
              <w:left w:val="single" w:sz="4" w:space="0" w:color="000000"/>
              <w:bottom w:val="single" w:sz="4"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405" w:right="45"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67" w:type="dxa"/>
            <w:vMerge w:val="restart"/>
            <w:tcBorders>
              <w:top w:val="nil" w:sz="6" w:space="0" w:color="auto"/>
              <w:left w:val="single" w:sz="4" w:space="0" w:color="000000"/>
              <w:right w:val="nil" w:sz="6" w:space="0" w:color="auto"/>
            </w:tcBorders>
            <w:shd w:val="clear" w:color="auto" w:fill="D2D2D2"/>
          </w:tcPr>
          <w:p>
            <w:pPr>
              <w:pStyle w:val="TableParagraph"/>
              <w:spacing w:line="316" w:lineRule="auto" w:before="73"/>
              <w:ind w:left="495" w:right="34"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1" w:hRule="exact"/>
        </w:trPr>
        <w:tc>
          <w:tcPr>
            <w:tcW w:w="1962" w:type="dxa"/>
            <w:vMerge/>
            <w:tcBorders>
              <w:left w:val="nil" w:sz="6" w:space="0" w:color="auto"/>
              <w:bottom w:val="nil" w:sz="6" w:space="0" w:color="auto"/>
              <w:right w:val="single" w:sz="4" w:space="0" w:color="000000"/>
            </w:tcBorders>
            <w:shd w:val="clear" w:color="auto" w:fill="D2D2D2"/>
          </w:tcPr>
          <w:p>
            <w:pP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33" w:right="60"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7" w:right="67"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2" w:right="61"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1167" w:type="dxa"/>
            <w:vMerge/>
            <w:tcBorders>
              <w:left w:val="single" w:sz="4" w:space="0" w:color="000000"/>
              <w:right w:val="nil" w:sz="6" w:space="0" w:color="auto"/>
            </w:tcBorders>
            <w:shd w:val="clear" w:color="auto" w:fill="D2D2D2"/>
          </w:tcPr>
          <w:p>
            <w:pPr/>
          </w:p>
        </w:tc>
      </w:tr>
      <w:tr>
        <w:trPr>
          <w:trHeight w:val="192" w:hRule="exact"/>
        </w:trPr>
        <w:tc>
          <w:tcPr>
            <w:tcW w:w="1962" w:type="dxa"/>
            <w:vMerge w:val="restart"/>
            <w:tcBorders>
              <w:top w:val="nil" w:sz="6" w:space="0" w:color="auto"/>
              <w:left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76" w:type="dxa"/>
            <w:gridSpan w:val="3"/>
            <w:vMerge/>
            <w:tcBorders>
              <w:left w:val="single" w:sz="4" w:space="0" w:color="000000"/>
              <w:bottom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8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6"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6"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01" w:type="dxa"/>
            <w:vMerge/>
            <w:tcBorders>
              <w:left w:val="single" w:sz="4" w:space="0" w:color="000000"/>
              <w:right w:val="single" w:sz="4" w:space="0" w:color="000000"/>
            </w:tcBorders>
            <w:shd w:val="clear" w:color="auto" w:fill="D2D2D2"/>
          </w:tcPr>
          <w:p>
            <w:pPr/>
          </w:p>
        </w:tc>
        <w:tc>
          <w:tcPr>
            <w:tcW w:w="1167" w:type="dxa"/>
            <w:vMerge/>
            <w:tcBorders>
              <w:left w:val="single" w:sz="4" w:space="0" w:color="000000"/>
              <w:right w:val="nil" w:sz="6" w:space="0" w:color="auto"/>
            </w:tcBorders>
            <w:shd w:val="clear" w:color="auto" w:fill="D2D2D2"/>
          </w:tcPr>
          <w:p>
            <w:pPr/>
          </w:p>
        </w:tc>
      </w:tr>
      <w:tr>
        <w:trPr>
          <w:trHeight w:val="178" w:hRule="exact"/>
        </w:trPr>
        <w:tc>
          <w:tcPr>
            <w:tcW w:w="1962" w:type="dxa"/>
            <w:vMerge/>
            <w:tcBorders>
              <w:left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1" w:type="dxa"/>
            <w:vMerge/>
            <w:tcBorders>
              <w:left w:val="single" w:sz="4" w:space="0" w:color="000000"/>
              <w:bottom w:val="nil" w:sz="6" w:space="0" w:color="auto"/>
              <w:right w:val="single" w:sz="4" w:space="0" w:color="000000"/>
            </w:tcBorders>
            <w:shd w:val="clear" w:color="auto" w:fill="D2D2D2"/>
          </w:tcPr>
          <w:p>
            <w:pPr/>
          </w:p>
        </w:tc>
        <w:tc>
          <w:tcPr>
            <w:tcW w:w="856"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856"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bottom w:val="nil" w:sz="6" w:space="0" w:color="auto"/>
              <w:right w:val="nil" w:sz="6" w:space="0" w:color="auto"/>
            </w:tcBorders>
            <w:shd w:val="clear" w:color="auto" w:fill="D2D2D2"/>
          </w:tcPr>
          <w:p>
            <w:pPr/>
          </w:p>
        </w:tc>
      </w:tr>
      <w:tr>
        <w:trPr>
          <w:trHeight w:val="212" w:hRule="exact"/>
        </w:trPr>
        <w:tc>
          <w:tcPr>
            <w:tcW w:w="1962" w:type="dxa"/>
            <w:vMerge/>
            <w:tcBorders>
              <w:left w:val="nil" w:sz="6" w:space="0" w:color="auto"/>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c>
          <w:tcPr>
            <w:tcW w:w="661"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6"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6"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1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85,222,850.09</w:t>
            </w:r>
          </w:p>
        </w:tc>
        <w:tc>
          <w:tcPr>
            <w:tcW w:w="856" w:type="dxa"/>
            <w:tcBorders>
              <w:top w:val="single" w:sz="22" w:space="0" w:color="D2D2D2"/>
              <w:left w:val="single" w:sz="4" w:space="0" w:color="000000"/>
              <w:bottom w:val="single" w:sz="4" w:space="0" w:color="000000"/>
              <w:right w:val="single" w:sz="4" w:space="0" w:color="000000"/>
            </w:tcBorders>
          </w:tcPr>
          <w:p>
            <w:pPr/>
          </w:p>
        </w:tc>
        <w:tc>
          <w:tcPr>
            <w:tcW w:w="86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8"/>
                <w:szCs w:val="18"/>
              </w:rPr>
            </w:pPr>
            <w:r>
              <w:rPr>
                <w:rFonts w:ascii="Times New Roman"/>
                <w:sz w:val="18"/>
              </w:rPr>
              <w:t>260,857.16</w:t>
            </w: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9,985,834.59</w:t>
            </w:r>
          </w:p>
        </w:tc>
        <w:tc>
          <w:tcPr>
            <w:tcW w:w="856" w:type="dxa"/>
            <w:tcBorders>
              <w:top w:val="single" w:sz="22" w:space="0" w:color="D2D2D2"/>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21,989,423.67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6,908,723.68</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250,367,689.19</w:t>
            </w:r>
          </w:p>
        </w:tc>
      </w:tr>
      <w:tr>
        <w:trPr>
          <w:trHeight w:val="402" w:hRule="exact"/>
        </w:trPr>
        <w:tc>
          <w:tcPr>
            <w:tcW w:w="1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4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4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27"/>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85,222,850.09</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260,857.16</w:t>
            </w: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9,985,834.59</w:t>
            </w: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21,989,423.67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6,908,723.68</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250,367,689.19</w:t>
            </w:r>
          </w:p>
        </w:tc>
      </w:tr>
      <w:tr>
        <w:trPr>
          <w:trHeight w:val="714" w:hRule="exact"/>
        </w:trPr>
        <w:tc>
          <w:tcPr>
            <w:tcW w:w="1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4,434.20</w:t>
            </w: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1,612,546.81</w:t>
            </w: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5,529,495.39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122,170.21</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7,268,646.61</w:t>
            </w:r>
          </w:p>
        </w:tc>
      </w:tr>
      <w:tr>
        <w:trPr>
          <w:trHeight w:val="402" w:hRule="exact"/>
        </w:trPr>
        <w:tc>
          <w:tcPr>
            <w:tcW w:w="1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4,434.20</w:t>
            </w: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7,142,042.20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center"/>
              <w:rPr>
                <w:rFonts w:ascii="Times New Roman" w:hAnsi="Times New Roman" w:cs="Times New Roman" w:eastAsia="Times New Roman" w:hint="default"/>
                <w:sz w:val="18"/>
                <w:szCs w:val="18"/>
              </w:rPr>
            </w:pPr>
            <w:r>
              <w:rPr>
                <w:rFonts w:ascii="Times New Roman"/>
                <w:sz w:val="18"/>
              </w:rPr>
              <w:t>704,818.49</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7,851,294.89</w:t>
            </w:r>
          </w:p>
        </w:tc>
      </w:tr>
      <w:tr>
        <w:trPr>
          <w:trHeight w:val="714" w:hRule="exact"/>
        </w:trPr>
        <w:tc>
          <w:tcPr>
            <w:tcW w:w="1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10"/>
              <w:jc w:val="left"/>
              <w:rPr>
                <w:rFonts w:ascii="宋体" w:hAnsi="宋体" w:cs="宋体" w:eastAsia="宋体" w:hint="default"/>
                <w:sz w:val="18"/>
                <w:szCs w:val="18"/>
              </w:rPr>
            </w:pPr>
            <w:r>
              <w:rPr>
                <w:rFonts w:ascii="宋体" w:hAnsi="宋体" w:cs="宋体" w:eastAsia="宋体" w:hint="default"/>
                <w:spacing w:val="-5"/>
                <w:sz w:val="18"/>
                <w:szCs w:val="18"/>
              </w:rPr>
              <w:t>（二）所有者投入和减少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-582,648.28</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w w:val="95"/>
                <w:sz w:val="18"/>
              </w:rPr>
              <w:t>-582,648.28</w:t>
            </w:r>
            <w:r>
              <w:rPr>
                <w:rFonts w:ascii="Times New Roman"/>
                <w:sz w:val="18"/>
              </w:rPr>
            </w:r>
          </w:p>
        </w:tc>
      </w:tr>
      <w:tr>
        <w:trPr>
          <w:trHeight w:val="402" w:hRule="exact"/>
        </w:trPr>
        <w:tc>
          <w:tcPr>
            <w:tcW w:w="1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1"/>
              <w:ind w:left="1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1"/>
              <w:ind w:left="1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14"/>
          <w:footerReference w:type="default" r:id="rId15"/>
          <w:pgSz w:w="16840" w:h="11910" w:orient="landscape"/>
          <w:pgMar w:header="867" w:footer="979" w:top="1060" w:bottom="1160" w:left="1300" w:right="1300"/>
          <w:pgNumType w:start="67"/>
        </w:sectPr>
      </w:pP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987"/>
        <w:gridCol w:w="1181"/>
        <w:gridCol w:w="658"/>
        <w:gridCol w:w="658"/>
        <w:gridCol w:w="661"/>
        <w:gridCol w:w="1091"/>
        <w:gridCol w:w="856"/>
        <w:gridCol w:w="866"/>
        <w:gridCol w:w="844"/>
        <w:gridCol w:w="1085"/>
        <w:gridCol w:w="856"/>
        <w:gridCol w:w="1091"/>
        <w:gridCol w:w="1001"/>
        <w:gridCol w:w="1183"/>
      </w:tblGrid>
      <w:tr>
        <w:trPr>
          <w:trHeight w:val="416" w:hRule="exact"/>
        </w:trPr>
        <w:tc>
          <w:tcPr>
            <w:tcW w:w="1987"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658" w:type="dxa"/>
            <w:tcBorders>
              <w:top w:val="single" w:sz="15" w:space="0" w:color="000000"/>
              <w:left w:val="single" w:sz="4" w:space="0" w:color="000000"/>
              <w:bottom w:val="single" w:sz="4" w:space="0" w:color="000000"/>
              <w:right w:val="single" w:sz="4" w:space="0" w:color="000000"/>
            </w:tcBorders>
          </w:tcPr>
          <w:p>
            <w:pPr/>
          </w:p>
        </w:tc>
        <w:tc>
          <w:tcPr>
            <w:tcW w:w="658" w:type="dxa"/>
            <w:tcBorders>
              <w:top w:val="single" w:sz="15" w:space="0" w:color="000000"/>
              <w:left w:val="single" w:sz="4" w:space="0" w:color="000000"/>
              <w:bottom w:val="single" w:sz="4" w:space="0" w:color="000000"/>
              <w:right w:val="single" w:sz="4" w:space="0" w:color="000000"/>
            </w:tcBorders>
          </w:tcPr>
          <w:p>
            <w:pPr/>
          </w:p>
        </w:tc>
        <w:tc>
          <w:tcPr>
            <w:tcW w:w="661"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856" w:type="dxa"/>
            <w:tcBorders>
              <w:top w:val="single" w:sz="15" w:space="0" w:color="000000"/>
              <w:left w:val="single" w:sz="4" w:space="0" w:color="000000"/>
              <w:bottom w:val="single" w:sz="4" w:space="0" w:color="000000"/>
              <w:right w:val="single" w:sz="4" w:space="0" w:color="000000"/>
            </w:tcBorders>
          </w:tcPr>
          <w:p>
            <w:pPr/>
          </w:p>
        </w:tc>
        <w:tc>
          <w:tcPr>
            <w:tcW w:w="866" w:type="dxa"/>
            <w:tcBorders>
              <w:top w:val="single" w:sz="15" w:space="0" w:color="000000"/>
              <w:left w:val="single" w:sz="4" w:space="0" w:color="000000"/>
              <w:bottom w:val="single" w:sz="4" w:space="0" w:color="000000"/>
              <w:right w:val="single" w:sz="4" w:space="0" w:color="000000"/>
            </w:tcBorders>
          </w:tcPr>
          <w:p>
            <w:pPr/>
          </w:p>
        </w:tc>
        <w:tc>
          <w:tcPr>
            <w:tcW w:w="844" w:type="dxa"/>
            <w:tcBorders>
              <w:top w:val="single" w:sz="15" w:space="0" w:color="000000"/>
              <w:left w:val="single" w:sz="4" w:space="0" w:color="000000"/>
              <w:bottom w:val="single" w:sz="4" w:space="0" w:color="000000"/>
              <w:right w:val="single" w:sz="4" w:space="0" w:color="000000"/>
            </w:tcBorders>
          </w:tcPr>
          <w:p>
            <w:pPr/>
          </w:p>
        </w:tc>
        <w:tc>
          <w:tcPr>
            <w:tcW w:w="1085" w:type="dxa"/>
            <w:tcBorders>
              <w:top w:val="single" w:sz="15" w:space="0" w:color="000000"/>
              <w:left w:val="single" w:sz="4" w:space="0" w:color="000000"/>
              <w:bottom w:val="single" w:sz="4" w:space="0" w:color="000000"/>
              <w:right w:val="single" w:sz="4" w:space="0" w:color="000000"/>
            </w:tcBorders>
          </w:tcPr>
          <w:p>
            <w:pPr/>
          </w:p>
        </w:tc>
        <w:tc>
          <w:tcPr>
            <w:tcW w:w="856"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-582,648.20</w:t>
            </w:r>
          </w:p>
        </w:tc>
        <w:tc>
          <w:tcPr>
            <w:tcW w:w="1183"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w w:val="95"/>
                <w:sz w:val="18"/>
              </w:rPr>
              <w:t>-582,648.28</w:t>
            </w:r>
            <w:r>
              <w:rPr>
                <w:rFonts w:ascii="Times New Roman"/>
                <w:sz w:val="18"/>
              </w:rPr>
            </w: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1,612,546.81</w:t>
            </w: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left"/>
              <w:rPr>
                <w:rFonts w:ascii="Times New Roman" w:hAnsi="Times New Roman" w:cs="Times New Roman" w:eastAsia="Times New Roman" w:hint="default"/>
                <w:sz w:val="18"/>
                <w:szCs w:val="18"/>
              </w:rPr>
            </w:pPr>
            <w:r>
              <w:rPr>
                <w:rFonts w:ascii="Times New Roman"/>
                <w:sz w:val="18"/>
              </w:rPr>
              <w:t>-1,612,546.81</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1,612,546.81</w:t>
            </w: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left"/>
              <w:rPr>
                <w:rFonts w:ascii="Times New Roman" w:hAnsi="Times New Roman" w:cs="Times New Roman" w:eastAsia="Times New Roman" w:hint="default"/>
                <w:sz w:val="18"/>
                <w:szCs w:val="18"/>
              </w:rPr>
            </w:pPr>
            <w:r>
              <w:rPr>
                <w:rFonts w:ascii="Times New Roman"/>
                <w:sz w:val="18"/>
              </w:rPr>
              <w:t>-1,612,546.81</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21"/>
              <w:jc w:val="left"/>
              <w:rPr>
                <w:rFonts w:ascii="宋体" w:hAnsi="宋体" w:cs="宋体" w:eastAsia="宋体" w:hint="default"/>
                <w:sz w:val="18"/>
                <w:szCs w:val="18"/>
              </w:rPr>
            </w:pPr>
            <w:r>
              <w:rPr>
                <w:rFonts w:ascii="宋体" w:hAnsi="宋体" w:cs="宋体" w:eastAsia="宋体" w:hint="default"/>
                <w:spacing w:val="-5"/>
                <w:sz w:val="18"/>
                <w:szCs w:val="18"/>
              </w:rPr>
              <w:t>（四）所有者权益内部结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126,000,000.00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85,222,850.09</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265,291.36</w:t>
            </w:r>
          </w:p>
        </w:tc>
        <w:tc>
          <w:tcPr>
            <w:tcW w:w="84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11,598,381.40</w:t>
            </w:r>
          </w:p>
        </w:tc>
        <w:tc>
          <w:tcPr>
            <w:tcW w:w="85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27,518,919.06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7,030,893.89</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257,636,335.80</w:t>
            </w:r>
          </w:p>
        </w:tc>
      </w:tr>
    </w:tbl>
    <w:p>
      <w:pPr>
        <w:pStyle w:val="BodyText"/>
        <w:spacing w:line="240" w:lineRule="auto" w:before="51"/>
        <w:ind w:left="160" w:right="0"/>
        <w:jc w:val="left"/>
      </w:pPr>
      <w:r>
        <w:rPr/>
        <w:t>上期金额</w:t>
      </w:r>
    </w:p>
    <w:p>
      <w:pPr>
        <w:pStyle w:val="BodyText"/>
        <w:spacing w:line="240" w:lineRule="auto" w:before="117"/>
        <w:ind w:left="0" w:right="275"/>
        <w:jc w:val="right"/>
      </w:pPr>
      <w:r>
        <w:rPr/>
        <w:t>单位：元</w:t>
      </w:r>
    </w:p>
    <w:p>
      <w:pPr>
        <w:spacing w:line="240" w:lineRule="auto" w:before="0"/>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971"/>
        <w:gridCol w:w="12044"/>
      </w:tblGrid>
      <w:tr>
        <w:trPr>
          <w:trHeight w:val="402" w:hRule="exact"/>
        </w:trPr>
        <w:tc>
          <w:tcPr>
            <w:tcW w:w="19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4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6840" w:h="11910" w:orient="landscape"/>
          <w:pgMar w:header="867" w:footer="979" w:top="1060" w:bottom="1160" w:left="1280" w:right="126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946"/>
        <w:gridCol w:w="1192"/>
        <w:gridCol w:w="642"/>
        <w:gridCol w:w="642"/>
        <w:gridCol w:w="646"/>
        <w:gridCol w:w="1091"/>
        <w:gridCol w:w="839"/>
        <w:gridCol w:w="866"/>
        <w:gridCol w:w="812"/>
        <w:gridCol w:w="1002"/>
        <w:gridCol w:w="840"/>
        <w:gridCol w:w="1151"/>
        <w:gridCol w:w="1151"/>
        <w:gridCol w:w="1167"/>
      </w:tblGrid>
      <w:tr>
        <w:trPr>
          <w:trHeight w:val="265" w:hRule="exact"/>
        </w:trPr>
        <w:tc>
          <w:tcPr>
            <w:tcW w:w="1946" w:type="dxa"/>
            <w:vMerge w:val="restart"/>
            <w:tcBorders>
              <w:top w:val="single" w:sz="15" w:space="0" w:color="000000"/>
              <w:left w:val="nil" w:sz="6" w:space="0" w:color="auto"/>
              <w:right w:val="single" w:sz="4" w:space="0" w:color="000000"/>
            </w:tcBorders>
            <w:shd w:val="clear" w:color="auto" w:fill="D2D2D2"/>
          </w:tcPr>
          <w:p>
            <w:pPr/>
          </w:p>
        </w:tc>
        <w:tc>
          <w:tcPr>
            <w:tcW w:w="9723" w:type="dxa"/>
            <w:gridSpan w:val="11"/>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51" w:type="dxa"/>
            <w:vMerge w:val="restart"/>
            <w:tcBorders>
              <w:top w:val="single" w:sz="15" w:space="0" w:color="000000"/>
              <w:left w:val="single" w:sz="4" w:space="0" w:color="000000"/>
              <w:right w:val="single" w:sz="4" w:space="0" w:color="000000"/>
            </w:tcBorders>
            <w:shd w:val="clear" w:color="auto" w:fill="D2D2D2"/>
          </w:tcPr>
          <w:p>
            <w:pPr/>
          </w:p>
        </w:tc>
        <w:tc>
          <w:tcPr>
            <w:tcW w:w="1167" w:type="dxa"/>
            <w:tcBorders>
              <w:top w:val="single" w:sz="15" w:space="0" w:color="000000"/>
              <w:left w:val="single" w:sz="4" w:space="0" w:color="000000"/>
              <w:bottom w:val="nil" w:sz="6" w:space="0" w:color="auto"/>
              <w:right w:val="nil" w:sz="6" w:space="0" w:color="auto"/>
            </w:tcBorders>
            <w:shd w:val="clear" w:color="auto" w:fill="D2D2D2"/>
          </w:tcPr>
          <w:p>
            <w:pPr/>
          </w:p>
        </w:tc>
      </w:tr>
      <w:tr>
        <w:trPr>
          <w:trHeight w:val="151" w:hRule="exact"/>
        </w:trPr>
        <w:tc>
          <w:tcPr>
            <w:tcW w:w="1946" w:type="dxa"/>
            <w:vMerge/>
            <w:tcBorders>
              <w:left w:val="nil" w:sz="6" w:space="0" w:color="auto"/>
              <w:right w:val="single" w:sz="4" w:space="0" w:color="000000"/>
            </w:tcBorders>
            <w:shd w:val="clear" w:color="auto" w:fill="D2D2D2"/>
          </w:tcPr>
          <w:p>
            <w:pPr/>
          </w:p>
        </w:tc>
        <w:tc>
          <w:tcPr>
            <w:tcW w:w="9723" w:type="dxa"/>
            <w:gridSpan w:val="11"/>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1167" w:type="dxa"/>
            <w:vMerge w:val="restart"/>
            <w:tcBorders>
              <w:top w:val="nil" w:sz="6" w:space="0" w:color="auto"/>
              <w:left w:val="single" w:sz="4" w:space="0" w:color="000000"/>
              <w:right w:val="nil" w:sz="6" w:space="0" w:color="auto"/>
            </w:tcBorders>
            <w:shd w:val="clear" w:color="auto" w:fill="D2D2D2"/>
          </w:tcPr>
          <w:p>
            <w:pPr>
              <w:pStyle w:val="TableParagraph"/>
              <w:spacing w:line="319" w:lineRule="auto" w:before="51"/>
              <w:ind w:left="495" w:right="34"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7" w:hRule="exact"/>
        </w:trPr>
        <w:tc>
          <w:tcPr>
            <w:tcW w:w="1946" w:type="dxa"/>
            <w:vMerge/>
            <w:tcBorders>
              <w:left w:val="nil" w:sz="6" w:space="0" w:color="auto"/>
              <w:right w:val="single" w:sz="4" w:space="0" w:color="000000"/>
            </w:tcBorders>
            <w:shd w:val="clear" w:color="auto" w:fill="D2D2D2"/>
          </w:tcPr>
          <w:p>
            <w:pPr/>
          </w:p>
        </w:tc>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3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8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23" w:right="53"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7" w:right="67"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34" w:right="5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67" w:type="dxa"/>
            <w:vMerge/>
            <w:tcBorders>
              <w:left w:val="single" w:sz="4" w:space="0" w:color="000000"/>
              <w:right w:val="nil" w:sz="6" w:space="0" w:color="auto"/>
            </w:tcBorders>
            <w:shd w:val="clear" w:color="auto" w:fill="D2D2D2"/>
          </w:tcPr>
          <w:p>
            <w:pPr/>
          </w:p>
        </w:tc>
      </w:tr>
      <w:tr>
        <w:trPr>
          <w:trHeight w:val="191" w:hRule="exact"/>
        </w:trPr>
        <w:tc>
          <w:tcPr>
            <w:tcW w:w="1946" w:type="dxa"/>
            <w:vMerge/>
            <w:tcBorders>
              <w:left w:val="nil" w:sz="6" w:space="0" w:color="auto"/>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30" w:type="dxa"/>
            <w:gridSpan w:val="3"/>
            <w:vMerge/>
            <w:tcBorders>
              <w:left w:val="single" w:sz="4" w:space="0" w:color="000000"/>
              <w:bottom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39"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8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40" w:type="dxa"/>
            <w:vMerge/>
            <w:tcBorders>
              <w:left w:val="single" w:sz="4" w:space="0" w:color="000000"/>
              <w:right w:val="single" w:sz="4" w:space="0" w:color="000000"/>
            </w:tcBorders>
            <w:shd w:val="clear" w:color="auto" w:fill="D2D2D2"/>
          </w:tcPr>
          <w:p>
            <w:pPr/>
          </w:p>
        </w:tc>
        <w:tc>
          <w:tcPr>
            <w:tcW w:w="11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51"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right w:val="nil" w:sz="6" w:space="0" w:color="auto"/>
            </w:tcBorders>
            <w:shd w:val="clear" w:color="auto" w:fill="D2D2D2"/>
          </w:tcPr>
          <w:p>
            <w:pPr/>
          </w:p>
        </w:tc>
      </w:tr>
      <w:tr>
        <w:trPr>
          <w:trHeight w:val="178" w:hRule="exact"/>
        </w:trPr>
        <w:tc>
          <w:tcPr>
            <w:tcW w:w="1946" w:type="dxa"/>
            <w:vMerge/>
            <w:tcBorders>
              <w:left w:val="nil" w:sz="6" w:space="0" w:color="auto"/>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1" w:type="dxa"/>
            <w:vMerge/>
            <w:tcBorders>
              <w:left w:val="single" w:sz="4" w:space="0" w:color="000000"/>
              <w:bottom w:val="nil" w:sz="6" w:space="0" w:color="auto"/>
              <w:right w:val="single" w:sz="4" w:space="0" w:color="000000"/>
            </w:tcBorders>
            <w:shd w:val="clear" w:color="auto" w:fill="D2D2D2"/>
          </w:tcPr>
          <w:p>
            <w:pPr/>
          </w:p>
        </w:tc>
        <w:tc>
          <w:tcPr>
            <w:tcW w:w="839"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1002" w:type="dxa"/>
            <w:vMerge/>
            <w:tcBorders>
              <w:left w:val="single" w:sz="4" w:space="0" w:color="000000"/>
              <w:bottom w:val="nil" w:sz="6" w:space="0" w:color="auto"/>
              <w:right w:val="single" w:sz="4" w:space="0" w:color="000000"/>
            </w:tcBorders>
            <w:shd w:val="clear" w:color="auto" w:fill="D2D2D2"/>
          </w:tcPr>
          <w:p>
            <w:pPr/>
          </w:p>
        </w:tc>
        <w:tc>
          <w:tcPr>
            <w:tcW w:w="840"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1151" w:type="dxa"/>
            <w:vMerge w:val="restart"/>
            <w:tcBorders>
              <w:top w:val="nil" w:sz="6" w:space="0" w:color="auto"/>
              <w:left w:val="single" w:sz="4" w:space="0" w:color="000000"/>
              <w:right w:val="single" w:sz="4" w:space="0" w:color="000000"/>
            </w:tcBorders>
            <w:shd w:val="clear" w:color="auto" w:fill="D2D2D2"/>
          </w:tcPr>
          <w:p>
            <w:pPr/>
          </w:p>
        </w:tc>
        <w:tc>
          <w:tcPr>
            <w:tcW w:w="1167" w:type="dxa"/>
            <w:vMerge/>
            <w:tcBorders>
              <w:left w:val="single" w:sz="4" w:space="0" w:color="000000"/>
              <w:bottom w:val="nil" w:sz="6" w:space="0" w:color="auto"/>
              <w:right w:val="nil" w:sz="6" w:space="0" w:color="auto"/>
            </w:tcBorders>
            <w:shd w:val="clear" w:color="auto" w:fill="D2D2D2"/>
          </w:tcPr>
          <w:p>
            <w:pPr/>
          </w:p>
        </w:tc>
      </w:tr>
      <w:tr>
        <w:trPr>
          <w:trHeight w:val="209" w:hRule="exact"/>
        </w:trPr>
        <w:tc>
          <w:tcPr>
            <w:tcW w:w="1946" w:type="dxa"/>
            <w:vMerge/>
            <w:tcBorders>
              <w:left w:val="nil" w:sz="6" w:space="0" w:color="auto"/>
              <w:bottom w:val="single" w:sz="4" w:space="0" w:color="000000"/>
              <w:right w:val="single" w:sz="4" w:space="0" w:color="000000"/>
            </w:tcBorders>
            <w:shd w:val="clear" w:color="auto" w:fill="D2D2D2"/>
          </w:tcPr>
          <w:p>
            <w:pPr/>
          </w:p>
        </w:tc>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839"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8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11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2" w:hRule="exact"/>
        </w:trPr>
        <w:tc>
          <w:tcPr>
            <w:tcW w:w="19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83,626,686.34</w:t>
            </w:r>
          </w:p>
        </w:tc>
        <w:tc>
          <w:tcPr>
            <w:tcW w:w="839" w:type="dxa"/>
            <w:tcBorders>
              <w:top w:val="single" w:sz="22" w:space="0" w:color="D2D2D2"/>
              <w:left w:val="single" w:sz="4" w:space="0" w:color="000000"/>
              <w:bottom w:val="single" w:sz="4" w:space="0" w:color="000000"/>
              <w:right w:val="single" w:sz="4" w:space="0" w:color="000000"/>
            </w:tcBorders>
          </w:tcPr>
          <w:p>
            <w:pPr/>
          </w:p>
        </w:tc>
        <w:tc>
          <w:tcPr>
            <w:tcW w:w="86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8"/>
                <w:szCs w:val="18"/>
              </w:rPr>
            </w:pPr>
            <w:r>
              <w:rPr>
                <w:rFonts w:ascii="Times New Roman"/>
                <w:sz w:val="18"/>
              </w:rPr>
              <w:t>266,400.71</w:t>
            </w: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9,985,834.59</w:t>
            </w:r>
          </w:p>
        </w:tc>
        <w:tc>
          <w:tcPr>
            <w:tcW w:w="840" w:type="dxa"/>
            <w:tcBorders>
              <w:top w:val="single" w:sz="22" w:space="0" w:color="D2D2D2"/>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65,090,532.71</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57,525,511.42</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342,494,965.77</w:t>
            </w:r>
          </w:p>
        </w:tc>
      </w:tr>
      <w:tr>
        <w:trPr>
          <w:trHeight w:val="402" w:hRule="exact"/>
        </w:trPr>
        <w:tc>
          <w:tcPr>
            <w:tcW w:w="19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26"/>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9" w:space="0" w:color="D2D2D2"/>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26"/>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9" w:space="0" w:color="D2D2D2"/>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2" w:type="dxa"/>
            <w:tcBorders>
              <w:top w:val="single" w:sz="4" w:space="0" w:color="000000"/>
              <w:left w:val="single" w:sz="9" w:space="0" w:color="D2D2D2"/>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1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83,626,686.34</w:t>
            </w: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266,400.71</w:t>
            </w: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9,985,834.59</w:t>
            </w: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65,090,532.71</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57,525,511.42</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342,494,965.77</w:t>
            </w:r>
          </w:p>
        </w:tc>
      </w:tr>
      <w:tr>
        <w:trPr>
          <w:trHeight w:val="714" w:hRule="exact"/>
        </w:trPr>
        <w:tc>
          <w:tcPr>
            <w:tcW w:w="19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9" w:space="0" w:color="D2D2D2"/>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1,596,163.75</w:t>
            </w: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-5,543.55</w:t>
            </w:r>
            <w:r>
              <w:rPr>
                <w:rFonts w:ascii="Times New Roman"/>
                <w:sz w:val="18"/>
              </w:rPr>
            </w: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-43,101,109.04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-50,616,787.74</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-92,127,276.58</w:t>
            </w:r>
          </w:p>
        </w:tc>
      </w:tr>
      <w:tr>
        <w:trPr>
          <w:trHeight w:val="402" w:hRule="exact"/>
        </w:trPr>
        <w:tc>
          <w:tcPr>
            <w:tcW w:w="19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9" w:space="0" w:color="D2D2D2"/>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-5,543.55</w:t>
            </w:r>
            <w:r>
              <w:rPr>
                <w:rFonts w:ascii="Times New Roman"/>
                <w:sz w:val="18"/>
              </w:rPr>
            </w: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-42,345,109.04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-435,738.87</w:t>
            </w:r>
            <w:r>
              <w:rPr>
                <w:rFonts w:ascii="Times New Roman"/>
                <w:sz w:val="18"/>
              </w:rPr>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-42,786,391.46</w:t>
            </w:r>
          </w:p>
        </w:tc>
      </w:tr>
      <w:tr>
        <w:trPr>
          <w:trHeight w:val="714" w:hRule="exact"/>
        </w:trPr>
        <w:tc>
          <w:tcPr>
            <w:tcW w:w="19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9"/>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w:t>
            </w:r>
            <w:r>
              <w:rPr>
                <w:rFonts w:ascii="宋体" w:hAnsi="宋体" w:cs="宋体" w:eastAsia="宋体" w:hint="default"/>
                <w:sz w:val="18"/>
                <w:szCs w:val="18"/>
              </w:rPr>
              <w:t> 资本</w:t>
            </w:r>
          </w:p>
        </w:tc>
        <w:tc>
          <w:tcPr>
            <w:tcW w:w="1192" w:type="dxa"/>
            <w:tcBorders>
              <w:top w:val="single" w:sz="4" w:space="0" w:color="000000"/>
              <w:left w:val="single" w:sz="9" w:space="0" w:color="D2D2D2"/>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1,596,163.75</w:t>
            </w: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-50,181,048.87</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-48,584,885.12</w:t>
            </w:r>
          </w:p>
        </w:tc>
      </w:tr>
      <w:tr>
        <w:trPr>
          <w:trHeight w:val="402" w:hRule="exact"/>
        </w:trPr>
        <w:tc>
          <w:tcPr>
            <w:tcW w:w="19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2" w:type="dxa"/>
            <w:tcBorders>
              <w:top w:val="single" w:sz="4" w:space="0" w:color="000000"/>
              <w:left w:val="single" w:sz="9" w:space="0" w:color="D2D2D2"/>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92" w:type="dxa"/>
            <w:tcBorders>
              <w:top w:val="single" w:sz="4" w:space="0" w:color="000000"/>
              <w:left w:val="single" w:sz="9" w:space="0" w:color="D2D2D2"/>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92" w:type="dxa"/>
            <w:tcBorders>
              <w:top w:val="single" w:sz="4" w:space="0" w:color="000000"/>
              <w:left w:val="single" w:sz="9" w:space="0" w:color="D2D2D2"/>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1,596,163.75</w:t>
            </w: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-50,181,048.87</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-48,584,885.12</w:t>
            </w:r>
          </w:p>
        </w:tc>
      </w:tr>
      <w:tr>
        <w:trPr>
          <w:trHeight w:val="402" w:hRule="exact"/>
        </w:trPr>
        <w:tc>
          <w:tcPr>
            <w:tcW w:w="19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2" w:type="dxa"/>
            <w:tcBorders>
              <w:top w:val="single" w:sz="4" w:space="0" w:color="000000"/>
              <w:left w:val="single" w:sz="9" w:space="0" w:color="D2D2D2"/>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-756,000.00</w:t>
            </w:r>
            <w:r>
              <w:rPr>
                <w:rFonts w:ascii="Times New Roman"/>
                <w:sz w:val="18"/>
              </w:rPr>
            </w:r>
          </w:p>
        </w:tc>
        <w:tc>
          <w:tcPr>
            <w:tcW w:w="115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-756,000.00</w:t>
            </w:r>
            <w:r>
              <w:rPr>
                <w:rFonts w:ascii="Times New Roman"/>
                <w:sz w:val="18"/>
              </w:rPr>
            </w:r>
          </w:p>
        </w:tc>
      </w:tr>
      <w:tr>
        <w:trPr>
          <w:trHeight w:val="402" w:hRule="exact"/>
        </w:trPr>
        <w:tc>
          <w:tcPr>
            <w:tcW w:w="19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2" w:type="dxa"/>
            <w:tcBorders>
              <w:top w:val="single" w:sz="4" w:space="0" w:color="000000"/>
              <w:left w:val="single" w:sz="9" w:space="0" w:color="D2D2D2"/>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4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92" w:type="dxa"/>
            <w:tcBorders>
              <w:top w:val="single" w:sz="4" w:space="0" w:color="000000"/>
              <w:left w:val="single" w:sz="9" w:space="0" w:color="D2D2D2"/>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79" w:top="1060" w:bottom="116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971"/>
        <w:gridCol w:w="1181"/>
        <w:gridCol w:w="642"/>
        <w:gridCol w:w="642"/>
        <w:gridCol w:w="646"/>
        <w:gridCol w:w="1091"/>
        <w:gridCol w:w="839"/>
        <w:gridCol w:w="866"/>
        <w:gridCol w:w="812"/>
        <w:gridCol w:w="1002"/>
        <w:gridCol w:w="840"/>
        <w:gridCol w:w="1151"/>
        <w:gridCol w:w="1151"/>
        <w:gridCol w:w="1183"/>
      </w:tblGrid>
      <w:tr>
        <w:trPr>
          <w:trHeight w:val="729" w:hRule="exact"/>
        </w:trPr>
        <w:tc>
          <w:tcPr>
            <w:tcW w:w="1971"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15" w:space="0" w:color="000000"/>
              <w:left w:val="single" w:sz="4" w:space="0" w:color="000000"/>
              <w:bottom w:val="single" w:sz="4" w:space="0" w:color="000000"/>
              <w:right w:val="single" w:sz="4" w:space="0" w:color="000000"/>
            </w:tcBorders>
          </w:tcPr>
          <w:p>
            <w:pPr/>
          </w:p>
        </w:tc>
        <w:tc>
          <w:tcPr>
            <w:tcW w:w="642" w:type="dxa"/>
            <w:tcBorders>
              <w:top w:val="single" w:sz="15" w:space="0" w:color="000000"/>
              <w:left w:val="single" w:sz="4" w:space="0" w:color="000000"/>
              <w:bottom w:val="single" w:sz="4" w:space="0" w:color="000000"/>
              <w:right w:val="single" w:sz="4" w:space="0" w:color="000000"/>
            </w:tcBorders>
          </w:tcPr>
          <w:p>
            <w:pPr/>
          </w:p>
        </w:tc>
        <w:tc>
          <w:tcPr>
            <w:tcW w:w="642" w:type="dxa"/>
            <w:tcBorders>
              <w:top w:val="single" w:sz="15" w:space="0" w:color="000000"/>
              <w:left w:val="single" w:sz="4" w:space="0" w:color="000000"/>
              <w:bottom w:val="single" w:sz="4" w:space="0" w:color="000000"/>
              <w:right w:val="single" w:sz="4" w:space="0" w:color="000000"/>
            </w:tcBorders>
          </w:tcPr>
          <w:p>
            <w:pPr/>
          </w:p>
        </w:tc>
        <w:tc>
          <w:tcPr>
            <w:tcW w:w="646"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839" w:type="dxa"/>
            <w:tcBorders>
              <w:top w:val="single" w:sz="15" w:space="0" w:color="000000"/>
              <w:left w:val="single" w:sz="4" w:space="0" w:color="000000"/>
              <w:bottom w:val="single" w:sz="4" w:space="0" w:color="000000"/>
              <w:right w:val="single" w:sz="4" w:space="0" w:color="000000"/>
            </w:tcBorders>
          </w:tcPr>
          <w:p>
            <w:pPr/>
          </w:p>
        </w:tc>
        <w:tc>
          <w:tcPr>
            <w:tcW w:w="866" w:type="dxa"/>
            <w:tcBorders>
              <w:top w:val="single" w:sz="15" w:space="0" w:color="000000"/>
              <w:left w:val="single" w:sz="4" w:space="0" w:color="000000"/>
              <w:bottom w:val="single" w:sz="4" w:space="0" w:color="000000"/>
              <w:right w:val="single" w:sz="4" w:space="0" w:color="000000"/>
            </w:tcBorders>
          </w:tcPr>
          <w:p>
            <w:pPr/>
          </w:p>
        </w:tc>
        <w:tc>
          <w:tcPr>
            <w:tcW w:w="812" w:type="dxa"/>
            <w:tcBorders>
              <w:top w:val="single" w:sz="15" w:space="0" w:color="000000"/>
              <w:left w:val="single" w:sz="4" w:space="0" w:color="000000"/>
              <w:bottom w:val="single" w:sz="4" w:space="0" w:color="000000"/>
              <w:right w:val="single" w:sz="4" w:space="0" w:color="000000"/>
            </w:tcBorders>
          </w:tcPr>
          <w:p>
            <w:pPr/>
          </w:p>
        </w:tc>
        <w:tc>
          <w:tcPr>
            <w:tcW w:w="1002" w:type="dxa"/>
            <w:tcBorders>
              <w:top w:val="single" w:sz="15" w:space="0" w:color="000000"/>
              <w:left w:val="single" w:sz="4" w:space="0" w:color="000000"/>
              <w:bottom w:val="single" w:sz="4" w:space="0" w:color="000000"/>
              <w:right w:val="single" w:sz="4" w:space="0" w:color="000000"/>
            </w:tcBorders>
          </w:tcPr>
          <w:p>
            <w:pPr/>
          </w:p>
        </w:tc>
        <w:tc>
          <w:tcPr>
            <w:tcW w:w="840" w:type="dxa"/>
            <w:tcBorders>
              <w:top w:val="single" w:sz="15" w:space="0" w:color="000000"/>
              <w:left w:val="single" w:sz="4" w:space="0" w:color="000000"/>
              <w:bottom w:val="single" w:sz="4" w:space="0" w:color="000000"/>
              <w:right w:val="single" w:sz="4" w:space="0" w:color="000000"/>
            </w:tcBorders>
          </w:tcPr>
          <w:p>
            <w:pPr/>
          </w:p>
        </w:tc>
        <w:tc>
          <w:tcPr>
            <w:tcW w:w="11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-756,000.00</w:t>
            </w:r>
            <w:r>
              <w:rPr>
                <w:rFonts w:ascii="Times New Roman"/>
                <w:sz w:val="18"/>
              </w:rPr>
            </w:r>
          </w:p>
        </w:tc>
        <w:tc>
          <w:tcPr>
            <w:tcW w:w="1151"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w w:val="95"/>
                <w:sz w:val="18"/>
              </w:rPr>
              <w:t>-756,000.00</w:t>
            </w:r>
            <w:r>
              <w:rPr>
                <w:rFonts w:ascii="Times New Roman"/>
                <w:sz w:val="18"/>
              </w:rPr>
            </w:r>
          </w:p>
        </w:tc>
      </w:tr>
      <w:tr>
        <w:trPr>
          <w:trHeight w:val="402" w:hRule="exact"/>
        </w:trPr>
        <w:tc>
          <w:tcPr>
            <w:tcW w:w="19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21"/>
              <w:jc w:val="left"/>
              <w:rPr>
                <w:rFonts w:ascii="宋体" w:hAnsi="宋体" w:cs="宋体" w:eastAsia="宋体" w:hint="default"/>
                <w:sz w:val="18"/>
                <w:szCs w:val="18"/>
              </w:rPr>
            </w:pPr>
            <w:r>
              <w:rPr>
                <w:rFonts w:ascii="宋体" w:hAnsi="宋体" w:cs="宋体" w:eastAsia="宋体" w:hint="default"/>
                <w:spacing w:val="-6"/>
                <w:sz w:val="18"/>
                <w:szCs w:val="18"/>
              </w:rPr>
              <w:t>（四）所有者权益内部结</w:t>
            </w:r>
            <w:r>
              <w:rPr>
                <w:rFonts w:ascii="宋体" w:hAnsi="宋体" w:cs="宋体" w:eastAsia="宋体" w:hint="default"/>
                <w:sz w:val="18"/>
                <w:szCs w:val="18"/>
              </w:rPr>
              <w:t> 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．资本公积转增资本（或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．盈余公积转增资本（或</w:t>
            </w:r>
            <w:r>
              <w:rPr>
                <w:rFonts w:ascii="宋体" w:hAnsi="宋体" w:cs="宋体" w:eastAsia="宋体" w:hint="default"/>
                <w:sz w:val="18"/>
                <w:szCs w:val="18"/>
              </w:rPr>
              <w:t> 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97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126,000,000.00</w:t>
            </w: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85,222,850.09</w:t>
            </w:r>
          </w:p>
        </w:tc>
        <w:tc>
          <w:tcPr>
            <w:tcW w:w="839"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260,857.16</w:t>
            </w:r>
          </w:p>
        </w:tc>
        <w:tc>
          <w:tcPr>
            <w:tcW w:w="81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9,985,834.59</w:t>
            </w:r>
          </w:p>
        </w:tc>
        <w:tc>
          <w:tcPr>
            <w:tcW w:w="84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21,989,423.67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6,908,723.68</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250,367,689.19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60" w:right="0"/>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60" w:right="0"/>
        <w:jc w:val="left"/>
      </w:pPr>
      <w:r>
        <w:rPr/>
        <w:t>本期金额</w:t>
      </w:r>
    </w:p>
    <w:p>
      <w:pPr>
        <w:pStyle w:val="BodyText"/>
        <w:spacing w:line="240" w:lineRule="auto" w:before="117"/>
        <w:ind w:left="0" w:right="275"/>
        <w:jc w:val="right"/>
      </w:pPr>
      <w:r>
        <w:rPr/>
        <w:t>单位：元</w:t>
      </w:r>
    </w:p>
    <w:p>
      <w:pPr>
        <w:spacing w:line="240" w:lineRule="auto" w:before="13"/>
        <w:rPr>
          <w:rFonts w:ascii="宋体" w:hAnsi="宋体" w:cs="宋体" w:eastAsia="宋体" w:hint="default"/>
          <w:sz w:val="7"/>
          <w:szCs w:val="7"/>
        </w:rPr>
      </w:pPr>
    </w:p>
    <w:tbl>
      <w:tblPr>
        <w:tblW w:w="0" w:type="auto"/>
        <w:jc w:val="left"/>
        <w:tblInd w:w="127" w:type="dxa"/>
        <w:tblLayout w:type="fixed"/>
        <w:tblCellMar>
          <w:top w:w="0" w:type="dxa"/>
          <w:left w:w="0" w:type="dxa"/>
          <w:bottom w:w="0" w:type="dxa"/>
          <w:right w:w="0" w:type="dxa"/>
        </w:tblCellMar>
        <w:tblLook w:val="01E0"/>
      </w:tblPr>
      <w:tblGrid>
        <w:gridCol w:w="2076"/>
        <w:gridCol w:w="1181"/>
        <w:gridCol w:w="2819"/>
        <w:gridCol w:w="1132"/>
        <w:gridCol w:w="1135"/>
        <w:gridCol w:w="1133"/>
        <w:gridCol w:w="1134"/>
        <w:gridCol w:w="1133"/>
        <w:gridCol w:w="1091"/>
        <w:gridCol w:w="1181"/>
      </w:tblGrid>
      <w:tr>
        <w:trPr>
          <w:trHeight w:val="402" w:hRule="exact"/>
        </w:trPr>
        <w:tc>
          <w:tcPr>
            <w:tcW w:w="2076"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8" w:type="dxa"/>
            <w:gridSpan w:val="9"/>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076" w:type="dxa"/>
            <w:vMerge/>
            <w:tcBorders>
              <w:left w:val="nil" w:sz="6" w:space="0" w:color="auto"/>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其他综合收</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71"/>
              <w:ind w:left="45" w:right="0"/>
              <w:jc w:val="left"/>
              <w:rPr>
                <w:rFonts w:ascii="宋体" w:hAnsi="宋体" w:cs="宋体" w:eastAsia="宋体" w:hint="default"/>
                <w:sz w:val="18"/>
                <w:szCs w:val="18"/>
              </w:rPr>
            </w:pPr>
            <w:r>
              <w:rPr>
                <w:rFonts w:ascii="宋体" w:hAnsi="宋体" w:cs="宋体" w:eastAsia="宋体" w:hint="default"/>
                <w:sz w:val="18"/>
                <w:szCs w:val="18"/>
              </w:rPr>
              <w:t>所有者权益合</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280" w:right="1260"/>
        </w:sectPr>
      </w:pPr>
    </w:p>
    <w:p>
      <w:pPr>
        <w:spacing w:line="240" w:lineRule="auto" w:before="5"/>
        <w:rPr>
          <w:rFonts w:ascii="Times New Roman" w:hAnsi="Times New Roman" w:cs="Times New Roman" w:eastAsia="Times New Roman" w:hint="default"/>
          <w:sz w:val="17"/>
          <w:szCs w:val="17"/>
        </w:rPr>
      </w:pPr>
      <w:r>
        <w:rPr/>
        <w:pict>
          <v:shape style="position:absolute;margin-left:70.349998pt;margin-top:55.260006pt;width:703.05pt;height:477.5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51"/>
                    <w:gridCol w:w="1193"/>
                    <w:gridCol w:w="938"/>
                    <w:gridCol w:w="940"/>
                    <w:gridCol w:w="941"/>
                    <w:gridCol w:w="1132"/>
                    <w:gridCol w:w="1135"/>
                    <w:gridCol w:w="1133"/>
                    <w:gridCol w:w="1134"/>
                    <w:gridCol w:w="1133"/>
                    <w:gridCol w:w="1091"/>
                    <w:gridCol w:w="1183"/>
                  </w:tblGrid>
                  <w:tr>
                    <w:trPr>
                      <w:trHeight w:val="416" w:hRule="exact"/>
                    </w:trPr>
                    <w:tc>
                      <w:tcPr>
                        <w:tcW w:w="2051" w:type="dxa"/>
                        <w:tcBorders>
                          <w:top w:val="single" w:sz="15" w:space="0" w:color="000000"/>
                          <w:left w:val="nil" w:sz="6" w:space="0" w:color="auto"/>
                          <w:bottom w:val="single" w:sz="4" w:space="0" w:color="000000"/>
                          <w:right w:val="single" w:sz="4" w:space="0" w:color="000000"/>
                        </w:tcBorders>
                        <w:shd w:val="clear" w:color="auto" w:fill="D2D2D2"/>
                      </w:tcPr>
                      <w:p>
                        <w:pPr/>
                      </w:p>
                    </w:tc>
                    <w:tc>
                      <w:tcPr>
                        <w:tcW w:w="1193"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9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4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4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2"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91"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83"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83,631,541.26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20" w:space="0" w:color="D2D2D2"/>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9,985,834.59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42,116,034.78</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261,733,410.63</w:t>
                        </w: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16"/>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83,631,541.26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9,985,834.59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42,116,034.78</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261,733,410.63</w:t>
                        </w:r>
                      </w:p>
                    </w:tc>
                  </w:tr>
                  <w:tr>
                    <w:trPr>
                      <w:trHeight w:val="714"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9"/>
                          <w:jc w:val="left"/>
                          <w:rPr>
                            <w:rFonts w:ascii="宋体" w:hAnsi="宋体" w:cs="宋体" w:eastAsia="宋体" w:hint="default"/>
                            <w:sz w:val="18"/>
                            <w:szCs w:val="18"/>
                          </w:rPr>
                        </w:pPr>
                        <w:r>
                          <w:rPr>
                            <w:rFonts w:ascii="宋体" w:hAnsi="宋体" w:cs="宋体" w:eastAsia="宋体" w:hint="default"/>
                            <w:spacing w:val="-12"/>
                            <w:sz w:val="18"/>
                            <w:szCs w:val="18"/>
                          </w:rPr>
                          <w:t>三、本期增减变动金额（减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1,612,546.81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14,512,921.33</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16,125,468.14</w:t>
                        </w: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16,125,468.14</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16,125,468.14</w:t>
                        </w:r>
                      </w:p>
                    </w:tc>
                  </w:tr>
                  <w:tr>
                    <w:trPr>
                      <w:trHeight w:val="714"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51"/>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1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1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1,612,546.81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-1,612,546.81</w:t>
                        </w: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1,612,546.81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-1,612,546.81</w:t>
                        </w: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13" w:right="1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．对所有者（或股东）的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51"/>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71"/>
                          <w:ind w:left="1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6840" w:h="11910" w:orient="landscape"/>
          <w:pgMar w:header="867" w:footer="979" w:top="1060" w:bottom="1280" w:left="1300" w:right="126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076"/>
        <w:gridCol w:w="1181"/>
        <w:gridCol w:w="938"/>
        <w:gridCol w:w="940"/>
        <w:gridCol w:w="941"/>
        <w:gridCol w:w="1132"/>
        <w:gridCol w:w="1135"/>
        <w:gridCol w:w="1133"/>
        <w:gridCol w:w="1134"/>
        <w:gridCol w:w="1133"/>
        <w:gridCol w:w="1091"/>
        <w:gridCol w:w="1183"/>
      </w:tblGrid>
      <w:tr>
        <w:trPr>
          <w:trHeight w:val="377" w:hRule="exact"/>
        </w:trPr>
        <w:tc>
          <w:tcPr>
            <w:tcW w:w="2076"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38" w:type="dxa"/>
            <w:tcBorders>
              <w:top w:val="single" w:sz="15" w:space="0" w:color="000000"/>
              <w:left w:val="single" w:sz="4" w:space="0" w:color="000000"/>
              <w:bottom w:val="single" w:sz="4" w:space="0" w:color="000000"/>
              <w:right w:val="single" w:sz="4" w:space="0" w:color="000000"/>
            </w:tcBorders>
          </w:tcPr>
          <w:p>
            <w:pPr/>
          </w:p>
        </w:tc>
        <w:tc>
          <w:tcPr>
            <w:tcW w:w="940" w:type="dxa"/>
            <w:tcBorders>
              <w:top w:val="single" w:sz="15" w:space="0" w:color="000000"/>
              <w:left w:val="single" w:sz="4" w:space="0" w:color="000000"/>
              <w:bottom w:val="single" w:sz="4" w:space="0" w:color="000000"/>
              <w:right w:val="single" w:sz="4" w:space="0" w:color="000000"/>
            </w:tcBorders>
          </w:tcPr>
          <w:p>
            <w:pPr/>
          </w:p>
        </w:tc>
        <w:tc>
          <w:tcPr>
            <w:tcW w:w="941" w:type="dxa"/>
            <w:tcBorders>
              <w:top w:val="single" w:sz="15" w:space="0" w:color="000000"/>
              <w:left w:val="single" w:sz="4" w:space="0" w:color="000000"/>
              <w:bottom w:val="single" w:sz="4" w:space="0" w:color="000000"/>
              <w:right w:val="single" w:sz="4" w:space="0" w:color="000000"/>
            </w:tcBorders>
          </w:tcPr>
          <w:p>
            <w:pPr/>
          </w:p>
        </w:tc>
        <w:tc>
          <w:tcPr>
            <w:tcW w:w="1132"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nil" w:sz="6" w:space="0" w:color="auto"/>
            </w:tcBorders>
          </w:tcPr>
          <w:p>
            <w:pPr/>
          </w:p>
        </w:tc>
      </w:tr>
      <w:tr>
        <w:trPr>
          <w:trHeight w:val="714"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．设定受益计划变动额结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126,000,000.00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83,631,541.26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11,598,381.40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56,628,956.11</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277,858,878.77</w:t>
            </w:r>
          </w:p>
        </w:tc>
      </w:tr>
    </w:tbl>
    <w:p>
      <w:pPr>
        <w:pStyle w:val="BodyText"/>
        <w:spacing w:line="240" w:lineRule="auto" w:before="51"/>
        <w:ind w:left="160" w:right="0"/>
        <w:jc w:val="left"/>
      </w:pPr>
      <w:r>
        <w:rPr/>
        <w:t>上期金额</w:t>
      </w:r>
    </w:p>
    <w:p>
      <w:pPr>
        <w:pStyle w:val="BodyText"/>
        <w:spacing w:line="240" w:lineRule="auto" w:before="117"/>
        <w:ind w:left="0" w:right="275"/>
        <w:jc w:val="right"/>
      </w:pPr>
      <w:r>
        <w:rPr/>
        <w:t>单位：元</w:t>
      </w:r>
    </w:p>
    <w:p>
      <w:pPr>
        <w:spacing w:line="240" w:lineRule="auto" w:before="13"/>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2045"/>
        <w:gridCol w:w="1193"/>
        <w:gridCol w:w="932"/>
        <w:gridCol w:w="931"/>
        <w:gridCol w:w="935"/>
        <w:gridCol w:w="1125"/>
        <w:gridCol w:w="1128"/>
        <w:gridCol w:w="1126"/>
        <w:gridCol w:w="1128"/>
        <w:gridCol w:w="1127"/>
        <w:gridCol w:w="1151"/>
        <w:gridCol w:w="1167"/>
      </w:tblGrid>
      <w:tr>
        <w:trPr>
          <w:trHeight w:val="397" w:hRule="exact"/>
        </w:trPr>
        <w:tc>
          <w:tcPr>
            <w:tcW w:w="2045" w:type="dxa"/>
            <w:tcBorders>
              <w:top w:val="single" w:sz="4" w:space="0" w:color="000000"/>
              <w:left w:val="nil" w:sz="6" w:space="0" w:color="auto"/>
              <w:bottom w:val="nil" w:sz="6" w:space="0" w:color="auto"/>
              <w:right w:val="single" w:sz="4" w:space="0" w:color="000000"/>
            </w:tcBorders>
            <w:shd w:val="clear" w:color="auto" w:fill="D2D2D2"/>
          </w:tcPr>
          <w:p>
            <w:pPr/>
          </w:p>
        </w:tc>
        <w:tc>
          <w:tcPr>
            <w:tcW w:w="11943" w:type="dxa"/>
            <w:gridSpan w:val="11"/>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2045"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66" w:right="10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101"/>
              <w:ind w:left="495" w:right="34"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1" w:hRule="exact"/>
        </w:trPr>
        <w:tc>
          <w:tcPr>
            <w:tcW w:w="2045" w:type="dxa"/>
            <w:vMerge/>
            <w:tcBorders>
              <w:left w:val="nil" w:sz="6" w:space="0" w:color="auto"/>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98" w:type="dxa"/>
            <w:gridSpan w:val="3"/>
            <w:vMerge/>
            <w:tcBorders>
              <w:left w:val="single" w:sz="4" w:space="0" w:color="000000"/>
              <w:bottom w:val="single" w:sz="4" w:space="0" w:color="000000"/>
              <w:right w:val="single" w:sz="4" w:space="0" w:color="000000"/>
            </w:tcBorders>
            <w:shd w:val="clear" w:color="auto" w:fill="D2D2D2"/>
          </w:tcPr>
          <w:p>
            <w:pPr/>
          </w:p>
        </w:tc>
        <w:tc>
          <w:tcPr>
            <w:tcW w:w="11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26" w:type="dxa"/>
            <w:vMerge/>
            <w:tcBorders>
              <w:left w:val="single" w:sz="4" w:space="0" w:color="000000"/>
              <w:right w:val="single" w:sz="4" w:space="0" w:color="000000"/>
            </w:tcBorders>
            <w:shd w:val="clear" w:color="auto" w:fill="D2D2D2"/>
          </w:tcPr>
          <w:p>
            <w:pPr/>
          </w:p>
        </w:tc>
        <w:tc>
          <w:tcPr>
            <w:tcW w:w="11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67" w:type="dxa"/>
            <w:vMerge/>
            <w:tcBorders>
              <w:left w:val="single" w:sz="4" w:space="0" w:color="000000"/>
              <w:right w:val="nil" w:sz="6" w:space="0" w:color="auto"/>
            </w:tcBorders>
            <w:shd w:val="clear" w:color="auto" w:fill="D2D2D2"/>
          </w:tcPr>
          <w:p>
            <w:pPr/>
          </w:p>
        </w:tc>
      </w:tr>
      <w:tr>
        <w:trPr>
          <w:trHeight w:val="200" w:hRule="exact"/>
        </w:trPr>
        <w:tc>
          <w:tcPr>
            <w:tcW w:w="2045" w:type="dxa"/>
            <w:vMerge w:val="restart"/>
            <w:tcBorders>
              <w:top w:val="nil" w:sz="6" w:space="0" w:color="auto"/>
              <w:left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25" w:type="dxa"/>
            <w:vMerge/>
            <w:tcBorders>
              <w:left w:val="single" w:sz="4" w:space="0" w:color="000000"/>
              <w:bottom w:val="nil" w:sz="6" w:space="0" w:color="auto"/>
              <w:right w:val="single" w:sz="4" w:space="0" w:color="000000"/>
            </w:tcBorders>
            <w:shd w:val="clear" w:color="auto" w:fill="D2D2D2"/>
          </w:tcPr>
          <w:p>
            <w:pPr/>
          </w:p>
        </w:tc>
        <w:tc>
          <w:tcPr>
            <w:tcW w:w="1128" w:type="dxa"/>
            <w:vMerge/>
            <w:tcBorders>
              <w:left w:val="single" w:sz="4" w:space="0" w:color="000000"/>
              <w:bottom w:val="nil" w:sz="6" w:space="0" w:color="auto"/>
              <w:right w:val="single" w:sz="4" w:space="0" w:color="000000"/>
            </w:tcBorders>
            <w:shd w:val="clear" w:color="auto" w:fill="D2D2D2"/>
          </w:tcPr>
          <w:p>
            <w:pPr/>
          </w:p>
        </w:tc>
        <w:tc>
          <w:tcPr>
            <w:tcW w:w="1126" w:type="dxa"/>
            <w:vMerge/>
            <w:tcBorders>
              <w:left w:val="single" w:sz="4" w:space="0" w:color="000000"/>
              <w:right w:val="single" w:sz="4" w:space="0" w:color="000000"/>
            </w:tcBorders>
            <w:shd w:val="clear" w:color="auto" w:fill="D2D2D2"/>
          </w:tcPr>
          <w:p>
            <w:pPr/>
          </w:p>
        </w:tc>
        <w:tc>
          <w:tcPr>
            <w:tcW w:w="1128" w:type="dxa"/>
            <w:vMerge/>
            <w:tcBorders>
              <w:left w:val="single" w:sz="4" w:space="0" w:color="000000"/>
              <w:bottom w:val="nil" w:sz="6" w:space="0" w:color="auto"/>
              <w:right w:val="single" w:sz="4" w:space="0" w:color="000000"/>
            </w:tcBorders>
            <w:shd w:val="clear" w:color="auto" w:fill="D2D2D2"/>
          </w:tcPr>
          <w:p>
            <w:pPr/>
          </w:p>
        </w:tc>
        <w:tc>
          <w:tcPr>
            <w:tcW w:w="1127" w:type="dxa"/>
            <w:vMerge/>
            <w:tcBorders>
              <w:left w:val="single" w:sz="4" w:space="0" w:color="000000"/>
              <w:bottom w:val="nil" w:sz="6" w:space="0" w:color="auto"/>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right w:val="nil" w:sz="6" w:space="0" w:color="auto"/>
            </w:tcBorders>
            <w:shd w:val="clear" w:color="auto" w:fill="D2D2D2"/>
          </w:tcPr>
          <w:p>
            <w:pPr/>
          </w:p>
        </w:tc>
      </w:tr>
      <w:tr>
        <w:trPr>
          <w:trHeight w:val="206" w:hRule="exact"/>
        </w:trPr>
        <w:tc>
          <w:tcPr>
            <w:tcW w:w="2045" w:type="dxa"/>
            <w:vMerge/>
            <w:tcBorders>
              <w:left w:val="nil" w:sz="6" w:space="0" w:color="auto"/>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shd w:val="clear" w:color="auto" w:fill="D2D2D2"/>
          </w:tcPr>
          <w:p>
            <w:pPr/>
          </w:p>
        </w:tc>
        <w:tc>
          <w:tcPr>
            <w:tcW w:w="1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83,178,416.26</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22" w:space="0" w:color="D2D2D2"/>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9,985,834.59</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70,523,262.85</w:t>
            </w:r>
          </w:p>
        </w:tc>
        <w:tc>
          <w:tcPr>
            <w:tcW w:w="1167" w:type="dxa"/>
            <w:tcBorders>
              <w:top w:val="single" w:sz="22" w:space="0" w:color="D2D2D2"/>
              <w:left w:val="single" w:sz="4" w:space="0" w:color="000000"/>
              <w:bottom w:val="single" w:sz="4" w:space="0" w:color="000000"/>
              <w:right w:val="nil" w:sz="6" w:space="0" w:color="auto"/>
            </w:tcBorders>
          </w:tcPr>
          <w:p>
            <w:pPr>
              <w:pStyle w:val="TableParagraph"/>
              <w:spacing w:line="240" w:lineRule="auto" w:before="68"/>
              <w:ind w:left="10" w:right="0"/>
              <w:jc w:val="center"/>
              <w:rPr>
                <w:rFonts w:ascii="Times New Roman" w:hAnsi="Times New Roman" w:cs="Times New Roman" w:eastAsia="Times New Roman" w:hint="default"/>
                <w:sz w:val="18"/>
                <w:szCs w:val="18"/>
              </w:rPr>
            </w:pPr>
            <w:r>
              <w:rPr>
                <w:rFonts w:ascii="Times New Roman"/>
                <w:sz w:val="18"/>
              </w:rPr>
              <w:t>289,687,513.70</w:t>
            </w: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2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25"/>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83,178,416.26</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9,985,834.59</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70,523,262.85</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289,687,513.70</w:t>
            </w:r>
          </w:p>
        </w:tc>
      </w:tr>
      <w:tr>
        <w:trPr>
          <w:trHeight w:val="714" w:hRule="exact"/>
        </w:trPr>
        <w:tc>
          <w:tcPr>
            <w:tcW w:w="204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0"/>
              <w:jc w:val="left"/>
              <w:rPr>
                <w:rFonts w:ascii="宋体" w:hAnsi="宋体" w:cs="宋体" w:eastAsia="宋体" w:hint="default"/>
                <w:sz w:val="18"/>
                <w:szCs w:val="18"/>
              </w:rPr>
            </w:pPr>
            <w:r>
              <w:rPr>
                <w:rFonts w:ascii="宋体" w:hAnsi="宋体" w:cs="宋体" w:eastAsia="宋体" w:hint="default"/>
                <w:spacing w:val="-13"/>
                <w:sz w:val="18"/>
                <w:szCs w:val="18"/>
              </w:rPr>
              <w:t>三、本期增减变动金额（减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453,125.00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-28,407,228.07</w:t>
            </w:r>
          </w:p>
        </w:tc>
        <w:tc>
          <w:tcPr>
            <w:tcW w:w="1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-27,954,103.07</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79" w:top="1060" w:bottom="1160" w:left="1280" w:right="126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070"/>
        <w:gridCol w:w="1181"/>
        <w:gridCol w:w="932"/>
        <w:gridCol w:w="931"/>
        <w:gridCol w:w="935"/>
        <w:gridCol w:w="1125"/>
        <w:gridCol w:w="1128"/>
        <w:gridCol w:w="1126"/>
        <w:gridCol w:w="1128"/>
        <w:gridCol w:w="1127"/>
        <w:gridCol w:w="1151"/>
        <w:gridCol w:w="1183"/>
      </w:tblGrid>
      <w:tr>
        <w:trPr>
          <w:trHeight w:val="416" w:hRule="exact"/>
        </w:trPr>
        <w:tc>
          <w:tcPr>
            <w:tcW w:w="2070"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931" w:type="dxa"/>
            <w:tcBorders>
              <w:top w:val="single" w:sz="15" w:space="0" w:color="000000"/>
              <w:left w:val="single" w:sz="4" w:space="0" w:color="000000"/>
              <w:bottom w:val="single" w:sz="4" w:space="0" w:color="000000"/>
              <w:right w:val="single" w:sz="4" w:space="0" w:color="000000"/>
            </w:tcBorders>
          </w:tcPr>
          <w:p>
            <w:pPr/>
          </w:p>
        </w:tc>
        <w:tc>
          <w:tcPr>
            <w:tcW w:w="935" w:type="dxa"/>
            <w:tcBorders>
              <w:top w:val="single" w:sz="15" w:space="0" w:color="000000"/>
              <w:left w:val="single" w:sz="4" w:space="0" w:color="000000"/>
              <w:bottom w:val="single" w:sz="4" w:space="0" w:color="000000"/>
              <w:right w:val="single" w:sz="4" w:space="0" w:color="000000"/>
            </w:tcBorders>
          </w:tcPr>
          <w:p>
            <w:pPr/>
          </w:p>
        </w:tc>
        <w:tc>
          <w:tcPr>
            <w:tcW w:w="1125"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1127" w:type="dxa"/>
            <w:tcBorders>
              <w:top w:val="single" w:sz="15" w:space="0" w:color="000000"/>
              <w:left w:val="single" w:sz="4" w:space="0" w:color="000000"/>
              <w:bottom w:val="single" w:sz="4" w:space="0" w:color="000000"/>
              <w:right w:val="single" w:sz="4" w:space="0" w:color="000000"/>
            </w:tcBorders>
          </w:tcPr>
          <w:p>
            <w:pPr/>
          </w:p>
        </w:tc>
        <w:tc>
          <w:tcPr>
            <w:tcW w:w="11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-27,651,228.07</w:t>
            </w:r>
          </w:p>
        </w:tc>
        <w:tc>
          <w:tcPr>
            <w:tcW w:w="1183" w:type="dxa"/>
            <w:tcBorders>
              <w:top w:val="single" w:sz="15"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-27,651,228.07</w:t>
            </w: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7"/>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453,125.00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453,125.00</w:t>
            </w: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453,125.00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453,125.00</w:t>
            </w: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-756,000.00</w:t>
            </w:r>
            <w:r>
              <w:rPr>
                <w:rFonts w:ascii="Times New Roman"/>
                <w:sz w:val="18"/>
              </w:rPr>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w w:val="95"/>
                <w:sz w:val="18"/>
              </w:rPr>
              <w:t>-756,000.00</w:t>
            </w:r>
            <w:r>
              <w:rPr>
                <w:rFonts w:ascii="Times New Roman"/>
                <w:sz w:val="18"/>
              </w:rPr>
            </w: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．对所有者（或股东）的</w:t>
            </w:r>
            <w:r>
              <w:rPr>
                <w:rFonts w:ascii="宋体" w:hAnsi="宋体" w:cs="宋体" w:eastAsia="宋体" w:hint="default"/>
                <w:sz w:val="18"/>
                <w:szCs w:val="18"/>
              </w:rPr>
              <w:t> 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-756,000.00</w:t>
            </w:r>
            <w:r>
              <w:rPr>
                <w:rFonts w:ascii="Times New Roman"/>
                <w:sz w:val="18"/>
              </w:rPr>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w w:val="95"/>
                <w:sz w:val="18"/>
              </w:rPr>
              <w:t>-756,000.00</w:t>
            </w:r>
            <w:r>
              <w:rPr>
                <w:rFonts w:ascii="Times New Roman"/>
                <w:sz w:val="18"/>
              </w:rPr>
            </w: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27" w:right="57"/>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．设定受益计划变动额结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67" w:footer="979" w:top="1060" w:bottom="1160" w:left="1280" w:right="126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070"/>
        <w:gridCol w:w="1181"/>
        <w:gridCol w:w="932"/>
        <w:gridCol w:w="931"/>
        <w:gridCol w:w="935"/>
        <w:gridCol w:w="1125"/>
        <w:gridCol w:w="1128"/>
        <w:gridCol w:w="1126"/>
        <w:gridCol w:w="1128"/>
        <w:gridCol w:w="1127"/>
        <w:gridCol w:w="1151"/>
        <w:gridCol w:w="1183"/>
      </w:tblGrid>
      <w:tr>
        <w:trPr>
          <w:trHeight w:val="416" w:hRule="exact"/>
        </w:trPr>
        <w:tc>
          <w:tcPr>
            <w:tcW w:w="2070" w:type="dxa"/>
            <w:tcBorders>
              <w:top w:val="single" w:sz="15"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931" w:type="dxa"/>
            <w:tcBorders>
              <w:top w:val="single" w:sz="15" w:space="0" w:color="000000"/>
              <w:left w:val="single" w:sz="4" w:space="0" w:color="000000"/>
              <w:bottom w:val="single" w:sz="4" w:space="0" w:color="000000"/>
              <w:right w:val="single" w:sz="4" w:space="0" w:color="000000"/>
            </w:tcBorders>
          </w:tcPr>
          <w:p>
            <w:pPr/>
          </w:p>
        </w:tc>
        <w:tc>
          <w:tcPr>
            <w:tcW w:w="935" w:type="dxa"/>
            <w:tcBorders>
              <w:top w:val="single" w:sz="15" w:space="0" w:color="000000"/>
              <w:left w:val="single" w:sz="4" w:space="0" w:color="000000"/>
              <w:bottom w:val="single" w:sz="4" w:space="0" w:color="000000"/>
              <w:right w:val="single" w:sz="4" w:space="0" w:color="000000"/>
            </w:tcBorders>
          </w:tcPr>
          <w:p>
            <w:pPr/>
          </w:p>
        </w:tc>
        <w:tc>
          <w:tcPr>
            <w:tcW w:w="1125"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1127" w:type="dxa"/>
            <w:tcBorders>
              <w:top w:val="single" w:sz="15" w:space="0" w:color="000000"/>
              <w:left w:val="single" w:sz="4" w:space="0" w:color="000000"/>
              <w:bottom w:val="single" w:sz="4" w:space="0" w:color="000000"/>
              <w:right w:val="single" w:sz="4" w:space="0" w:color="000000"/>
            </w:tcBorders>
          </w:tcPr>
          <w:p>
            <w:pPr/>
          </w:p>
        </w:tc>
        <w:tc>
          <w:tcPr>
            <w:tcW w:w="1151"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0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126,000,000.00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83,631,541.26</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9,985,834.59</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42,116,034.78</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261,733,410.63</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1280" w:right="1260"/>
        </w:sectPr>
      </w:pPr>
    </w:p>
    <w:p>
      <w:pPr>
        <w:spacing w:line="240" w:lineRule="auto" w:before="5"/>
        <w:rPr>
          <w:rFonts w:ascii="Times New Roman" w:hAnsi="Times New Roman" w:cs="Times New Roman" w:eastAsia="Times New Roman" w:hint="default"/>
          <w:sz w:val="22"/>
          <w:szCs w:val="22"/>
        </w:rPr>
      </w:pPr>
    </w:p>
    <w:p>
      <w:pPr>
        <w:pStyle w:val="Heading3"/>
        <w:spacing w:line="240" w:lineRule="auto" w:before="26"/>
        <w:ind w:right="0"/>
        <w:jc w:val="left"/>
        <w:rPr>
          <w:b w:val="0"/>
          <w:bCs w:val="0"/>
        </w:rPr>
      </w:pPr>
      <w:bookmarkStart w:name="三、公司基本情况" w:id="166"/>
      <w:bookmarkEnd w:id="166"/>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1</w:t>
      </w:r>
      <w:r>
        <w:rPr/>
        <w:t>、公司注册地、组织形式和总部地址</w:t>
      </w:r>
    </w:p>
    <w:p>
      <w:pPr>
        <w:pStyle w:val="BodyText"/>
        <w:spacing w:line="302" w:lineRule="auto" w:before="101"/>
        <w:ind w:right="1120" w:firstLine="360"/>
        <w:jc w:val="both"/>
      </w:pPr>
      <w:r>
        <w:rPr/>
        <w:t>武汉金运激光股份有限公司（以下简称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w:t>
      </w:r>
      <w:r>
        <w:rPr>
          <w:spacing w:val="-24"/>
        </w:rPr>
        <w:t> </w:t>
      </w:r>
      <w:r>
        <w:rPr/>
        <w:t>前身为武汉金运激光设备制造有限公司，于</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月整 </w:t>
      </w:r>
      <w:r>
        <w:rPr>
          <w:spacing w:val="11"/>
        </w:rPr>
        <w:t>体变更为</w:t>
      </w:r>
      <w:r>
        <w:rPr>
          <w:rFonts w:ascii="Times New Roman" w:hAnsi="Times New Roman" w:cs="Times New Roman" w:eastAsia="Times New Roman" w:hint="default"/>
          <w:spacing w:val="11"/>
        </w:rPr>
        <w:t>“</w:t>
      </w:r>
      <w:r>
        <w:rPr>
          <w:spacing w:val="11"/>
        </w:rPr>
        <w:t>武汉金运激光股份有限公司</w:t>
      </w:r>
      <w:r>
        <w:rPr>
          <w:rFonts w:ascii="Times New Roman" w:hAnsi="Times New Roman" w:cs="Times New Roman" w:eastAsia="Times New Roman" w:hint="default"/>
          <w:spacing w:val="11"/>
        </w:rPr>
        <w:t>”</w:t>
      </w:r>
      <w:r>
        <w:rPr>
          <w:spacing w:val="11"/>
        </w:rPr>
        <w:t>。公司于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36"/>
        </w:rPr>
        <w:t> </w:t>
      </w:r>
      <w:r>
        <w:rPr>
          <w:spacing w:val="12"/>
        </w:rPr>
        <w:t>月在深圳证券交易所上市，现持有统一社会信用代码为 </w:t>
      </w:r>
      <w:r>
        <w:rPr>
          <w:rFonts w:ascii="Times New Roman" w:hAnsi="Times New Roman" w:cs="Times New Roman" w:eastAsia="Times New Roman" w:hint="default"/>
        </w:rPr>
        <w:t>91420100771373833D </w:t>
      </w:r>
      <w:r>
        <w:rPr/>
        <w:t>的营业执照。</w:t>
      </w:r>
    </w:p>
    <w:p>
      <w:pPr>
        <w:pStyle w:val="BodyText"/>
        <w:spacing w:line="240" w:lineRule="auto" w:before="50"/>
        <w:ind w:left="514" w:right="0"/>
        <w:jc w:val="left"/>
        <w:rPr>
          <w:rFonts w:ascii="Times New Roman" w:hAnsi="Times New Roman" w:cs="Times New Roman" w:eastAsia="Times New Roman" w:hint="default"/>
        </w:rPr>
      </w:pPr>
      <w:r>
        <w:rPr>
          <w:spacing w:val="-6"/>
        </w:rPr>
        <w:t>经过历年的派送红股、及转增股本，截至</w:t>
      </w:r>
      <w:r>
        <w:rPr>
          <w:spacing w:val="-45"/>
        </w:rPr>
        <w:t> </w:t>
      </w:r>
      <w:r>
        <w:rPr>
          <w:rFonts w:ascii="Times New Roman" w:hAnsi="Times New Roman" w:cs="Times New Roman" w:eastAsia="Times New Roman" w:hint="default"/>
        </w:rPr>
        <w:t>2018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 </w:t>
      </w:r>
      <w:r>
        <w:rPr>
          <w:spacing w:val="-5"/>
        </w:rPr>
        <w:t>日，本公司累计发行股本总数</w:t>
      </w:r>
      <w:r>
        <w:rPr>
          <w:spacing w:val="-45"/>
        </w:rPr>
        <w:t> </w:t>
      </w:r>
      <w:r>
        <w:rPr>
          <w:rFonts w:ascii="Times New Roman" w:hAnsi="Times New Roman" w:cs="Times New Roman" w:eastAsia="Times New Roman" w:hint="default"/>
        </w:rPr>
        <w:t>12,600 </w:t>
      </w:r>
      <w:r>
        <w:rPr>
          <w:spacing w:val="-7"/>
        </w:rPr>
        <w:t>万股，注册资本为</w:t>
      </w:r>
      <w:r>
        <w:rPr>
          <w:spacing w:val="-45"/>
        </w:rPr>
        <w:t> </w:t>
      </w:r>
      <w:r>
        <w:rPr>
          <w:rFonts w:ascii="Times New Roman" w:hAnsi="Times New Roman" w:cs="Times New Roman" w:eastAsia="Times New Roman" w:hint="default"/>
        </w:rPr>
        <w:t>12,600</w:t>
      </w:r>
    </w:p>
    <w:p>
      <w:pPr>
        <w:pStyle w:val="BodyText"/>
        <w:spacing w:line="240" w:lineRule="auto" w:before="64"/>
        <w:ind w:right="0"/>
        <w:jc w:val="left"/>
      </w:pPr>
      <w:r>
        <w:rPr/>
        <w:t>万元；注册地址暨总部地址：武汉市江岸区后湖街石桥一路</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栋；本公司最终实际控制人为梁伟先生。</w:t>
      </w:r>
    </w:p>
    <w:p>
      <w:pPr>
        <w:pStyle w:val="BodyText"/>
        <w:spacing w:line="240" w:lineRule="auto" w:before="102"/>
        <w:ind w:left="514" w:right="0"/>
        <w:jc w:val="left"/>
      </w:pPr>
      <w:r>
        <w:rPr>
          <w:rFonts w:ascii="Times New Roman" w:hAnsi="Times New Roman" w:cs="Times New Roman" w:eastAsia="Times New Roman" w:hint="default"/>
        </w:rPr>
        <w:t>2</w:t>
      </w:r>
      <w:r>
        <w:rPr/>
        <w:t>、公司业务性质和主要经营活动</w:t>
      </w:r>
    </w:p>
    <w:p>
      <w:pPr>
        <w:pStyle w:val="BodyText"/>
        <w:spacing w:line="302" w:lineRule="auto" w:before="101"/>
        <w:ind w:right="1114" w:firstLine="360"/>
        <w:jc w:val="left"/>
      </w:pPr>
      <w:r>
        <w:rPr/>
        <w:t>本公司属计算机、通信和其他电子设备制造业行业，主要产品和服务为 </w:t>
      </w:r>
      <w:r>
        <w:rPr>
          <w:rFonts w:ascii="Times New Roman" w:hAnsi="Times New Roman" w:cs="Times New Roman" w:eastAsia="Times New Roman" w:hint="default"/>
        </w:rPr>
        <w:t>X-Y</w:t>
      </w:r>
      <w:r>
        <w:rPr>
          <w:rFonts w:ascii="Times New Roman" w:hAnsi="Times New Roman" w:cs="Times New Roman" w:eastAsia="Times New Roman" w:hint="default"/>
          <w:spacing w:val="3"/>
        </w:rPr>
        <w:t> </w:t>
      </w:r>
      <w:r>
        <w:rPr/>
        <w:t>轴系列、振镜系列及雕花系列、裁床系列 激光设备、</w:t>
      </w:r>
      <w:r>
        <w:rPr>
          <w:rFonts w:ascii="Times New Roman" w:hAnsi="Times New Roman" w:cs="Times New Roman" w:eastAsia="Times New Roman" w:hint="default"/>
        </w:rPr>
        <w:t>3D</w:t>
      </w:r>
      <w:r>
        <w:rPr>
          <w:rFonts w:ascii="Times New Roman" w:hAnsi="Times New Roman" w:cs="Times New Roman" w:eastAsia="Times New Roman" w:hint="default"/>
          <w:spacing w:val="-1"/>
        </w:rPr>
        <w:t> </w:t>
      </w:r>
      <w:r>
        <w:rPr/>
        <w:t>打印设备及打印服务等。</w:t>
      </w:r>
    </w:p>
    <w:p>
      <w:pPr>
        <w:pStyle w:val="BodyText"/>
        <w:spacing w:line="240" w:lineRule="auto" w:before="52"/>
        <w:ind w:left="514" w:right="0"/>
        <w:jc w:val="left"/>
      </w:pPr>
      <w:r>
        <w:rPr>
          <w:rFonts w:ascii="Times New Roman" w:hAnsi="Times New Roman" w:cs="Times New Roman" w:eastAsia="Times New Roman" w:hint="default"/>
        </w:rPr>
        <w:t>3</w:t>
      </w:r>
      <w:r>
        <w:rPr/>
        <w:t>、财务报表的批准报出</w:t>
      </w:r>
    </w:p>
    <w:p>
      <w:pPr>
        <w:pStyle w:val="BodyText"/>
        <w:spacing w:line="338" w:lineRule="auto" w:before="102"/>
        <w:ind w:left="574" w:right="5716" w:hanging="60"/>
        <w:jc w:val="left"/>
      </w:pPr>
      <w:r>
        <w:rPr/>
        <w:pict>
          <v:shape style="position:absolute;margin-left:55.259995pt;margin-top:37.691723pt;width:484.4pt;height:249.6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4"/>
                    <w:gridCol w:w="1332"/>
                    <w:gridCol w:w="962"/>
                    <w:gridCol w:w="1445"/>
                    <w:gridCol w:w="1669"/>
                  </w:tblGrid>
                  <w:tr>
                    <w:trPr>
                      <w:trHeight w:val="342" w:hRule="exact"/>
                    </w:trPr>
                    <w:tc>
                      <w:tcPr>
                        <w:tcW w:w="4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8"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9"/>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54" w:hRule="exact"/>
                    </w:trPr>
                    <w:tc>
                      <w:tcPr>
                        <w:tcW w:w="4264"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21"/>
                          <w:ind w:left="24" w:right="195"/>
                          <w:jc w:val="left"/>
                          <w:rPr>
                            <w:rFonts w:ascii="宋体" w:hAnsi="宋体" w:cs="宋体" w:eastAsia="宋体" w:hint="default"/>
                            <w:sz w:val="18"/>
                            <w:szCs w:val="18"/>
                          </w:rPr>
                        </w:pPr>
                        <w:r>
                          <w:rPr>
                            <w:rFonts w:ascii="宋体" w:hAnsi="宋体" w:cs="宋体" w:eastAsia="宋体" w:hint="default"/>
                            <w:sz w:val="18"/>
                            <w:szCs w:val="18"/>
                          </w:rPr>
                          <w:t>武汉唯拓光纤激光工程有限公司（以下简称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武汉唯 拓</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9"/>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100</w:t>
                        </w:r>
                      </w:p>
                    </w:tc>
                  </w:tr>
                  <w:tr>
                    <w:trPr>
                      <w:trHeight w:val="654" w:hRule="exact"/>
                    </w:trPr>
                    <w:tc>
                      <w:tcPr>
                        <w:tcW w:w="4264"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21"/>
                          <w:ind w:left="24" w:right="13"/>
                          <w:jc w:val="left"/>
                          <w:rPr>
                            <w:rFonts w:ascii="宋体" w:hAnsi="宋体" w:cs="宋体" w:eastAsia="宋体" w:hint="default"/>
                            <w:sz w:val="18"/>
                            <w:szCs w:val="18"/>
                          </w:rPr>
                        </w:pPr>
                        <w:r>
                          <w:rPr>
                            <w:rFonts w:ascii="宋体" w:hAnsi="宋体" w:cs="宋体" w:eastAsia="宋体" w:hint="default"/>
                            <w:sz w:val="18"/>
                            <w:szCs w:val="18"/>
                          </w:rPr>
                          <w:t>武汉金之运激光工程技术有限公司（以下简称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武汉金 之运</w:t>
                        </w:r>
                        <w:r>
                          <w:rPr>
                            <w:rFonts w:ascii="Times New Roman" w:hAnsi="Times New Roman" w:cs="Times New Roman" w:eastAsia="Times New Roman" w:hint="default"/>
                            <w:sz w:val="18"/>
                            <w:szCs w:val="18"/>
                          </w:rPr>
                          <w:t>“</w:t>
                        </w:r>
                        <w:r>
                          <w:rPr>
                            <w:rFonts w:ascii="宋体" w:hAnsi="宋体" w:cs="宋体" w:eastAsia="宋体" w:hint="default"/>
                            <w:sz w:val="18"/>
                            <w:szCs w:val="18"/>
                          </w:rPr>
                          <w:t>）（曾用名辽宁金之运激光工程技术有限公司）</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9"/>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100</w:t>
                        </w:r>
                      </w:p>
                    </w:tc>
                  </w:tr>
                  <w:tr>
                    <w:trPr>
                      <w:trHeight w:val="654" w:hRule="exact"/>
                    </w:trPr>
                    <w:tc>
                      <w:tcPr>
                        <w:tcW w:w="4264"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21"/>
                          <w:ind w:left="24" w:right="15"/>
                          <w:jc w:val="left"/>
                          <w:rPr>
                            <w:rFonts w:ascii="宋体" w:hAnsi="宋体" w:cs="宋体" w:eastAsia="宋体" w:hint="default"/>
                            <w:sz w:val="18"/>
                            <w:szCs w:val="18"/>
                          </w:rPr>
                        </w:pPr>
                        <w:r>
                          <w:rPr>
                            <w:rFonts w:ascii="宋体" w:hAnsi="宋体" w:cs="宋体" w:eastAsia="宋体" w:hint="default"/>
                            <w:sz w:val="18"/>
                            <w:szCs w:val="18"/>
                          </w:rPr>
                          <w:t>武汉斯利沃激光器技术有限公司（以下简称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武汉斯利 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9"/>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4"/>
                          <w:jc w:val="center"/>
                          <w:rPr>
                            <w:rFonts w:ascii="Times New Roman" w:hAnsi="Times New Roman" w:cs="Times New Roman" w:eastAsia="Times New Roman" w:hint="default"/>
                            <w:sz w:val="18"/>
                            <w:szCs w:val="18"/>
                          </w:rPr>
                        </w:pPr>
                        <w:r>
                          <w:rPr>
                            <w:rFonts w:ascii="Times New Roman"/>
                            <w:sz w:val="18"/>
                          </w:rPr>
                          <w:t>51</w:t>
                        </w:r>
                      </w:p>
                    </w:tc>
                  </w:tr>
                  <w:tr>
                    <w:trPr>
                      <w:trHeight w:val="342" w:hRule="exact"/>
                    </w:trPr>
                    <w:tc>
                      <w:tcPr>
                        <w:tcW w:w="4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right="89"/>
                          <w:jc w:val="center"/>
                          <w:rPr>
                            <w:rFonts w:ascii="宋体" w:hAnsi="宋体" w:cs="宋体" w:eastAsia="宋体" w:hint="default"/>
                            <w:sz w:val="18"/>
                            <w:szCs w:val="18"/>
                          </w:rPr>
                        </w:pPr>
                        <w:r>
                          <w:rPr>
                            <w:rFonts w:ascii="宋体" w:hAnsi="宋体" w:cs="宋体" w:eastAsia="宋体" w:hint="default"/>
                            <w:sz w:val="18"/>
                            <w:szCs w:val="18"/>
                          </w:rPr>
                          <w:t>上海金萃激光技术有限公司（以下简称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上海金萃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9"/>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68.5</w:t>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3"/>
                          <w:jc w:val="center"/>
                          <w:rPr>
                            <w:rFonts w:ascii="Times New Roman" w:hAnsi="Times New Roman" w:cs="Times New Roman" w:eastAsia="Times New Roman" w:hint="default"/>
                            <w:sz w:val="18"/>
                            <w:szCs w:val="18"/>
                          </w:rPr>
                        </w:pPr>
                        <w:r>
                          <w:rPr>
                            <w:rFonts w:ascii="Times New Roman"/>
                            <w:sz w:val="18"/>
                          </w:rPr>
                          <w:t>68.5</w:t>
                        </w:r>
                      </w:p>
                    </w:tc>
                  </w:tr>
                  <w:tr>
                    <w:trPr>
                      <w:trHeight w:val="654" w:hRule="exact"/>
                    </w:trPr>
                    <w:tc>
                      <w:tcPr>
                        <w:tcW w:w="4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湖北高投金运激光产业投资管理有限公司（以下简称</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高投金运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9"/>
                          <w:jc w:val="right"/>
                          <w:rPr>
                            <w:rFonts w:ascii="宋体" w:hAnsi="宋体" w:cs="宋体" w:eastAsia="宋体" w:hint="default"/>
                            <w:sz w:val="18"/>
                            <w:szCs w:val="18"/>
                          </w:rPr>
                        </w:pPr>
                        <w:r>
                          <w:rPr>
                            <w:rFonts w:ascii="宋体" w:hAnsi="宋体" w:cs="宋体" w:eastAsia="宋体" w:hint="default"/>
                            <w:sz w:val="18"/>
                            <w:szCs w:val="18"/>
                          </w:rPr>
                          <w:t>参股子公司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w:t>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4"/>
                          <w:jc w:val="center"/>
                          <w:rPr>
                            <w:rFonts w:ascii="Times New Roman" w:hAnsi="Times New Roman" w:cs="Times New Roman" w:eastAsia="Times New Roman" w:hint="default"/>
                            <w:sz w:val="18"/>
                            <w:szCs w:val="18"/>
                          </w:rPr>
                        </w:pPr>
                        <w:r>
                          <w:rPr>
                            <w:rFonts w:ascii="Times New Roman"/>
                            <w:sz w:val="18"/>
                          </w:rPr>
                          <w:t>60</w:t>
                        </w:r>
                      </w:p>
                    </w:tc>
                  </w:tr>
                  <w:tr>
                    <w:trPr>
                      <w:trHeight w:val="342" w:hRule="exact"/>
                    </w:trPr>
                    <w:tc>
                      <w:tcPr>
                        <w:tcW w:w="4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right="89"/>
                          <w:jc w:val="center"/>
                          <w:rPr>
                            <w:rFonts w:ascii="宋体" w:hAnsi="宋体" w:cs="宋体" w:eastAsia="宋体" w:hint="default"/>
                            <w:sz w:val="18"/>
                            <w:szCs w:val="18"/>
                          </w:rPr>
                        </w:pPr>
                        <w:r>
                          <w:rPr>
                            <w:rFonts w:ascii="宋体" w:hAnsi="宋体" w:cs="宋体" w:eastAsia="宋体" w:hint="default"/>
                            <w:sz w:val="18"/>
                            <w:szCs w:val="18"/>
                          </w:rPr>
                          <w:t>高汇科技（香港）有限公司（以下简称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高汇科技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9"/>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4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right="70"/>
                          <w:jc w:val="center"/>
                          <w:rPr>
                            <w:rFonts w:ascii="Times New Roman" w:hAnsi="Times New Roman" w:cs="Times New Roman" w:eastAsia="Times New Roman" w:hint="default"/>
                            <w:sz w:val="18"/>
                            <w:szCs w:val="18"/>
                          </w:rPr>
                        </w:pPr>
                        <w:r>
                          <w:rPr>
                            <w:rFonts w:ascii="宋体" w:hAnsi="宋体" w:cs="宋体" w:eastAsia="宋体" w:hint="default"/>
                            <w:spacing w:val="-7"/>
                            <w:sz w:val="18"/>
                            <w:szCs w:val="18"/>
                          </w:rPr>
                          <w:t>金运数字技术（武汉）有限公司（以下简称</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金运数字</w:t>
                        </w:r>
                        <w:r>
                          <w:rPr>
                            <w:rFonts w:ascii="Times New Roman" w:hAnsi="Times New Roman" w:cs="Times New Roman" w:eastAsia="Times New Roman" w:hint="default"/>
                            <w:spacing w:val="-7"/>
                            <w:sz w:val="18"/>
                            <w:szCs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6" w:right="20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6"/>
                            <w:sz w:val="18"/>
                            <w:szCs w:val="18"/>
                          </w:rPr>
                          <w:t> </w:t>
                        </w:r>
                        <w:r>
                          <w:rPr>
                            <w:rFonts w:ascii="宋体" w:hAnsi="宋体" w:cs="宋体" w:eastAsia="宋体" w:hint="default"/>
                            <w:sz w:val="18"/>
                            <w:szCs w:val="18"/>
                          </w:rPr>
                          <w:t>全资子公司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100</w:t>
                        </w:r>
                      </w:p>
                    </w:tc>
                  </w:tr>
                  <w:tr>
                    <w:trPr>
                      <w:trHeight w:val="654" w:hRule="exact"/>
                    </w:trPr>
                    <w:tc>
                      <w:tcPr>
                        <w:tcW w:w="4264"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21"/>
                          <w:ind w:left="24" w:right="15"/>
                          <w:jc w:val="left"/>
                          <w:rPr>
                            <w:rFonts w:ascii="宋体" w:hAnsi="宋体" w:cs="宋体" w:eastAsia="宋体" w:hint="default"/>
                            <w:sz w:val="18"/>
                            <w:szCs w:val="18"/>
                          </w:rPr>
                        </w:pPr>
                        <w:r>
                          <w:rPr>
                            <w:rFonts w:ascii="宋体" w:hAnsi="宋体" w:cs="宋体" w:eastAsia="宋体" w:hint="default"/>
                            <w:sz w:val="18"/>
                            <w:szCs w:val="18"/>
                          </w:rPr>
                          <w:t>武汉金运激光产业发展有限公司（以下简称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金运产业 发展</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9"/>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100</w:t>
                        </w:r>
                      </w:p>
                    </w:tc>
                  </w:tr>
                  <w:tr>
                    <w:trPr>
                      <w:trHeight w:val="343" w:hRule="exact"/>
                    </w:trPr>
                    <w:tc>
                      <w:tcPr>
                        <w:tcW w:w="4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right="89"/>
                          <w:jc w:val="center"/>
                          <w:rPr>
                            <w:rFonts w:ascii="宋体" w:hAnsi="宋体" w:cs="宋体" w:eastAsia="宋体" w:hint="default"/>
                            <w:sz w:val="18"/>
                            <w:szCs w:val="18"/>
                          </w:rPr>
                        </w:pPr>
                        <w:r>
                          <w:rPr>
                            <w:rFonts w:ascii="宋体" w:hAnsi="宋体" w:cs="宋体" w:eastAsia="宋体" w:hint="default"/>
                            <w:sz w:val="18"/>
                            <w:szCs w:val="18"/>
                          </w:rPr>
                          <w:t>武汉金运互动传媒有限公司（以下简称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金运互动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9"/>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6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100</w:t>
                        </w:r>
                      </w:p>
                    </w:tc>
                  </w:tr>
                </w:tbl>
                <w:p>
                  <w:pPr/>
                </w:p>
              </w:txbxContent>
            </v:textbox>
            <w10:wrap type="none"/>
          </v:shape>
        </w:pict>
      </w:r>
      <w:r>
        <w:rPr/>
        <w:t>本财务报表业经公司董事会于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日批准报出。 本期纳入合并财务报表范围的主体共</w:t>
      </w:r>
      <w:r>
        <w:rPr>
          <w:rFonts w:ascii="Times New Roman" w:hAnsi="Times New Roman" w:cs="Times New Roman" w:eastAsia="Times New Roman" w:hint="default"/>
        </w:rPr>
        <w:t>9</w:t>
      </w:r>
      <w:r>
        <w:rPr/>
        <w:t>户，具体包括：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before="44"/>
        <w:ind w:left="574" w:right="0"/>
        <w:jc w:val="left"/>
      </w:pPr>
      <w:r>
        <w:rPr>
          <w:rFonts w:ascii="Times New Roman" w:hAnsi="Times New Roman" w:cs="Times New Roman" w:eastAsia="Times New Roman" w:hint="default"/>
        </w:rPr>
        <w:t>1.  </w:t>
      </w:r>
      <w:r>
        <w:rPr/>
        <w:t>高投金运持股比例不同于表决权比例的原因详见</w:t>
      </w:r>
      <w:r>
        <w:rPr>
          <w:rFonts w:ascii="Times New Roman" w:hAnsi="Times New Roman" w:cs="Times New Roman" w:eastAsia="Times New Roman" w:hint="default"/>
        </w:rPr>
        <w:t>“</w:t>
      </w:r>
      <w:r>
        <w:rPr/>
        <w:t>附注九、在其他主体中的权益</w:t>
      </w:r>
      <w:r>
        <w:rPr>
          <w:spacing w:val="-36"/>
        </w:rPr>
        <w:t> </w:t>
      </w:r>
      <w:r>
        <w:rPr>
          <w:rFonts w:ascii="Times New Roman" w:hAnsi="Times New Roman" w:cs="Times New Roman" w:eastAsia="Times New Roman" w:hint="default"/>
        </w:rPr>
        <w:t>1</w:t>
      </w:r>
      <w:r>
        <w:rPr/>
        <w:t>、在子公司中的权益</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13"/>
          <w:szCs w:val="13"/>
        </w:rPr>
      </w:pPr>
    </w:p>
    <w:p>
      <w:pPr>
        <w:pStyle w:val="BodyText"/>
        <w:spacing w:line="240" w:lineRule="auto"/>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本期不再纳入合并范围的子公司、特殊目的主体、通过委托经营或出租等方式丧失控制权的经营实体</w:t>
      </w:r>
    </w:p>
    <w:p>
      <w:pPr>
        <w:spacing w:line="240" w:lineRule="auto" w:before="13"/>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4311"/>
        <w:gridCol w:w="5362"/>
      </w:tblGrid>
      <w:tr>
        <w:trPr>
          <w:trHeight w:val="342" w:hRule="exact"/>
        </w:trPr>
        <w:tc>
          <w:tcPr>
            <w:tcW w:w="4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6"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654" w:hRule="exact"/>
        </w:trPr>
        <w:tc>
          <w:tcPr>
            <w:tcW w:w="4311"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20"/>
              <w:ind w:left="24" w:right="60"/>
              <w:jc w:val="left"/>
              <w:rPr>
                <w:rFonts w:ascii="宋体" w:hAnsi="宋体" w:cs="宋体" w:eastAsia="宋体" w:hint="default"/>
                <w:sz w:val="18"/>
                <w:szCs w:val="18"/>
              </w:rPr>
            </w:pPr>
            <w:r>
              <w:rPr>
                <w:rFonts w:ascii="宋体" w:hAnsi="宋体" w:cs="宋体" w:eastAsia="宋体" w:hint="default"/>
                <w:sz w:val="18"/>
                <w:szCs w:val="18"/>
              </w:rPr>
              <w:t>东莞市金运汇研激光科技有限公司（以下简称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东莞汇 研</w:t>
            </w:r>
            <w:r>
              <w:rPr>
                <w:rFonts w:ascii="Times New Roman" w:hAnsi="Times New Roman" w:cs="Times New Roman" w:eastAsia="Times New Roman" w:hint="default"/>
                <w:sz w:val="18"/>
                <w:szCs w:val="18"/>
              </w:rPr>
              <w:t>”</w:t>
            </w:r>
            <w:r>
              <w:rPr>
                <w:rFonts w:ascii="宋体" w:hAnsi="宋体" w:cs="宋体" w:eastAsia="宋体" w:hint="default"/>
                <w:sz w:val="18"/>
                <w:szCs w:val="18"/>
              </w:rPr>
              <w:t>）（已更名为</w:t>
            </w:r>
            <w:r>
              <w:rPr>
                <w:rFonts w:ascii="Times New Roman" w:hAnsi="Times New Roman" w:cs="Times New Roman" w:eastAsia="Times New Roman" w:hint="default"/>
                <w:sz w:val="18"/>
                <w:szCs w:val="18"/>
              </w:rPr>
              <w:t>“</w:t>
            </w:r>
            <w:r>
              <w:rPr>
                <w:rFonts w:ascii="宋体" w:hAnsi="宋体" w:cs="宋体" w:eastAsia="宋体" w:hint="default"/>
                <w:sz w:val="18"/>
                <w:szCs w:val="18"/>
              </w:rPr>
              <w:t>东莞市汇樾科技有限公司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处置子公司</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420"/>
        <w:jc w:val="both"/>
      </w:pPr>
      <w:r>
        <w:rPr/>
        <w:t>本公司根据实际发生的交易和事项，按照财政部颁布的《企业会计准则</w:t>
      </w:r>
      <w:r>
        <w:rPr>
          <w:rFonts w:ascii="Times New Roman" w:hAnsi="Times New Roman" w:cs="Times New Roman" w:eastAsia="Times New Roman" w:hint="default"/>
        </w:rPr>
        <w:t>——</w:t>
      </w:r>
      <w:r>
        <w:rPr/>
        <w:t>基本准则》和具体企业会计准则、企业会 </w:t>
      </w:r>
      <w:r>
        <w:rPr>
          <w:spacing w:val="-2"/>
        </w:rPr>
        <w:t>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）进行确认和计量，在此基础上，结合中国</w:t>
      </w:r>
      <w:r>
        <w:rPr>
          <w:spacing w:val="-47"/>
        </w:rPr>
        <w:t> </w:t>
      </w:r>
      <w:r>
        <w:rPr>
          <w:spacing w:val="-47"/>
        </w:rPr>
      </w:r>
      <w:r>
        <w:rPr>
          <w:spacing w:val="-2"/>
        </w:rPr>
        <w:t>证券监督管理委员会《公开发行证券的公司信息披露编报规则第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年修订）的规定，编</w:t>
      </w:r>
    </w:p>
    <w:p>
      <w:pPr>
        <w:spacing w:after="0" w:line="300" w:lineRule="auto"/>
        <w:jc w:val="both"/>
        <w:sectPr>
          <w:headerReference w:type="default" r:id="rId16"/>
          <w:footerReference w:type="default" r:id="rId17"/>
          <w:pgSz w:w="11910" w:h="16840"/>
          <w:pgMar w:header="877" w:footer="979" w:top="1100" w:bottom="1160" w:left="980" w:right="0"/>
          <w:pgNumType w:start="75"/>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制财务报表。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302"/>
        <w:jc w:val="left"/>
      </w:pPr>
      <w:r>
        <w:rPr>
          <w:spacing w:val="-1"/>
        </w:rPr>
        <w:t>本公司对报告期末起</w:t>
      </w:r>
      <w:r>
        <w:rPr>
          <w:rFonts w:ascii="Times New Roman" w:hAnsi="Times New Roman" w:cs="Times New Roman" w:eastAsia="Times New Roman" w:hint="default"/>
          <w:spacing w:val="-1"/>
        </w:rPr>
        <w:t>12</w:t>
      </w:r>
      <w:r>
        <w:rPr>
          <w:spacing w:val="-1"/>
        </w:rPr>
        <w:t>个月的持续经营能力进行了评价，未发现对持续经营能力产生重大怀疑的事项或情况。因此，本</w:t>
      </w:r>
      <w:r>
        <w:rPr/>
        <w:t> 财务报表系在持续经营假设的基础上编制。</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57" w:lineRule="auto" w:before="29"/>
        <w:ind w:left="514" w:right="0" w:hanging="360"/>
        <w:jc w:val="left"/>
      </w:pPr>
      <w:r>
        <w:rPr/>
        <w:t>具体会计政策和会计估计提示： </w:t>
      </w:r>
      <w:r>
        <w:rPr>
          <w:spacing w:val="-4"/>
        </w:rPr>
        <w:t>本公司根据实际生产经营特点制定的具体会计政策和会计估计，包括应收款项坏账准备的确认和计量、发出存货的计量、</w:t>
      </w:r>
    </w:p>
    <w:p>
      <w:pPr>
        <w:pStyle w:val="BodyText"/>
        <w:spacing w:line="225" w:lineRule="exact"/>
        <w:ind w:right="0"/>
        <w:jc w:val="left"/>
      </w:pPr>
      <w:r>
        <w:rPr/>
        <w:t>固定资产分类及折旧方法、无形资产摊销、收入的确认和计量等。</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52" w:firstLine="420"/>
        <w:jc w:val="left"/>
      </w:pPr>
      <w:r>
        <w:rPr/>
        <w:t>本公司所编制的财务报表符合企业会计准则的要求，真实、完整地反映了报告期公司的财务状况、经营成果、现金流 量等有关信息。</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采用人民币为记账本位币。</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spacing w:line="300" w:lineRule="auto" w:before="0"/>
        <w:ind w:left="154" w:right="1182" w:firstLine="33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2"/>
          <w:sz w:val="18"/>
          <w:szCs w:val="18"/>
        </w:rPr>
        <w:t> </w:t>
      </w:r>
      <w:r>
        <w:rPr>
          <w:rFonts w:ascii="宋体" w:hAnsi="宋体" w:cs="宋体" w:eastAsia="宋体" w:hint="default"/>
          <w:b/>
          <w:bCs/>
          <w:sz w:val="18"/>
          <w:szCs w:val="18"/>
        </w:rPr>
        <w:t>分步实现企业合并过程中的各项交易的条款、条件以及经济影响符合以下一种或多种情况，将多次交易事项作为一</w:t>
      </w:r>
      <w:r>
        <w:rPr>
          <w:rFonts w:ascii="宋体" w:hAnsi="宋体" w:cs="宋体" w:eastAsia="宋体" w:hint="default"/>
          <w:b/>
          <w:bCs/>
          <w:w w:val="99"/>
          <w:sz w:val="18"/>
          <w:szCs w:val="18"/>
        </w:rPr>
        <w:t> </w:t>
      </w:r>
      <w:r>
        <w:rPr>
          <w:rFonts w:ascii="宋体" w:hAnsi="宋体" w:cs="宋体" w:eastAsia="宋体" w:hint="default"/>
          <w:b/>
          <w:bCs/>
          <w:sz w:val="18"/>
          <w:szCs w:val="18"/>
        </w:rPr>
        <w:t>揽子交易进行会计处理</w:t>
      </w:r>
      <w:r>
        <w:rPr>
          <w:rFonts w:ascii="宋体" w:hAnsi="宋体" w:cs="宋体" w:eastAsia="宋体" w:hint="default"/>
          <w:sz w:val="18"/>
          <w:szCs w:val="18"/>
        </w:rPr>
      </w:r>
    </w:p>
    <w:p>
      <w:pPr>
        <w:pStyle w:val="BodyText"/>
        <w:spacing w:line="240" w:lineRule="auto" w:before="31"/>
        <w:ind w:left="454"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3"/>
        <w:ind w:left="454"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3"/>
        <w:ind w:left="454"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63"/>
        <w:ind w:left="454" w:right="0"/>
        <w:jc w:val="left"/>
      </w:pPr>
      <w:r>
        <w:rPr/>
        <w:t>（</w:t>
      </w:r>
      <w:r>
        <w:rPr>
          <w:rFonts w:ascii="Times New Roman" w:hAnsi="Times New Roman" w:cs="Times New Roman" w:eastAsia="Times New Roman" w:hint="default"/>
        </w:rPr>
        <w:t>4</w:t>
      </w:r>
      <w:r>
        <w:rPr/>
        <w:t>）一项交易单独看是不经济的，但是和其他交易一并考虑时是经济的。</w:t>
      </w:r>
    </w:p>
    <w:p>
      <w:pPr>
        <w:spacing w:line="300" w:lineRule="auto" w:before="63"/>
        <w:ind w:left="514" w:right="0" w:firstLine="1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本公司在企业合并中取得的资产和负债，按照合并日在被合并方资产、负债（包括最终控制方收购被合并方而形成的商</w:t>
      </w:r>
    </w:p>
    <w:p>
      <w:pPr>
        <w:pStyle w:val="BodyText"/>
        <w:spacing w:line="316" w:lineRule="auto" w:before="31"/>
        <w:ind w:right="0"/>
        <w:jc w:val="left"/>
      </w:pPr>
      <w:r>
        <w:rPr>
          <w:spacing w:val="-2"/>
        </w:rPr>
        <w:t>誉）在最终控制方合并财务报表中的账面价值计量。在合并中取得的净资产账面价值与支付的合并对价账面价值（或发行股</w:t>
      </w:r>
      <w:r>
        <w:rPr>
          <w:spacing w:val="-66"/>
        </w:rPr>
        <w:t> </w:t>
      </w:r>
      <w:r>
        <w:rPr>
          <w:spacing w:val="-66"/>
        </w:rPr>
      </w:r>
      <w:r>
        <w:rPr/>
        <w:t>份面值总额）的差额，调整资本公积中的股本溢价，资本公积中的股本溢价不足冲减的，调整留存收益。</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52" w:firstLine="420"/>
        <w:jc w:val="left"/>
      </w:pPr>
      <w:r>
        <w:rPr/>
        <w:t>如果存在或有对价并需要确认预计负债或资产，该预计负债或资产金额与后续或有对价结算金额的差额，调整资本公 积（资本溢价或股本溢价），资本公积不足的，调整留存收益。</w:t>
      </w:r>
    </w:p>
    <w:p>
      <w:pPr>
        <w:pStyle w:val="BodyText"/>
        <w:spacing w:line="316" w:lineRule="auto" w:before="19"/>
        <w:ind w:right="1131" w:firstLine="420"/>
        <w:jc w:val="both"/>
      </w:pPr>
      <w:r>
        <w:rPr/>
        <w:t>对于通过多次交易最终实现企业合并的，属于一揽子交易的，将各项交易作为一项取得控制权的交易进行会计处理； </w:t>
      </w:r>
      <w:r>
        <w:rPr>
          <w:spacing w:val="-2"/>
        </w:rPr>
        <w:t>不属于一揽子交易的，在取得控制权日，长期股权投资初始投资成本，与达到合并前的长期股权投资账面价值加上合并日进</w:t>
      </w:r>
      <w:r>
        <w:rPr>
          <w:spacing w:val="-66"/>
        </w:rPr>
        <w:t> </w:t>
      </w:r>
      <w:r>
        <w:rPr>
          <w:spacing w:val="-66"/>
        </w:rPr>
      </w:r>
      <w:r>
        <w:rPr>
          <w:spacing w:val="-2"/>
        </w:rPr>
        <w:t>一步取得股份新支付对价的账面价值之和的差额，调整资本公积；资本公积不足冲减的，调整留存收益。对于合并日之前持</w:t>
      </w:r>
      <w:r>
        <w:rPr>
          <w:spacing w:val="-66"/>
        </w:rPr>
        <w:t> </w:t>
      </w:r>
      <w:r>
        <w:rPr>
          <w:spacing w:val="-66"/>
        </w:rPr>
      </w:r>
      <w:r>
        <w:rPr>
          <w:spacing w:val="-2"/>
        </w:rPr>
        <w:t>有的股权投资，因采用权益法核算或金融工具确认和计量准则核算而确认的其他综合收益，暂不进行会计处理，直至处置该</w:t>
      </w:r>
      <w:r>
        <w:rPr>
          <w:spacing w:val="-66"/>
        </w:rPr>
        <w:t> </w:t>
      </w:r>
      <w:r>
        <w:rPr>
          <w:spacing w:val="-66"/>
        </w:rPr>
      </w:r>
      <w:r>
        <w:rPr>
          <w:spacing w:val="-2"/>
        </w:rPr>
        <w:t>项投资时采用与被投资单位直接处置相关资产或负债相同的基础进行会计处理；因采用权益法核算而确认的被投资单位净资</w:t>
      </w:r>
      <w:r>
        <w:rPr>
          <w:spacing w:val="-64"/>
        </w:rPr>
        <w:t> </w:t>
      </w:r>
      <w:r>
        <w:rPr>
          <w:spacing w:val="-64"/>
        </w:rPr>
      </w:r>
      <w:r>
        <w:rPr>
          <w:spacing w:val="-2"/>
        </w:rPr>
        <w:t>产中除净损益、其他综合收益和利润分配以外的所有者权益其他变动，暂不进行会计处理，直至处置该项投资时转入当期损</w:t>
      </w:r>
      <w:r>
        <w:rPr>
          <w:spacing w:val="-66"/>
        </w:rPr>
        <w:t> </w:t>
      </w:r>
      <w:r>
        <w:rPr>
          <w:spacing w:val="-66"/>
        </w:rPr>
      </w:r>
      <w:r>
        <w:rPr/>
        <w:t>益。</w:t>
      </w:r>
    </w:p>
    <w:p>
      <w:pPr>
        <w:spacing w:line="300" w:lineRule="auto" w:before="19"/>
        <w:ind w:left="574" w:right="1152" w:hanging="11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z w:val="18"/>
          <w:szCs w:val="18"/>
        </w:rPr>
        <w:t>购买日是指本公司实际取得对被购买方控制权的日期，即被购买方的净资产或生产经营决策的控制权转移给本公司的</w:t>
      </w:r>
    </w:p>
    <w:p>
      <w:pPr>
        <w:pStyle w:val="BodyText"/>
        <w:spacing w:line="240" w:lineRule="auto" w:before="31"/>
        <w:ind w:right="0"/>
        <w:jc w:val="left"/>
      </w:pPr>
      <w:r>
        <w:rPr/>
        <w:t>日期。同时满足下列条件时，本公司一般认为实现了控制权的转移：</w:t>
      </w:r>
    </w:p>
    <w:p>
      <w:pPr>
        <w:pStyle w:val="BodyText"/>
        <w:spacing w:line="240" w:lineRule="auto" w:before="76"/>
        <w:ind w:left="574" w:right="0"/>
        <w:jc w:val="left"/>
      </w:pPr>
      <w:r>
        <w:rPr/>
        <w:t>①企业合并合同或协议已获本公司内部权力机构通过。</w:t>
      </w:r>
    </w:p>
    <w:p>
      <w:pPr>
        <w:pStyle w:val="BodyText"/>
        <w:spacing w:line="240" w:lineRule="auto" w:before="76"/>
        <w:ind w:left="574" w:right="0"/>
        <w:jc w:val="left"/>
      </w:pPr>
      <w:r>
        <w:rPr/>
        <w:t>②企业合并事项需要经过国家有关主管部门审批的，已获得批准。</w:t>
      </w:r>
    </w:p>
    <w:p>
      <w:pPr>
        <w:pStyle w:val="BodyText"/>
        <w:spacing w:line="240" w:lineRule="auto" w:before="76"/>
        <w:ind w:left="574" w:right="0"/>
        <w:jc w:val="left"/>
      </w:pPr>
      <w:r>
        <w:rPr/>
        <w:t>③已办理了必要的财产权转移手续。</w:t>
      </w:r>
    </w:p>
    <w:p>
      <w:pPr>
        <w:pStyle w:val="BodyText"/>
        <w:spacing w:line="240" w:lineRule="auto" w:before="76"/>
        <w:ind w:left="574" w:right="0"/>
        <w:jc w:val="left"/>
      </w:pPr>
      <w:r>
        <w:rPr/>
        <w:t>④本公司已支付了合并价款的大部分，并且有能力、有计划支付剩余款项。</w:t>
      </w:r>
    </w:p>
    <w:p>
      <w:pPr>
        <w:pStyle w:val="BodyText"/>
        <w:spacing w:line="316" w:lineRule="auto" w:before="76"/>
        <w:ind w:left="574" w:right="1152"/>
        <w:jc w:val="left"/>
      </w:pPr>
      <w:r>
        <w:rPr/>
        <w:t>⑤本公司实际上已经控制了被购买方的财务和经营政策，并享有相应的利益、承担相应的风险。 本公司在购买日对作为企业合并对价付出的资产、发生或承担的负债按照公允价值计量，公允价值与其账面价值的差</w:t>
      </w:r>
    </w:p>
    <w:p>
      <w:pPr>
        <w:pStyle w:val="BodyText"/>
        <w:spacing w:line="316" w:lineRule="auto" w:before="19"/>
        <w:ind w:left="574" w:right="1152" w:hanging="420"/>
        <w:jc w:val="left"/>
      </w:pPr>
      <w:r>
        <w:rPr/>
        <w:t>额，计入当期损益。 本公司对合并成本大于合并中取得的被购买方可辨认净资产公允价值份额的差额，确认为商誉；合并成本小于合并中</w:t>
      </w:r>
    </w:p>
    <w:p>
      <w:pPr>
        <w:pStyle w:val="BodyText"/>
        <w:spacing w:line="316" w:lineRule="auto" w:before="19"/>
        <w:ind w:left="574" w:right="1152" w:hanging="420"/>
        <w:jc w:val="left"/>
      </w:pPr>
      <w:r>
        <w:rPr/>
        <w:t>取得的被购买方可辨认净资产公允价值份额的差额，经复核后，计入当期损益。 通过多次交换交易分步实现的非同一控制下企业合并，属于一揽子交易的，将各项交易作为一项取得控制权的交易进</w:t>
      </w:r>
    </w:p>
    <w:p>
      <w:pPr>
        <w:pStyle w:val="BodyText"/>
        <w:spacing w:line="316" w:lineRule="auto" w:before="19"/>
        <w:ind w:right="1131"/>
        <w:jc w:val="both"/>
      </w:pPr>
      <w:r>
        <w:rPr>
          <w:spacing w:val="-2"/>
        </w:rPr>
        <w:t>行会计处理；不属于一揽子交易的，合并日之前持有的股权投资采用权益法核算的，以购买日之前所持被购买方的股权投资</w:t>
      </w:r>
      <w:r>
        <w:rPr>
          <w:spacing w:val="-66"/>
        </w:rPr>
        <w:t> </w:t>
      </w:r>
      <w:r>
        <w:rPr>
          <w:spacing w:val="-66"/>
        </w:rPr>
      </w:r>
      <w:r>
        <w:rPr>
          <w:spacing w:val="-2"/>
        </w:rPr>
        <w:t>的账面价值与购买日新增投资成本之和，作为该项投资的初始投资成本；购买日之前持有的股权投资因采用权益法核算而确</w:t>
      </w:r>
      <w:r>
        <w:rPr>
          <w:spacing w:val="-64"/>
        </w:rPr>
        <w:t> </w:t>
      </w:r>
      <w:r>
        <w:rPr>
          <w:spacing w:val="-64"/>
        </w:rPr>
      </w:r>
      <w:r>
        <w:rPr>
          <w:spacing w:val="-2"/>
        </w:rPr>
        <w:t>认的其他综合收益，在处置该项投资时采用与被投资单位直接处置相关资产或负债相同的基础进行会计处理。合并日之前持</w:t>
      </w:r>
      <w:r>
        <w:rPr>
          <w:spacing w:val="-64"/>
        </w:rPr>
        <w:t> </w:t>
      </w:r>
      <w:r>
        <w:rPr>
          <w:spacing w:val="-64"/>
        </w:rPr>
      </w:r>
      <w:r>
        <w:rPr>
          <w:spacing w:val="-2"/>
        </w:rPr>
        <w:t>有的股权投资采用金融工具确认和计量准则核算的，以该股权投资在合并日的公允价值加上新增投资成本之和，作为合并日</w:t>
      </w:r>
      <w:r>
        <w:rPr>
          <w:spacing w:val="-64"/>
        </w:rPr>
        <w:t> </w:t>
      </w:r>
      <w:r>
        <w:rPr>
          <w:spacing w:val="-64"/>
        </w:rPr>
      </w:r>
      <w:r>
        <w:rPr>
          <w:spacing w:val="-2"/>
        </w:rPr>
        <w:t>的初始投资成本。原持有股权的公允价值与账面价值之间的差额以及原计入其他综合收益的累计公允价值变动应全部转入合</w:t>
      </w:r>
      <w:r>
        <w:rPr>
          <w:spacing w:val="-64"/>
        </w:rPr>
        <w:t> </w:t>
      </w:r>
      <w:r>
        <w:rPr>
          <w:spacing w:val="-64"/>
        </w:rPr>
      </w:r>
      <w:r>
        <w:rPr/>
        <w:t>并日当期的投资收益。</w:t>
      </w:r>
    </w:p>
    <w:p>
      <w:pPr>
        <w:spacing w:line="300" w:lineRule="auto" w:before="19"/>
        <w:ind w:left="574" w:right="1152" w:hanging="11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为合并发生的相关费用</w:t>
      </w:r>
      <w:r>
        <w:rPr>
          <w:rFonts w:ascii="宋体" w:hAnsi="宋体" w:cs="宋体" w:eastAsia="宋体" w:hint="default"/>
          <w:b/>
          <w:bCs/>
          <w:w w:val="99"/>
          <w:sz w:val="18"/>
          <w:szCs w:val="18"/>
        </w:rPr>
        <w:t> </w:t>
      </w:r>
      <w:r>
        <w:rPr>
          <w:rFonts w:ascii="宋体" w:hAnsi="宋体" w:cs="宋体" w:eastAsia="宋体" w:hint="default"/>
          <w:sz w:val="18"/>
          <w:szCs w:val="18"/>
        </w:rPr>
        <w:t>为企业合并发生的审计、法律服务、评估咨询等中介费用以及其他直接相关费用，于发生时计入当期损益；为企业合</w:t>
      </w:r>
    </w:p>
    <w:p>
      <w:pPr>
        <w:pStyle w:val="BodyText"/>
        <w:spacing w:line="240" w:lineRule="auto" w:before="31"/>
        <w:ind w:right="0"/>
        <w:jc w:val="left"/>
      </w:pPr>
      <w:r>
        <w:rPr/>
        <w:t>并而发行权益性证券的交易费用，可直接归属于权益性交易的从权益中扣减。</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1152" w:hanging="87"/>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1"/>
        </w:rPr>
        <w:t> </w:t>
      </w:r>
      <w:r>
        <w:rPr>
          <w:rFonts w:ascii="宋体" w:hAnsi="宋体" w:cs="宋体" w:eastAsia="宋体" w:hint="default"/>
          <w:b/>
          <w:bCs/>
        </w:rPr>
        <w:t>合并范围</w:t>
      </w:r>
      <w:r>
        <w:rPr>
          <w:rFonts w:ascii="宋体" w:hAnsi="宋体" w:cs="宋体" w:eastAsia="宋体" w:hint="default"/>
          <w:b/>
          <w:bCs/>
          <w:w w:val="99"/>
        </w:rPr>
        <w:t> </w:t>
      </w:r>
      <w:r>
        <w:rPr/>
        <w:t>本公司合并财务报表的合并范围以控制为基础确定，所有子公司（包括本公司所控制的单独主体）均纳入合并财务报</w:t>
      </w:r>
    </w:p>
    <w:p>
      <w:pPr>
        <w:pStyle w:val="BodyText"/>
        <w:spacing w:line="240" w:lineRule="auto" w:before="31"/>
        <w:ind w:right="0"/>
        <w:jc w:val="left"/>
      </w:pPr>
      <w:r>
        <w:rPr/>
        <w:t>表。</w:t>
      </w:r>
    </w:p>
    <w:p>
      <w:pPr>
        <w:pStyle w:val="BodyText"/>
        <w:spacing w:line="300" w:lineRule="auto" w:before="76"/>
        <w:ind w:left="574" w:right="1152" w:hanging="112"/>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1"/>
        </w:rPr>
        <w:t> </w:t>
      </w:r>
      <w:r>
        <w:rPr>
          <w:rFonts w:ascii="宋体" w:hAnsi="宋体" w:cs="宋体" w:eastAsia="宋体" w:hint="default"/>
          <w:b/>
          <w:bCs/>
        </w:rPr>
        <w:t>合并程序</w:t>
      </w:r>
      <w:r>
        <w:rPr>
          <w:rFonts w:ascii="宋体" w:hAnsi="宋体" w:cs="宋体" w:eastAsia="宋体" w:hint="default"/>
          <w:b/>
          <w:bCs/>
          <w:w w:val="99"/>
        </w:rPr>
        <w:t> </w:t>
      </w:r>
      <w:r>
        <w:rPr/>
        <w:t>本公司以自身和各子公司的财务报表为基础，根据其他有关资料，编制合并财务报表。本公司编制合并财务报表，将</w:t>
      </w:r>
    </w:p>
    <w:p>
      <w:pPr>
        <w:pStyle w:val="BodyText"/>
        <w:spacing w:line="319" w:lineRule="auto" w:before="31"/>
        <w:ind w:right="0"/>
        <w:jc w:val="left"/>
      </w:pPr>
      <w:r>
        <w:rPr>
          <w:spacing w:val="-2"/>
        </w:rPr>
        <w:t>整个企业集团视为一个会计主体，依据相关企业会计准则的确认、计量和列报要求，按照统一的会计政策，反映本企业集团</w:t>
      </w:r>
      <w:r>
        <w:rPr>
          <w:spacing w:val="-66"/>
        </w:rPr>
        <w:t> </w:t>
      </w:r>
      <w:r>
        <w:rPr>
          <w:spacing w:val="-66"/>
        </w:rPr>
      </w:r>
      <w:r>
        <w:rPr/>
        <w:t>整体财务状况、经营成果和现金流量。</w:t>
      </w:r>
    </w:p>
    <w:p>
      <w:pPr>
        <w:pStyle w:val="BodyText"/>
        <w:spacing w:line="316" w:lineRule="auto" w:before="17"/>
        <w:ind w:right="1152" w:firstLine="420"/>
        <w:jc w:val="left"/>
      </w:pPr>
      <w:r>
        <w:rPr/>
        <w:t>所有纳入合并财务报表合并范围的子公司所采用的会计政策、会计期间与本公司一致，如子公司采用的会计政策、会 计期间与本公司不一致的，在编制合并财务报表时，按本公司的会计政策、会计期间进行必要的调整。</w:t>
      </w:r>
    </w:p>
    <w:p>
      <w:pPr>
        <w:pStyle w:val="BodyText"/>
        <w:spacing w:line="240" w:lineRule="auto" w:before="19"/>
        <w:ind w:left="574" w:right="0"/>
        <w:jc w:val="left"/>
      </w:pPr>
      <w:r>
        <w:rPr/>
        <w:t>合并财务报表时抵销本公司与各子公司、各子公司相互之间发生的内部交易对合并资产负债表、合并利润表、合并现</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0"/>
        <w:jc w:val="left"/>
      </w:pPr>
      <w:r>
        <w:rPr>
          <w:spacing w:val="-2"/>
        </w:rPr>
        <w:t>金流量表、合并股东权益变动表的影响。如果站在企业集团合并财务报表角度与以本公司或子公司为会计主体对同一交易的</w:t>
      </w:r>
      <w:r>
        <w:rPr>
          <w:spacing w:val="-64"/>
        </w:rPr>
        <w:t> </w:t>
      </w:r>
      <w:r>
        <w:rPr>
          <w:spacing w:val="-64"/>
        </w:rPr>
      </w:r>
      <w:r>
        <w:rPr/>
        <w:t>认定不同时，从企业集团的角度对该交易予以调整。</w:t>
      </w:r>
    </w:p>
    <w:p>
      <w:pPr>
        <w:pStyle w:val="BodyText"/>
        <w:spacing w:line="319" w:lineRule="auto" w:before="19"/>
        <w:ind w:right="1131" w:firstLine="420"/>
        <w:jc w:val="both"/>
      </w:pPr>
      <w:r>
        <w:rPr/>
        <w:t>子公司所有者权益、当期净损益和当期综合收益中属于少数股东的份额分别在合并资产负债表中所有者权益项目下、 </w:t>
      </w:r>
      <w:r>
        <w:rPr>
          <w:spacing w:val="-2"/>
        </w:rPr>
        <w:t>合并利润表中净利润项目下和综合收益总额项目下单独列示。子公司少数股东分担的当期亏损超过了少数股东在该子公司期</w:t>
      </w:r>
      <w:r>
        <w:rPr>
          <w:spacing w:val="-64"/>
        </w:rPr>
        <w:t> </w:t>
      </w:r>
      <w:r>
        <w:rPr>
          <w:spacing w:val="-64"/>
        </w:rPr>
      </w:r>
      <w:r>
        <w:rPr/>
        <w:t>初所有者权益中所享有份额而形成的余额，冲减少数股东权益。</w:t>
      </w:r>
    </w:p>
    <w:p>
      <w:pPr>
        <w:pStyle w:val="BodyText"/>
        <w:spacing w:line="316" w:lineRule="auto" w:before="17"/>
        <w:ind w:right="1169" w:firstLine="420"/>
        <w:jc w:val="both"/>
      </w:pPr>
      <w:r>
        <w:rPr/>
        <w:t>对于同一控制下企业合并取得的子公司，以其资产、负债（包括最终控制方收购该子公司而形成的商誉）在最终控制 方财务报表中的账面价值为基础对其财务报表进行调整。</w:t>
      </w:r>
    </w:p>
    <w:p>
      <w:pPr>
        <w:pStyle w:val="BodyText"/>
        <w:spacing w:line="240" w:lineRule="auto" w:before="19"/>
        <w:ind w:left="574" w:right="0"/>
        <w:jc w:val="left"/>
      </w:pPr>
      <w:r>
        <w:rPr/>
        <w:t>对于非同一控制下企业合并取得的子公司，以购买日可辨认净资产公允价值为基础对其财务报表进行调整</w:t>
      </w:r>
    </w:p>
    <w:p>
      <w:pPr>
        <w:pStyle w:val="BodyText"/>
        <w:spacing w:line="300" w:lineRule="auto" w:before="76"/>
        <w:ind w:left="574" w:right="1152" w:hanging="203"/>
        <w:jc w:val="left"/>
      </w:pPr>
      <w:r>
        <w:rPr/>
        <w:t>（</w:t>
      </w:r>
      <w:r>
        <w:rPr>
          <w:rFonts w:ascii="Times New Roman" w:hAnsi="Times New Roman" w:cs="Times New Roman" w:eastAsia="Times New Roman" w:hint="default"/>
        </w:rPr>
        <w:t>1</w:t>
      </w:r>
      <w:r>
        <w:rPr/>
        <w:t>）</w:t>
      </w:r>
      <w:r>
        <w:rPr>
          <w:spacing w:val="-18"/>
        </w:rPr>
        <w:t> </w:t>
      </w:r>
      <w:r>
        <w:rPr/>
        <w:t>增加子公司或业务</w:t>
      </w:r>
      <w:r>
        <w:rPr/>
        <w:t> 在报告期内，若因同一控制下企业合并增加子公司或业务的，则调整合并资产负债表的期初数；将子公司或业务合并</w:t>
      </w:r>
    </w:p>
    <w:p>
      <w:pPr>
        <w:pStyle w:val="BodyText"/>
        <w:spacing w:line="316" w:lineRule="auto" w:before="31"/>
        <w:ind w:right="0"/>
        <w:jc w:val="left"/>
      </w:pPr>
      <w:r>
        <w:rPr>
          <w:spacing w:val="-2"/>
        </w:rPr>
        <w:t>当期期初至报告期末的收入、费用、利润纳入合并利润表；将子公司或业务合并当期期初至报告期末的现金流量纳入合并现</w:t>
      </w:r>
      <w:r>
        <w:rPr>
          <w:spacing w:val="-66"/>
        </w:rPr>
        <w:t> </w:t>
      </w:r>
      <w:r>
        <w:rPr>
          <w:spacing w:val="-66"/>
        </w:rPr>
      </w:r>
      <w:r>
        <w:rPr/>
        <w:t>金流量表，同时对比较报表的相关项目进行调整，视同合并后的报告主体自最终控制方开始控制时点起一直存在。</w:t>
      </w:r>
    </w:p>
    <w:p>
      <w:pPr>
        <w:pStyle w:val="BodyText"/>
        <w:spacing w:line="316" w:lineRule="auto" w:before="19"/>
        <w:ind w:right="1132" w:firstLine="420"/>
        <w:jc w:val="both"/>
      </w:pPr>
      <w:r>
        <w:rPr/>
        <w:t>因追加投资等原因能够对同一控制下的被投资方实施控制的，视同参与合并的各方在最终控制方开始控制时即以目前 </w:t>
      </w:r>
      <w:r>
        <w:rPr>
          <w:spacing w:val="-2"/>
        </w:rPr>
        <w:t>的状态存在进行调整。在取得被合并方控制权之前持有的股权投资，在取得原股权之日与合并方和被合并方同处于同一控制</w:t>
      </w:r>
      <w:r>
        <w:rPr>
          <w:spacing w:val="-64"/>
        </w:rPr>
        <w:t> </w:t>
      </w:r>
      <w:r>
        <w:rPr>
          <w:spacing w:val="-64"/>
        </w:rPr>
      </w:r>
      <w:r>
        <w:rPr>
          <w:spacing w:val="-2"/>
        </w:rPr>
        <w:t>之日孰晚日起至合并日之间已确认有关损益、其他综合收益以及其他净资产变动，分别冲减比较报表期间的期初留存收益或</w:t>
      </w:r>
      <w:r>
        <w:rPr>
          <w:spacing w:val="-64"/>
        </w:rPr>
        <w:t> </w:t>
      </w:r>
      <w:r>
        <w:rPr>
          <w:spacing w:val="-64"/>
        </w:rPr>
      </w:r>
      <w:r>
        <w:rPr/>
        <w:t>当期损益。</w:t>
      </w:r>
    </w:p>
    <w:p>
      <w:pPr>
        <w:pStyle w:val="BodyText"/>
        <w:spacing w:line="316" w:lineRule="auto" w:before="19"/>
        <w:ind w:right="1132" w:firstLine="420"/>
        <w:jc w:val="both"/>
      </w:pPr>
      <w:r>
        <w:rPr/>
        <w:t>在报告期内，若因非同一控制下企业合并增加子公司或业务的，则不调整合并资产负债表期初数；将该子公司或业务 </w:t>
      </w:r>
      <w:r>
        <w:rPr>
          <w:spacing w:val="-2"/>
        </w:rPr>
        <w:t>自购买日至报告期末的收入、费用、利润纳入合并利润表；该子公司或业务自购买日至报告期末的现金流量纳入合并现金流</w:t>
      </w:r>
      <w:r>
        <w:rPr>
          <w:spacing w:val="-66"/>
        </w:rPr>
        <w:t> </w:t>
      </w:r>
      <w:r>
        <w:rPr>
          <w:spacing w:val="-66"/>
        </w:rPr>
      </w:r>
      <w:r>
        <w:rPr/>
        <w:t>量表。</w:t>
      </w:r>
    </w:p>
    <w:p>
      <w:pPr>
        <w:pStyle w:val="BodyText"/>
        <w:spacing w:line="319" w:lineRule="auto" w:before="19"/>
        <w:ind w:right="1132" w:firstLine="420"/>
        <w:jc w:val="both"/>
      </w:pPr>
      <w:r>
        <w:rPr/>
        <w:t>因追加投资等原因能够对非同一控制下的被投资方实施控制的，对于购买日之前持有的被购买方的股权，本公司按照 </w:t>
      </w:r>
      <w:r>
        <w:rPr>
          <w:spacing w:val="-2"/>
        </w:rPr>
        <w:t>该股权在购买日的公允价值进行重新计量，公允价值与其账面价值的差额计入当期投资收益。购买日之前持有的被购买方的</w:t>
      </w:r>
      <w:r>
        <w:rPr>
          <w:spacing w:val="-64"/>
        </w:rPr>
        <w:t> </w:t>
      </w:r>
      <w:r>
        <w:rPr>
          <w:spacing w:val="-64"/>
        </w:rPr>
      </w:r>
      <w:r>
        <w:rPr>
          <w:spacing w:val="-2"/>
        </w:rPr>
        <w:t>股权涉及权益法核算下的其他综合收益以及除净损益、其他综合收益和利润分配之外的其他所有者权益变动的，与其相关的</w:t>
      </w:r>
      <w:r>
        <w:rPr>
          <w:spacing w:val="-64"/>
        </w:rPr>
        <w:t> </w:t>
      </w:r>
      <w:r>
        <w:rPr>
          <w:spacing w:val="-64"/>
        </w:rPr>
      </w:r>
      <w:r>
        <w:rPr>
          <w:spacing w:val="-2"/>
        </w:rPr>
        <w:t>其他综合收益、其他所有者权益变动转为购买日所属当期投资收益，由于被投资方重新计量设定受益计划净负债或净资产变</w:t>
      </w:r>
      <w:r>
        <w:rPr>
          <w:spacing w:val="-64"/>
        </w:rPr>
        <w:t> </w:t>
      </w:r>
      <w:r>
        <w:rPr>
          <w:spacing w:val="-64"/>
        </w:rPr>
      </w:r>
      <w:r>
        <w:rPr/>
        <w:t>动而产生的其他综合收益除外。</w:t>
      </w:r>
    </w:p>
    <w:p>
      <w:pPr>
        <w:pStyle w:val="BodyText"/>
        <w:spacing w:line="240" w:lineRule="auto" w:before="17"/>
        <w:ind w:left="371" w:right="0"/>
        <w:jc w:val="left"/>
      </w:pPr>
      <w:r>
        <w:rPr/>
        <w:t>（</w:t>
      </w:r>
      <w:r>
        <w:rPr>
          <w:rFonts w:ascii="Times New Roman" w:hAnsi="Times New Roman" w:cs="Times New Roman" w:eastAsia="Times New Roman" w:hint="default"/>
        </w:rPr>
        <w:t>2</w:t>
      </w:r>
      <w:r>
        <w:rPr/>
        <w:t>）</w:t>
      </w:r>
      <w:r>
        <w:rPr>
          <w:spacing w:val="-20"/>
        </w:rPr>
        <w:t> </w:t>
      </w:r>
      <w:r>
        <w:rPr/>
        <w:t>处置子公司或业务</w:t>
      </w:r>
    </w:p>
    <w:p>
      <w:pPr>
        <w:pStyle w:val="BodyText"/>
        <w:spacing w:line="300" w:lineRule="auto" w:before="63"/>
        <w:ind w:left="574" w:right="1152"/>
        <w:jc w:val="left"/>
      </w:pPr>
      <w:r>
        <w:rPr>
          <w:rFonts w:ascii="Times New Roman" w:hAnsi="Times New Roman" w:cs="Times New Roman" w:eastAsia="Times New Roman" w:hint="default"/>
        </w:rPr>
        <w:t>1</w:t>
      </w:r>
      <w:r>
        <w:rPr/>
        <w:t>）一般处理方法 在报告期内，本公司处置子公司或业务，则该子公司或业务期初至处置日的收入、费用、利润纳入合并利润表；该子</w:t>
      </w:r>
    </w:p>
    <w:p>
      <w:pPr>
        <w:pStyle w:val="BodyText"/>
        <w:spacing w:line="316" w:lineRule="auto" w:before="31"/>
        <w:ind w:left="574" w:right="1152" w:hanging="420"/>
        <w:jc w:val="left"/>
      </w:pPr>
      <w:r>
        <w:rPr/>
        <w:t>公司或业务期初至处置日的现金流量纳入合并现金流量表。 因处置部分股权投资或其他原因丧失了对被投资方控制权时，对于处置后的剩余股权投资，本公司按照其在丧失控制</w:t>
      </w:r>
    </w:p>
    <w:p>
      <w:pPr>
        <w:pStyle w:val="BodyText"/>
        <w:spacing w:line="316" w:lineRule="auto" w:before="19"/>
        <w:ind w:right="0"/>
        <w:jc w:val="left"/>
      </w:pPr>
      <w:r>
        <w:rPr>
          <w:spacing w:val="-2"/>
        </w:rPr>
        <w:t>权日的公允价值进行重新计量。处置股权取得的对价与剩余股权公允价值之和，减去按原持股比例计算应享有原有子公司自</w:t>
      </w:r>
      <w:r>
        <w:rPr>
          <w:spacing w:val="-64"/>
        </w:rPr>
        <w:t> </w:t>
      </w:r>
      <w:r>
        <w:rPr>
          <w:spacing w:val="-64"/>
        </w:rPr>
      </w:r>
      <w:r>
        <w:rPr>
          <w:spacing w:val="-2"/>
        </w:rPr>
        <w:t>购买日或合并日开始持续计算的净资产的份额与商誉之和的差额，计入丧失控制权当期的投资收益。与原有子公司股权投资</w:t>
      </w:r>
      <w:r>
        <w:rPr>
          <w:spacing w:val="-64"/>
        </w:rPr>
        <w:t> </w:t>
      </w:r>
      <w:r>
        <w:rPr>
          <w:spacing w:val="-64"/>
        </w:rPr>
      </w:r>
      <w:r>
        <w:rPr>
          <w:spacing w:val="-4"/>
        </w:rPr>
        <w:t>相关的其他综合收益或除净损益、其他综合收益及利润分配之外的其他所有者权益变动，在丧失控制权时转为当期投资收益，</w:t>
      </w:r>
      <w:r>
        <w:rPr>
          <w:spacing w:val="-44"/>
        </w:rPr>
        <w:t> </w:t>
      </w:r>
      <w:r>
        <w:rPr>
          <w:spacing w:val="-44"/>
        </w:rPr>
      </w:r>
      <w:r>
        <w:rPr/>
        <w:t>由于被投资方重新计量设定受益计划净负债或净资产变动而产生的其他综合收益除外。</w:t>
      </w:r>
    </w:p>
    <w:p>
      <w:pPr>
        <w:pStyle w:val="BodyText"/>
        <w:spacing w:line="300" w:lineRule="auto" w:before="19"/>
        <w:ind w:left="574" w:right="1152"/>
        <w:jc w:val="left"/>
      </w:pPr>
      <w:r>
        <w:rPr>
          <w:rFonts w:ascii="Times New Roman" w:hAnsi="Times New Roman" w:cs="Times New Roman" w:eastAsia="Times New Roman" w:hint="default"/>
        </w:rPr>
        <w:t>2</w:t>
      </w:r>
      <w:r>
        <w:rPr/>
        <w:t>）分步处置子公司 通过多次交易分步处置对子公司股权投资直至丧失控制权的，处置对子公司股权投资的各项交易的条款、条件以及经</w:t>
      </w:r>
    </w:p>
    <w:p>
      <w:pPr>
        <w:pStyle w:val="BodyText"/>
        <w:spacing w:line="304" w:lineRule="auto" w:before="31"/>
        <w:ind w:left="574" w:right="3372" w:hanging="420"/>
        <w:jc w:val="left"/>
      </w:pPr>
      <w:r>
        <w:rPr/>
        <w:t>济影响符合以下一种或多种情况，通常表明应将多次交易事项作为一揽子交易进行会计处理：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316" w:lineRule="auto" w:before="9"/>
        <w:ind w:right="1032" w:firstLine="420"/>
        <w:jc w:val="left"/>
      </w:pPr>
      <w:r>
        <w:rPr/>
        <w:t>处置对子公司股权投资直至丧失控制权的各项交易属于一揽子交易的，本公司将各项交易作为一项处置子公司并丧失 控制权的交易进行会计处理；但是，在丧失控制权之前每一次处置价款与处置投资对应的享有该子公司净资产份额的差额， 在合并财务报表中确认为其他综合收益，在丧失控制权时一并转入丧失控制权当期的损益。</w:t>
      </w:r>
    </w:p>
    <w:p>
      <w:pPr>
        <w:pStyle w:val="BodyText"/>
        <w:spacing w:line="240" w:lineRule="auto" w:before="19"/>
        <w:ind w:left="574" w:right="0"/>
        <w:jc w:val="left"/>
      </w:pPr>
      <w:r>
        <w:rPr/>
        <w:t>处置对子公司股权投资直至丧失控制权的各项交易不属于一揽子交易的，在丧失控制权之前，按不丧失控制权的情况</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下部分处置对子公司的股权投资的相关政策进行会计处理；在丧失控制权时，按处置子公司一般处理方法进行会计处理。</w:t>
      </w:r>
    </w:p>
    <w:p>
      <w:pPr>
        <w:pStyle w:val="BodyText"/>
        <w:spacing w:line="300" w:lineRule="auto" w:before="76"/>
        <w:ind w:left="574" w:right="1152" w:hanging="203"/>
        <w:jc w:val="left"/>
      </w:pPr>
      <w:r>
        <w:rPr/>
        <w:t>（</w:t>
      </w:r>
      <w:r>
        <w:rPr>
          <w:rFonts w:ascii="Times New Roman" w:hAnsi="Times New Roman" w:cs="Times New Roman" w:eastAsia="Times New Roman" w:hint="default"/>
        </w:rPr>
        <w:t>3</w:t>
      </w:r>
      <w:r>
        <w:rPr/>
        <w:t>）</w:t>
      </w:r>
      <w:r>
        <w:rPr>
          <w:spacing w:val="-18"/>
        </w:rPr>
        <w:t> </w:t>
      </w:r>
      <w:r>
        <w:rPr/>
        <w:t>购买子公司少数股权</w:t>
      </w:r>
      <w:r>
        <w:rPr/>
        <w:t> 本公司因购买少数股权新取得的长期股权投资与按照新增持股比例计算应享有子公司自购买日（或合并日）开始持续</w:t>
      </w:r>
    </w:p>
    <w:p>
      <w:pPr>
        <w:pStyle w:val="BodyText"/>
        <w:spacing w:line="319" w:lineRule="auto" w:before="31"/>
        <w:ind w:right="1118"/>
        <w:jc w:val="left"/>
      </w:pPr>
      <w:r>
        <w:rPr>
          <w:spacing w:val="-2"/>
        </w:rPr>
        <w:t>计算的净资产份额之间的差额，调整合并资产负债表中的资本公积中的股本溢价，资本公积中的股本溢价不足冲减的，调整</w:t>
      </w:r>
      <w:r>
        <w:rPr>
          <w:spacing w:val="-66"/>
        </w:rPr>
        <w:t> </w:t>
      </w:r>
      <w:r>
        <w:rPr>
          <w:spacing w:val="-66"/>
        </w:rPr>
      </w:r>
      <w:r>
        <w:rPr/>
        <w:t>留存收益。</w:t>
      </w:r>
    </w:p>
    <w:p>
      <w:pPr>
        <w:pStyle w:val="BodyText"/>
        <w:spacing w:line="312" w:lineRule="auto" w:before="17"/>
        <w:ind w:right="0" w:firstLine="217"/>
        <w:jc w:val="left"/>
      </w:pPr>
      <w:r>
        <w:rPr/>
        <w:t>（</w:t>
      </w:r>
      <w:r>
        <w:rPr>
          <w:rFonts w:ascii="Times New Roman" w:hAnsi="Times New Roman" w:cs="Times New Roman" w:eastAsia="Times New Roman" w:hint="default"/>
        </w:rPr>
        <w:t>4</w:t>
      </w:r>
      <w:r>
        <w:rPr/>
        <w:t>）</w:t>
      </w:r>
      <w:r>
        <w:rPr>
          <w:spacing w:val="-18"/>
        </w:rPr>
        <w:t> </w:t>
      </w:r>
      <w:r>
        <w:rPr/>
        <w:t>不丧失控制权的情况下部分处置对子公司的股权投资</w:t>
      </w:r>
      <w:r>
        <w:rPr/>
        <w:t> 在不丧失控制权的情况下因部分处置对子公司的长期股权投资而取得的处置价款与处置长期股权投资相对应享有子公司自 </w:t>
      </w: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1152" w:hanging="87"/>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1"/>
        </w:rPr>
        <w:t> </w:t>
      </w:r>
      <w:r>
        <w:rPr>
          <w:rFonts w:ascii="宋体" w:hAnsi="宋体" w:cs="宋体" w:eastAsia="宋体" w:hint="default"/>
          <w:b/>
          <w:bCs/>
        </w:rPr>
        <w:t>合营安排的分类</w:t>
      </w:r>
      <w:r>
        <w:rPr>
          <w:rFonts w:ascii="宋体" w:hAnsi="宋体" w:cs="宋体" w:eastAsia="宋体" w:hint="default"/>
          <w:b/>
          <w:bCs/>
          <w:w w:val="99"/>
        </w:rPr>
        <w:t> </w:t>
      </w:r>
      <w:r>
        <w:rPr/>
        <w:t>本公司根据合营安排的结构、法律形式以及合营安排中约定的条款、其他相关事实和情况等因素，将合营安排分为共</w:t>
      </w:r>
    </w:p>
    <w:p>
      <w:pPr>
        <w:pStyle w:val="BodyText"/>
        <w:spacing w:line="316" w:lineRule="auto" w:before="31"/>
        <w:ind w:left="574" w:right="1152" w:hanging="420"/>
        <w:jc w:val="left"/>
      </w:pPr>
      <w:r>
        <w:rPr/>
        <w:t>同经营和合营企业。 未通过单独主体达成的合营安排，划分为共同经营；通过单独主体达成的合营安排，通常划分为合营企业；但有确凿</w:t>
      </w:r>
    </w:p>
    <w:p>
      <w:pPr>
        <w:pStyle w:val="BodyText"/>
        <w:spacing w:line="240" w:lineRule="auto" w:before="19"/>
        <w:ind w:right="0"/>
        <w:jc w:val="left"/>
      </w:pPr>
      <w:r>
        <w:rPr/>
        <w:t>证据表明满足下列任一条件并且符合相关法律法规规定的合营安排划分为共同经营：</w:t>
      </w:r>
    </w:p>
    <w:p>
      <w:pPr>
        <w:pStyle w:val="BodyText"/>
        <w:spacing w:line="240" w:lineRule="auto" w:before="76"/>
        <w:ind w:right="0"/>
        <w:jc w:val="left"/>
      </w:pPr>
      <w:r>
        <w:rPr/>
        <w:t>（</w:t>
      </w: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BodyText"/>
        <w:spacing w:line="240" w:lineRule="auto" w:before="63"/>
        <w:ind w:right="0"/>
        <w:jc w:val="left"/>
      </w:pPr>
      <w:r>
        <w:rPr/>
        <w:t>（</w:t>
      </w: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spacing w:line="300" w:lineRule="auto" w:before="63"/>
        <w:ind w:right="1122"/>
        <w:jc w:val="left"/>
      </w:pPr>
      <w:r>
        <w:rPr/>
        <w:t>（</w:t>
      </w:r>
      <w:r>
        <w:rPr>
          <w:rFonts w:ascii="Times New Roman" w:hAnsi="Times New Roman" w:cs="Times New Roman" w:eastAsia="Times New Roman" w:hint="default"/>
        </w:rPr>
        <w:t>3</w:t>
      </w:r>
      <w:r>
        <w:rPr/>
        <w:t>）其他相关事实和情况表明，合营方对该安排中的相关资产和负债分别享有权利和承担义务，如合营方享有与合营安排 相关的几乎所有产出，并且该安排中负债的清偿持续依赖于合营方的支持。</w:t>
      </w:r>
    </w:p>
    <w:p>
      <w:pPr>
        <w:spacing w:line="300" w:lineRule="auto" w:before="31"/>
        <w:ind w:left="574" w:right="1692" w:hanging="11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共同经营会计处理方法</w:t>
      </w:r>
      <w:r>
        <w:rPr>
          <w:rFonts w:ascii="宋体" w:hAnsi="宋体" w:cs="宋体" w:eastAsia="宋体" w:hint="default"/>
          <w:b/>
          <w:bCs/>
          <w:w w:val="99"/>
          <w:sz w:val="18"/>
          <w:szCs w:val="18"/>
        </w:rPr>
        <w:t> </w:t>
      </w:r>
      <w:r>
        <w:rPr>
          <w:rFonts w:ascii="宋体" w:hAnsi="宋体" w:cs="宋体" w:eastAsia="宋体" w:hint="default"/>
          <w:sz w:val="18"/>
          <w:szCs w:val="18"/>
        </w:rPr>
        <w:t>本公司确认共同经营中利益份额中与本公司相关的下列项目，并按照相关企业会计准则的规定进行会计处理：</w:t>
      </w:r>
    </w:p>
    <w:p>
      <w:pPr>
        <w:pStyle w:val="BodyText"/>
        <w:spacing w:line="240" w:lineRule="auto" w:before="31"/>
        <w:ind w:right="0"/>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63"/>
        <w:ind w:right="0"/>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63"/>
        <w:ind w:right="0"/>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63"/>
        <w:ind w:right="0"/>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300" w:lineRule="auto" w:before="63"/>
        <w:ind w:left="574" w:right="1152" w:hanging="420"/>
        <w:jc w:val="left"/>
      </w:pPr>
      <w:r>
        <w:rPr/>
        <w:t>（</w:t>
      </w:r>
      <w:r>
        <w:rPr>
          <w:rFonts w:ascii="Times New Roman" w:hAnsi="Times New Roman" w:cs="Times New Roman" w:eastAsia="Times New Roman" w:hint="default"/>
        </w:rPr>
        <w:t>5</w:t>
      </w:r>
      <w:r>
        <w:rPr/>
        <w:t>）确认单独所发生的费用，以及按其份额确认共同经营发生的费用。 本公司向共同经营投出或出售资产等（该资产构成业务的除外），在该资产等由共同经营出售给第三方之前，仅确认</w:t>
      </w:r>
    </w:p>
    <w:p>
      <w:pPr>
        <w:pStyle w:val="BodyText"/>
        <w:spacing w:line="300" w:lineRule="auto" w:before="31"/>
        <w:ind w:right="0"/>
        <w:jc w:val="left"/>
      </w:pPr>
      <w:r>
        <w:rPr>
          <w:spacing w:val="-2"/>
        </w:rPr>
        <w:t>因该交易产生的损益中归属于共同经营其他参与方的部分。投出或出售的资产发生符合《企业会计准则第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资产减值》</w:t>
      </w:r>
      <w:r>
        <w:rPr>
          <w:spacing w:val="-61"/>
        </w:rPr>
        <w:t> </w:t>
      </w:r>
      <w:r>
        <w:rPr/>
        <w:t>等规定的资产减值损失的，本公司全额确认该损失。</w:t>
      </w:r>
    </w:p>
    <w:p>
      <w:pPr>
        <w:pStyle w:val="BodyText"/>
        <w:spacing w:line="309" w:lineRule="auto" w:before="31"/>
        <w:ind w:right="1139" w:firstLine="420"/>
        <w:jc w:val="both"/>
      </w:pPr>
      <w:r>
        <w:rPr/>
        <w:t>本公司自共同经营购买资产等（该资产构成业务的除外），在将该资产等出售给第三方之前，仅确认因该交易产生的 损益中归属于共同经营其他参与方的部分。购入的资产发生符合《企业会计准则第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 失的，本公司按承担的份额确认该部分损失。</w:t>
      </w:r>
    </w:p>
    <w:p>
      <w:pPr>
        <w:pStyle w:val="BodyText"/>
        <w:spacing w:line="316" w:lineRule="auto" w:before="24"/>
        <w:ind w:right="1170" w:firstLine="420"/>
        <w:jc w:val="both"/>
      </w:pPr>
      <w:r>
        <w:rPr/>
        <w:t>本公司对共同经营不享有共同控制，如果本公司享有该共同经营相关资产且承担该共同经营相关负债的，仍按上述原 则进行会计处理，否则，应当按照相关企业会计准则的规定进行会计处理。</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70" w:firstLine="420"/>
        <w:jc w:val="both"/>
      </w:pPr>
      <w:r>
        <w:rPr/>
        <w:t>在编制现金流量表时，将本公司库存现金以及可以随时用于支付的存款确认为现金。将同时具备期限短（一般从购买 日起三个月内到期）、流动性强、易于转换为已知金额的现金、价值变动风险很小四个条件的投资，确定为现金等价物。</w:t>
      </w:r>
    </w:p>
    <w:p>
      <w:pPr>
        <w:spacing w:line="240" w:lineRule="auto" w:before="5"/>
        <w:rPr>
          <w:rFonts w:ascii="宋体" w:hAnsi="宋体" w:cs="宋体" w:eastAsia="宋体" w:hint="default"/>
          <w:sz w:val="22"/>
          <w:szCs w:val="22"/>
        </w:rPr>
      </w:pPr>
    </w:p>
    <w:p>
      <w:pPr>
        <w:pStyle w:val="Heading4"/>
        <w:spacing w:line="240" w:lineRule="auto"/>
        <w:ind w:right="0"/>
        <w:jc w:val="left"/>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外币业务</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574" w:right="1152"/>
        <w:jc w:val="left"/>
      </w:pPr>
      <w:r>
        <w:rPr/>
        <w:t>外币业务交易在初始确认时，采用交易发生日的即期汇率作为折算汇率折合成人民币记账。 资产负债表日，外币货币性项目按资产负债表日即期汇率折算，由此产生的汇兑差额，除属于与购建符合资本化条件</w:t>
      </w:r>
    </w:p>
    <w:p>
      <w:pPr>
        <w:pStyle w:val="BodyText"/>
        <w:spacing w:line="316" w:lineRule="auto" w:before="19"/>
        <w:ind w:right="0"/>
        <w:jc w:val="left"/>
      </w:pPr>
      <w:r>
        <w:rPr>
          <w:spacing w:val="-2"/>
        </w:rPr>
        <w:t>的资产相关的外币专门借款产生的汇兑差额按照借款费用资本化的原则处理外，均计入当期损益。以历史成本计量的外币非</w:t>
      </w:r>
      <w:r>
        <w:rPr>
          <w:spacing w:val="-64"/>
        </w:rPr>
        <w:t> </w:t>
      </w:r>
      <w:r>
        <w:rPr>
          <w:spacing w:val="-64"/>
        </w:rPr>
      </w:r>
      <w:r>
        <w:rPr/>
        <w:t>货币性项目，仍采用交易发生日的即期汇率折算，不改变其记账本位币金额。</w:t>
      </w:r>
    </w:p>
    <w:p>
      <w:pPr>
        <w:pStyle w:val="BodyText"/>
        <w:spacing w:line="316" w:lineRule="auto" w:before="19"/>
        <w:ind w:right="1170" w:firstLine="420"/>
        <w:jc w:val="both"/>
      </w:pPr>
      <w:r>
        <w:rPr/>
        <w:t>以公允价值计量的外币非货币性项目，采用公允价值确定日的即期汇率折算，由此产生的汇兑差额作为公允价值变动 损益计入当期损益。如属于可供出售外币非货币性项目的，形成的汇兑差额计入其他综合收益。</w:t>
      </w:r>
    </w:p>
    <w:p>
      <w:pPr>
        <w:pStyle w:val="BodyText"/>
        <w:spacing w:line="300" w:lineRule="auto" w:before="19"/>
        <w:ind w:left="574" w:right="1172" w:hanging="60"/>
        <w:jc w:val="left"/>
      </w:pPr>
      <w:r>
        <w:rPr>
          <w:rFonts w:ascii="Times New Roman" w:hAnsi="Times New Roman" w:cs="Times New Roman" w:eastAsia="Times New Roman" w:hint="default"/>
        </w:rPr>
        <w:t>2. </w:t>
      </w:r>
      <w:r>
        <w:rPr/>
        <w:t>外币财务报表的折算 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w:t>
      </w:r>
    </w:p>
    <w:p>
      <w:pPr>
        <w:pStyle w:val="BodyText"/>
        <w:spacing w:line="316" w:lineRule="auto" w:before="13"/>
        <w:ind w:right="0"/>
        <w:jc w:val="left"/>
      </w:pPr>
      <w:r>
        <w:rPr>
          <w:spacing w:val="-2"/>
        </w:rPr>
        <w:t>项目采用发生时的即期汇率折算。利润表中的收入和费用项目，采用交易发生日的即期汇率折算。按照上述折算产生的外币</w:t>
      </w:r>
      <w:r>
        <w:rPr>
          <w:spacing w:val="-66"/>
        </w:rPr>
        <w:t> </w:t>
      </w:r>
      <w:r>
        <w:rPr>
          <w:spacing w:val="-66"/>
        </w:rPr>
      </w:r>
      <w:r>
        <w:rPr/>
        <w:t>财务报表折算差额计入其他综合收益。</w:t>
      </w:r>
    </w:p>
    <w:p>
      <w:pPr>
        <w:pStyle w:val="BodyText"/>
        <w:spacing w:line="316" w:lineRule="auto" w:before="19"/>
        <w:ind w:right="1130" w:firstLine="420"/>
        <w:jc w:val="both"/>
      </w:pPr>
      <w:r>
        <w:rPr/>
        <w:t>处置境外经营时，将资产负债表中其他综合收益项目中列示的、与该境外经营相关的外币财务报表折算差额，自其他 </w:t>
      </w:r>
      <w:r>
        <w:rPr>
          <w:spacing w:val="-2"/>
        </w:rPr>
        <w:t>综合收益项目转入处置当期损益；在处置部分股权投资或其他原因导致持有境外经营权益比例降低但不丧失对境外经营控制</w:t>
      </w:r>
      <w:r>
        <w:rPr>
          <w:spacing w:val="-63"/>
        </w:rPr>
        <w:t> </w:t>
      </w:r>
      <w:r>
        <w:rPr>
          <w:spacing w:val="-63"/>
        </w:rPr>
      </w:r>
      <w:r>
        <w:rPr>
          <w:spacing w:val="-2"/>
        </w:rPr>
        <w:t>权时，与该境外经营处置部分相关的外币报表折算差额将归属于少数股东权益，不转入当期损益。在处置境外经营为联营企</w:t>
      </w:r>
      <w:r>
        <w:rPr>
          <w:spacing w:val="-66"/>
        </w:rPr>
        <w:t> </w:t>
      </w:r>
      <w:r>
        <w:rPr>
          <w:spacing w:val="-66"/>
        </w:rPr>
      </w:r>
      <w:r>
        <w:rPr/>
        <w:t>业或合营企业的部分股权时，与该境外经营相关的外币报表折算差额，按处置该境外经营的比例转入处置当期损益。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金融工具包括金融资产、金融负债和权益工具。</w:t>
      </w:r>
    </w:p>
    <w:p>
      <w:pPr>
        <w:pStyle w:val="BodyText"/>
        <w:spacing w:line="312" w:lineRule="auto" w:before="76"/>
        <w:ind w:right="0" w:firstLine="290"/>
        <w:jc w:val="left"/>
      </w:pPr>
      <w:r>
        <w:rPr>
          <w:rFonts w:ascii="Times New Roman" w:hAnsi="Times New Roman" w:cs="Times New Roman" w:eastAsia="Times New Roman" w:hint="default"/>
        </w:rPr>
        <w:t>1</w:t>
      </w:r>
      <w:r>
        <w:rPr/>
        <w:t>．金融工具的分类 </w:t>
      </w:r>
      <w:r>
        <w:rPr>
          <w:spacing w:val="-2"/>
        </w:rPr>
        <w:t>本公司根据所发行金融工具的合同条款及其所反映的经济实质而非仅以法律形式，结合取得持有金融资产和承担金融负债的</w:t>
      </w:r>
      <w:r>
        <w:rPr>
          <w:spacing w:val="-64"/>
        </w:rPr>
        <w:t> </w:t>
      </w:r>
      <w:r>
        <w:rPr>
          <w:spacing w:val="-64"/>
        </w:rPr>
      </w:r>
      <w:r>
        <w:rPr>
          <w:spacing w:val="-7"/>
        </w:rPr>
        <w:t>目的，在初始确认时将金融资产和金融负债分为不同类别：以公允价值计量且其变动计入当期损益的金融资产（或金融负债）；</w:t>
      </w:r>
      <w:r>
        <w:rPr>
          <w:spacing w:val="-50"/>
        </w:rPr>
        <w:t> </w:t>
      </w:r>
      <w:r>
        <w:rPr>
          <w:spacing w:val="-50"/>
        </w:rPr>
      </w:r>
      <w:r>
        <w:rPr/>
        <w:t>持有至到期投资；应收款项；可供出售金融资产；其他金融负债等。</w:t>
      </w:r>
    </w:p>
    <w:p>
      <w:pPr>
        <w:pStyle w:val="BodyText"/>
        <w:spacing w:line="240" w:lineRule="auto" w:before="23"/>
        <w:ind w:left="44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金融工具的确认依据和计量方法</w:t>
      </w:r>
    </w:p>
    <w:p>
      <w:pPr>
        <w:pStyle w:val="BodyText"/>
        <w:spacing w:line="312" w:lineRule="auto" w:before="63"/>
        <w:ind w:right="1118" w:firstLine="217"/>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以公允价值计量且其变动计入当期损益的金融资产或金融负债，包括交易性金融资产或金融负债和直接指定为以公允价值计</w:t>
      </w:r>
      <w:r>
        <w:rPr>
          <w:spacing w:val="-64"/>
        </w:rPr>
        <w:t> </w:t>
      </w:r>
      <w:r>
        <w:rPr>
          <w:spacing w:val="-64"/>
        </w:rPr>
      </w:r>
      <w:r>
        <w:rPr/>
        <w:t>量且其变动计入当期损益的金融资产或金融负债。 交易性金融资产或金融负债是指满足下列条件之一的金融资产或金融负债：</w:t>
      </w:r>
    </w:p>
    <w:p>
      <w:pPr>
        <w:pStyle w:val="BodyText"/>
        <w:spacing w:line="240" w:lineRule="auto" w:before="22"/>
        <w:ind w:left="444" w:right="0"/>
        <w:jc w:val="left"/>
      </w:pP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300" w:lineRule="auto" w:before="63"/>
        <w:ind w:right="1192" w:firstLine="290"/>
        <w:jc w:val="left"/>
      </w:pPr>
      <w:r>
        <w:rPr>
          <w:rFonts w:ascii="Times New Roman" w:hAnsi="Times New Roman" w:cs="Times New Roman" w:eastAsia="Times New Roman" w:hint="default"/>
        </w:rPr>
        <w:t>2</w:t>
      </w:r>
      <w:r>
        <w:rPr/>
        <w:t>）属于进行集中管理的可辨认金融工具组合的一部分，且有客观证据表明本公司近期采用短期获利方式对该组合进行 管理；</w:t>
      </w:r>
    </w:p>
    <w:p>
      <w:pPr>
        <w:pStyle w:val="BodyText"/>
        <w:spacing w:line="300" w:lineRule="auto" w:before="31"/>
        <w:ind w:right="1192" w:firstLine="290"/>
        <w:jc w:val="left"/>
      </w:pPr>
      <w:r>
        <w:rPr>
          <w:rFonts w:ascii="Times New Roman" w:hAnsi="Times New Roman" w:cs="Times New Roman" w:eastAsia="Times New Roman" w:hint="default"/>
        </w:rPr>
        <w:t>3</w:t>
      </w:r>
      <w:r>
        <w:rPr/>
        <w:t>）属于衍生金融工具，但是被指定为有效套期工具的衍生工具、属于财务担保合同的衍生工具、与在活跃市场中没有 报价且其公允价值不能可靠计量的权益工具投资挂钩并须通过交付该权益工具结算的衍生工具除外。</w:t>
      </w:r>
    </w:p>
    <w:p>
      <w:pPr>
        <w:pStyle w:val="BodyText"/>
        <w:spacing w:line="316" w:lineRule="auto" w:before="31"/>
        <w:ind w:right="1118" w:firstLine="290"/>
        <w:jc w:val="left"/>
      </w:pPr>
      <w:r>
        <w:rPr>
          <w:spacing w:val="-1"/>
        </w:rPr>
        <w:t>只有符合以下条件之一，金融资产或金融负债才可在初始计量时指定为以公允价值计量且其变动计入损益的金融资产或</w:t>
      </w:r>
      <w:r>
        <w:rPr/>
        <w:t> 金融负债：</w:t>
      </w:r>
    </w:p>
    <w:p>
      <w:pPr>
        <w:pStyle w:val="BodyText"/>
        <w:spacing w:line="300" w:lineRule="auto" w:before="19"/>
        <w:ind w:right="1192" w:firstLine="290"/>
        <w:jc w:val="left"/>
      </w:pPr>
      <w:r>
        <w:rPr>
          <w:rFonts w:ascii="Times New Roman" w:hAnsi="Times New Roman" w:cs="Times New Roman" w:eastAsia="Times New Roman" w:hint="default"/>
        </w:rPr>
        <w:t>1</w:t>
      </w:r>
      <w:r>
        <w:rPr/>
        <w:t>）该项指定可以消除或明显减少由于金融资产或金融负债的计量基础不同所导致的相关利得或损失在确认或计量方面 不一致的情况；</w:t>
      </w:r>
    </w:p>
    <w:p>
      <w:pPr>
        <w:pStyle w:val="BodyText"/>
        <w:spacing w:line="300" w:lineRule="auto" w:before="31"/>
        <w:ind w:right="1192" w:firstLine="290"/>
        <w:jc w:val="left"/>
      </w:pPr>
      <w:r>
        <w:rPr>
          <w:rFonts w:ascii="Times New Roman" w:hAnsi="Times New Roman" w:cs="Times New Roman" w:eastAsia="Times New Roman" w:hint="default"/>
        </w:rPr>
        <w:t>2</w:t>
      </w:r>
      <w:r>
        <w:rPr/>
        <w:t>）风险管理或投资策略的正式书面文件已载明，该金融资产组合、该金融负债组合、或该金融资产和金融负债组合， 以公允价值为基础进行管理、评价并向关键管理人员报告；</w:t>
      </w:r>
    </w:p>
    <w:p>
      <w:pPr>
        <w:pStyle w:val="BodyText"/>
        <w:spacing w:line="300" w:lineRule="auto" w:before="31"/>
        <w:ind w:right="1192" w:firstLine="290"/>
        <w:jc w:val="left"/>
      </w:pPr>
      <w:r>
        <w:rPr>
          <w:rFonts w:ascii="Times New Roman" w:hAnsi="Times New Roman" w:cs="Times New Roman" w:eastAsia="Times New Roman" w:hint="default"/>
        </w:rPr>
        <w:t>3</w:t>
      </w:r>
      <w:r>
        <w:rPr/>
        <w:t>）包含一项或多项嵌入衍生工具的混合工具，除非嵌入衍生工具对混合工具的现金流量没有重大改变，或所嵌入的衍 生工具明显不应当从相关混合工具中分拆；</w:t>
      </w:r>
    </w:p>
    <w:p>
      <w:pPr>
        <w:pStyle w:val="BodyText"/>
        <w:spacing w:line="312" w:lineRule="auto" w:before="32"/>
        <w:ind w:right="0" w:firstLine="290"/>
        <w:jc w:val="left"/>
      </w:pPr>
      <w:r>
        <w:rPr>
          <w:rFonts w:ascii="Times New Roman" w:hAnsi="Times New Roman" w:cs="Times New Roman" w:eastAsia="Times New Roman" w:hint="default"/>
        </w:rPr>
        <w:t>4</w:t>
      </w:r>
      <w:r>
        <w:rPr/>
        <w:t>）包含需要分拆但无法在取得时或后续的资产负债表日对其进行单独计量的嵌入衍生工具的混合工具。 </w:t>
      </w:r>
      <w:r>
        <w:rPr>
          <w:spacing w:val="-2"/>
        </w:rPr>
        <w:t>本公司对以公允价值计量且其变动计入当期损益的金融资产或金融负债，在取得时以公允价值（扣除已宣告但尚未发放的现</w:t>
      </w:r>
      <w:r>
        <w:rPr>
          <w:spacing w:val="-64"/>
        </w:rPr>
        <w:t> </w:t>
      </w:r>
      <w:r>
        <w:rPr>
          <w:spacing w:val="-64"/>
        </w:rPr>
      </w:r>
      <w:r>
        <w:rPr>
          <w:spacing w:val="-2"/>
        </w:rPr>
        <w:t>金股利或已到付息期但尚未领取的债券利息）作为初始确认金额，相关的交易费用计入当期损益。持有期间将取得的利息或</w:t>
      </w:r>
      <w:r>
        <w:rPr>
          <w:spacing w:val="-66"/>
        </w:rPr>
        <w:t> </w:t>
      </w:r>
      <w:r>
        <w:rPr>
          <w:spacing w:val="-66"/>
        </w:rPr>
      </w:r>
      <w:r>
        <w:rPr>
          <w:spacing w:val="-2"/>
        </w:rPr>
        <w:t>现金股利确认为投资收益，期末将公允价值变动计入当期损益。处置时，其公允价值与初始入账金额之间的差额确认为投资</w:t>
      </w:r>
    </w:p>
    <w:p>
      <w:pPr>
        <w:spacing w:after="0" w:line="312"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both"/>
      </w:pPr>
      <w:r>
        <w:rPr/>
        <w:t>收益，同时调整公允价值变动损益。</w:t>
      </w:r>
    </w:p>
    <w:p>
      <w:pPr>
        <w:pStyle w:val="BodyText"/>
        <w:spacing w:line="300" w:lineRule="auto" w:before="76"/>
        <w:ind w:left="444" w:right="3982" w:hanging="74"/>
        <w:jc w:val="left"/>
      </w:pPr>
      <w:r>
        <w:rPr/>
        <w:t>（</w:t>
      </w:r>
      <w:r>
        <w:rPr>
          <w:rFonts w:ascii="Times New Roman" w:hAnsi="Times New Roman" w:cs="Times New Roman" w:eastAsia="Times New Roman" w:hint="default"/>
        </w:rPr>
        <w:t>2</w:t>
      </w:r>
      <w:r>
        <w:rPr/>
        <w:t>）应收款项 应收款项是指在活跃市场中没有报价、回收金额固定或可确定的非衍生金融资产。</w:t>
      </w:r>
    </w:p>
    <w:p>
      <w:pPr>
        <w:pStyle w:val="BodyText"/>
        <w:spacing w:line="319" w:lineRule="auto" w:before="31"/>
        <w:ind w:right="0" w:firstLine="290"/>
        <w:jc w:val="left"/>
      </w:pPr>
      <w:r>
        <w:rPr/>
        <w:t>本公司对外销售商品或提供劳务形成的应收债权，以及公司持有的其他企业的债权（不包括在活跃市场上有报价的债务 </w:t>
      </w:r>
      <w:r>
        <w:rPr>
          <w:spacing w:val="-4"/>
        </w:rPr>
        <w:t>工具），包括应收账款、其他应收款、应收票据等，以向购货方应收的合同或协议价款作为初始确认金额；具有融资性质的，</w:t>
      </w:r>
      <w:r>
        <w:rPr>
          <w:spacing w:val="-44"/>
        </w:rPr>
        <w:t> </w:t>
      </w:r>
      <w:r>
        <w:rPr>
          <w:spacing w:val="-44"/>
        </w:rPr>
      </w:r>
      <w:r>
        <w:rPr/>
        <w:t>按其现值进行初始确认。</w:t>
      </w:r>
    </w:p>
    <w:p>
      <w:pPr>
        <w:pStyle w:val="BodyText"/>
        <w:spacing w:line="240" w:lineRule="auto" w:before="17"/>
        <w:ind w:left="444" w:right="0"/>
        <w:jc w:val="left"/>
      </w:pPr>
      <w:r>
        <w:rPr/>
        <w:t>收回或处置时，将取得的价款与该应收款项账面价值之间的差额计入当期损益。</w:t>
      </w:r>
    </w:p>
    <w:p>
      <w:pPr>
        <w:pStyle w:val="BodyText"/>
        <w:spacing w:line="309" w:lineRule="auto" w:before="76"/>
        <w:ind w:left="444" w:right="1028" w:hanging="74"/>
        <w:jc w:val="left"/>
      </w:pPr>
      <w:r>
        <w:rPr/>
        <w:t>（</w:t>
      </w:r>
      <w:r>
        <w:rPr>
          <w:rFonts w:ascii="Times New Roman" w:hAnsi="Times New Roman" w:cs="Times New Roman" w:eastAsia="Times New Roman" w:hint="default"/>
        </w:rPr>
        <w:t>3</w:t>
      </w:r>
      <w:r>
        <w:rPr/>
        <w:t>）持有至到期投资 </w:t>
      </w:r>
      <w:r>
        <w:rPr>
          <w:spacing w:val="-2"/>
        </w:rPr>
        <w:t>持有至到期投资是指到期日固定、回收金额固定或可确定，且本公司有明确意图和能力持有至到期的非衍生性金融资产。</w:t>
      </w:r>
      <w:r>
        <w:rPr/>
        <w:t> 本公司对持有至到期投资，在取得时按公允价值（扣除已到付息期但尚未领取的债券利息）和相关交易费用之和作为初</w:t>
      </w:r>
    </w:p>
    <w:p>
      <w:pPr>
        <w:pStyle w:val="BodyText"/>
        <w:spacing w:line="316" w:lineRule="auto" w:before="24"/>
        <w:ind w:right="1131"/>
        <w:jc w:val="both"/>
      </w:pPr>
      <w:r>
        <w:rPr>
          <w:spacing w:val="-2"/>
        </w:rPr>
        <w:t>始确认金额。持有期间按照摊余成本和实际利率计算确认利息收入，计入投资收益。实际利率在取得时确定，在该预期存续</w:t>
      </w:r>
      <w:r>
        <w:rPr>
          <w:spacing w:val="-66"/>
        </w:rPr>
        <w:t> </w:t>
      </w:r>
      <w:r>
        <w:rPr>
          <w:spacing w:val="-66"/>
        </w:rPr>
      </w:r>
      <w:r>
        <w:rPr/>
        <w:t>期间或适用的更短期间内保持不变。处置时，将所取得价款与该投资账面价值之间的差额计入投资收益。</w:t>
      </w:r>
    </w:p>
    <w:p>
      <w:pPr>
        <w:pStyle w:val="BodyText"/>
        <w:spacing w:line="316" w:lineRule="auto" w:before="19"/>
        <w:ind w:right="1131" w:firstLine="290"/>
        <w:jc w:val="both"/>
      </w:pPr>
      <w:r>
        <w:rPr>
          <w:spacing w:val="-1"/>
        </w:rPr>
        <w:t>如果持有至到期投资处置或重分类为其他类金融资产的金额，相对于本公司全部持有至到期投资在出售或重分类前的总</w:t>
      </w:r>
      <w:r>
        <w:rPr/>
        <w:t> </w:t>
      </w:r>
      <w:r>
        <w:rPr>
          <w:spacing w:val="-2"/>
        </w:rPr>
        <w:t>额较大，在处置或重分类后应立即将其剩余的持有至到期投资重分类为可供出售金融资产；重分类日，该投资的账面价值与</w:t>
      </w:r>
      <w:r>
        <w:rPr>
          <w:spacing w:val="-66"/>
        </w:rPr>
        <w:t> </w:t>
      </w:r>
      <w:r>
        <w:rPr>
          <w:spacing w:val="-66"/>
        </w:rPr>
      </w:r>
      <w:r>
        <w:rPr>
          <w:spacing w:val="-2"/>
        </w:rPr>
        <w:t>其公允价值之间的差额计入其他综合收益，在该可供出售金融资产发生减值或终止确认时转出，计入当期损益。但是，遇到</w:t>
      </w:r>
      <w:r>
        <w:rPr>
          <w:spacing w:val="-66"/>
        </w:rPr>
        <w:t> </w:t>
      </w:r>
      <w:r>
        <w:rPr>
          <w:spacing w:val="-66"/>
        </w:rPr>
      </w:r>
      <w:r>
        <w:rPr/>
        <w:t>下列情况可以除外：</w:t>
      </w:r>
    </w:p>
    <w:p>
      <w:pPr>
        <w:pStyle w:val="BodyText"/>
        <w:spacing w:line="300" w:lineRule="auto" w:before="19"/>
        <w:ind w:right="1126" w:firstLine="290"/>
        <w:jc w:val="left"/>
      </w:pPr>
      <w:r>
        <w:rPr>
          <w:rFonts w:ascii="Times New Roman" w:hAnsi="Times New Roman" w:cs="Times New Roman" w:eastAsia="Times New Roman" w:hint="default"/>
          <w:spacing w:val="-1"/>
        </w:rPr>
        <w:t>1</w:t>
      </w:r>
      <w:r>
        <w:rPr>
          <w:spacing w:val="-1"/>
        </w:rPr>
        <w:t>）出售日或重分类日距离该项投资到期日或赎回日较近</w:t>
      </w:r>
      <w:r>
        <w:rPr>
          <w:rFonts w:ascii="Times New Roman" w:hAnsi="Times New Roman" w:cs="Times New Roman" w:eastAsia="Times New Roman" w:hint="default"/>
          <w:spacing w:val="-1"/>
        </w:rPr>
        <w:t>(</w:t>
      </w:r>
      <w:r>
        <w:rPr>
          <w:spacing w:val="-1"/>
        </w:rPr>
        <w:t>如到期前三个月内</w:t>
      </w:r>
      <w:r>
        <w:rPr>
          <w:rFonts w:ascii="Times New Roman" w:hAnsi="Times New Roman" w:cs="Times New Roman" w:eastAsia="Times New Roman" w:hint="default"/>
          <w:spacing w:val="-1"/>
        </w:rPr>
        <w:t>)</w:t>
      </w:r>
      <w:r>
        <w:rPr>
          <w:spacing w:val="-1"/>
        </w:rPr>
        <w:t>，且市场利率变化对该项投资的公允价值没</w:t>
      </w:r>
      <w:r>
        <w:rPr/>
        <w:t> 有显著影响。</w:t>
      </w:r>
    </w:p>
    <w:p>
      <w:pPr>
        <w:pStyle w:val="BodyText"/>
        <w:spacing w:line="240" w:lineRule="auto" w:before="31"/>
        <w:ind w:left="444" w:right="0"/>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63"/>
        <w:ind w:left="444" w:right="0"/>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BodyText"/>
        <w:spacing w:line="309" w:lineRule="auto" w:before="63"/>
        <w:ind w:left="444" w:right="1102" w:hanging="74"/>
        <w:jc w:val="left"/>
      </w:pPr>
      <w:r>
        <w:rPr/>
        <w:t>（</w:t>
      </w:r>
      <w:r>
        <w:rPr>
          <w:rFonts w:ascii="Times New Roman" w:hAnsi="Times New Roman" w:cs="Times New Roman" w:eastAsia="Times New Roman" w:hint="default"/>
        </w:rPr>
        <w:t>4</w:t>
      </w:r>
      <w:r>
        <w:rPr/>
        <w:t>）可供出售金融资产 可供出售金融资产，是指初始确认时即指定为可供出售的非衍生金融资产，以及除其他金融资产类别以外的金融资产。 </w:t>
      </w:r>
      <w:r>
        <w:rPr>
          <w:spacing w:val="-1"/>
        </w:rPr>
        <w:t>本公司对可供出售金融资产，在取得时按公允价值（扣除已宣告但尚未发放的现金股利或已到付息期但尚未领取的债券</w:t>
      </w:r>
    </w:p>
    <w:p>
      <w:pPr>
        <w:pStyle w:val="BodyText"/>
        <w:spacing w:line="316" w:lineRule="auto" w:before="24"/>
        <w:ind w:right="1131"/>
        <w:jc w:val="both"/>
      </w:pPr>
      <w:r>
        <w:rPr>
          <w:spacing w:val="-2"/>
        </w:rPr>
        <w:t>利息）和相关交易费用之和作为初始确认金额。持有期间将取得的利息或现金股利确认为投资收益。可供出售金融资产的公</w:t>
      </w:r>
      <w:r>
        <w:rPr>
          <w:spacing w:val="-66"/>
        </w:rPr>
        <w:t> </w:t>
      </w:r>
      <w:r>
        <w:rPr>
          <w:spacing w:val="-66"/>
        </w:rPr>
      </w:r>
      <w:r>
        <w:rPr>
          <w:spacing w:val="-2"/>
        </w:rPr>
        <w:t>允价值变动形成的利得或损失，除减值损失和外币货币性金融资产形成的汇兑差额外，直接计入其他综合收益。处置可供出</w:t>
      </w:r>
      <w:r>
        <w:rPr>
          <w:spacing w:val="-66"/>
        </w:rPr>
        <w:t> </w:t>
      </w:r>
      <w:r>
        <w:rPr>
          <w:spacing w:val="-66"/>
        </w:rPr>
      </w:r>
      <w:r>
        <w:rPr>
          <w:spacing w:val="-2"/>
        </w:rPr>
        <w:t>售金融资产时，将取得的价款与该金融资产账面价值之间的差额，计入投资损益；同时，将原直接计入其他综合收益的公允</w:t>
      </w:r>
      <w:r>
        <w:rPr>
          <w:spacing w:val="-66"/>
        </w:rPr>
        <w:t> </w:t>
      </w:r>
      <w:r>
        <w:rPr>
          <w:spacing w:val="-66"/>
        </w:rPr>
      </w:r>
      <w:r>
        <w:rPr/>
        <w:t>价值变动累计额对应处置部分的金额转出，计入投资损益。</w:t>
      </w:r>
    </w:p>
    <w:p>
      <w:pPr>
        <w:pStyle w:val="BodyText"/>
        <w:spacing w:line="316" w:lineRule="auto" w:before="19"/>
        <w:ind w:right="0" w:firstLine="290"/>
        <w:jc w:val="left"/>
      </w:pPr>
      <w:r>
        <w:rPr>
          <w:spacing w:val="-1"/>
        </w:rPr>
        <w:t>本公司对在活跃市场中没有报价且其公允价值不能可靠计量的权益工具投资，以及与该权益工具挂钩并须通过交付该权</w:t>
      </w:r>
      <w:r>
        <w:rPr/>
        <w:t> 益工具结算的衍生金融资产，按照成本计量。</w:t>
      </w:r>
    </w:p>
    <w:p>
      <w:pPr>
        <w:pStyle w:val="BodyText"/>
        <w:spacing w:line="309" w:lineRule="auto" w:before="19"/>
        <w:ind w:left="444" w:right="3802" w:hanging="74"/>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rPr>
        <w:t>3</w:t>
      </w:r>
      <w:r>
        <w:rPr/>
        <w:t>．金融资产转移的确认依据和计量方法</w:t>
      </w:r>
    </w:p>
    <w:p>
      <w:pPr>
        <w:pStyle w:val="BodyText"/>
        <w:spacing w:line="316" w:lineRule="auto" w:before="5"/>
        <w:ind w:right="0" w:firstLine="290"/>
        <w:jc w:val="left"/>
      </w:pPr>
      <w:r>
        <w:rPr>
          <w:spacing w:val="-1"/>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316" w:lineRule="auto" w:before="19"/>
        <w:ind w:right="0" w:firstLine="290"/>
        <w:jc w:val="left"/>
      </w:pPr>
      <w:r>
        <w:rPr>
          <w:spacing w:val="-1"/>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19"/>
        <w:ind w:left="371" w:right="0"/>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right="0" w:firstLine="217"/>
        <w:jc w:val="left"/>
      </w:pPr>
      <w:r>
        <w:rPr>
          <w:spacing w:val="-1"/>
        </w:rPr>
        <w:t>（</w:t>
      </w:r>
      <w:r>
        <w:rPr>
          <w:rFonts w:ascii="Times New Roman" w:hAnsi="Times New Roman" w:cs="Times New Roman" w:eastAsia="Times New Roman" w:hint="default"/>
          <w:spacing w:val="-1"/>
        </w:rPr>
        <w:t>2</w:t>
      </w:r>
      <w:r>
        <w:rPr>
          <w:spacing w:val="-1"/>
        </w:rPr>
        <w:t>）因转移而收到的对价，与原直接计入所有者权益的公允价值变动累计额（涉及转移的金融资产为可供出售金融资产</w:t>
      </w:r>
      <w:r>
        <w:rPr/>
        <w:t> 的情形）之和。</w:t>
      </w:r>
    </w:p>
    <w:p>
      <w:pPr>
        <w:pStyle w:val="BodyText"/>
        <w:spacing w:line="319" w:lineRule="auto" w:before="31"/>
        <w:ind w:right="1102" w:firstLine="29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7"/>
        <w:ind w:left="371" w:right="0"/>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63"/>
        <w:ind w:right="0" w:firstLine="217"/>
        <w:jc w:val="left"/>
      </w:pPr>
      <w:r>
        <w:rPr>
          <w:spacing w:val="-1"/>
        </w:rPr>
        <w:t>（</w:t>
      </w:r>
      <w:r>
        <w:rPr>
          <w:rFonts w:ascii="Times New Roman" w:hAnsi="Times New Roman" w:cs="Times New Roman" w:eastAsia="Times New Roman" w:hint="default"/>
          <w:spacing w:val="-1"/>
        </w:rPr>
        <w:t>2</w:t>
      </w:r>
      <w:r>
        <w:rPr>
          <w:spacing w:val="-1"/>
        </w:rPr>
        <w:t>）终止确认部分的对价，与原直接计入所有者权益的公允价值变动累计额中对应终止确认部分的金额（涉及转移的金</w:t>
      </w:r>
      <w:r>
        <w:rPr/>
        <w:t> 融资产为可供出售金融资产的情形）之和。</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9" w:lineRule="auto" w:before="44"/>
        <w:ind w:left="444" w:right="1118"/>
        <w:jc w:val="left"/>
      </w:pPr>
      <w:r>
        <w:rPr/>
        <w:t>金融资产转移不满足终止确认条件的，继续确认该金融资产，所收到的对价确认为一项金融负债。 </w:t>
      </w:r>
      <w:r>
        <w:rPr>
          <w:rFonts w:ascii="Times New Roman" w:hAnsi="Times New Roman" w:cs="Times New Roman" w:eastAsia="Times New Roman" w:hint="default"/>
        </w:rPr>
        <w:t>4</w:t>
      </w:r>
      <w:r>
        <w:rPr/>
        <w:t>．金融负债终止确认条件 </w:t>
      </w:r>
      <w:r>
        <w:rPr>
          <w:spacing w:val="-1"/>
        </w:rPr>
        <w:t>金融负债的现时义务全部或部分已经解除的，则终止确认该金融负债或其一部分；本公司若与债权人签定协议，以承担</w:t>
      </w:r>
    </w:p>
    <w:p>
      <w:pPr>
        <w:pStyle w:val="BodyText"/>
        <w:spacing w:line="319" w:lineRule="auto" w:before="24"/>
        <w:ind w:right="1133"/>
        <w:jc w:val="both"/>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316" w:lineRule="auto" w:before="17"/>
        <w:ind w:right="0" w:firstLine="290"/>
        <w:jc w:val="left"/>
      </w:pPr>
      <w:r>
        <w:rPr>
          <w:spacing w:val="-1"/>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0" w:firstLine="290"/>
        <w:jc w:val="left"/>
      </w:pPr>
      <w:r>
        <w:rPr>
          <w:spacing w:val="-1"/>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1032" w:firstLine="290"/>
        <w:jc w:val="left"/>
      </w:pPr>
      <w:r>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BodyText"/>
        <w:spacing w:line="300" w:lineRule="auto" w:before="19"/>
        <w:ind w:left="444" w:right="1028"/>
        <w:jc w:val="left"/>
      </w:pPr>
      <w:r>
        <w:rPr>
          <w:rFonts w:ascii="Times New Roman" w:hAnsi="Times New Roman" w:cs="Times New Roman" w:eastAsia="Times New Roman" w:hint="default"/>
        </w:rPr>
        <w:t>5</w:t>
      </w:r>
      <w:r>
        <w:rPr/>
        <w:t>．金融资产和金融负债公允价值的确定方法 </w:t>
      </w:r>
      <w:r>
        <w:rPr>
          <w:spacing w:val="-2"/>
        </w:rPr>
        <w:t>存在活跃市场的金融资产或金融负债，以活跃市场的报价确定其公允价值；活跃市场的报价包括易于且可定期从交易所、</w:t>
      </w:r>
    </w:p>
    <w:p>
      <w:pPr>
        <w:pStyle w:val="BodyText"/>
        <w:spacing w:line="316" w:lineRule="auto" w:before="31"/>
        <w:ind w:right="1131"/>
        <w:jc w:val="both"/>
      </w:pPr>
      <w:r>
        <w:rPr>
          <w:spacing w:val="-2"/>
        </w:rPr>
        <w:t>交易商、经纪人、行业集团、定价机构或监管机构等获得相关资产或负债的报价，且能代表在公平交易基础上实际并经常发</w:t>
      </w:r>
      <w:r>
        <w:rPr>
          <w:spacing w:val="-66"/>
        </w:rPr>
        <w:t> </w:t>
      </w:r>
      <w:r>
        <w:rPr>
          <w:spacing w:val="-66"/>
        </w:rPr>
      </w:r>
      <w:r>
        <w:rPr/>
        <w:t>生的市场交易。</w:t>
      </w:r>
    </w:p>
    <w:p>
      <w:pPr>
        <w:pStyle w:val="BodyText"/>
        <w:spacing w:line="316" w:lineRule="auto" w:before="19"/>
        <w:ind w:left="444" w:right="0"/>
        <w:jc w:val="left"/>
      </w:pPr>
      <w:r>
        <w:rPr/>
        <w:t>初始取得或衍生的金融资产或承担的金融负债，以市场交易价格作为确定其公允价值的基础。 </w:t>
      </w:r>
      <w:r>
        <w:rPr>
          <w:spacing w:val="-1"/>
        </w:rPr>
        <w:t>不存在活跃市场的金融资产或金融负债，采用估值技术确定其公允价值。在估值时，本公司采用在当前情况下适用并且</w:t>
      </w:r>
    </w:p>
    <w:p>
      <w:pPr>
        <w:pStyle w:val="BodyText"/>
        <w:spacing w:line="316" w:lineRule="auto" w:before="19"/>
        <w:ind w:right="1131"/>
        <w:jc w:val="both"/>
      </w:pPr>
      <w:r>
        <w:rPr>
          <w:spacing w:val="-2"/>
        </w:rPr>
        <w:t>有足够可利用数据和其他信息支持的估值技术，选择与市场参与者在相关资产或负债的交易中所考虑的资产或负债特征相一</w:t>
      </w:r>
      <w:r>
        <w:rPr>
          <w:spacing w:val="-64"/>
        </w:rPr>
        <w:t> </w:t>
      </w:r>
      <w:r>
        <w:rPr>
          <w:spacing w:val="-64"/>
        </w:rPr>
      </w:r>
      <w:r>
        <w:rPr>
          <w:spacing w:val="-2"/>
        </w:rPr>
        <w:t>致的输入值，并尽可能优先使用相关可观察输入值。在相关可观察输入值无法取得或取得不切实可行的情况下，使用不可观</w:t>
      </w:r>
      <w:r>
        <w:rPr>
          <w:spacing w:val="-65"/>
        </w:rPr>
        <w:t> </w:t>
      </w:r>
      <w:r>
        <w:rPr>
          <w:spacing w:val="-65"/>
        </w:rPr>
      </w:r>
      <w:r>
        <w:rPr/>
        <w:t>察输入值。</w:t>
      </w:r>
    </w:p>
    <w:p>
      <w:pPr>
        <w:pStyle w:val="BodyText"/>
        <w:spacing w:line="300" w:lineRule="auto" w:before="19"/>
        <w:ind w:left="444" w:right="0"/>
        <w:jc w:val="left"/>
      </w:pPr>
      <w:r>
        <w:rPr>
          <w:rFonts w:ascii="Times New Roman" w:hAnsi="Times New Roman" w:cs="Times New Roman" w:eastAsia="Times New Roman" w:hint="default"/>
        </w:rPr>
        <w:t>6</w:t>
      </w:r>
      <w:r>
        <w:rPr/>
        <w:t>．金融资产（不含应收款项）减值准备计提 </w:t>
      </w:r>
      <w:r>
        <w:rPr>
          <w:spacing w:val="-1"/>
        </w:rPr>
        <w:t>资产负债表日对以公允价值计量且其变动计入当期损益的金融资产以外的金融资产的账面价值进行检查，如有客观证据</w:t>
      </w:r>
    </w:p>
    <w:p>
      <w:pPr>
        <w:pStyle w:val="BodyText"/>
        <w:spacing w:line="316" w:lineRule="auto" w:before="31"/>
        <w:ind w:left="444" w:right="6682" w:hanging="291"/>
        <w:jc w:val="left"/>
      </w:pPr>
      <w:r>
        <w:rPr/>
        <w:t>表明该金融资产发生减值的，计提减值准备。 金融资产发生减值的客观证据，包括但不限于：</w:t>
      </w:r>
    </w:p>
    <w:p>
      <w:pPr>
        <w:pStyle w:val="BodyText"/>
        <w:spacing w:line="240" w:lineRule="auto" w:before="19"/>
        <w:ind w:left="371" w:right="0"/>
        <w:jc w:val="left"/>
      </w:pPr>
      <w:r>
        <w:rPr/>
        <w:t>（</w:t>
      </w:r>
      <w:r>
        <w:rPr>
          <w:rFonts w:ascii="Times New Roman" w:hAnsi="Times New Roman" w:cs="Times New Roman" w:eastAsia="Times New Roman" w:hint="default"/>
        </w:rPr>
        <w:t>1</w:t>
      </w:r>
      <w:r>
        <w:rPr/>
        <w:t>）发行方或债务人发生严重财务困难；</w:t>
      </w:r>
    </w:p>
    <w:p>
      <w:pPr>
        <w:pStyle w:val="BodyText"/>
        <w:spacing w:line="240" w:lineRule="auto" w:before="63"/>
        <w:ind w:left="371" w:right="0"/>
        <w:jc w:val="left"/>
      </w:pPr>
      <w:r>
        <w:rPr/>
        <w:t>（</w:t>
      </w: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63"/>
        <w:ind w:left="371" w:right="0"/>
        <w:jc w:val="left"/>
      </w:pPr>
      <w:r>
        <w:rPr/>
        <w:t>（</w:t>
      </w: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63"/>
        <w:ind w:left="371" w:right="0"/>
        <w:jc w:val="left"/>
      </w:pPr>
      <w:r>
        <w:rPr/>
        <w:t>（</w:t>
      </w:r>
      <w:r>
        <w:rPr>
          <w:rFonts w:ascii="Times New Roman" w:hAnsi="Times New Roman" w:cs="Times New Roman" w:eastAsia="Times New Roman" w:hint="default"/>
        </w:rPr>
        <w:t>4</w:t>
      </w:r>
      <w:r>
        <w:rPr/>
        <w:t>）债务人很可能倒闭或进行其他财务重组；</w:t>
      </w:r>
    </w:p>
    <w:p>
      <w:pPr>
        <w:pStyle w:val="BodyText"/>
        <w:spacing w:line="240" w:lineRule="auto" w:before="63"/>
        <w:ind w:left="371" w:right="0"/>
        <w:jc w:val="left"/>
      </w:pPr>
      <w:r>
        <w:rPr/>
        <w:t>（</w:t>
      </w: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09" w:lineRule="auto" w:before="63"/>
        <w:ind w:right="1132" w:firstLine="217"/>
        <w:jc w:val="both"/>
      </w:pPr>
      <w:r>
        <w:rPr>
          <w:spacing w:val="-1"/>
        </w:rPr>
        <w:t>（</w:t>
      </w:r>
      <w:r>
        <w:rPr>
          <w:rFonts w:ascii="Times New Roman" w:hAnsi="Times New Roman" w:cs="Times New Roman" w:eastAsia="Times New Roman" w:hint="default"/>
          <w:spacing w:val="-1"/>
        </w:rPr>
        <w:t>6</w:t>
      </w:r>
      <w:r>
        <w:rPr>
          <w:spacing w:val="-1"/>
        </w:rPr>
        <w:t>）无法辨认一组金融资产中的某项资产的现金流量是否已经减少，但根据公开的数据对其进行总体评价后发现，该组</w:t>
      </w:r>
      <w:r>
        <w:rPr/>
        <w:t> </w:t>
      </w:r>
      <w:r>
        <w:rPr>
          <w:spacing w:val="-2"/>
        </w:rPr>
        <w:t>金融资产自初始确认以来的预计未来现金流量确已减少且可计量，如该组金融资产的债务人支付能力逐步恶化，或债务人所</w:t>
      </w:r>
      <w:r>
        <w:rPr>
          <w:spacing w:val="-64"/>
        </w:rPr>
        <w:t> </w:t>
      </w:r>
      <w:r>
        <w:rPr>
          <w:spacing w:val="-64"/>
        </w:rPr>
      </w:r>
      <w:r>
        <w:rPr/>
        <w:t>在国家或地区失业率提高、担保物在其所在地区的价格明显下降、所处行业不景气等；</w:t>
      </w:r>
    </w:p>
    <w:p>
      <w:pPr>
        <w:pStyle w:val="BodyText"/>
        <w:spacing w:line="300" w:lineRule="auto" w:before="24"/>
        <w:ind w:right="1118" w:firstLine="217"/>
        <w:jc w:val="left"/>
      </w:pPr>
      <w:r>
        <w:rPr>
          <w:spacing w:val="-1"/>
        </w:rPr>
        <w:t>（</w:t>
      </w:r>
      <w:r>
        <w:rPr>
          <w:rFonts w:ascii="Times New Roman" w:hAnsi="Times New Roman" w:cs="Times New Roman" w:eastAsia="Times New Roman" w:hint="default"/>
          <w:spacing w:val="-1"/>
        </w:rPr>
        <w:t>7</w:t>
      </w:r>
      <w:r>
        <w:rPr>
          <w:spacing w:val="-1"/>
        </w:rPr>
        <w:t>）权益工具发行方经营所处的技术、市场、经济或法律环境等发生重大不利变化，使权益工具投资人可能无法收回投</w:t>
      </w:r>
      <w:r>
        <w:rPr/>
        <w:t> 资成本；</w:t>
      </w:r>
    </w:p>
    <w:p>
      <w:pPr>
        <w:pStyle w:val="BodyText"/>
        <w:spacing w:line="300" w:lineRule="auto" w:before="31"/>
        <w:ind w:left="444" w:right="5946" w:hanging="74"/>
        <w:jc w:val="left"/>
      </w:pPr>
      <w:r>
        <w:rPr/>
        <w:t>（</w:t>
      </w:r>
      <w:r>
        <w:rPr>
          <w:rFonts w:ascii="Times New Roman" w:hAnsi="Times New Roman" w:cs="Times New Roman" w:eastAsia="Times New Roman" w:hint="default"/>
        </w:rPr>
        <w:t>8</w:t>
      </w:r>
      <w:r>
        <w:rPr/>
        <w:t>）权益工具投资的公允价值发生严重或非暂时性下跌； 金融资产的具体减值方法如下：</w:t>
      </w:r>
    </w:p>
    <w:p>
      <w:pPr>
        <w:pStyle w:val="BodyText"/>
        <w:spacing w:line="300" w:lineRule="auto" w:before="31"/>
        <w:ind w:left="444" w:right="0" w:hanging="74"/>
        <w:jc w:val="left"/>
      </w:pPr>
      <w:r>
        <w:rPr/>
        <w:t>（</w:t>
      </w:r>
      <w:r>
        <w:rPr>
          <w:rFonts w:ascii="Times New Roman" w:hAnsi="Times New Roman" w:cs="Times New Roman" w:eastAsia="Times New Roman" w:hint="default"/>
        </w:rPr>
        <w:t>1</w:t>
      </w:r>
      <w:r>
        <w:rPr/>
        <w:t>）可供出售金融资产减值准备 </w:t>
      </w:r>
      <w:r>
        <w:rPr>
          <w:spacing w:val="-1"/>
        </w:rPr>
        <w:t>本公司于资产负债表日对各项可供出售权益工具投资单独进行检查，若该权益工具投资于资产负债表日的公允价值低于</w:t>
      </w:r>
    </w:p>
    <w:p>
      <w:pPr>
        <w:pStyle w:val="BodyText"/>
        <w:spacing w:line="300" w:lineRule="auto" w:before="31"/>
        <w:ind w:right="1131"/>
        <w:jc w:val="both"/>
      </w:pPr>
      <w:r>
        <w:rPr>
          <w:spacing w:val="-1"/>
        </w:rPr>
        <w:t>其成本超过</w:t>
      </w:r>
      <w:r>
        <w:rPr>
          <w:rFonts w:ascii="Times New Roman" w:hAnsi="Times New Roman" w:cs="Times New Roman" w:eastAsia="Times New Roman" w:hint="default"/>
          <w:spacing w:val="-1"/>
        </w:rPr>
        <w:t>50%</w:t>
      </w:r>
      <w:r>
        <w:rPr>
          <w:spacing w:val="-1"/>
        </w:rPr>
        <w:t>（含</w:t>
      </w:r>
      <w:r>
        <w:rPr>
          <w:rFonts w:ascii="Times New Roman" w:hAnsi="Times New Roman" w:cs="Times New Roman" w:eastAsia="Times New Roman" w:hint="default"/>
          <w:spacing w:val="-1"/>
        </w:rPr>
        <w:t>50%</w:t>
      </w:r>
      <w:r>
        <w:rPr>
          <w:spacing w:val="-1"/>
        </w:rPr>
        <w:t>）或低于其成本持续时间超过一年（含一年）的，则表明其发生减值；若该权益工具投资于资产负</w:t>
      </w:r>
      <w:r>
        <w:rPr>
          <w:spacing w:val="-58"/>
        </w:rPr>
        <w:t> </w:t>
      </w:r>
      <w:r>
        <w:rPr>
          <w:spacing w:val="-58"/>
        </w:rPr>
      </w:r>
      <w:r>
        <w:rPr/>
        <w:t>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的，本公司会综合考虑其他相关因素诸如价格波动率等， 判断该权益工具投资是否发生减值。</w:t>
      </w:r>
    </w:p>
    <w:p>
      <w:pPr>
        <w:pStyle w:val="BodyText"/>
        <w:spacing w:line="316" w:lineRule="auto" w:before="31"/>
        <w:ind w:right="0" w:firstLine="290"/>
        <w:jc w:val="left"/>
      </w:pPr>
      <w:r>
        <w:rPr/>
        <w:t>上段所述成本按照可供出售权益工具投资的初始取得成本扣除已收回本金和已摊销金额、原已计入损益的减值损失确 </w:t>
      </w:r>
      <w:r>
        <w:rPr>
          <w:spacing w:val="-2"/>
        </w:rPr>
        <w:t>定；不存在活跃市场的可供出售权益工具投资的公允价值，按照类似金融资产当时市场收益率对未来现金流量折现确定的现</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1"/>
        <w:jc w:val="both"/>
      </w:pPr>
      <w:r>
        <w:rPr>
          <w:spacing w:val="-2"/>
        </w:rPr>
        <w:t>值（或采用估值技术）确定；在活跃市场有报价的可供出售权益工具投资的公允价值根据证券交易所期末收盘价确定，除非</w:t>
      </w:r>
      <w:r>
        <w:rPr>
          <w:spacing w:val="-66"/>
        </w:rPr>
        <w:t> </w:t>
      </w:r>
      <w:r>
        <w:rPr>
          <w:spacing w:val="-66"/>
        </w:rPr>
      </w:r>
      <w:r>
        <w:rPr>
          <w:spacing w:val="-2"/>
        </w:rPr>
        <w:t>该项可供出售权益工具投资存在限售期。对于存在限售期的可供出售权益工具投资，按照证券交易所期末收盘价扣除市场参</w:t>
      </w:r>
      <w:r>
        <w:rPr>
          <w:spacing w:val="-64"/>
        </w:rPr>
        <w:t> </w:t>
      </w:r>
      <w:r>
        <w:rPr>
          <w:spacing w:val="-64"/>
        </w:rPr>
      </w:r>
      <w:r>
        <w:rPr/>
        <w:t>与者因承担指定期间内无法在公开市场上出售该权益工具的风险而要求获得的补偿金额后确定。</w:t>
      </w:r>
    </w:p>
    <w:p>
      <w:pPr>
        <w:pStyle w:val="BodyText"/>
        <w:spacing w:line="319" w:lineRule="auto" w:before="19"/>
        <w:ind w:right="1132" w:firstLine="290"/>
        <w:jc w:val="both"/>
      </w:pPr>
      <w:r>
        <w:rPr>
          <w:spacing w:val="-1"/>
        </w:rPr>
        <w:t>可供出售金融资产发生减值时，即使该金融资产没有终止确认，本公司将原直接计入其他综合收益的因公允价值下降形</w:t>
      </w:r>
      <w:r>
        <w:rPr/>
        <w:t> </w:t>
      </w:r>
      <w:r>
        <w:rPr>
          <w:spacing w:val="-2"/>
        </w:rPr>
        <w:t>成的累计损失从其他综合收益转出，计入当期损益。该转出的累计损失，等于可供出售金融资产的初始取得成本扣除已收回</w:t>
      </w:r>
      <w:r>
        <w:rPr>
          <w:spacing w:val="-66"/>
        </w:rPr>
        <w:t> </w:t>
      </w:r>
      <w:r>
        <w:rPr>
          <w:spacing w:val="-66"/>
        </w:rPr>
      </w:r>
      <w:r>
        <w:rPr/>
        <w:t>本金和已摊余金额、当前公允价值和原已计入损益的减值损失后的余额。</w:t>
      </w:r>
    </w:p>
    <w:p>
      <w:pPr>
        <w:pStyle w:val="BodyText"/>
        <w:spacing w:line="316" w:lineRule="auto" w:before="17"/>
        <w:ind w:right="1132" w:firstLine="290"/>
        <w:jc w:val="both"/>
      </w:pPr>
      <w:r>
        <w:rPr>
          <w:spacing w:val="-1"/>
        </w:rPr>
        <w:t>对于已确认减值损失的可供出售债务工具，在随后的会计期间公允价值已上升且客观上与确认原减值损失后发生的事项</w:t>
      </w:r>
      <w:r>
        <w:rPr/>
        <w:t> </w:t>
      </w:r>
      <w:r>
        <w:rPr>
          <w:spacing w:val="-2"/>
        </w:rPr>
        <w:t>有关的，原确认的减值损失予以转回计入当期损益；对于可供出售权益工具投资发生的减值损失，在该权益工具价值回升时</w:t>
      </w:r>
      <w:r>
        <w:rPr>
          <w:spacing w:val="-66"/>
        </w:rPr>
        <w:t> </w:t>
      </w:r>
      <w:r>
        <w:rPr>
          <w:spacing w:val="-66"/>
        </w:rPr>
      </w:r>
      <w:r>
        <w:rPr>
          <w:spacing w:val="-2"/>
        </w:rPr>
        <w:t>通过权益转回；但在活跃市场中没有报价且其公允价值不能可靠计量的权益工具投资，或与该权益工具挂钩并须通过交付该</w:t>
      </w:r>
      <w:r>
        <w:rPr>
          <w:spacing w:val="-64"/>
        </w:rPr>
        <w:t> </w:t>
      </w:r>
      <w:r>
        <w:rPr>
          <w:spacing w:val="-64"/>
        </w:rPr>
      </w:r>
      <w:r>
        <w:rPr/>
        <w:t>权益工具结算的衍生金融资产发生的减值损失，不得转回。</w:t>
      </w:r>
    </w:p>
    <w:p>
      <w:pPr>
        <w:pStyle w:val="BodyText"/>
        <w:spacing w:line="300" w:lineRule="auto" w:before="19"/>
        <w:ind w:left="444" w:right="0" w:hanging="74"/>
        <w:jc w:val="left"/>
      </w:pPr>
      <w:r>
        <w:rPr/>
        <w:t>（</w:t>
      </w:r>
      <w:r>
        <w:rPr>
          <w:rFonts w:ascii="Times New Roman" w:hAnsi="Times New Roman" w:cs="Times New Roman" w:eastAsia="Times New Roman" w:hint="default"/>
        </w:rPr>
        <w:t>2</w:t>
      </w:r>
      <w:r>
        <w:rPr/>
        <w:t>）持有至到期投资减值准备 </w:t>
      </w:r>
      <w:r>
        <w:rPr>
          <w:spacing w:val="-1"/>
        </w:rPr>
        <w:t>对于持有至到期投资，有客观证据表明其发生了减值的，根据其账面价值与预计未来现金流量现值之间差额计算确认减</w:t>
      </w:r>
    </w:p>
    <w:p>
      <w:pPr>
        <w:pStyle w:val="BodyText"/>
        <w:spacing w:line="316" w:lineRule="auto" w:before="31"/>
        <w:ind w:right="1131"/>
        <w:jc w:val="both"/>
      </w:pPr>
      <w:r>
        <w:rPr>
          <w:spacing w:val="-2"/>
        </w:rPr>
        <w:t>值损失；计提后如有证据表明其价值已恢复，原确认的减值损失可予以转回，记入当期损益，但该转回的账面价值不超过假</w:t>
      </w:r>
      <w:r>
        <w:rPr>
          <w:spacing w:val="-66"/>
        </w:rPr>
        <w:t> </w:t>
      </w:r>
      <w:r>
        <w:rPr>
          <w:spacing w:val="-66"/>
        </w:rPr>
      </w:r>
      <w:r>
        <w:rPr/>
        <w:t>定不计提减值准备情况下该金融资产在转回日的摊余成本。</w:t>
      </w:r>
    </w:p>
    <w:p>
      <w:pPr>
        <w:pStyle w:val="BodyText"/>
        <w:spacing w:line="300" w:lineRule="auto" w:before="19"/>
        <w:ind w:left="444" w:right="0"/>
        <w:jc w:val="left"/>
      </w:pPr>
      <w:r>
        <w:rPr>
          <w:rFonts w:ascii="Times New Roman" w:hAnsi="Times New Roman" w:cs="Times New Roman" w:eastAsia="Times New Roman" w:hint="default"/>
        </w:rPr>
        <w:t>7</w:t>
      </w:r>
      <w:r>
        <w:rPr/>
        <w:t>．金融资产及金融负债的抵销 </w:t>
      </w:r>
      <w:r>
        <w:rPr>
          <w:spacing w:val="-1"/>
        </w:rPr>
        <w:t>金融资产和金融负债在资产负债表内分别列示，没有相互抵销。但是，同时满足下列条件的，以相互抵销后的净额在资</w:t>
      </w:r>
    </w:p>
    <w:p>
      <w:pPr>
        <w:pStyle w:val="BodyText"/>
        <w:spacing w:line="240" w:lineRule="auto" w:before="31"/>
        <w:ind w:right="0"/>
        <w:jc w:val="both"/>
      </w:pPr>
      <w:r>
        <w:rPr/>
        <w:t>产负债表内列示：</w:t>
      </w:r>
    </w:p>
    <w:p>
      <w:pPr>
        <w:pStyle w:val="BodyText"/>
        <w:spacing w:line="240" w:lineRule="auto" w:before="76"/>
        <w:ind w:left="371" w:right="0"/>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63"/>
        <w:ind w:left="371" w:right="0"/>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11"/>
        <w:rPr>
          <w:rFonts w:ascii="宋体" w:hAnsi="宋体" w:cs="宋体" w:eastAsia="宋体" w:hint="default"/>
          <w:sz w:val="25"/>
          <w:szCs w:val="25"/>
        </w:rPr>
      </w:pPr>
    </w:p>
    <w:p>
      <w:pPr>
        <w:pStyle w:val="Heading4"/>
        <w:spacing w:line="240" w:lineRule="auto"/>
        <w:ind w:right="0"/>
        <w:jc w:val="both"/>
        <w:rPr>
          <w:b w:val="0"/>
          <w:bCs w:val="0"/>
        </w:rPr>
      </w:pPr>
      <w:bookmarkStart w:name="11、应收票据及应收账款" w:id="181"/>
      <w:bookmarkEnd w:id="181"/>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单项金额重大并单独计提坏账准备的应收款项" w:id="182"/>
      <w:bookmarkEnd w:id="18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302"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应收账款余额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万元以上（含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万元），其他应收款期末余</w:t>
            </w:r>
            <w:r>
              <w:rPr>
                <w:rFonts w:ascii="宋体" w:hAnsi="宋体" w:cs="宋体" w:eastAsia="宋体" w:hint="default"/>
                <w:sz w:val="18"/>
                <w:szCs w:val="18"/>
              </w:rPr>
              <w:t>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）且单项金额大于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万元的款项。</w:t>
            </w:r>
          </w:p>
        </w:tc>
      </w:tr>
      <w:tr>
        <w:trPr>
          <w:trHeight w:val="1026"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23" w:right="75"/>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83"/>
      <w:bookmarkEnd w:id="18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无风险及关联方组合</w:t>
            </w:r>
          </w:p>
        </w:tc>
        <w:tc>
          <w:tcPr>
            <w:tcW w:w="478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7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3"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184"/>
      <w:bookmarkEnd w:id="18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4" w:hRule="exact"/>
        </w:trPr>
        <w:tc>
          <w:tcPr>
            <w:tcW w:w="47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12、存货" w:id="185"/>
      <w:bookmarkEnd w:id="185"/>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00" w:lineRule="auto" w:before="28"/>
        <w:ind w:left="574" w:right="1152" w:hanging="59"/>
        <w:jc w:val="left"/>
      </w:pPr>
      <w:r>
        <w:rPr>
          <w:rFonts w:ascii="Times New Roman" w:hAnsi="Times New Roman" w:cs="Times New Roman" w:eastAsia="Times New Roman" w:hint="default"/>
        </w:rPr>
        <w:t>1. </w:t>
      </w:r>
      <w:r>
        <w:rPr/>
        <w:t>存货的分类 存货是指本公司在日常活动中持有以备出售的产成品或商品、处在生产过程中的在产品、在生产过程或提供劳务过程</w:t>
      </w:r>
    </w:p>
    <w:p>
      <w:pPr>
        <w:pStyle w:val="BodyText"/>
        <w:spacing w:line="316" w:lineRule="auto" w:before="31"/>
        <w:ind w:right="1118"/>
        <w:jc w:val="left"/>
      </w:pPr>
      <w:r>
        <w:rPr>
          <w:spacing w:val="-2"/>
        </w:rPr>
        <w:t>中耗用的材料和物料等。主要包括原材料、周转材料、委托加工材料、在产品、自制半成品、产成品（库存商品）、发出商</w:t>
      </w:r>
      <w:r>
        <w:rPr>
          <w:spacing w:val="-70"/>
        </w:rPr>
        <w:t> </w:t>
      </w:r>
      <w:r>
        <w:rPr>
          <w:spacing w:val="-70"/>
        </w:rPr>
      </w:r>
      <w:r>
        <w:rPr/>
        <w:t>品等。</w:t>
      </w:r>
    </w:p>
    <w:p>
      <w:pPr>
        <w:pStyle w:val="BodyText"/>
        <w:spacing w:line="307" w:lineRule="auto" w:before="19"/>
        <w:ind w:left="514" w:right="1115"/>
        <w:jc w:val="left"/>
      </w:pPr>
      <w:r>
        <w:rPr>
          <w:rFonts w:ascii="Times New Roman" w:hAnsi="Times New Roman" w:cs="Times New Roman" w:eastAsia="Times New Roman" w:hint="default"/>
        </w:rPr>
        <w:t>2. </w:t>
      </w:r>
      <w:r>
        <w:rPr/>
        <w:t>存货的计价方法 </w:t>
      </w:r>
      <w:r>
        <w:rPr>
          <w:spacing w:val="-2"/>
        </w:rPr>
        <w:t>存货在取得时，按成本进行初始计量，包括采购成本、加工成本和其他成本。存货发出时按月末一次加权平均法计价。</w:t>
      </w:r>
      <w:r>
        <w:rPr>
          <w:spacing w:val="-42"/>
        </w:rPr>
        <w:t> </w:t>
      </w:r>
      <w:r>
        <w:rPr>
          <w:spacing w:val="-42"/>
        </w:rPr>
      </w:r>
      <w:r>
        <w:rPr>
          <w:rFonts w:ascii="Times New Roman" w:hAnsi="Times New Roman" w:cs="Times New Roman" w:eastAsia="Times New Roman" w:hint="default"/>
        </w:rPr>
        <w:t>3. </w:t>
      </w:r>
      <w:r>
        <w:rPr/>
        <w:t>存货可变现净值的确定依据及存货跌价准备的计提方法 期末对存货进行全面清查后，按存货的成本与可变现净值孰低提取或调整存货跌价准备。产成品、库存商品和用于出</w:t>
      </w:r>
    </w:p>
    <w:p>
      <w:pPr>
        <w:pStyle w:val="BodyText"/>
        <w:spacing w:line="316" w:lineRule="auto" w:before="26"/>
        <w:ind w:right="0"/>
        <w:jc w:val="left"/>
      </w:pPr>
      <w:r>
        <w:rPr>
          <w:spacing w:val="-2"/>
        </w:rPr>
        <w:t>售的材料等直接用于出售的商品存货，在正常生产经营过程中，以该存货的估计售价减去估计的销售费用和相关税费后的金</w:t>
      </w:r>
      <w:r>
        <w:rPr>
          <w:spacing w:val="-64"/>
        </w:rPr>
        <w:t> </w:t>
      </w:r>
      <w:r>
        <w:rPr>
          <w:spacing w:val="-64"/>
        </w:rPr>
      </w:r>
      <w:r>
        <w:rPr>
          <w:spacing w:val="-2"/>
        </w:rPr>
        <w:t>额，确定其可变现净值；需要经过加工的材料存货，在正常生产经营过程中，以所生产的产成品的估计售价减去至完工时估</w:t>
      </w:r>
      <w:r>
        <w:rPr>
          <w:spacing w:val="-66"/>
        </w:rPr>
        <w:t> </w:t>
      </w:r>
      <w:r>
        <w:rPr>
          <w:spacing w:val="-66"/>
        </w:rPr>
      </w:r>
      <w:r>
        <w:rPr>
          <w:spacing w:val="-4"/>
        </w:rPr>
        <w:t>计将要发生的成本、估计的销售费用和相关税费后的金额，确定其可变现净值；为执行销售合同或者劳务合同而持有的存货，</w:t>
      </w:r>
      <w:r>
        <w:rPr>
          <w:spacing w:val="-44"/>
        </w:rPr>
        <w:t> </w:t>
      </w:r>
      <w:r>
        <w:rPr>
          <w:spacing w:val="-44"/>
        </w:rPr>
      </w:r>
      <w:r>
        <w:rPr>
          <w:spacing w:val="-2"/>
        </w:rPr>
        <w:t>其可变现净值以合同价格为基础计算，若持有存货的数量多于销售合同订购数量的，超出部分的存货的可变现净值以一般销</w:t>
      </w:r>
      <w:r>
        <w:rPr>
          <w:spacing w:val="-63"/>
        </w:rPr>
        <w:t> </w:t>
      </w:r>
      <w:r>
        <w:rPr>
          <w:spacing w:val="-63"/>
        </w:rPr>
      </w:r>
      <w:r>
        <w:rPr/>
        <w:t>售价格为基础计算。</w:t>
      </w:r>
    </w:p>
    <w:p>
      <w:pPr>
        <w:pStyle w:val="BodyText"/>
        <w:spacing w:line="316" w:lineRule="auto" w:before="19"/>
        <w:ind w:right="1133" w:firstLine="420"/>
        <w:jc w:val="both"/>
      </w:pPr>
      <w:r>
        <w:rPr/>
        <w:t>期末按照单个存货项目计提存货跌价准备；但对于数量繁多、单价较低的存货，按照存货类别计提存货跌价准备；与 </w:t>
      </w:r>
      <w:r>
        <w:rPr>
          <w:spacing w:val="-2"/>
        </w:rPr>
        <w:t>在同一地区生产和销售的产品系列相关、具有相同或类似最终用途或目的，且难以与其他项目分开计量的存货，则合并计提</w:t>
      </w:r>
      <w:r>
        <w:rPr>
          <w:spacing w:val="-66"/>
        </w:rPr>
        <w:t> </w:t>
      </w:r>
      <w:r>
        <w:rPr>
          <w:spacing w:val="-66"/>
        </w:rPr>
      </w:r>
      <w:r>
        <w:rPr/>
        <w:t>存货跌价准备。</w:t>
      </w:r>
    </w:p>
    <w:p>
      <w:pPr>
        <w:pStyle w:val="BodyText"/>
        <w:spacing w:line="316" w:lineRule="auto" w:before="19"/>
        <w:ind w:right="1170" w:firstLine="420"/>
        <w:jc w:val="both"/>
      </w:pPr>
      <w:r>
        <w:rPr/>
        <w:t>以前减记存货价值的影响因素已经消失的，减记的金额予以恢复，并在原已计提的存货跌价准备金额内转回，转回的 金额计入当期损益。</w:t>
      </w:r>
    </w:p>
    <w:p>
      <w:pPr>
        <w:pStyle w:val="BodyText"/>
        <w:spacing w:line="309" w:lineRule="auto" w:before="19"/>
        <w:ind w:left="514" w:right="7602"/>
        <w:jc w:val="left"/>
      </w:pPr>
      <w:r>
        <w:rPr>
          <w:rFonts w:ascii="Times New Roman" w:hAnsi="Times New Roman" w:cs="Times New Roman" w:eastAsia="Times New Roman" w:hint="default"/>
        </w:rPr>
        <w:t>4. </w:t>
      </w:r>
      <w:r>
        <w:rPr/>
        <w:t>存货的盘存制度 采用永续盘存制。 </w:t>
      </w:r>
      <w:r>
        <w:rPr>
          <w:rFonts w:ascii="Times New Roman" w:hAnsi="Times New Roman" w:cs="Times New Roman" w:eastAsia="Times New Roman" w:hint="default"/>
        </w:rPr>
        <w:t>5</w:t>
      </w:r>
      <w:r>
        <w:rPr/>
        <w:t>、低值易耗品和包装物的摊销方法</w:t>
      </w:r>
    </w:p>
    <w:p>
      <w:pPr>
        <w:pStyle w:val="BodyText"/>
        <w:spacing w:line="240" w:lineRule="auto" w:before="5"/>
        <w:ind w:left="514" w:right="0"/>
        <w:jc w:val="left"/>
      </w:pPr>
      <w:r>
        <w:rPr>
          <w:rFonts w:ascii="Times New Roman" w:hAnsi="Times New Roman" w:cs="Times New Roman" w:eastAsia="Times New Roman" w:hint="default"/>
        </w:rPr>
        <w:t>1.</w:t>
      </w:r>
      <w:r>
        <w:rPr/>
        <w:t>低值易耗品采用一次转销法；</w:t>
      </w:r>
    </w:p>
    <w:p>
      <w:pPr>
        <w:pStyle w:val="BodyText"/>
        <w:spacing w:line="240" w:lineRule="auto" w:before="63"/>
        <w:ind w:left="514" w:right="0"/>
        <w:jc w:val="left"/>
      </w:pPr>
      <w:r>
        <w:rPr>
          <w:rFonts w:ascii="Times New Roman" w:hAnsi="Times New Roman" w:cs="Times New Roman" w:eastAsia="Times New Roman" w:hint="default"/>
        </w:rPr>
        <w:t>2.</w:t>
      </w:r>
      <w:r>
        <w:rPr/>
        <w:t>包装物采用一次转销法。</w:t>
      </w:r>
    </w:p>
    <w:p>
      <w:pPr>
        <w:pStyle w:val="BodyText"/>
        <w:spacing w:line="240" w:lineRule="auto" w:before="63"/>
        <w:ind w:left="514" w:right="0"/>
        <w:jc w:val="left"/>
      </w:pPr>
      <w:r>
        <w:rPr>
          <w:rFonts w:ascii="Times New Roman" w:hAnsi="Times New Roman" w:cs="Times New Roman" w:eastAsia="Times New Roman" w:hint="default"/>
        </w:rPr>
        <w:t>3.</w:t>
      </w:r>
      <w:r>
        <w:rPr/>
        <w:t>其他周转材料采用一次转销法摊销。</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13、持有待售资产" w:id="186"/>
      <w:bookmarkEnd w:id="186"/>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4272" w:hanging="2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划分为持有待售确认标准 本公司将同时满足下列条件的非流动资产或处置组确认为持有待售组成部分：</w:t>
      </w:r>
    </w:p>
    <w:p>
      <w:pPr>
        <w:pStyle w:val="BodyText"/>
        <w:spacing w:line="240" w:lineRule="auto" w:before="44"/>
        <w:ind w:left="514"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2" w:lineRule="auto" w:before="101"/>
        <w:ind w:right="1132" w:firstLine="360"/>
        <w:jc w:val="both"/>
      </w:pPr>
      <w:r>
        <w:rPr>
          <w:spacing w:val="-4"/>
        </w:rPr>
        <w:t>（</w:t>
      </w:r>
      <w:r>
        <w:rPr>
          <w:rFonts w:ascii="Times New Roman" w:hAnsi="Times New Roman" w:cs="Times New Roman" w:eastAsia="Times New Roman" w:hint="default"/>
          <w:spacing w:val="-4"/>
        </w:rPr>
        <w:t>2</w:t>
      </w:r>
      <w:r>
        <w:rPr>
          <w:spacing w:val="-4"/>
        </w:rPr>
        <w:t>）出售极可能发生，即本公司已经就一项出售计划作出决议，并已获得监管部门批准（如适用），且获得确定的购买</w:t>
      </w:r>
      <w:r>
        <w:rPr/>
        <w:t> 承诺，预计出售将在一年内完成。</w:t>
      </w:r>
    </w:p>
    <w:p>
      <w:pPr>
        <w:pStyle w:val="BodyText"/>
        <w:spacing w:line="319" w:lineRule="auto" w:before="68"/>
        <w:ind w:right="1133" w:firstLine="360"/>
        <w:jc w:val="both"/>
      </w:pPr>
      <w:r>
        <w:rPr>
          <w:spacing w:val="-2"/>
        </w:rPr>
        <w:t>确定的购买承诺，是指本公司与其他方签订的具有法律约束力的购买协议，该协议包含交易价格、时间和足够严厉的违</w:t>
      </w:r>
      <w:r>
        <w:rPr/>
        <w:t> 约惩罚等重要条款，使协议出现重大调整或者撤销的可能性极小。</w:t>
      </w:r>
    </w:p>
    <w:p>
      <w:pPr>
        <w:pStyle w:val="BodyText"/>
        <w:spacing w:line="338" w:lineRule="auto" w:before="58"/>
        <w:ind w:left="514" w:right="0" w:firstLine="29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持有待售核算方法 </w:t>
      </w:r>
      <w:r>
        <w:rPr>
          <w:spacing w:val="-2"/>
        </w:rPr>
        <w:t>本公司对于持有待售的非流动资产或处置组不计提折旧或摊销，其账面价值高于公允价值减去出售费用后的净额的，应</w:t>
      </w:r>
    </w:p>
    <w:p>
      <w:pPr>
        <w:pStyle w:val="BodyText"/>
        <w:spacing w:line="319" w:lineRule="auto" w:before="2"/>
        <w:ind w:right="0"/>
        <w:jc w:val="left"/>
      </w:pPr>
      <w:r>
        <w:rPr>
          <w:spacing w:val="-2"/>
        </w:rPr>
        <w:t>当将账面价值减记至公允价值减去出售费用后的净额，减记的金额确认为资产减值损失，计入当期损益，同时计提持有待售</w:t>
      </w:r>
      <w:r>
        <w:rPr>
          <w:spacing w:val="-66"/>
        </w:rPr>
        <w:t> </w:t>
      </w:r>
      <w:r>
        <w:rPr>
          <w:spacing w:val="-66"/>
        </w:rPr>
      </w:r>
      <w:r>
        <w:rPr/>
        <w:t>资产减值准备。</w:t>
      </w:r>
    </w:p>
    <w:p>
      <w:pPr>
        <w:pStyle w:val="BodyText"/>
        <w:spacing w:line="319" w:lineRule="auto" w:before="55"/>
        <w:ind w:right="1130" w:firstLine="360"/>
        <w:jc w:val="both"/>
      </w:pPr>
      <w:r>
        <w:rPr>
          <w:spacing w:val="-2"/>
        </w:rPr>
        <w:t>对于取得日划分为持有待售类别的非流动资产或处置组，在初始计量时比较假定其不划分为持有待售类别情况下的初始</w:t>
      </w:r>
      <w:r>
        <w:rPr/>
        <w:t> 计量金额和公允价值减去出售费用后的净额，以两者孰低计量。</w:t>
      </w:r>
    </w:p>
    <w:p>
      <w:pPr>
        <w:pStyle w:val="BodyText"/>
        <w:spacing w:line="319" w:lineRule="auto" w:before="56"/>
        <w:ind w:right="1131" w:firstLine="360"/>
        <w:jc w:val="both"/>
      </w:pPr>
      <w:r>
        <w:rPr>
          <w:spacing w:val="-2"/>
        </w:rPr>
        <w:t>上述原则适用于所有非流动资产，但不包括采用公允价值模式进行后续计量的投资性房地产、采用公允价值减去出售费</w:t>
      </w:r>
      <w:r>
        <w:rPr/>
        <w:t> </w:t>
      </w:r>
      <w:r>
        <w:rPr>
          <w:spacing w:val="-2"/>
        </w:rPr>
        <w:t>用后的净额计量的生物资产、职工薪酬形成的资产、递延所得税资产、由金融工具相关会计准则规范的金融资产、由保险合</w:t>
      </w:r>
      <w:r>
        <w:rPr>
          <w:spacing w:val="-66"/>
        </w:rPr>
        <w:t> </w:t>
      </w:r>
      <w:r>
        <w:rPr>
          <w:spacing w:val="-66"/>
        </w:rPr>
      </w:r>
      <w:r>
        <w:rPr/>
        <w:t>同相关会计准则规范的保险合同所产生的权利。</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14、长期股权投资" w:id="187"/>
      <w:bookmarkEnd w:id="18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659"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初始投资成本的确定</w:t>
      </w:r>
    </w:p>
    <w:p>
      <w:pPr>
        <w:pStyle w:val="BodyText"/>
        <w:spacing w:line="302" w:lineRule="auto" w:before="101"/>
        <w:ind w:right="1131" w:firstLine="360"/>
        <w:jc w:val="both"/>
      </w:pPr>
      <w:r>
        <w:rPr/>
        <w:t>（</w:t>
      </w:r>
      <w:r>
        <w:rPr>
          <w:rFonts w:ascii="Times New Roman" w:hAnsi="Times New Roman" w:cs="Times New Roman" w:eastAsia="Times New Roman" w:hint="default"/>
        </w:rPr>
        <w:t>1</w:t>
      </w:r>
      <w:r>
        <w:rPr/>
        <w:t>）企业合并形成的长期股权投资，具体会计政策详见本附注四／（六）同一控制下和非同一控制下企业合并的会计 处理方法</w:t>
      </w:r>
    </w:p>
    <w:p>
      <w:pPr>
        <w:pStyle w:val="BodyText"/>
        <w:spacing w:line="338" w:lineRule="auto" w:before="69"/>
        <w:ind w:left="514" w:right="0" w:firstLine="90"/>
        <w:jc w:val="left"/>
      </w:pPr>
      <w:r>
        <w:rPr/>
        <w:t>（</w:t>
      </w: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357" w:lineRule="auto" w:before="4"/>
        <w:ind w:left="514" w:right="0" w:hanging="360"/>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357" w:lineRule="auto"/>
        <w:ind w:left="514" w:right="0" w:hanging="360"/>
        <w:jc w:val="left"/>
      </w:pPr>
      <w:r>
        <w:rPr/>
        <w:t>时发生的交易费用，可直接归属于权益性交易的从权益中扣减。 </w:t>
      </w:r>
      <w:r>
        <w:rPr>
          <w:spacing w:val="-2"/>
        </w:rPr>
        <w:t>在非货币性资产交换具备商业实质和换入资产或换出资产的公允价值能够可靠计量的前提下，非货币性资产交换换入的</w:t>
      </w:r>
    </w:p>
    <w:p>
      <w:pPr>
        <w:pStyle w:val="BodyText"/>
        <w:spacing w:line="224" w:lineRule="exact"/>
        <w:ind w:right="0"/>
        <w:jc w:val="left"/>
      </w:pPr>
      <w:r>
        <w:rPr/>
        <w:t>长期股权投资以换出资产的公允价值为基础确定其初始投资成本，除非有确凿证据表明换入资产的公允价值更加可靠；不满</w:t>
      </w:r>
    </w:p>
    <w:p>
      <w:pPr>
        <w:pStyle w:val="BodyText"/>
        <w:spacing w:line="360" w:lineRule="auto" w:before="77"/>
        <w:ind w:left="514" w:right="1392" w:hanging="360"/>
        <w:jc w:val="left"/>
      </w:pPr>
      <w:r>
        <w:rPr/>
        <w:t>足上述前提的非货币性资产交换，以换出资产的账面价值和应支付的相关税费作为换入长期股权投资的初始投资成本。 通过债务重组取得的长期股权投资，其初始投资成本按照公允价值为基础确定。</w:t>
      </w:r>
    </w:p>
    <w:p>
      <w:pPr>
        <w:pStyle w:val="BodyText"/>
        <w:spacing w:line="240" w:lineRule="auto" w:before="26"/>
        <w:ind w:left="51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后续计量及损益确认</w:t>
      </w:r>
    </w:p>
    <w:p>
      <w:pPr>
        <w:pStyle w:val="BodyText"/>
        <w:spacing w:line="338" w:lineRule="auto" w:before="102"/>
        <w:ind w:left="514" w:right="1118"/>
        <w:jc w:val="left"/>
      </w:pPr>
      <w:r>
        <w:rPr/>
        <w:t>（</w:t>
      </w:r>
      <w:r>
        <w:rPr>
          <w:rFonts w:ascii="Times New Roman" w:hAnsi="Times New Roman" w:cs="Times New Roman" w:eastAsia="Times New Roman" w:hint="default"/>
        </w:rPr>
        <w:t>1</w:t>
      </w:r>
      <w:r>
        <w:rPr/>
        <w:t>）成本法 </w:t>
      </w:r>
      <w:r>
        <w:rPr>
          <w:spacing w:val="-2"/>
        </w:rPr>
        <w:t>本公司能够对被投资单位实施控制的长期股权投资采用成本法核算，并按照初始投资成本计价，追加或收回投资调整长</w:t>
      </w:r>
    </w:p>
    <w:p>
      <w:pPr>
        <w:pStyle w:val="BodyText"/>
        <w:spacing w:line="357" w:lineRule="auto" w:before="4"/>
        <w:ind w:left="514" w:right="0" w:hanging="360"/>
        <w:jc w:val="left"/>
      </w:pPr>
      <w:r>
        <w:rPr/>
        <w:t>期股权投资的成本。 </w:t>
      </w:r>
      <w:r>
        <w:rPr>
          <w:spacing w:val="-2"/>
        </w:rPr>
        <w:t>除取得投资时实际支付的价款或对价中包含的已宣告但尚未发放的现金股利或利润外，本公司按照享有被投资单位宣告</w:t>
      </w:r>
    </w:p>
    <w:p>
      <w:pPr>
        <w:pStyle w:val="BodyText"/>
        <w:spacing w:line="225" w:lineRule="exact"/>
        <w:ind w:right="0"/>
        <w:jc w:val="left"/>
      </w:pPr>
      <w:r>
        <w:rPr/>
        <w:t>分派的现金股利或利润确认为当期投资收益。</w:t>
      </w:r>
    </w:p>
    <w:p>
      <w:pPr>
        <w:pStyle w:val="BodyText"/>
        <w:spacing w:line="338" w:lineRule="auto" w:before="116"/>
        <w:ind w:left="514" w:right="1118"/>
        <w:jc w:val="left"/>
      </w:pPr>
      <w:r>
        <w:rPr/>
        <w:t>（</w:t>
      </w:r>
      <w:r>
        <w:rPr>
          <w:rFonts w:ascii="Times New Roman" w:hAnsi="Times New Roman" w:cs="Times New Roman" w:eastAsia="Times New Roman" w:hint="default"/>
        </w:rPr>
        <w:t>2</w:t>
      </w:r>
      <w:r>
        <w:rPr/>
        <w:t>）权益法 </w:t>
      </w:r>
      <w:r>
        <w:rPr>
          <w:spacing w:val="-2"/>
        </w:rPr>
        <w:t>本公司对联营企业和合营企业的长期股权投资采用权益法核算；对于其中一部分通过风险投资机构、共同基金、信托公</w:t>
      </w:r>
    </w:p>
    <w:p>
      <w:pPr>
        <w:pStyle w:val="BodyText"/>
        <w:spacing w:line="240" w:lineRule="auto" w:before="4"/>
        <w:ind w:right="0"/>
        <w:jc w:val="left"/>
      </w:pPr>
      <w:r>
        <w:rPr/>
        <w:t>司或包括投连险基金在内的类似主体间接持有的联营企业的权益性投资，采用公允价值计量且其变动计入损益。</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0" w:firstLine="360"/>
        <w:jc w:val="left"/>
      </w:pPr>
      <w:r>
        <w:rPr>
          <w:spacing w:val="-2"/>
        </w:rPr>
        <w:t>长期股权投资的初始投资成本大于投资时应享有被投资单位可辨认净资产公允价值份额的差额，不调整长期股权投资的</w:t>
      </w:r>
      <w:r>
        <w:rPr/>
        <w:t> 初始投资成本；初始投资成本小于投资时应享有被投资单位可辨认净资产公允价值份额的差额，计入当期损益。</w:t>
      </w:r>
    </w:p>
    <w:p>
      <w:pPr>
        <w:pStyle w:val="BodyText"/>
        <w:spacing w:line="319" w:lineRule="auto" w:before="55"/>
        <w:ind w:right="1032" w:firstLine="360"/>
        <w:jc w:val="left"/>
      </w:pPr>
      <w:r>
        <w:rPr>
          <w:spacing w:val="-2"/>
        </w:rPr>
        <w:t>本公司取得长期股权投资后，按照应享有或应分担的被投资单位实现的净损益和其他综合收益的份额，分别确认投资收</w:t>
      </w:r>
      <w:r>
        <w:rPr/>
        <w:t> 益和其他综合收益，同时调整长期股权投资的账面价值；并按照被投资单位宣告分派的利润或现金股利计算应享有的部分， </w:t>
      </w:r>
      <w:r>
        <w:rPr>
          <w:spacing w:val="-2"/>
        </w:rPr>
        <w:t>相应减少长期股权投资的账面价值；对于被投资单位除净损益、其他综合收益和利润分配以外所有者权益的其他变动，调整</w:t>
      </w:r>
      <w:r>
        <w:rPr>
          <w:spacing w:val="-66"/>
        </w:rPr>
        <w:t> </w:t>
      </w:r>
      <w:r>
        <w:rPr>
          <w:spacing w:val="-66"/>
        </w:rPr>
      </w:r>
      <w:r>
        <w:rPr/>
        <w:t>长期股权投资的账面价值并计入所有者权益。</w:t>
      </w:r>
    </w:p>
    <w:p>
      <w:pPr>
        <w:pStyle w:val="BodyText"/>
        <w:spacing w:line="319" w:lineRule="auto" w:before="56"/>
        <w:ind w:right="1132" w:firstLine="360"/>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pStyle w:val="BodyText"/>
        <w:spacing w:line="319" w:lineRule="auto" w:before="55"/>
        <w:ind w:right="1032" w:firstLine="360"/>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9" w:lineRule="auto" w:before="55"/>
        <w:ind w:right="0" w:firstLine="360"/>
        <w:jc w:val="left"/>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的账面余额、恢复其他实质上构成对被投资单位净投资的长期权益及长期股权投资的账面价值后，恢复确认投资收益。</w:t>
      </w:r>
    </w:p>
    <w:p>
      <w:pPr>
        <w:pStyle w:val="BodyText"/>
        <w:spacing w:line="240" w:lineRule="auto" w:before="58"/>
        <w:ind w:left="60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长期股权投资核算方法的转换</w:t>
      </w:r>
    </w:p>
    <w:p>
      <w:pPr>
        <w:pStyle w:val="BodyText"/>
        <w:spacing w:line="338" w:lineRule="auto" w:before="102"/>
        <w:ind w:left="514" w:right="0" w:firstLine="9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公允价值计量转权益法核算</w:t>
      </w:r>
      <w:r>
        <w:rPr>
          <w:w w:val="99"/>
        </w:rPr>
        <w:t> </w:t>
      </w:r>
      <w:r>
        <w:rPr>
          <w:spacing w:val="-2"/>
          <w:w w:val="99"/>
        </w:rPr>
        <w:t>本公司原持有的对被投资单位不具有控制、共同控制或重大影响的按金融工具确认和计量准则进行会计处理的权益性投</w:t>
      </w:r>
      <w:r>
        <w:rPr>
          <w:spacing w:val="-2"/>
        </w:rPr>
      </w:r>
    </w:p>
    <w:p>
      <w:pPr>
        <w:pStyle w:val="BodyText"/>
        <w:spacing w:line="302" w:lineRule="auto" w:before="2"/>
        <w:ind w:right="1032"/>
        <w:jc w:val="left"/>
      </w:pPr>
      <w:r>
        <w:rPr/>
        <w:t>资，因追加投资等原因能够对被投资单位施加重大影响或实施共同控制但不构成控制的，按照《企业会计准则第</w:t>
      </w:r>
      <w:r>
        <w:rPr>
          <w:spacing w:val="-40"/>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 </w:t>
      </w:r>
      <w:r>
        <w:rPr/>
        <w:t>金融工具确认和计量》确定的原持有的股权投资的公允价值加上新增投资成本之和，作为改按权益法核算的初始投资成本。</w:t>
      </w:r>
    </w:p>
    <w:p>
      <w:pPr>
        <w:pStyle w:val="BodyText"/>
        <w:spacing w:line="319" w:lineRule="auto" w:before="69"/>
        <w:ind w:right="0" w:firstLine="360"/>
        <w:jc w:val="left"/>
      </w:pPr>
      <w:r>
        <w:rPr>
          <w:spacing w:val="-2"/>
        </w:rPr>
        <w:t>原持有的股权投资分类为可供出售金融资产的，其公允价值与账面价值之间的差额，以及原计入其他综合收益的累计公</w:t>
      </w:r>
      <w:r>
        <w:rPr/>
        <w:t> 允价值变动转入改按权益法核算的当期损益。</w:t>
      </w:r>
    </w:p>
    <w:p>
      <w:pPr>
        <w:pStyle w:val="BodyText"/>
        <w:spacing w:line="319" w:lineRule="auto" w:before="55"/>
        <w:ind w:right="0" w:firstLine="360"/>
        <w:jc w:val="left"/>
      </w:pPr>
      <w:r>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BodyText"/>
        <w:spacing w:line="338" w:lineRule="auto" w:before="56"/>
        <w:ind w:left="514" w:right="0" w:firstLine="9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公允价值计量或权益法核算转成本法核算</w:t>
      </w:r>
      <w:r>
        <w:rPr>
          <w:w w:val="99"/>
        </w:rPr>
        <w:t> </w:t>
      </w:r>
      <w:r>
        <w:rPr>
          <w:spacing w:val="-2"/>
          <w:w w:val="99"/>
        </w:rPr>
        <w:t>本公司原持有的对被投资单位不具有控制、共同控制或重大影响的按金融工具确认和计量准则进行会计处理的权益性投</w:t>
      </w:r>
      <w:r>
        <w:rPr>
          <w:spacing w:val="-2"/>
        </w:rPr>
      </w:r>
    </w:p>
    <w:p>
      <w:pPr>
        <w:pStyle w:val="BodyText"/>
        <w:spacing w:line="319" w:lineRule="auto" w:before="2"/>
        <w:ind w:right="0"/>
        <w:jc w:val="left"/>
      </w:pPr>
      <w:r>
        <w:rPr>
          <w:spacing w:val="-2"/>
        </w:rPr>
        <w:t>资，或原持有对联营企业、合营企业的长期股权投资，因追加投资等原因能够对非同一控制下的被投资单位实施控制的，在</w:t>
      </w:r>
      <w:r>
        <w:rPr>
          <w:spacing w:val="-66"/>
        </w:rPr>
        <w:t> </w:t>
      </w:r>
      <w:r>
        <w:rPr>
          <w:spacing w:val="-66"/>
        </w:rPr>
      </w:r>
      <w:r>
        <w:rPr/>
        <w:t>编制个别财务报表时，按照原持有的股权投资账面价值加上新增投资成本之和，作为改按成本法核算的初始投资成本。</w:t>
      </w:r>
    </w:p>
    <w:p>
      <w:pPr>
        <w:pStyle w:val="BodyText"/>
        <w:spacing w:line="319" w:lineRule="auto" w:before="55"/>
        <w:ind w:right="0" w:firstLine="360"/>
        <w:jc w:val="left"/>
      </w:pPr>
      <w:r>
        <w:rPr>
          <w:spacing w:val="-2"/>
        </w:rPr>
        <w:t>购买日之前持有的股权投资因采用权益法核算而确认的其他综合收益，在处置该项投资时采用与被投资单位直接处置相</w:t>
      </w:r>
      <w:r>
        <w:rPr/>
        <w:t> 关资产或负债相同的基础进行会计处理。</w:t>
      </w:r>
    </w:p>
    <w:p>
      <w:pPr>
        <w:pStyle w:val="BodyText"/>
        <w:spacing w:line="302" w:lineRule="auto" w:before="55"/>
        <w:ind w:right="1113" w:firstLine="360"/>
        <w:jc w:val="left"/>
      </w:pPr>
      <w:r>
        <w:rPr/>
        <w:t>购买日之前持有的股权投资按照《企业会计准则第</w:t>
      </w:r>
      <w:r>
        <w:rPr>
          <w:spacing w:val="-40"/>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金融工具确认和计量》的有关规定进行会计处理的，原计 入其他综合收益的累计公允价值变动在改按成本法核算时转入当期损益。</w:t>
      </w:r>
    </w:p>
    <w:p>
      <w:pPr>
        <w:pStyle w:val="BodyText"/>
        <w:spacing w:line="338" w:lineRule="auto" w:before="70"/>
        <w:ind w:left="514" w:right="0" w:firstLine="9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5"/>
        </w:rPr>
        <w:t> </w:t>
      </w:r>
      <w:r>
        <w:rPr/>
        <w:t>权益法核算转公允价值计量</w:t>
      </w:r>
      <w:r>
        <w:rPr>
          <w:w w:val="99"/>
        </w:rPr>
        <w:t> </w:t>
      </w:r>
      <w:r>
        <w:rPr>
          <w:spacing w:val="-2"/>
        </w:rPr>
        <w:t>本公司因处置部分股权投资等原因丧失了对被投资单位的共同控制或重大影响的，处置后的剩余股权改按《企业会计准</w:t>
      </w:r>
    </w:p>
    <w:p>
      <w:pPr>
        <w:pStyle w:val="BodyText"/>
        <w:spacing w:line="302" w:lineRule="auto" w:before="2"/>
        <w:ind w:right="1114"/>
        <w:jc w:val="left"/>
      </w:pPr>
      <w:r>
        <w:rPr/>
        <w:t>则第</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金融工具确认和计量》核算，其在丧失共同控制或重大影响之日的公允价值与账面价值之间的差额计入当期 损益。</w:t>
      </w:r>
    </w:p>
    <w:p>
      <w:pPr>
        <w:pStyle w:val="BodyText"/>
        <w:spacing w:line="319" w:lineRule="auto" w:before="68"/>
        <w:ind w:right="0" w:firstLine="360"/>
        <w:jc w:val="left"/>
      </w:pPr>
      <w:r>
        <w:rPr>
          <w:spacing w:val="-2"/>
        </w:rPr>
        <w:t>原股权投资因采用权益法核算而确认的其他综合收益，在终止采用权益法核算时采用与被投资单位直接处置相关资产或</w:t>
      </w:r>
      <w:r>
        <w:rPr/>
        <w:t> 负债相同的基础进行会计处理。</w:t>
      </w:r>
    </w:p>
    <w:p>
      <w:pPr>
        <w:pStyle w:val="BodyText"/>
        <w:spacing w:line="338" w:lineRule="auto" w:before="58"/>
        <w:ind w:left="514" w:right="0" w:firstLine="9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5"/>
        </w:rPr>
        <w:t> </w:t>
      </w:r>
      <w:r>
        <w:rPr/>
        <w:t>成本法转权益法</w:t>
      </w:r>
      <w:r>
        <w:rPr>
          <w:w w:val="99"/>
        </w:rPr>
        <w:t> </w:t>
      </w:r>
      <w:r>
        <w:rPr>
          <w:spacing w:val="-2"/>
        </w:rPr>
        <w:t>本公司因处置部分权益性投资等原因丧失了对被投资单位的控制的，在编制个别财务报表时，处置后的剩余股权能够对</w:t>
      </w:r>
    </w:p>
    <w:p>
      <w:pPr>
        <w:pStyle w:val="BodyText"/>
        <w:spacing w:line="240" w:lineRule="auto" w:before="4"/>
        <w:ind w:right="0"/>
        <w:jc w:val="left"/>
      </w:pPr>
      <w:r>
        <w:rPr/>
        <w:t>被投资单位实施共同控制或施加重大影响的，改按权益法核算，并对该剩余股权视同自取得时即采用权益法核算进行调整。</w:t>
      </w:r>
    </w:p>
    <w:p>
      <w:pPr>
        <w:pStyle w:val="BodyText"/>
        <w:spacing w:line="240" w:lineRule="auto" w:before="116"/>
        <w:ind w:left="604"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4"/>
        </w:rPr>
        <w:t> </w:t>
      </w:r>
      <w:r>
        <w:rPr/>
        <w:t>成本法转公允价值计量</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9" w:lineRule="auto" w:before="44"/>
        <w:ind w:right="1131" w:firstLine="360"/>
        <w:jc w:val="both"/>
      </w:pPr>
      <w:r>
        <w:rPr>
          <w:spacing w:val="-2"/>
        </w:rPr>
        <w:t>本公司因处置部分权益性投资等原因丧失了对被投资单位的控制的，在编制个别财务报表时，处置后的剩余股权不能对</w:t>
      </w:r>
      <w:r>
        <w:rPr/>
        <w:t> 被投资单位实施共同控制或施加重大影响的，改按《企业会计准则第</w:t>
      </w:r>
      <w:r>
        <w:rPr>
          <w:spacing w:val="-40"/>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金融工具确认和计量》的有关规定进行会计 处理，其在丧失控制之日的公允价值与账面价值间的差额计入当期损益。</w:t>
      </w:r>
    </w:p>
    <w:p>
      <w:pPr>
        <w:pStyle w:val="BodyText"/>
        <w:spacing w:line="338" w:lineRule="auto" w:before="64"/>
        <w:ind w:left="514" w:right="0"/>
        <w:jc w:val="left"/>
      </w:pPr>
      <w:r>
        <w:rPr>
          <w:rFonts w:ascii="Times New Roman" w:hAnsi="Times New Roman" w:cs="Times New Roman" w:eastAsia="Times New Roman" w:hint="default"/>
        </w:rPr>
        <w:t>4. </w:t>
      </w:r>
      <w:r>
        <w:rPr/>
        <w:t>长期股权投资的处置 </w:t>
      </w:r>
      <w:r>
        <w:rPr>
          <w:spacing w:val="-2"/>
        </w:rPr>
        <w:t>处置长期股权投资，其账面价值与实际取得价款之间的差额，应当计入当期损益。采用权益法核算的长期股权投资，在</w:t>
      </w:r>
    </w:p>
    <w:p>
      <w:pPr>
        <w:pStyle w:val="BodyText"/>
        <w:spacing w:line="319" w:lineRule="auto" w:before="2"/>
        <w:ind w:right="1118"/>
        <w:jc w:val="left"/>
      </w:pP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319" w:lineRule="auto" w:before="55"/>
        <w:ind w:right="1132" w:firstLine="360"/>
        <w:jc w:val="both"/>
      </w:pPr>
      <w:r>
        <w:rPr>
          <w:spacing w:val="-2"/>
        </w:rPr>
        <w:t>处置对子公司股权投资的各项交易的条款、条件以及经济影响符合以下一种或多种情况，将多次交易事项作为一揽子交</w:t>
      </w:r>
      <w:r>
        <w:rPr/>
        <w:t> 易进行会计处理：</w:t>
      </w:r>
    </w:p>
    <w:p>
      <w:pPr>
        <w:pStyle w:val="BodyText"/>
        <w:spacing w:line="338" w:lineRule="auto" w:before="56"/>
        <w:ind w:left="874" w:right="4422"/>
        <w:jc w:val="left"/>
      </w:pPr>
      <w:r>
        <w:rPr>
          <w:rFonts w:ascii="Times New Roman" w:hAnsi="Times New Roman" w:cs="Times New Roman" w:eastAsia="Times New Roman" w:hint="default"/>
        </w:rPr>
        <w:t>(1)</w:t>
      </w:r>
      <w:r>
        <w:rPr/>
        <w:t>这些交易是同时或者在考虑了彼此影响的情况下订立的；</w:t>
      </w:r>
      <w:r>
        <w:rPr>
          <w:w w:val="99"/>
        </w:rPr>
        <w:t> </w:t>
      </w:r>
      <w:r>
        <w:rPr>
          <w:rFonts w:ascii="Times New Roman" w:hAnsi="Times New Roman" w:cs="Times New Roman" w:eastAsia="Times New Roman" w:hint="default"/>
        </w:rPr>
        <w:t>(2)</w:t>
      </w:r>
      <w:r>
        <w:rPr/>
        <w:t>这些交易整体才能达成一项完整的商业结果；</w:t>
      </w:r>
      <w:r>
        <w:rPr>
          <w:w w:val="99"/>
        </w:rPr>
        <w:t> </w:t>
      </w:r>
      <w:r>
        <w:rPr>
          <w:rFonts w:ascii="Times New Roman" w:hAnsi="Times New Roman" w:cs="Times New Roman" w:eastAsia="Times New Roman" w:hint="default"/>
        </w:rPr>
        <w:t>(3)</w:t>
      </w:r>
      <w:r>
        <w:rPr/>
        <w:t>一项交易的发生取决于其他至少一项交易的发生；</w:t>
      </w:r>
      <w:r>
        <w:rPr>
          <w:w w:val="99"/>
        </w:rPr>
        <w:t> </w:t>
      </w:r>
      <w:r>
        <w:rPr>
          <w:rFonts w:ascii="Times New Roman" w:hAnsi="Times New Roman" w:cs="Times New Roman" w:eastAsia="Times New Roman" w:hint="default"/>
        </w:rPr>
        <w:t>(4)</w:t>
      </w:r>
      <w:r>
        <w:rPr/>
        <w:t>一项交易单独看是不经济的，但是和其他交易一并考虑时是经济的。</w:t>
      </w:r>
    </w:p>
    <w:p>
      <w:pPr>
        <w:pStyle w:val="BodyText"/>
        <w:spacing w:line="319" w:lineRule="auto" w:before="20"/>
        <w:ind w:right="1131" w:firstLine="360"/>
        <w:jc w:val="both"/>
      </w:pPr>
      <w:r>
        <w:rPr>
          <w:spacing w:val="-2"/>
        </w:rPr>
        <w:t>因处置部分股权投资或其他原因丧失了对原有子公司控制权的，不属于一揽子交易的，区分个别财务报表和合并财务报</w:t>
      </w:r>
      <w:r>
        <w:rPr/>
        <w:t> 表进行相关会计处理：</w:t>
      </w:r>
    </w:p>
    <w:p>
      <w:pPr>
        <w:pStyle w:val="BodyText"/>
        <w:spacing w:line="307" w:lineRule="auto" w:before="55"/>
        <w:ind w:right="1130" w:firstLine="36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）在个别财务报表中，对于处置的股权，其账面价值与实际取得价款之间的差额计入当期损益。处置后的剩余股权 </w:t>
      </w:r>
      <w:r>
        <w:rPr>
          <w:spacing w:val="-2"/>
        </w:rPr>
        <w:t>能够对被投资单位实施共同控制或施加重大影响的，改按权益法核算，并对该剩余股权视同自取得时即采用权益法核算进行</w:t>
      </w:r>
      <w:r>
        <w:rPr>
          <w:spacing w:val="-64"/>
        </w:rPr>
        <w:t> </w:t>
      </w:r>
      <w:r>
        <w:rPr>
          <w:spacing w:val="-64"/>
        </w:rPr>
      </w:r>
      <w:r>
        <w:rPr/>
        <w:t>调整；处置后的剩余股权不能对被投资单位实施共同控制或施加重大影响的，改按《企业会计准则第</w:t>
      </w:r>
      <w:r>
        <w:rPr>
          <w:spacing w:val="-40"/>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 认和计量》的有关规定进行会计处理，其在丧失控制之日的公允价值与账面价值间的差额计入当期损益。</w:t>
      </w:r>
    </w:p>
    <w:p>
      <w:pPr>
        <w:pStyle w:val="BodyText"/>
        <w:spacing w:line="314" w:lineRule="auto" w:before="64"/>
        <w:ind w:right="1131" w:firstLine="36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）在合并财务报表中，对于在丧失对子公司控制权以前的各项交易，处置价款与处置长期股权投资相应对享有子公 </w:t>
      </w:r>
      <w:r>
        <w:rPr>
          <w:spacing w:val="-2"/>
        </w:rPr>
        <w:t>司自购买日或合并日开始持续计算的净资产份额之间的差额，调整资本公积（股本溢价），资本公积不足冲减的，调整留存</w:t>
      </w:r>
      <w:r>
        <w:rPr>
          <w:spacing w:val="-65"/>
        </w:rPr>
        <w:t> </w:t>
      </w:r>
      <w:r>
        <w:rPr>
          <w:spacing w:val="-65"/>
        </w:rPr>
      </w:r>
      <w:r>
        <w:rPr>
          <w:spacing w:val="-2"/>
        </w:rPr>
        <w:t>收益；在丧失对子公司控制权时，对于剩余股权，按照其在丧失控制权日的公允价值进行重新计量。处置股权取得的对价与</w:t>
      </w:r>
      <w:r>
        <w:rPr>
          <w:spacing w:val="-66"/>
        </w:rPr>
        <w:t> </w:t>
      </w:r>
      <w:r>
        <w:rPr>
          <w:spacing w:val="-66"/>
        </w:rPr>
      </w:r>
      <w:r>
        <w:rPr>
          <w:spacing w:val="-2"/>
        </w:rPr>
        <w:t>剩余股权公允价值之和，减去按原持股比例计算应享有原有子公司自购买日开始持续计算的净资产的份额之间的差额，计入</w:t>
      </w:r>
      <w:r>
        <w:rPr>
          <w:spacing w:val="-64"/>
        </w:rPr>
        <w:t> </w:t>
      </w:r>
      <w:r>
        <w:rPr>
          <w:spacing w:val="-64"/>
        </w:rPr>
      </w:r>
      <w:r>
        <w:rPr>
          <w:spacing w:val="-2"/>
        </w:rPr>
        <w:t>丧失控制权当期的投资收益，同时冲减商誉。与原有子公司股权投资相关的其他综合收益等，在丧失控制权时转为当期投资</w:t>
      </w:r>
      <w:r>
        <w:rPr>
          <w:spacing w:val="-66"/>
        </w:rPr>
        <w:t> </w:t>
      </w:r>
      <w:r>
        <w:rPr>
          <w:spacing w:val="-66"/>
        </w:rPr>
      </w:r>
      <w:r>
        <w:rPr/>
        <w:t>收益。</w:t>
      </w:r>
    </w:p>
    <w:p>
      <w:pPr>
        <w:pStyle w:val="BodyText"/>
        <w:spacing w:line="319" w:lineRule="auto" w:before="60"/>
        <w:ind w:right="1131" w:firstLine="360"/>
        <w:jc w:val="both"/>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302" w:lineRule="auto" w:before="55"/>
        <w:ind w:right="1131" w:firstLine="36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 确认为其他综合收益，在丧失控制权时一并转入丧失控制权当期的损益。</w:t>
      </w:r>
    </w:p>
    <w:p>
      <w:pPr>
        <w:pStyle w:val="BodyText"/>
        <w:spacing w:line="302" w:lineRule="auto" w:before="68"/>
        <w:ind w:right="1131" w:firstLine="360"/>
        <w:jc w:val="both"/>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）在合并财务报表中，在丧失控制权之前每一次处置价款与处置投资对应的享有该子公司净资产份额的差额，确认 为其他综合收益，在丧失控制权时一并转入丧失控制权当期的损益。</w:t>
      </w:r>
    </w:p>
    <w:p>
      <w:pPr>
        <w:pStyle w:val="BodyText"/>
        <w:spacing w:line="338" w:lineRule="auto" w:before="70"/>
        <w:ind w:left="514" w:right="0"/>
        <w:jc w:val="left"/>
      </w:pPr>
      <w:r>
        <w:rPr>
          <w:rFonts w:ascii="Times New Roman" w:hAnsi="Times New Roman" w:cs="Times New Roman" w:eastAsia="Times New Roman" w:hint="default"/>
        </w:rPr>
        <w:t>5. </w:t>
      </w:r>
      <w:r>
        <w:rPr/>
        <w:t>共同控制、重大影响的判断标准 </w:t>
      </w:r>
      <w:r>
        <w:rPr>
          <w:spacing w:val="-2"/>
        </w:rPr>
        <w:t>如果本公司按照相关约定与其他参与方集体控制某项安排，并且对该安排回报具有重大影响的活动决策，需要经过分享</w:t>
      </w:r>
    </w:p>
    <w:p>
      <w:pPr>
        <w:pStyle w:val="BodyText"/>
        <w:spacing w:line="357" w:lineRule="auto" w:before="4"/>
        <w:ind w:left="514" w:right="0" w:hanging="360"/>
        <w:jc w:val="left"/>
      </w:pPr>
      <w:r>
        <w:rPr/>
        <w:t>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合营安排通过单独主体达成的，根据相关约定判断本公司对该单独主体的净资产享有权利时，将该单独主体作为合营企</w:t>
      </w:r>
    </w:p>
    <w:p>
      <w:pPr>
        <w:pStyle w:val="BodyText"/>
        <w:spacing w:line="224" w:lineRule="exact"/>
        <w:ind w:right="0"/>
        <w:jc w:val="left"/>
      </w:pPr>
      <w:r>
        <w:rPr/>
        <w:t>业，采用权益法核算。若根据相关约定判断本公司并非对该单独主体的净资产享有权利时，该单独主体作为共同经营，本公</w:t>
      </w:r>
    </w:p>
    <w:p>
      <w:pPr>
        <w:pStyle w:val="BodyText"/>
        <w:spacing w:line="357" w:lineRule="auto" w:before="77"/>
        <w:ind w:left="514" w:right="0" w:hanging="360"/>
        <w:jc w:val="left"/>
      </w:pPr>
      <w:r>
        <w:rPr/>
        <w:t>司确认与共同经营利益份额相关的项目，并按照相关企业会计准则的规定进行会计处理。 </w:t>
      </w:r>
      <w:r>
        <w:rPr>
          <w:spacing w:val="-2"/>
        </w:rPr>
        <w:t>重大影响，是指投资方对被投资单位的财务和经营政策有参与决策的权力，但并不能够控制或者与其他方一起共同控制</w:t>
      </w:r>
    </w:p>
    <w:p>
      <w:pPr>
        <w:pStyle w:val="BodyText"/>
        <w:spacing w:line="238" w:lineRule="exact"/>
        <w:ind w:right="0"/>
        <w:jc w:val="left"/>
      </w:pPr>
      <w:r>
        <w:rPr/>
        <w:t>这些政策的制定。本公司通过以下一种或多种情形，并综合考虑所有事实和情况后，判断对被投资单位具有重大影响</w:t>
      </w:r>
      <w:r>
        <w:rPr>
          <w:spacing w:val="-90"/>
        </w:rPr>
        <w:t>。</w:t>
      </w:r>
      <w:r>
        <w:rPr>
          <w:spacing w:val="1"/>
        </w:rPr>
        <w:t>（</w:t>
      </w:r>
      <w:r>
        <w:rPr>
          <w:rFonts w:ascii="Times New Roman" w:hAnsi="Times New Roman" w:cs="Times New Roman" w:eastAsia="Times New Roman" w:hint="default"/>
        </w:rPr>
        <w:t>1</w:t>
      </w:r>
      <w:r>
        <w:rPr/>
        <w:t>）</w:t>
      </w:r>
    </w:p>
    <w:p>
      <w:pPr>
        <w:pStyle w:val="BodyText"/>
        <w:spacing w:line="302" w:lineRule="auto" w:before="63"/>
        <w:ind w:right="1116"/>
        <w:jc w:val="left"/>
      </w:pPr>
      <w:r>
        <w:rPr/>
        <w:t>在被投资单位的董事会或类似权力机构中派有代表</w:t>
      </w:r>
      <w:r>
        <w:rPr>
          <w:spacing w:val="-111"/>
        </w:rPr>
        <w:t>；</w:t>
      </w:r>
      <w:r>
        <w:rPr/>
        <w:t>（</w:t>
      </w:r>
      <w:r>
        <w:rPr>
          <w:rFonts w:ascii="Times New Roman" w:hAnsi="Times New Roman" w:cs="Times New Roman" w:eastAsia="Times New Roman" w:hint="default"/>
        </w:rPr>
        <w:t>2</w:t>
      </w:r>
      <w:r>
        <w:rPr>
          <w:spacing w:val="-21"/>
        </w:rPr>
        <w:t>）</w:t>
      </w:r>
      <w:r>
        <w:rPr/>
        <w:t>参与被投资单位财务和经营政策制定过程</w:t>
      </w:r>
      <w:r>
        <w:rPr>
          <w:spacing w:val="-111"/>
        </w:rPr>
        <w:t>；</w:t>
      </w:r>
      <w:r>
        <w:rPr/>
        <w:t>（</w:t>
      </w:r>
      <w:r>
        <w:rPr>
          <w:rFonts w:ascii="Times New Roman" w:hAnsi="Times New Roman" w:cs="Times New Roman" w:eastAsia="Times New Roman" w:hint="default"/>
        </w:rPr>
        <w:t>3</w:t>
      </w:r>
      <w:r>
        <w:rPr>
          <w:spacing w:val="-21"/>
        </w:rPr>
        <w:t>）</w:t>
      </w:r>
      <w:r>
        <w:rPr/>
        <w:t>与被投资单位之间</w:t>
      </w:r>
      <w:r>
        <w:rPr/>
        <w:t> 发生重要交易</w:t>
      </w:r>
      <w:r>
        <w:rPr>
          <w:spacing w:val="-90"/>
        </w:rPr>
        <w:t>；</w:t>
      </w:r>
      <w:r>
        <w:rPr/>
        <w:t>（</w:t>
      </w:r>
      <w:r>
        <w:rPr>
          <w:rFonts w:ascii="Times New Roman" w:hAnsi="Times New Roman" w:cs="Times New Roman" w:eastAsia="Times New Roman" w:hint="default"/>
        </w:rPr>
        <w:t>4</w:t>
      </w:r>
      <w:r>
        <w:rPr/>
        <w:t>）向被投资单位派出管理人员</w:t>
      </w:r>
      <w:r>
        <w:rPr>
          <w:spacing w:val="-90"/>
        </w:rPr>
        <w:t>；</w:t>
      </w:r>
      <w:r>
        <w:rPr/>
        <w:t>（</w:t>
      </w:r>
      <w:r>
        <w:rPr>
          <w:rFonts w:ascii="Times New Roman" w:hAnsi="Times New Roman" w:cs="Times New Roman" w:eastAsia="Times New Roman" w:hint="default"/>
        </w:rPr>
        <w:t>5</w:t>
      </w:r>
      <w:r>
        <w:rPr/>
        <w:t>）向被投资单位提供关键技术资料。</w:t>
      </w:r>
    </w:p>
    <w:p>
      <w:pPr>
        <w:spacing w:after="0" w:line="302"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15、投资性房地产" w:id="188"/>
      <w:bookmarkEnd w:id="18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16、固定资产" w:id="189"/>
      <w:bookmarkEnd w:id="18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90"/>
      <w:bookmarkEnd w:id="19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07" w:lineRule="auto"/>
        <w:ind w:right="1130" w:firstLine="540"/>
        <w:jc w:val="both"/>
      </w:pPr>
      <w:r>
        <w:rPr>
          <w:rFonts w:ascii="Times New Roman" w:hAnsi="Times New Roman" w:cs="Times New Roman" w:eastAsia="Times New Roman" w:hint="default"/>
        </w:rPr>
        <w:t>1</w:t>
      </w:r>
      <w:r>
        <w:rPr/>
        <w:t>． 固定资产确认条件</w:t>
      </w:r>
      <w:r>
        <w:rPr>
          <w:spacing w:val="8"/>
        </w:rPr>
        <w:t> </w:t>
      </w:r>
      <w:r>
        <w:rPr/>
        <w:t>固定资产指为生产商品、提供劳务、出租或经营管理而持有，并且使用寿命超过一个会计年</w:t>
      </w:r>
      <w:r>
        <w:rPr/>
        <w:t> </w:t>
      </w:r>
      <w:r>
        <w:rPr>
          <w:spacing w:val="-5"/>
        </w:rPr>
        <w:t>度的有形资产。固定资产在同时满足下列条件时予以确认：（</w:t>
      </w:r>
      <w:r>
        <w:rPr>
          <w:rFonts w:ascii="Times New Roman" w:hAnsi="Times New Roman" w:cs="Times New Roman" w:eastAsia="Times New Roman" w:hint="default"/>
          <w:spacing w:val="-5"/>
        </w:rPr>
        <w:t>1</w:t>
      </w:r>
      <w:r>
        <w:rPr>
          <w:spacing w:val="-5"/>
        </w:rPr>
        <w:t>）与该固定资产有关的经济利益很可能流入企业；（</w:t>
      </w:r>
      <w:r>
        <w:rPr>
          <w:rFonts w:ascii="Times New Roman" w:hAnsi="Times New Roman" w:cs="Times New Roman" w:eastAsia="Times New Roman" w:hint="default"/>
          <w:spacing w:val="-5"/>
        </w:rPr>
        <w:t>2</w:t>
      </w:r>
      <w:r>
        <w:rPr>
          <w:spacing w:val="-5"/>
        </w:rPr>
        <w:t>）该固定</w:t>
      </w:r>
      <w:r>
        <w:rPr>
          <w:spacing w:val="-74"/>
        </w:rPr>
        <w:t> </w:t>
      </w:r>
      <w:r>
        <w:rPr>
          <w:spacing w:val="-74"/>
        </w:rPr>
      </w:r>
      <w:r>
        <w:rPr>
          <w:spacing w:val="-2"/>
        </w:rPr>
        <w:t>资产的成本能够可靠地计量。</w:t>
      </w:r>
      <w:r>
        <w:rPr>
          <w:rFonts w:ascii="Times New Roman" w:hAnsi="Times New Roman" w:cs="Times New Roman" w:eastAsia="Times New Roman" w:hint="default"/>
          <w:spacing w:val="-2"/>
        </w:rPr>
        <w:t>2</w:t>
      </w:r>
      <w:r>
        <w:rPr>
          <w:spacing w:val="-2"/>
        </w:rPr>
        <w:t>．</w:t>
      </w:r>
      <w:r>
        <w:rPr>
          <w:spacing w:val="12"/>
        </w:rPr>
        <w:t> </w:t>
      </w:r>
      <w:r>
        <w:rPr>
          <w:spacing w:val="-4"/>
        </w:rPr>
        <w:t>固定资产初始计量本公司固定资产按成本进行初始计量。（</w:t>
      </w:r>
      <w:r>
        <w:rPr>
          <w:rFonts w:ascii="Times New Roman" w:hAnsi="Times New Roman" w:cs="Times New Roman" w:eastAsia="Times New Roman" w:hint="default"/>
          <w:spacing w:val="-4"/>
        </w:rPr>
        <w:t>1</w:t>
      </w:r>
      <w:r>
        <w:rPr>
          <w:spacing w:val="-4"/>
        </w:rPr>
        <w:t>）外购的固定资产的成本包括</w:t>
      </w:r>
      <w:r>
        <w:rPr>
          <w:spacing w:val="-86"/>
        </w:rPr>
        <w:t> </w:t>
      </w:r>
      <w:r>
        <w:rPr>
          <w:spacing w:val="-86"/>
        </w:rPr>
      </w:r>
      <w:r>
        <w:rPr>
          <w:spacing w:val="-4"/>
        </w:rPr>
        <w:t>买价、进口关税等相关税费，以及为使固定资产达到预定可使用状态前所发生的可直接归属于该资产的其他支出。（</w:t>
      </w:r>
      <w:r>
        <w:rPr>
          <w:rFonts w:ascii="Times New Roman" w:hAnsi="Times New Roman" w:cs="Times New Roman" w:eastAsia="Times New Roman" w:hint="default"/>
          <w:spacing w:val="-4"/>
        </w:rPr>
        <w:t>2</w:t>
      </w:r>
      <w:r>
        <w:rPr>
          <w:spacing w:val="-4"/>
        </w:rPr>
        <w:t>）自行</w:t>
      </w:r>
      <w:r>
        <w:rPr>
          <w:spacing w:val="-43"/>
        </w:rPr>
        <w:t> </w:t>
      </w:r>
      <w:r>
        <w:rPr>
          <w:spacing w:val="-43"/>
        </w:rPr>
      </w:r>
      <w:r>
        <w:rPr>
          <w:spacing w:val="-4"/>
        </w:rPr>
        <w:t>建造固定资产的成本，由建造该项资产达到预定可使用状态前所发生的必要支出构成。（</w:t>
      </w:r>
      <w:r>
        <w:rPr>
          <w:rFonts w:ascii="Times New Roman" w:hAnsi="Times New Roman" w:cs="Times New Roman" w:eastAsia="Times New Roman" w:hint="default"/>
          <w:spacing w:val="-4"/>
        </w:rPr>
        <w:t>3</w:t>
      </w:r>
      <w:r>
        <w:rPr>
          <w:spacing w:val="-4"/>
        </w:rPr>
        <w:t>）投资者投入的固定资产，按投资</w:t>
      </w:r>
      <w:r>
        <w:rPr>
          <w:spacing w:val="-44"/>
        </w:rPr>
        <w:t> </w:t>
      </w:r>
      <w:r>
        <w:rPr>
          <w:spacing w:val="-44"/>
        </w:rPr>
      </w:r>
      <w:r>
        <w:rPr>
          <w:spacing w:val="-4"/>
        </w:rPr>
        <w:t>合同或协议约定的价值作为入账价值，但合同或协议约定价值不公允的按公允价值入账。（</w:t>
      </w:r>
      <w:r>
        <w:rPr>
          <w:rFonts w:ascii="Times New Roman" w:hAnsi="Times New Roman" w:cs="Times New Roman" w:eastAsia="Times New Roman" w:hint="default"/>
          <w:spacing w:val="-4"/>
        </w:rPr>
        <w:t>4</w:t>
      </w:r>
      <w:r>
        <w:rPr>
          <w:spacing w:val="-4"/>
        </w:rPr>
        <w:t>）购买固定资产的价款超过正常</w:t>
      </w:r>
      <w:r>
        <w:rPr>
          <w:spacing w:val="-43"/>
        </w:rPr>
        <w:t> </w:t>
      </w:r>
      <w:r>
        <w:rPr>
          <w:spacing w:val="-43"/>
        </w:rPr>
      </w:r>
      <w:r>
        <w:rPr>
          <w:spacing w:val="-2"/>
        </w:rPr>
        <w:t>信用条件延期支付，实质上具有融资性质的，固定资产的成本以购买价款的现值为基础确定。实际支付的价款与购买价款的</w:t>
      </w:r>
      <w:r>
        <w:rPr>
          <w:spacing w:val="-66"/>
        </w:rPr>
        <w:t> </w:t>
      </w:r>
      <w:r>
        <w:rPr>
          <w:spacing w:val="-66"/>
        </w:rPr>
      </w:r>
      <w:r>
        <w:rPr>
          <w:spacing w:val="-11"/>
        </w:rPr>
        <w:t>现值之间的差额，除应予资本化的以外，在信用期间内计入当期损益。</w:t>
      </w:r>
      <w:r>
        <w:rPr>
          <w:rFonts w:ascii="Times New Roman" w:hAnsi="Times New Roman" w:cs="Times New Roman" w:eastAsia="Times New Roman" w:hint="default"/>
          <w:spacing w:val="-11"/>
        </w:rPr>
        <w:t>3</w:t>
      </w:r>
      <w:r>
        <w:rPr>
          <w:spacing w:val="-11"/>
        </w:rPr>
        <w:t>．固定资产后续计量及处置（</w:t>
      </w:r>
      <w:r>
        <w:rPr>
          <w:rFonts w:ascii="Times New Roman" w:hAnsi="Times New Roman" w:cs="Times New Roman" w:eastAsia="Times New Roman" w:hint="default"/>
          <w:spacing w:val="-11"/>
        </w:rPr>
        <w:t>1</w:t>
      </w:r>
      <w:r>
        <w:rPr>
          <w:spacing w:val="-11"/>
        </w:rPr>
        <w:t>）固定资产折旧</w:t>
      </w:r>
      <w:r>
        <w:rPr>
          <w:spacing w:val="47"/>
        </w:rPr>
        <w:t> </w:t>
      </w:r>
      <w:r>
        <w:rPr/>
        <w:t>固</w:t>
      </w:r>
      <w:r>
        <w:rPr/>
        <w:t> </w:t>
      </w:r>
      <w:r>
        <w:rPr>
          <w:spacing w:val="-2"/>
        </w:rPr>
        <w:t>定资产折旧按其入账价值减去预计净残值后在预计使用寿命内计提。对计提了减值准备的固定资产，则在未来期间按扣除减</w:t>
      </w:r>
      <w:r>
        <w:rPr>
          <w:spacing w:val="-64"/>
        </w:rPr>
        <w:t> </w:t>
      </w:r>
      <w:r>
        <w:rPr>
          <w:spacing w:val="-64"/>
        </w:rPr>
      </w:r>
      <w:r>
        <w:rPr>
          <w:spacing w:val="-2"/>
        </w:rPr>
        <w:t>值准备后的账面价值及依据尚可使用年限确定折旧额；已提足折旧仍继续使用的固定资产不计提折旧。本公司根据固定资产</w:t>
      </w:r>
      <w:r>
        <w:rPr>
          <w:spacing w:val="-64"/>
        </w:rPr>
        <w:t> </w:t>
      </w:r>
      <w:r>
        <w:rPr>
          <w:spacing w:val="-64"/>
        </w:rPr>
      </w:r>
      <w:r>
        <w:rPr>
          <w:spacing w:val="-2"/>
        </w:rPr>
        <w:t>的性质和使用情况，确定固定资产的使用寿命和预计净残值。并在年度终了，对固定资产的使用寿命、预计净残值和折旧方</w:t>
      </w:r>
      <w:r>
        <w:rPr>
          <w:spacing w:val="-66"/>
        </w:rPr>
        <w:t> </w:t>
      </w:r>
      <w:r>
        <w:rPr>
          <w:spacing w:val="-66"/>
        </w:rPr>
      </w:r>
      <w:r>
        <w:rPr>
          <w:spacing w:val="-4"/>
        </w:rPr>
        <w:t>法进行复核，如与原先估计数存在差异的，进行相应的调整。（</w:t>
      </w:r>
      <w:r>
        <w:rPr>
          <w:rFonts w:ascii="Times New Roman" w:hAnsi="Times New Roman" w:cs="Times New Roman" w:eastAsia="Times New Roman" w:hint="default"/>
          <w:spacing w:val="-4"/>
        </w:rPr>
        <w:t>2</w:t>
      </w:r>
      <w:r>
        <w:rPr>
          <w:spacing w:val="-4"/>
        </w:rPr>
        <w:t>）固定资产的后续支出与固定资产有关的后续支出，符合固</w:t>
      </w:r>
      <w:r>
        <w:rPr>
          <w:spacing w:val="-44"/>
        </w:rPr>
        <w:t> </w:t>
      </w:r>
      <w:r>
        <w:rPr>
          <w:spacing w:val="-44"/>
        </w:rPr>
      </w:r>
      <w:r>
        <w:rPr>
          <w:spacing w:val="-4"/>
        </w:rPr>
        <w:t>定资产确认条件的，计入固定资产成本；不符合固定资产确认条件的，在发生时计入当期损益。（</w:t>
      </w:r>
      <w:r>
        <w:rPr>
          <w:rFonts w:ascii="Times New Roman" w:hAnsi="Times New Roman" w:cs="Times New Roman" w:eastAsia="Times New Roman" w:hint="default"/>
          <w:spacing w:val="-4"/>
        </w:rPr>
        <w:t>3</w:t>
      </w:r>
      <w:r>
        <w:rPr>
          <w:spacing w:val="-4"/>
        </w:rPr>
        <w:t>）固定资产处置当固定资</w:t>
      </w:r>
      <w:r>
        <w:rPr>
          <w:spacing w:val="-44"/>
        </w:rPr>
        <w:t> </w:t>
      </w:r>
      <w:r>
        <w:rPr>
          <w:spacing w:val="-44"/>
        </w:rPr>
      </w:r>
      <w:r>
        <w:rPr>
          <w:spacing w:val="-2"/>
        </w:rPr>
        <w:t>产被处置、或者预期通过使用或处置不能产生经济利益时，终止确认该固定资产。固定资产出售、转让、报废或毁损的处置</w:t>
      </w:r>
      <w:r>
        <w:rPr>
          <w:spacing w:val="-66"/>
        </w:rPr>
        <w:t> </w:t>
      </w:r>
      <w:r>
        <w:rPr>
          <w:spacing w:val="-66"/>
        </w:rPr>
      </w:r>
      <w:r>
        <w:rPr/>
        <w:t>收入扣除其账面价值和相关税费后的金额计入当期损益。</w:t>
      </w:r>
    </w:p>
    <w:p>
      <w:pPr>
        <w:spacing w:line="240" w:lineRule="auto" w:before="12"/>
        <w:rPr>
          <w:rFonts w:ascii="宋体" w:hAnsi="宋体" w:cs="宋体" w:eastAsia="宋体" w:hint="default"/>
          <w:sz w:val="22"/>
          <w:szCs w:val="22"/>
        </w:rPr>
      </w:pPr>
    </w:p>
    <w:p>
      <w:pPr>
        <w:pStyle w:val="Heading4"/>
        <w:spacing w:line="240" w:lineRule="auto"/>
        <w:ind w:right="0"/>
        <w:jc w:val="left"/>
        <w:rPr>
          <w:b w:val="0"/>
          <w:bCs w:val="0"/>
        </w:rPr>
      </w:pPr>
      <w:bookmarkStart w:name="（2）折旧方法" w:id="191"/>
      <w:bookmarkEnd w:id="19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9.50-19</w:t>
            </w:r>
          </w:p>
        </w:tc>
      </w:tr>
      <w:tr>
        <w:trPr>
          <w:trHeight w:val="402"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3）融资租入固定资产的认定依据、计价和折旧方法" w:id="192"/>
      <w:bookmarkEnd w:id="19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tabs>
          <w:tab w:pos="9432" w:val="left" w:leader="none"/>
        </w:tabs>
        <w:spacing w:line="300" w:lineRule="auto"/>
        <w:ind w:right="1042" w:firstLine="450"/>
        <w:jc w:val="left"/>
      </w:pPr>
      <w:r>
        <w:rPr>
          <w:spacing w:val="-2"/>
        </w:rPr>
        <w:t>当本公司租入的固定资产符合下列一项或数项标准时，确认为融资租入固定资产：（</w:t>
      </w:r>
      <w:r>
        <w:rPr>
          <w:rFonts w:ascii="Times New Roman" w:hAnsi="Times New Roman" w:cs="Times New Roman" w:eastAsia="Times New Roman" w:hint="default"/>
          <w:spacing w:val="-2"/>
        </w:rPr>
        <w:t>1</w:t>
      </w:r>
      <w:r>
        <w:rPr>
          <w:spacing w:val="-2"/>
        </w:rPr>
        <w:t>）在租赁期届满时，租赁资产的</w:t>
      </w:r>
      <w:r>
        <w:rPr/>
        <w:t> </w:t>
      </w:r>
      <w:r>
        <w:rPr>
          <w:spacing w:val="-4"/>
        </w:rPr>
        <w:t>所有权转移给本公司。（</w:t>
      </w:r>
      <w:r>
        <w:rPr>
          <w:rFonts w:ascii="Times New Roman" w:hAnsi="Times New Roman" w:cs="Times New Roman" w:eastAsia="Times New Roman" w:hint="default"/>
          <w:spacing w:val="-4"/>
        </w:rPr>
        <w:t>2</w:t>
      </w:r>
      <w:r>
        <w:rPr>
          <w:spacing w:val="-4"/>
        </w:rPr>
        <w:t>）本公司有购买租赁资产的选择权，所订立的购买价款预计将远低于行使选择权时租赁资产的公允</w:t>
      </w:r>
      <w:r>
        <w:rPr>
          <w:spacing w:val="-44"/>
        </w:rPr>
        <w:t> </w:t>
      </w:r>
      <w:r>
        <w:rPr>
          <w:spacing w:val="-44"/>
        </w:rPr>
      </w:r>
      <w:r>
        <w:rPr>
          <w:spacing w:val="-4"/>
        </w:rPr>
        <w:t>价值，因而在租赁开始日就可以合理确定本公司将会行使这种选择权。（</w:t>
      </w:r>
      <w:r>
        <w:rPr>
          <w:rFonts w:ascii="Times New Roman" w:hAnsi="Times New Roman" w:cs="Times New Roman" w:eastAsia="Times New Roman" w:hint="default"/>
          <w:spacing w:val="-4"/>
        </w:rPr>
        <w:t>3</w:t>
      </w:r>
      <w:r>
        <w:rPr>
          <w:spacing w:val="-4"/>
        </w:rPr>
        <w:t>）即使资产的所有权不转移，但租赁期占租赁资产</w:t>
      </w:r>
      <w:r>
        <w:rPr>
          <w:spacing w:val="-44"/>
        </w:rPr>
        <w:t> </w:t>
      </w:r>
      <w:r>
        <w:rPr>
          <w:spacing w:val="-44"/>
        </w:rPr>
      </w:r>
      <w:r>
        <w:rPr>
          <w:spacing w:val="-5"/>
        </w:rPr>
        <w:t>使用寿命的大部分。（</w:t>
      </w:r>
      <w:r>
        <w:rPr>
          <w:rFonts w:ascii="Times New Roman" w:hAnsi="Times New Roman" w:cs="Times New Roman" w:eastAsia="Times New Roman" w:hint="default"/>
          <w:spacing w:val="-5"/>
        </w:rPr>
        <w:t>4</w:t>
      </w:r>
      <w:r>
        <w:rPr>
          <w:spacing w:val="-5"/>
        </w:rPr>
        <w:t>）本公司在租赁开始日的最低租赁付款额现值，几乎相当于租赁开始日租赁资产公允价值。</w:t>
        <w:tab/>
      </w:r>
      <w:r>
        <w:rPr/>
        <w:t>（</w:t>
      </w:r>
      <w:r>
        <w:rPr>
          <w:rFonts w:ascii="Times New Roman" w:hAnsi="Times New Roman" w:cs="Times New Roman" w:eastAsia="Times New Roman" w:hint="default"/>
        </w:rPr>
        <w:t>5</w:t>
      </w:r>
      <w:r>
        <w:rPr/>
        <w:t>） 租赁资产性质特殊，如果不作较大改造，只有本公司才能使用。</w:t>
      </w:r>
    </w:p>
    <w:p>
      <w:pPr>
        <w:pStyle w:val="BodyText"/>
        <w:spacing w:line="316" w:lineRule="auto" w:before="70"/>
        <w:ind w:right="1131" w:firstLine="360"/>
        <w:jc w:val="both"/>
      </w:pPr>
      <w:r>
        <w:rPr>
          <w:spacing w:val="-2"/>
        </w:rPr>
        <w:t>融资租赁租入的固定资产，按租赁开始日租赁资产公允价值与最低租赁付款额的现值两者中较低者，作为入账价值。最</w:t>
      </w:r>
      <w:r>
        <w:rPr/>
        <w:t> </w:t>
      </w:r>
      <w:r>
        <w:rPr>
          <w:spacing w:val="-2"/>
        </w:rPr>
        <w:t>低租赁付款额作为长期应付款的入账价值，其差额作为未确认融资费用。在租赁谈判和签订租赁合同过程中发生的，可归属</w:t>
      </w:r>
      <w:r>
        <w:rPr>
          <w:spacing w:val="-66"/>
        </w:rPr>
        <w:t> </w:t>
      </w:r>
      <w:r>
        <w:rPr>
          <w:spacing w:val="-66"/>
        </w:rPr>
      </w:r>
      <w:r>
        <w:rPr>
          <w:spacing w:val="-2"/>
        </w:rPr>
        <w:t>于租赁项目的手续费、律师费、差旅费、印花税等初始直接费用，计入租入资产价值。未确认融资费用在租赁期内各个期间</w:t>
      </w:r>
    </w:p>
    <w:p>
      <w:pPr>
        <w:spacing w:after="0" w:line="316" w:lineRule="auto"/>
        <w:jc w:val="both"/>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357" w:lineRule="auto" w:before="44"/>
        <w:ind w:left="514" w:right="0" w:hanging="360"/>
        <w:jc w:val="left"/>
      </w:pPr>
      <w:r>
        <w:rPr/>
        <w:t>采用实际利率法进行分摊。 </w:t>
      </w:r>
      <w:r>
        <w:rPr>
          <w:spacing w:val="-2"/>
        </w:rPr>
        <w:t>本公司采用与自有固定资产相一致的折旧政策计提融资租入固定资产折旧。能够合理确定租赁期届满时取得租赁资产所</w:t>
      </w:r>
    </w:p>
    <w:p>
      <w:pPr>
        <w:pStyle w:val="BodyText"/>
        <w:spacing w:line="224" w:lineRule="exact"/>
        <w:ind w:right="0"/>
        <w:jc w:val="left"/>
      </w:pPr>
      <w:r>
        <w:rPr/>
        <w:t>有权的，在租赁资产使用寿命内计提折旧。无法合理确定租赁期届满时能够取得租赁资产所有权的，在租赁期与租赁资产使</w:t>
      </w:r>
    </w:p>
    <w:p>
      <w:pPr>
        <w:pStyle w:val="BodyText"/>
        <w:spacing w:line="240" w:lineRule="auto" w:before="77"/>
        <w:ind w:right="0"/>
        <w:jc w:val="left"/>
      </w:pPr>
      <w:r>
        <w:rPr/>
        <w:t>用寿命两者中较短的期间内计提折旧。</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7、在建工程" w:id="193"/>
      <w:bookmarkEnd w:id="19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38" w:lineRule="auto" w:before="26"/>
        <w:ind w:left="514" w:right="1032" w:hanging="17"/>
        <w:jc w:val="left"/>
      </w:pPr>
      <w:r>
        <w:rPr>
          <w:rFonts w:ascii="Times New Roman" w:hAnsi="Times New Roman" w:cs="Times New Roman" w:eastAsia="Times New Roman" w:hint="default"/>
        </w:rPr>
        <w:t>1. </w:t>
      </w:r>
      <w:r>
        <w:rPr/>
        <w:t>在建工程初始计量 本公司自行建造的在建工程按实际成本计价，实际成本由建造该项资产达到预定可使用状态前所发生的必要支出构成，</w:t>
      </w:r>
    </w:p>
    <w:p>
      <w:pPr>
        <w:pStyle w:val="BodyText"/>
        <w:spacing w:line="240" w:lineRule="auto" w:before="4"/>
        <w:ind w:right="0"/>
        <w:jc w:val="left"/>
      </w:pPr>
      <w:r>
        <w:rPr/>
        <w:t>包括工程用物资成本、人工成本、交纳的相关税费、应予资本化的借款费用以及应分摊的间接费用等。</w:t>
      </w:r>
    </w:p>
    <w:p>
      <w:pPr>
        <w:pStyle w:val="BodyText"/>
        <w:spacing w:line="338" w:lineRule="auto" w:before="117"/>
        <w:ind w:left="514" w:right="0"/>
        <w:jc w:val="left"/>
      </w:pPr>
      <w:r>
        <w:rPr>
          <w:rFonts w:ascii="Times New Roman" w:hAnsi="Times New Roman" w:cs="Times New Roman" w:eastAsia="Times New Roman" w:hint="default"/>
        </w:rPr>
        <w:t>2. </w:t>
      </w:r>
      <w:r>
        <w:rPr/>
        <w:t>在建工程结转为固定资产的标准和时点 </w:t>
      </w:r>
      <w:r>
        <w:rPr>
          <w:spacing w:val="-2"/>
        </w:rPr>
        <w:t>在建工程项目按建造该项资产达到预定可使用状态前所发生的全部支出，作为固定资产的入账价值。所建造的在建工程</w:t>
      </w:r>
    </w:p>
    <w:p>
      <w:pPr>
        <w:pStyle w:val="BodyText"/>
        <w:spacing w:line="319" w:lineRule="auto" w:before="2"/>
        <w:ind w:right="0"/>
        <w:jc w:val="left"/>
      </w:pPr>
      <w:r>
        <w:rPr>
          <w:spacing w:val="-4"/>
        </w:rPr>
        <w:t>已达到预定可使用状态，但尚未办理竣工决算的，自达到预定可使用状态之日起，根据工程预算、造价或者工程实际成本等，</w:t>
      </w:r>
      <w:r>
        <w:rPr>
          <w:spacing w:val="-46"/>
        </w:rPr>
        <w:t> </w:t>
      </w:r>
      <w:r>
        <w:rPr>
          <w:spacing w:val="-46"/>
        </w:rPr>
      </w:r>
      <w:r>
        <w:rPr>
          <w:spacing w:val="-2"/>
        </w:rPr>
        <w:t>按估计的价值转入固定资产，并按本公司固定资产折旧政策计提固定资产的折旧，待办理竣工决算后，再按实际成本调整原</w:t>
      </w:r>
      <w:r>
        <w:rPr>
          <w:spacing w:val="-66"/>
        </w:rPr>
        <w:t> </w:t>
      </w:r>
      <w:r>
        <w:rPr>
          <w:spacing w:val="-66"/>
        </w:rPr>
      </w:r>
      <w:r>
        <w:rPr/>
        <w:t>来的暂估价值，但不调整原已计提的折旧额。</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18、借款费用" w:id="194"/>
      <w:bookmarkEnd w:id="194"/>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0"/>
        <w:jc w:val="left"/>
      </w:pPr>
      <w:r>
        <w:rPr>
          <w:rFonts w:ascii="Times New Roman" w:hAnsi="Times New Roman" w:cs="Times New Roman" w:eastAsia="Times New Roman" w:hint="default"/>
        </w:rPr>
        <w:t>1. </w:t>
      </w:r>
      <w:r>
        <w:rPr/>
        <w:t>借款费用资本化的确认原则 </w:t>
      </w:r>
      <w:r>
        <w:rPr>
          <w:spacing w:val="-2"/>
        </w:rPr>
        <w:t>本公司发生的借款费用，可直接归属于符合资本化条件的资产的购建或者生产的，予以资本化，计入相关资产成本；其</w:t>
      </w:r>
    </w:p>
    <w:p>
      <w:pPr>
        <w:pStyle w:val="BodyText"/>
        <w:spacing w:line="357" w:lineRule="auto" w:before="4"/>
        <w:ind w:left="514" w:right="0" w:hanging="360"/>
        <w:jc w:val="left"/>
      </w:pPr>
      <w:r>
        <w:rPr/>
        <w:t>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57" w:lineRule="auto"/>
        <w:ind w:left="514" w:right="6972" w:hanging="360"/>
        <w:jc w:val="left"/>
      </w:pPr>
      <w:r>
        <w:rPr/>
        <w:t>产、投资性房地产和存货等资产。 借款费用同时满足下列条件时开始资本化：</w:t>
      </w:r>
    </w:p>
    <w:p>
      <w:pPr>
        <w:pStyle w:val="BodyText"/>
        <w:spacing w:line="302" w:lineRule="auto" w:before="26"/>
        <w:ind w:right="1122" w:firstLine="36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70"/>
        <w:ind w:left="514"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102"/>
        <w:ind w:left="51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52" w:lineRule="auto" w:before="102"/>
        <w:ind w:left="514" w:right="0"/>
        <w:jc w:val="left"/>
      </w:pPr>
      <w:r>
        <w:rPr>
          <w:rFonts w:ascii="Times New Roman" w:hAnsi="Times New Roman" w:cs="Times New Roman" w:eastAsia="Times New Roman" w:hint="default"/>
        </w:rPr>
        <w:t>2. </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29" w:lineRule="exact"/>
        <w:ind w:right="0"/>
        <w:jc w:val="left"/>
      </w:pPr>
      <w:r>
        <w:rPr/>
        <w:t>款费用资本化。</w:t>
      </w:r>
    </w:p>
    <w:p>
      <w:pPr>
        <w:pStyle w:val="BodyText"/>
        <w:spacing w:line="240" w:lineRule="auto" w:before="116"/>
        <w:ind w:left="51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暂停资本化期间</w:t>
      </w:r>
    </w:p>
    <w:p>
      <w:pPr>
        <w:pStyle w:val="BodyText"/>
        <w:spacing w:line="309" w:lineRule="auto" w:before="101"/>
        <w:ind w:right="1029" w:firstLine="360"/>
        <w:jc w:val="left"/>
      </w:pPr>
      <w:r>
        <w:rPr>
          <w:spacing w:val="-3"/>
        </w:rPr>
        <w:t>符合资本化条件的资产在购建或生产过程中发生的非正常中断、且中断时间连续超过</w:t>
      </w:r>
      <w:r>
        <w:rPr/>
        <w:t> </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spacing w:val="-6"/>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BodyText"/>
        <w:spacing w:line="338" w:lineRule="auto" w:before="65"/>
        <w:ind w:left="514" w:right="0"/>
        <w:jc w:val="left"/>
      </w:pPr>
      <w:r>
        <w:rPr>
          <w:rFonts w:ascii="Times New Roman" w:hAnsi="Times New Roman" w:cs="Times New Roman" w:eastAsia="Times New Roman" w:hint="default"/>
        </w:rPr>
        <w:t>4. </w:t>
      </w:r>
      <w:r>
        <w:rPr/>
        <w:t>借款费用资本化金额的计算方法 </w:t>
      </w:r>
      <w:r>
        <w:rPr>
          <w:spacing w:val="-2"/>
        </w:rPr>
        <w:t>专门借款的利息费用（扣除尚未动用的借款资金存入银行取得的利息收入或者进行暂时性投资取得的投资收益）及其辅</w:t>
      </w:r>
    </w:p>
    <w:p>
      <w:pPr>
        <w:spacing w:after="0" w:line="338"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357" w:lineRule="auto" w:before="44"/>
        <w:ind w:left="514" w:right="0" w:hanging="360"/>
        <w:jc w:val="left"/>
      </w:pPr>
      <w:r>
        <w:rPr/>
        <w:t>助费用在所购建或者生产的符合资本化条件的资产达到预定可使用或者可销售状态前，予以资本化。 </w:t>
      </w:r>
      <w:r>
        <w:rPr>
          <w:spacing w:val="-2"/>
        </w:rPr>
        <w:t>根据累计资产支出超过专门借款部分的资产支出加权平均数乘以所占用一般借款的资本化率，计算确定一般借款应予资</w:t>
      </w:r>
    </w:p>
    <w:p>
      <w:pPr>
        <w:pStyle w:val="BodyText"/>
        <w:spacing w:line="360" w:lineRule="auto"/>
        <w:ind w:left="514" w:right="1572" w:hanging="360"/>
        <w:jc w:val="left"/>
      </w:pPr>
      <w:r>
        <w:rPr/>
        <w:t>本化的利息金额。资本化率根据一般借款加权平均利率计算确定。 借款存在折价或者溢价的，按照实际利率法确定每一会计期间应摊销的折价或者溢价金额，调整每期利息金额。</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19、生物资产" w:id="195"/>
      <w:bookmarkEnd w:id="195"/>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0、油气资产" w:id="196"/>
      <w:bookmarkEnd w:id="196"/>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1、无形资产" w:id="197"/>
      <w:bookmarkEnd w:id="197"/>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计价方法、使用寿命、减值测试" w:id="198"/>
      <w:bookmarkEnd w:id="19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9" w:lineRule="auto" w:before="28"/>
        <w:ind w:right="1032" w:firstLine="360"/>
        <w:jc w:val="left"/>
      </w:pPr>
      <w:r>
        <w:rPr/>
        <w:t>无形资产是指本公司拥有或者控制的没有实物形态的可辨认非货币性资产，包括专利权、软件著作权、商标权、软件、 非专利技术。</w:t>
      </w:r>
    </w:p>
    <w:p>
      <w:pPr>
        <w:pStyle w:val="BodyText"/>
        <w:spacing w:line="338" w:lineRule="auto" w:before="56"/>
        <w:ind w:left="514" w:right="0"/>
        <w:jc w:val="left"/>
      </w:pPr>
      <w:r>
        <w:rPr>
          <w:rFonts w:ascii="Times New Roman" w:hAnsi="Times New Roman" w:cs="Times New Roman" w:eastAsia="Times New Roman" w:hint="default"/>
        </w:rPr>
        <w:t>1. </w:t>
      </w:r>
      <w:r>
        <w:rPr/>
        <w:t>无形资产的初始计量 </w:t>
      </w:r>
      <w:r>
        <w:rPr>
          <w:spacing w:val="-2"/>
        </w:rPr>
        <w:t>外购无形资产的成本，包括购买价款、相关税费以及直接归属于使该项资产达到预定用途所发生的其他支出。购买无形</w:t>
      </w:r>
    </w:p>
    <w:p>
      <w:pPr>
        <w:pStyle w:val="BodyText"/>
        <w:spacing w:line="357" w:lineRule="auto" w:before="4"/>
        <w:ind w:left="514" w:right="0"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57" w:lineRule="auto"/>
        <w:ind w:left="514" w:right="0"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224" w:lineRule="exact"/>
        <w:ind w:right="0"/>
        <w:jc w:val="left"/>
      </w:pPr>
      <w:r>
        <w:rPr/>
        <w:t>无形资产以换出资产的公允价值为基础确定其入账价值，除非有确凿证据表明换入资产的公允价值更加可靠；不满足上述前</w:t>
      </w:r>
    </w:p>
    <w:p>
      <w:pPr>
        <w:pStyle w:val="BodyText"/>
        <w:spacing w:line="357" w:lineRule="auto" w:before="77"/>
        <w:ind w:left="514" w:right="0" w:hanging="360"/>
        <w:jc w:val="left"/>
      </w:pPr>
      <w:r>
        <w:rPr/>
        <w:t>提的非货币性资产交换，以换出资产的账面价值和应支付的相关税费作为换入无形资产的成本，不确认损益。 </w:t>
      </w:r>
      <w:r>
        <w:rPr>
          <w:spacing w:val="-2"/>
        </w:rPr>
        <w:t>以同一控制下的企业吸收合并方式取得的无形资产按被合并方的账面价值确定其入账价值；以非同一控制下的企业吸收</w:t>
      </w:r>
    </w:p>
    <w:p>
      <w:pPr>
        <w:pStyle w:val="BodyText"/>
        <w:spacing w:line="357" w:lineRule="auto"/>
        <w:ind w:left="514" w:right="0" w:hanging="360"/>
        <w:jc w:val="left"/>
      </w:pPr>
      <w:r>
        <w:rPr/>
        <w:t>合并方式取得的无形资产按公允价值确定其入账价值。 </w:t>
      </w:r>
      <w:r>
        <w:rPr>
          <w:spacing w:val="-2"/>
        </w:rPr>
        <w:t>内部自行开发的无形资产，其成本包括：开发该无形资产时耗用的材料、劳务成本、注册费、在开发过程中使用的其他</w:t>
      </w:r>
    </w:p>
    <w:p>
      <w:pPr>
        <w:pStyle w:val="BodyText"/>
        <w:spacing w:line="348" w:lineRule="auto"/>
        <w:ind w:left="514" w:right="1392" w:hanging="360"/>
        <w:jc w:val="left"/>
      </w:pPr>
      <w:r>
        <w:rPr/>
        <w:t>专利权和特许权的摊销以及满足资本化条件的利息费用，以及为使该无形资产达到预定用途前所发生的其他直接费用。 </w:t>
      </w:r>
      <w:r>
        <w:rPr>
          <w:rFonts w:ascii="Times New Roman" w:hAnsi="Times New Roman" w:cs="Times New Roman" w:eastAsia="Times New Roman" w:hint="default"/>
        </w:rPr>
        <w:t>2. </w:t>
      </w:r>
      <w:r>
        <w:rPr/>
        <w:t>无形资产的后续计量 本公司在取得无形资产时分析判断其使用寿命，划分为使用寿命有限和使用寿命不确定的无形资产。</w:t>
      </w:r>
    </w:p>
    <w:p>
      <w:pPr>
        <w:pStyle w:val="BodyText"/>
        <w:spacing w:line="338" w:lineRule="auto" w:before="36"/>
        <w:ind w:left="514" w:right="0" w:hanging="270"/>
        <w:jc w:val="left"/>
      </w:pPr>
      <w:r>
        <w:rPr/>
        <w:t>（</w:t>
      </w:r>
      <w:r>
        <w:rPr>
          <w:rFonts w:ascii="Times New Roman" w:hAnsi="Times New Roman" w:cs="Times New Roman" w:eastAsia="Times New Roman" w:hint="default"/>
        </w:rPr>
        <w:t>1</w:t>
      </w:r>
      <w:r>
        <w:rPr/>
        <w:t>）使用寿命有限的无形资产 </w:t>
      </w:r>
      <w:r>
        <w:rPr>
          <w:spacing w:val="-2"/>
        </w:rPr>
        <w:t>对于使用寿命有限的无形资产，在为企业带来经济利益的期限内按直线法摊销。使用寿命有限的无形资产预计寿命及依</w:t>
      </w:r>
    </w:p>
    <w:p>
      <w:pPr>
        <w:pStyle w:val="BodyText"/>
        <w:spacing w:line="240" w:lineRule="auto" w:before="4"/>
        <w:ind w:right="0"/>
        <w:jc w:val="left"/>
      </w:pPr>
      <w:r>
        <w:rPr/>
        <w:t>据如下：</w:t>
      </w:r>
    </w:p>
    <w:p>
      <w:pPr>
        <w:pStyle w:val="BodyText"/>
        <w:spacing w:line="240" w:lineRule="auto" w:before="116"/>
        <w:ind w:left="514" w:right="0"/>
        <w:jc w:val="left"/>
      </w:pPr>
      <w:r>
        <w:rPr>
          <w:rFonts w:ascii="Times New Roman" w:hAnsi="Times New Roman" w:cs="Times New Roman" w:eastAsia="Times New Roman" w:hint="default"/>
        </w:rPr>
        <w:t>1</w:t>
      </w:r>
      <w:r>
        <w:rPr/>
        <w:t>）软件、专利权法律有规定的从法律，合同有规定的从合同，两者都没有规定的按</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年摊销；</w:t>
      </w:r>
    </w:p>
    <w:p>
      <w:pPr>
        <w:pStyle w:val="BodyText"/>
        <w:spacing w:line="240" w:lineRule="auto" w:before="103"/>
        <w:ind w:left="514" w:right="0"/>
        <w:jc w:val="left"/>
      </w:pPr>
      <w:r>
        <w:rPr>
          <w:rFonts w:ascii="Times New Roman" w:hAnsi="Times New Roman" w:cs="Times New Roman" w:eastAsia="Times New Roman" w:hint="default"/>
        </w:rPr>
        <w:t>2</w:t>
      </w:r>
      <w:r>
        <w:rPr/>
        <w:t>）商标权法律有规定的从法律，合同有规定的从合同，两者都没有规定的按</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年摊销；</w:t>
      </w:r>
    </w:p>
    <w:p>
      <w:pPr>
        <w:pStyle w:val="BodyText"/>
        <w:spacing w:line="240" w:lineRule="auto" w:before="102"/>
        <w:ind w:left="514" w:right="0"/>
        <w:jc w:val="left"/>
      </w:pPr>
      <w:r>
        <w:rPr>
          <w:rFonts w:ascii="Times New Roman" w:hAnsi="Times New Roman" w:cs="Times New Roman" w:eastAsia="Times New Roman" w:hint="default"/>
        </w:rPr>
        <w:t>3</w:t>
      </w:r>
      <w:r>
        <w:rPr/>
        <w:t>）非专利技术法律有规定的从法律，合同有规定的从合同，两者都没有规定的按</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年摊销；</w:t>
      </w:r>
    </w:p>
    <w:p>
      <w:pPr>
        <w:pStyle w:val="BodyText"/>
        <w:spacing w:line="352" w:lineRule="auto" w:before="102"/>
        <w:ind w:left="514" w:right="1032"/>
        <w:jc w:val="left"/>
      </w:pPr>
      <w:r>
        <w:rPr>
          <w:rFonts w:ascii="Times New Roman" w:hAnsi="Times New Roman" w:cs="Times New Roman" w:eastAsia="Times New Roman" w:hint="default"/>
        </w:rPr>
        <w:t>4</w:t>
      </w:r>
      <w:r>
        <w:rPr/>
        <w:t>）土地使用权按购置使用年限的规定摊销。 每期末，对使用寿命有限的无形资产的使用寿命及摊销方法进行复核，如与原先估计数存在差异的，进行相应的调整。 经复核，本期期末无形资产的使用寿命及摊销方法与以前估计未有不同。使用寿命不确定的无形资产 </w:t>
      </w:r>
      <w:r>
        <w:rPr>
          <w:spacing w:val="-2"/>
        </w:rPr>
        <w:t>无法预见无形资产为企业带来经济利益期限的，视为使用寿命不确定的无形资产。对于使用寿命不确定的无形资产，在</w:t>
      </w:r>
    </w:p>
    <w:p>
      <w:pPr>
        <w:pStyle w:val="BodyText"/>
        <w:spacing w:line="227" w:lineRule="exact"/>
        <w:ind w:right="0"/>
        <w:jc w:val="left"/>
      </w:pPr>
      <w:r>
        <w:rPr/>
        <w:t>持有期间内不摊销，每期末对无形资产的寿命进行复核。如果期末重新复核后仍为不确定的，在每个会计期间继续进行减值</w:t>
      </w:r>
    </w:p>
    <w:p>
      <w:pPr>
        <w:spacing w:after="0" w:line="227" w:lineRule="exact"/>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测试。</w:t>
      </w:r>
    </w:p>
    <w:p>
      <w:pPr>
        <w:pStyle w:val="BodyText"/>
        <w:spacing w:line="240" w:lineRule="auto" w:before="116"/>
        <w:ind w:left="514" w:right="0"/>
        <w:jc w:val="left"/>
      </w:pPr>
      <w:r>
        <w:rPr/>
        <w:t>经复核，该类无形资产的使用寿命仍为不确定。</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内部研究开发支出会计政策" w:id="199"/>
      <w:bookmarkEnd w:id="19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348" w:lineRule="auto"/>
        <w:ind w:left="514" w:right="0"/>
        <w:jc w:val="left"/>
      </w:pPr>
      <w:r>
        <w:rPr>
          <w:rFonts w:ascii="Times New Roman" w:hAnsi="Times New Roman" w:cs="Times New Roman" w:eastAsia="Times New Roman" w:hint="default"/>
        </w:rPr>
        <w:t>1</w:t>
      </w:r>
      <w:r>
        <w:rPr/>
        <w:t>、划分公司内部研究开发项目的研究阶段和开发阶段具体标准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352" w:lineRule="auto"/>
        <w:ind w:left="514" w:right="4452" w:hanging="360"/>
        <w:jc w:val="left"/>
      </w:pPr>
      <w:r>
        <w:rPr/>
        <w:t>进的材料、装置、产品等活动的阶段。 内部研究开发项目研究阶段的支出，在发生时计入当期损益。 </w:t>
      </w:r>
      <w:r>
        <w:rPr>
          <w:rFonts w:ascii="Times New Roman" w:hAnsi="Times New Roman" w:cs="Times New Roman" w:eastAsia="Times New Roman" w:hint="default"/>
        </w:rPr>
        <w:t>2</w:t>
      </w:r>
      <w:r>
        <w:rPr/>
        <w:t>、开发阶段支出符合资本化的具体标准 内部研究开发项目开发阶段的支出，同时满足下列条件时确认为无形资产：</w:t>
      </w:r>
    </w:p>
    <w:p>
      <w:pPr>
        <w:pStyle w:val="BodyText"/>
        <w:spacing w:line="240" w:lineRule="auto" w:before="31"/>
        <w:ind w:left="514"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3"/>
        <w:ind w:left="514"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2" w:lineRule="auto" w:before="101"/>
        <w:ind w:right="1122"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69"/>
        <w:ind w:left="514"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38" w:lineRule="auto" w:before="103"/>
        <w:ind w:left="514" w:right="5802"/>
        <w:jc w:val="left"/>
      </w:pPr>
      <w:r>
        <w:rPr/>
        <w:t>（</w:t>
      </w:r>
      <w:r>
        <w:rPr>
          <w:rFonts w:ascii="Times New Roman" w:hAnsi="Times New Roman" w:cs="Times New Roman" w:eastAsia="Times New Roman" w:hint="default"/>
        </w:rPr>
        <w:t>5</w:t>
      </w:r>
      <w:r>
        <w:rPr/>
        <w:t>）归属于该无形资产开发阶段的支出能够可靠地计量。 内部研究开发支出的资本化时点：研发产品小批量试制。</w:t>
      </w:r>
    </w:p>
    <w:p>
      <w:pPr>
        <w:pStyle w:val="BodyText"/>
        <w:spacing w:line="319" w:lineRule="auto" w:before="41"/>
        <w:ind w:right="0" w:firstLine="360"/>
        <w:jc w:val="left"/>
      </w:pPr>
      <w:r>
        <w:rPr>
          <w:spacing w:val="-2"/>
        </w:rPr>
        <w:t>不满足上述条件的开发阶段的支出，于发生时计入当期损益。以前期间已计入损益的开发支出不在以后期间重新确认为</w:t>
      </w:r>
      <w:r>
        <w:rPr/>
        <w:t> 资产。已资本化的开发阶段的支出在资产负债表上列示为开发支出，自该项目达到预定用途之日起转为无形资产。</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22、长期资产减值" w:id="200"/>
      <w:bookmarkEnd w:id="200"/>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本公司在资产负债表日判断长期资产是否存在可能发生减值的迹象。如果长期资产存在减值迹象的，以单项资产为基础</w:t>
      </w:r>
      <w:r>
        <w:rPr/>
        <w:t> 估计其可收回金额；难以对单项资产的可收回金额进行估计的，以该资产所属的资产组为基础确定资产组的可收回金额。</w:t>
      </w:r>
    </w:p>
    <w:p>
      <w:pPr>
        <w:pStyle w:val="BodyText"/>
        <w:spacing w:line="357" w:lineRule="auto" w:before="58"/>
        <w:ind w:left="514" w:right="1032"/>
        <w:jc w:val="left"/>
      </w:pPr>
      <w:r>
        <w:rPr/>
        <w:t>资产可收回金额的估计，根据其公允价值减去处置费用后的净额与资产预计未来现金流量的现值两者之间较高者确定。 </w:t>
      </w:r>
      <w:r>
        <w:rPr>
          <w:spacing w:val="-2"/>
        </w:rPr>
        <w:t>可收回金额的计量结果表明，长期资产的可收回金额低于其账面价值的，将长期资产的账面价值减记至可收回金额，减</w:t>
      </w:r>
    </w:p>
    <w:p>
      <w:pPr>
        <w:pStyle w:val="BodyText"/>
        <w:spacing w:line="224" w:lineRule="exact"/>
        <w:ind w:right="0"/>
        <w:jc w:val="left"/>
      </w:pPr>
      <w:r>
        <w:rPr/>
        <w:t>记的金额确认为资产减值损失，计入当期损益，同时计提相应的资产减值准备。资产减值损失一经确认，在以后会计期间不</w:t>
      </w:r>
    </w:p>
    <w:p>
      <w:pPr>
        <w:pStyle w:val="BodyText"/>
        <w:spacing w:line="240" w:lineRule="auto" w:before="77"/>
        <w:ind w:right="0"/>
        <w:jc w:val="left"/>
      </w:pPr>
      <w:r>
        <w:rPr/>
        <w:t>得转回。</w:t>
      </w:r>
    </w:p>
    <w:p>
      <w:pPr>
        <w:pStyle w:val="BodyText"/>
        <w:spacing w:line="319" w:lineRule="auto" w:before="115"/>
        <w:ind w:right="0" w:firstLine="360"/>
        <w:jc w:val="left"/>
      </w:pPr>
      <w:r>
        <w:rPr>
          <w:spacing w:val="-2"/>
        </w:rPr>
        <w:t>资产减值损失确认后，减值资产的折旧或者摊销费用在未来期间作相应调整，以使该资产在剩余使用寿命内，系统地分</w:t>
      </w:r>
      <w:r>
        <w:rPr/>
        <w:t> </w:t>
      </w:r>
      <w:r>
        <w:rPr>
          <w:spacing w:val="-5"/>
        </w:rPr>
        <w:t>摊调整后的资产账面价值（扣除预计净残值）。</w:t>
      </w:r>
    </w:p>
    <w:p>
      <w:pPr>
        <w:pStyle w:val="BodyText"/>
        <w:spacing w:line="240" w:lineRule="auto" w:before="58"/>
        <w:ind w:left="514" w:right="0"/>
        <w:jc w:val="left"/>
      </w:pPr>
      <w:r>
        <w:rPr/>
        <w:t>因企业合并所形成的商誉和使用寿命不确定的无形资产，无论是否存在减值迹象，每年都进行减值测试。</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3、长期待摊费用" w:id="201"/>
      <w:bookmarkEnd w:id="201"/>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摊销方法</w:t>
      </w:r>
    </w:p>
    <w:p>
      <w:pPr>
        <w:pStyle w:val="BodyText"/>
        <w:spacing w:line="302" w:lineRule="auto" w:before="101"/>
        <w:ind w:right="1113" w:firstLine="360"/>
        <w:jc w:val="left"/>
      </w:pPr>
      <w:r>
        <w:rPr/>
        <w:t>长期待摊费用，是指本公司已经发生但应由本期和以后各期负担的分摊期限在</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spacing w:val="-3"/>
        </w:rPr>
        <w:t>年以上的各项费用。长期待摊费用在受</w:t>
      </w:r>
      <w:r>
        <w:rPr/>
        <w:t> 益期内按直线法分期摊销。</w:t>
      </w:r>
    </w:p>
    <w:p>
      <w:pPr>
        <w:pStyle w:val="BodyText"/>
        <w:spacing w:line="240" w:lineRule="auto" w:before="69"/>
        <w:ind w:left="514"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摊销年限</w:t>
      </w:r>
    </w:p>
    <w:p>
      <w:pPr>
        <w:spacing w:line="240" w:lineRule="auto" w:before="0"/>
        <w:rPr>
          <w:rFonts w:ascii="宋体" w:hAnsi="宋体" w:cs="宋体" w:eastAsia="宋体" w:hint="default"/>
          <w:sz w:val="7"/>
          <w:szCs w:val="7"/>
        </w:rPr>
      </w:pPr>
    </w:p>
    <w:tbl>
      <w:tblPr>
        <w:tblW w:w="0" w:type="auto"/>
        <w:jc w:val="left"/>
        <w:tblInd w:w="125" w:type="dxa"/>
        <w:tblLayout w:type="fixed"/>
        <w:tblCellMar>
          <w:top w:w="0" w:type="dxa"/>
          <w:left w:w="0" w:type="dxa"/>
          <w:bottom w:w="0" w:type="dxa"/>
          <w:right w:w="0" w:type="dxa"/>
        </w:tblCellMar>
        <w:tblLook w:val="01E0"/>
      </w:tblPr>
      <w:tblGrid>
        <w:gridCol w:w="3232"/>
        <w:gridCol w:w="3221"/>
        <w:gridCol w:w="3220"/>
      </w:tblGrid>
      <w:tr>
        <w:trPr>
          <w:trHeight w:val="342"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3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2"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both"/>
        <w:rPr>
          <w:b w:val="0"/>
          <w:bCs w:val="0"/>
        </w:rPr>
      </w:pPr>
      <w:bookmarkStart w:name="24、职工薪酬" w:id="202"/>
      <w:bookmarkEnd w:id="202"/>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短期薪酬的会计处理方法" w:id="203"/>
      <w:bookmarkEnd w:id="20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43" w:firstLine="360"/>
        <w:jc w:val="both"/>
      </w:pPr>
      <w:r>
        <w:rPr>
          <w:spacing w:val="-4"/>
        </w:rPr>
        <w:t>职工薪酬，是指本公司为获得职工提供的服务或解除劳动关系而给予的各种形式的报酬或补偿。职工薪酬包括短期薪酬、</w:t>
      </w:r>
      <w:r>
        <w:rPr/>
        <w:t> 离职后福利、辞退福利和其他长期职工福利。</w:t>
      </w:r>
    </w:p>
    <w:p>
      <w:pPr>
        <w:pStyle w:val="BodyText"/>
        <w:spacing w:line="338" w:lineRule="auto" w:before="56"/>
        <w:ind w:left="51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短期薪酬 </w:t>
      </w:r>
      <w:r>
        <w:rPr>
          <w:spacing w:val="-2"/>
        </w:rPr>
        <w:t>短期薪酬是指本公司在职工提供相关服务的年度报告期间结束后十二个月内需要全部予以支付的职工薪酬，离职后福利</w:t>
      </w:r>
    </w:p>
    <w:p>
      <w:pPr>
        <w:pStyle w:val="BodyText"/>
        <w:spacing w:line="319" w:lineRule="auto" w:before="2"/>
        <w:ind w:right="0"/>
        <w:jc w:val="left"/>
      </w:pPr>
      <w:r>
        <w:rPr>
          <w:spacing w:val="-2"/>
        </w:rPr>
        <w:t>和辞退福利除外。本公司在职工提供服务的会计期间，将应付的短期薪酬确认为负债，并根据职工提供服务的受益对象计入</w:t>
      </w:r>
      <w:r>
        <w:rPr>
          <w:spacing w:val="-66"/>
        </w:rPr>
        <w:t> </w:t>
      </w:r>
      <w:r>
        <w:rPr>
          <w:spacing w:val="-66"/>
        </w:rPr>
      </w:r>
      <w:r>
        <w:rPr/>
        <w:t>相关资产成本和费用。</w:t>
      </w:r>
    </w:p>
    <w:p>
      <w:pPr>
        <w:spacing w:line="240" w:lineRule="auto" w:before="3"/>
        <w:rPr>
          <w:rFonts w:ascii="宋体" w:hAnsi="宋体" w:cs="宋体" w:eastAsia="宋体" w:hint="default"/>
          <w:sz w:val="22"/>
          <w:szCs w:val="22"/>
        </w:rPr>
      </w:pPr>
    </w:p>
    <w:p>
      <w:pPr>
        <w:pStyle w:val="Heading4"/>
        <w:spacing w:line="240" w:lineRule="auto"/>
        <w:ind w:right="0"/>
        <w:jc w:val="both"/>
        <w:rPr>
          <w:b w:val="0"/>
          <w:bCs w:val="0"/>
        </w:rPr>
      </w:pPr>
      <w:bookmarkStart w:name="（2）离职后福利的会计处理方法" w:id="204"/>
      <w:bookmarkEnd w:id="20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50" w:firstLine="360"/>
        <w:jc w:val="both"/>
      </w:pPr>
      <w:r>
        <w:rPr/>
        <w:t>离职后福利是指本公司为获得职工提供的服务而在职工退休或与企业解除劳动关系后，提供的各种形式的报酬和福利， 短期薪酬和辞退福利除外。</w:t>
      </w:r>
    </w:p>
    <w:p>
      <w:pPr>
        <w:pStyle w:val="BodyText"/>
        <w:spacing w:line="319" w:lineRule="auto" w:before="55"/>
        <w:ind w:right="1131" w:firstLine="360"/>
        <w:jc w:val="both"/>
      </w:pPr>
      <w:r>
        <w:rPr>
          <w:spacing w:val="-2"/>
        </w:rPr>
        <w:t>本公司的离职后福利计划分类为设定提存计划和设定受益计划。离职后福利设定提存计划主要为参加由各地劳动及社会</w:t>
      </w:r>
      <w:r>
        <w:rPr/>
        <w:t> </w:t>
      </w:r>
      <w:r>
        <w:rPr>
          <w:spacing w:val="-2"/>
        </w:rPr>
        <w:t>保障机构组织实施的社会基本养老保险、失业保险等；。在职工为本公司提供服务的会计期间，将根据设定提存计划计算的</w:t>
      </w:r>
      <w:r>
        <w:rPr>
          <w:spacing w:val="-65"/>
        </w:rPr>
        <w:t> </w:t>
      </w:r>
      <w:r>
        <w:rPr>
          <w:spacing w:val="-65"/>
        </w:rPr>
      </w:r>
      <w:r>
        <w:rPr/>
        <w:t>应缴存金额确认为负债，并计入当期损益或相关资产成本。</w:t>
      </w:r>
    </w:p>
    <w:p>
      <w:pPr>
        <w:pStyle w:val="BodyText"/>
        <w:spacing w:line="240" w:lineRule="auto" w:before="58"/>
        <w:ind w:left="514" w:right="0"/>
        <w:jc w:val="left"/>
      </w:pPr>
      <w:r>
        <w:rPr/>
        <w:t>本公司按照国家规定的标准和年金计划定期缴付上述款项后，不再有其他的支付义务。</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3）辞退福利的会计处理方法" w:id="205"/>
      <w:bookmarkEnd w:id="20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1" w:firstLine="360"/>
        <w:jc w:val="both"/>
      </w:pPr>
      <w:r>
        <w:rPr/>
        <w:t>辞退福利是指本公司在职工劳动合同到期之前解除与职工的劳动关系，或者为鼓励职工自愿接受裁减而给予职工的补 </w:t>
      </w:r>
      <w:r>
        <w:rPr>
          <w:spacing w:val="-2"/>
        </w:rPr>
        <w:t>偿，在本公司不能单方面撤回解除劳动关系计划或裁减建议时和确认与涉及支付辞退福利的重组相关的成本费用时两者孰早</w:t>
      </w:r>
      <w:r>
        <w:rPr>
          <w:spacing w:val="-64"/>
        </w:rPr>
        <w:t> </w:t>
      </w:r>
      <w:r>
        <w:rPr>
          <w:spacing w:val="-64"/>
        </w:rPr>
      </w:r>
      <w:r>
        <w:rPr/>
        <w:t>日，确认因解除与职工的劳动关系给予补偿而产生的负债，同时计入当期损益。</w:t>
      </w:r>
    </w:p>
    <w:p>
      <w:pPr>
        <w:pStyle w:val="BodyText"/>
        <w:spacing w:line="319" w:lineRule="auto" w:before="55"/>
        <w:ind w:right="0" w:firstLine="360"/>
        <w:jc w:val="left"/>
      </w:pPr>
      <w:r>
        <w:rPr>
          <w:spacing w:val="-2"/>
        </w:rPr>
        <w:t>本公司向接受内部退休安排的职工提供内退福利。内退福利是指，向未达到国家规定的退休年龄、经本公司管理层批准</w:t>
      </w:r>
      <w:r>
        <w:rPr/>
        <w:t> </w:t>
      </w:r>
      <w:r>
        <w:rPr>
          <w:spacing w:val="-2"/>
        </w:rPr>
        <w:t>自愿退出工作岗位的职工支付的工资及为其缴纳的社会保险费等。本公司自内部退休安排开始之日起至职工达到正常退休年</w:t>
      </w:r>
      <w:r>
        <w:rPr>
          <w:spacing w:val="-64"/>
        </w:rPr>
        <w:t> </w:t>
      </w:r>
      <w:r>
        <w:rPr>
          <w:spacing w:val="-64"/>
        </w:rPr>
      </w:r>
      <w:r>
        <w:rPr>
          <w:spacing w:val="-4"/>
        </w:rPr>
        <w:t>龄止，向内退职工支付内部退养福利。对于内退福利，本公司比照辞退福利进行会计处理，在符合辞退福利相关确认条件时，</w:t>
      </w:r>
      <w:r>
        <w:rPr>
          <w:spacing w:val="-46"/>
        </w:rPr>
        <w:t> </w:t>
      </w:r>
      <w:r>
        <w:rPr>
          <w:spacing w:val="-46"/>
        </w:rPr>
      </w:r>
      <w:r>
        <w:rPr>
          <w:spacing w:val="-2"/>
        </w:rPr>
        <w:t>将自职工停止提供服务日至正常退休日期间拟支付的内退职工工资和缴纳的社会保险费等，确认为负债，一次性计入当期损</w:t>
      </w:r>
      <w:r>
        <w:rPr>
          <w:spacing w:val="-64"/>
        </w:rPr>
        <w:t> </w:t>
      </w:r>
      <w:r>
        <w:rPr>
          <w:spacing w:val="-64"/>
        </w:rPr>
      </w:r>
      <w:r>
        <w:rPr/>
        <w:t>益。内退福利的精算假设变化及福利标准调整引起的差异于发生时计入当期损益。</w:t>
      </w:r>
    </w:p>
    <w:p>
      <w:pPr>
        <w:spacing w:line="240" w:lineRule="auto" w:before="3"/>
        <w:rPr>
          <w:rFonts w:ascii="宋体" w:hAnsi="宋体" w:cs="宋体" w:eastAsia="宋体" w:hint="default"/>
          <w:sz w:val="22"/>
          <w:szCs w:val="22"/>
        </w:rPr>
      </w:pPr>
    </w:p>
    <w:p>
      <w:pPr>
        <w:pStyle w:val="Heading4"/>
        <w:spacing w:line="240" w:lineRule="auto"/>
        <w:ind w:right="0"/>
        <w:jc w:val="both"/>
        <w:rPr>
          <w:b w:val="0"/>
          <w:bCs w:val="0"/>
        </w:rPr>
      </w:pPr>
      <w:bookmarkStart w:name="（4）其他长期职工福利的会计处理方法" w:id="206"/>
      <w:bookmarkEnd w:id="20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5"/>
        <w:spacing w:line="264" w:lineRule="auto"/>
        <w:ind w:left="574" w:right="1118" w:hanging="62"/>
        <w:jc w:val="left"/>
      </w:pPr>
      <w:r>
        <w:rPr>
          <w:rFonts w:ascii="Times New Roman" w:hAnsi="Times New Roman" w:cs="Times New Roman" w:eastAsia="Times New Roman" w:hint="default"/>
          <w:b/>
          <w:bCs/>
        </w:rPr>
        <w:t>4.</w:t>
      </w:r>
      <w:r>
        <w:rPr>
          <w:rFonts w:ascii="Times New Roman" w:hAnsi="Times New Roman" w:cs="Times New Roman" w:eastAsia="Times New Roman" w:hint="default"/>
          <w:b/>
          <w:bCs/>
          <w:spacing w:val="37"/>
        </w:rPr>
        <w:t> </w:t>
      </w:r>
      <w:r>
        <w:rPr>
          <w:rFonts w:ascii="宋体" w:hAnsi="宋体" w:cs="宋体" w:eastAsia="宋体" w:hint="default"/>
          <w:b/>
          <w:bCs/>
        </w:rPr>
        <w:t>其他长期职工福利</w:t>
      </w:r>
      <w:r>
        <w:rPr>
          <w:rFonts w:ascii="宋体" w:hAnsi="宋体" w:cs="宋体" w:eastAsia="宋体" w:hint="default"/>
          <w:b/>
          <w:bCs/>
          <w:w w:val="99"/>
        </w:rPr>
        <w:t> </w:t>
      </w:r>
      <w:r>
        <w:rPr/>
        <w:t>其他长期职工福利是指除短期薪酬、离职后福利、辞退福利之外的其他所有职工福利。 </w:t>
      </w:r>
      <w:r>
        <w:rPr>
          <w:spacing w:val="-1"/>
        </w:rPr>
        <w:t>对符合设定提存计划条件的其他长期职工福利，在职工为本公司提供服务的会计期间，将应缴存金额</w:t>
      </w:r>
    </w:p>
    <w:p>
      <w:pPr>
        <w:pStyle w:val="Heading5"/>
        <w:spacing w:line="273" w:lineRule="auto" w:before="16"/>
        <w:ind w:right="1131"/>
        <w:jc w:val="both"/>
      </w:pPr>
      <w:r>
        <w:rPr>
          <w:spacing w:val="-1"/>
        </w:rPr>
        <w:t>确认为负债，并计入当期损益或相关资产成本；除上述情形外的其他长期职工福利，在资产负债表日使用</w:t>
      </w:r>
      <w:r>
        <w:rPr>
          <w:spacing w:val="-83"/>
        </w:rPr>
        <w:t> </w:t>
      </w:r>
      <w:r>
        <w:rPr>
          <w:spacing w:val="-83"/>
        </w:rPr>
      </w:r>
      <w:r>
        <w:rPr>
          <w:spacing w:val="-1"/>
        </w:rPr>
        <w:t>预期累计福利单位法进行精算，将设定受益计划产生的福利义务归属于职工提供服务的期间，并计入当期</w:t>
      </w:r>
      <w:r>
        <w:rPr>
          <w:spacing w:val="-81"/>
        </w:rPr>
        <w:t> </w:t>
      </w:r>
      <w:r>
        <w:rPr>
          <w:spacing w:val="-81"/>
        </w:rPr>
      </w:r>
      <w:r>
        <w:rPr/>
        <w:t>损益或相关资产成本。</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25、预计负债" w:id="207"/>
      <w:bookmarkEnd w:id="207"/>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4812" w:firstLine="73"/>
        <w:jc w:val="left"/>
      </w:pPr>
      <w:r>
        <w:rPr>
          <w:rFonts w:ascii="Times New Roman" w:hAnsi="Times New Roman" w:cs="Times New Roman" w:eastAsia="Times New Roman" w:hint="default"/>
        </w:rPr>
        <w:t>1. </w:t>
      </w:r>
      <w:r>
        <w:rPr/>
        <w:t>预计负债的确认标准 与或有事项相关的义务同时满足下列条件时，本公司确认为预计负债：</w:t>
      </w:r>
    </w:p>
    <w:p>
      <w:pPr>
        <w:spacing w:after="0" w:line="338"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360" w:lineRule="auto" w:before="44"/>
        <w:ind w:left="514" w:right="6792"/>
        <w:jc w:val="left"/>
      </w:pPr>
      <w:r>
        <w:rPr/>
        <w:t>该义务是本公司承担的现时义务； 履行该义务很可能导致经济利益流出本公司； 该义务的金额能够可靠地计量。</w:t>
      </w:r>
    </w:p>
    <w:p>
      <w:pPr>
        <w:pStyle w:val="BodyText"/>
        <w:spacing w:line="338" w:lineRule="auto" w:before="26"/>
        <w:ind w:left="514" w:right="4272"/>
        <w:jc w:val="left"/>
      </w:pPr>
      <w:r>
        <w:rPr>
          <w:rFonts w:ascii="Times New Roman" w:hAnsi="Times New Roman" w:cs="Times New Roman" w:eastAsia="Times New Roman" w:hint="default"/>
        </w:rPr>
        <w:t>2. </w:t>
      </w:r>
      <w:r>
        <w:rPr/>
        <w:t>预计负债的计量方法 本公司预计负债按履行相关现时义务所需的支出的最佳估计数进行初始计量。</w:t>
      </w:r>
    </w:p>
    <w:p>
      <w:pPr>
        <w:pStyle w:val="BodyText"/>
        <w:spacing w:line="319" w:lineRule="auto" w:before="42"/>
        <w:ind w:right="0"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57" w:lineRule="auto" w:before="56"/>
        <w:ind w:left="514" w:right="0"/>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57" w:lineRule="auto"/>
        <w:ind w:left="514" w:right="0" w:hanging="360"/>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224" w:lineRule="exact"/>
        <w:ind w:right="0"/>
        <w:jc w:val="left"/>
      </w:pPr>
      <w:r>
        <w:rPr/>
        <w:t>有事项涉及单个项目的，则最佳估计数按照最可能发生金额确定；如或有事项涉及多个项目的，则最佳估计数按各种可能结</w:t>
      </w:r>
    </w:p>
    <w:p>
      <w:pPr>
        <w:pStyle w:val="BodyText"/>
        <w:spacing w:line="357" w:lineRule="auto" w:before="77"/>
        <w:ind w:left="514" w:right="1032" w:hanging="360"/>
        <w:jc w:val="left"/>
      </w:pPr>
      <w:r>
        <w:rPr/>
        <w:t>果及相关概率计算确定。 本公司清偿预计负债所需支出全部或部分预期由第三方补偿的，补偿金额在基本确定能够收到时，作为资产单独确认，</w:t>
      </w:r>
    </w:p>
    <w:p>
      <w:pPr>
        <w:pStyle w:val="BodyText"/>
        <w:spacing w:line="225" w:lineRule="exact"/>
        <w:ind w:right="0"/>
        <w:jc w:val="left"/>
      </w:pPr>
      <w:r>
        <w:rPr/>
        <w:t>确认的补偿金额不超过预计负债的账面价值。</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6、股份支付" w:id="208"/>
      <w:bookmarkEnd w:id="208"/>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7、优先股、永续债等其他金融工具" w:id="209"/>
      <w:bookmarkEnd w:id="209"/>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8、收入" w:id="210"/>
      <w:bookmarkEnd w:id="210"/>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38" w:lineRule="auto" w:before="26"/>
        <w:ind w:left="514" w:right="0"/>
        <w:jc w:val="left"/>
      </w:pPr>
      <w:r>
        <w:rPr>
          <w:rFonts w:ascii="Times New Roman" w:hAnsi="Times New Roman" w:cs="Times New Roman" w:eastAsia="Times New Roman" w:hint="default"/>
        </w:rPr>
        <w:t>1. </w:t>
      </w:r>
      <w:r>
        <w:rPr/>
        <w:t>销售商品收入确认时间的具体判断标准 </w:t>
      </w:r>
      <w:r>
        <w:rPr>
          <w:spacing w:val="-2"/>
        </w:rPr>
        <w:t>公司已将商品所有权上的主要风险和报酬转移给购买方；公司既没有保留与所有权相联系的继续管理权，也没有对已售</w:t>
      </w:r>
    </w:p>
    <w:p>
      <w:pPr>
        <w:pStyle w:val="BodyText"/>
        <w:spacing w:line="319" w:lineRule="auto" w:before="2"/>
        <w:ind w:right="0"/>
        <w:jc w:val="left"/>
      </w:pPr>
      <w:r>
        <w:rPr>
          <w:spacing w:val="-2"/>
        </w:rPr>
        <w:t>出的商品实施有效控制；收入的金额能够可靠地计量；相关的经济利益很可能流入企业；相关的已发生或将发生的成本能够</w:t>
      </w:r>
      <w:r>
        <w:rPr>
          <w:spacing w:val="-66"/>
        </w:rPr>
        <w:t> </w:t>
      </w:r>
      <w:r>
        <w:rPr>
          <w:spacing w:val="-66"/>
        </w:rPr>
      </w:r>
      <w:r>
        <w:rPr/>
        <w:t>可靠地计量时，确认商品销售收入实现。</w:t>
      </w:r>
    </w:p>
    <w:p>
      <w:pPr>
        <w:pStyle w:val="BodyText"/>
        <w:spacing w:line="319" w:lineRule="auto" w:before="56"/>
        <w:ind w:right="0" w:firstLine="360"/>
        <w:jc w:val="left"/>
      </w:pPr>
      <w:r>
        <w:rPr>
          <w:spacing w:val="-2"/>
        </w:rPr>
        <w:t>本公司国内直销收入确认时点为客户在《安装调试、技术培训报告单》签字确认时间；国外直销和经销收入确认时点均</w:t>
      </w:r>
      <w:r>
        <w:rPr/>
        <w:t> 为货物报关出口时间。</w:t>
      </w:r>
    </w:p>
    <w:p>
      <w:pPr>
        <w:pStyle w:val="BodyText"/>
        <w:spacing w:line="319" w:lineRule="auto" w:before="55"/>
        <w:ind w:right="1118" w:firstLine="360"/>
        <w:jc w:val="left"/>
      </w:pPr>
      <w:r>
        <w:rPr>
          <w:spacing w:val="-2"/>
        </w:rPr>
        <w:t>合同或协议价款的收取采用递延方式，实质上具有融资性质的，按照应收的合同或协议价款的公允价值确定销售商品收</w:t>
      </w:r>
      <w:r>
        <w:rPr/>
        <w:t> 入金额。</w:t>
      </w:r>
    </w:p>
    <w:p>
      <w:pPr>
        <w:pStyle w:val="BodyText"/>
        <w:spacing w:line="340" w:lineRule="auto" w:before="56"/>
        <w:ind w:left="514" w:right="1032"/>
        <w:jc w:val="left"/>
      </w:pPr>
      <w:r>
        <w:rPr>
          <w:rFonts w:ascii="Times New Roman" w:hAnsi="Times New Roman" w:cs="Times New Roman" w:eastAsia="Times New Roman" w:hint="default"/>
        </w:rPr>
        <w:t>2. </w:t>
      </w:r>
      <w:r>
        <w:rPr/>
        <w:t>确认让渡资产使用权收入的依据 与交易相关的经济利益很可能流入企业，收入的金额能够可靠地计量时，分别下列情况确定让渡资产使用权收入金额：</w:t>
      </w:r>
    </w:p>
    <w:p>
      <w:pPr>
        <w:pStyle w:val="BodyText"/>
        <w:spacing w:line="240" w:lineRule="auto" w:before="40"/>
        <w:ind w:left="514"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02"/>
        <w:ind w:left="514"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pStyle w:val="BodyText"/>
        <w:spacing w:line="338" w:lineRule="auto" w:before="103"/>
        <w:ind w:left="514" w:right="0"/>
        <w:jc w:val="left"/>
      </w:pPr>
      <w:r>
        <w:rPr>
          <w:rFonts w:ascii="Times New Roman" w:hAnsi="Times New Roman" w:cs="Times New Roman" w:eastAsia="Times New Roman" w:hint="default"/>
        </w:rPr>
        <w:t>3. </w:t>
      </w:r>
      <w:r>
        <w:rPr/>
        <w:t>提供劳务收入的确认依据和方法 </w:t>
      </w:r>
      <w:r>
        <w:rPr>
          <w:spacing w:val="-4"/>
        </w:rPr>
        <w:t>在资产负债表日提供劳务交易的结果能够可靠估计的，采用完工百分比法确认提供劳务收入。提供劳务交易的完工进度，</w:t>
      </w:r>
    </w:p>
    <w:p>
      <w:pPr>
        <w:pStyle w:val="BodyText"/>
        <w:spacing w:line="357" w:lineRule="auto" w:before="4"/>
        <w:ind w:left="514" w:right="5532" w:hanging="360"/>
        <w:jc w:val="left"/>
      </w:pPr>
      <w:r>
        <w:rPr/>
        <w:t>依据已完工作的测量确定。 提供劳务交易的结果能够可靠估计，是指同时满足下列条件：</w:t>
      </w:r>
    </w:p>
    <w:p>
      <w:pPr>
        <w:pStyle w:val="BodyText"/>
        <w:spacing w:line="240" w:lineRule="auto" w:before="28"/>
        <w:ind w:left="514" w:right="0"/>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103"/>
        <w:ind w:left="514" w:right="0"/>
        <w:jc w:val="left"/>
      </w:pPr>
      <w:r>
        <w:rPr/>
        <w:t>（</w:t>
      </w:r>
      <w:r>
        <w:rPr>
          <w:rFonts w:ascii="Times New Roman" w:hAnsi="Times New Roman" w:cs="Times New Roman" w:eastAsia="Times New Roman" w:hint="default"/>
        </w:rPr>
        <w:t>2</w:t>
      </w:r>
      <w:r>
        <w:rPr/>
        <w:t>）相关的经济利益很可能流入企业；</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514" w:right="0"/>
        <w:jc w:val="left"/>
      </w:pPr>
      <w:r>
        <w:rPr/>
        <w:t>（</w:t>
      </w:r>
      <w:r>
        <w:rPr>
          <w:rFonts w:ascii="Times New Roman" w:hAnsi="Times New Roman" w:cs="Times New Roman" w:eastAsia="Times New Roman" w:hint="default"/>
        </w:rPr>
        <w:t>3</w:t>
      </w:r>
      <w:r>
        <w:rPr/>
        <w:t>）交易的完工进度能够可靠地确定；</w:t>
      </w:r>
    </w:p>
    <w:p>
      <w:pPr>
        <w:pStyle w:val="BodyText"/>
        <w:spacing w:line="338" w:lineRule="auto" w:before="102"/>
        <w:ind w:left="514" w:right="0"/>
        <w:jc w:val="left"/>
      </w:pPr>
      <w:r>
        <w:rPr/>
        <w:t>（</w:t>
      </w:r>
      <w:r>
        <w:rPr>
          <w:rFonts w:ascii="Times New Roman" w:hAnsi="Times New Roman" w:cs="Times New Roman" w:eastAsia="Times New Roman" w:hint="default"/>
        </w:rPr>
        <w:t>4</w:t>
      </w:r>
      <w:r>
        <w:rPr/>
        <w:t>）交易中已发生和将发生的成本能够可靠地计量。 </w:t>
      </w:r>
      <w:r>
        <w:rPr>
          <w:spacing w:val="-2"/>
        </w:rPr>
        <w:t>按照已收或应收的合同或协议价款确定提供劳务收入总额，但已收或应收的合同或协议价款不公允的除外。资产负债表</w:t>
      </w:r>
    </w:p>
    <w:p>
      <w:pPr>
        <w:pStyle w:val="BodyText"/>
        <w:spacing w:line="319" w:lineRule="auto" w:before="2"/>
        <w:ind w:right="0"/>
        <w:jc w:val="left"/>
      </w:pP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p>
    <w:p>
      <w:pPr>
        <w:pStyle w:val="BodyText"/>
        <w:spacing w:line="240" w:lineRule="auto" w:before="56"/>
        <w:ind w:left="514" w:right="0"/>
        <w:jc w:val="left"/>
      </w:pPr>
      <w:r>
        <w:rPr/>
        <w:t>在资产负债表日提供劳务交易结果不能够可靠估计的，分别下列情况处理：</w:t>
      </w:r>
    </w:p>
    <w:p>
      <w:pPr>
        <w:pStyle w:val="BodyText"/>
        <w:spacing w:line="302" w:lineRule="auto" w:before="115"/>
        <w:ind w:right="1122" w:firstLine="36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）已经发生的劳务成本预计能够得到补偿的，按照已经发生的劳务成本金额确认提供劳务收入，并按相同金额结转 劳务成本。</w:t>
      </w:r>
    </w:p>
    <w:p>
      <w:pPr>
        <w:pStyle w:val="BodyText"/>
        <w:spacing w:line="338" w:lineRule="auto" w:before="70"/>
        <w:ind w:left="514" w:right="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 </w:t>
      </w:r>
      <w:r>
        <w:rPr>
          <w:spacing w:val="-2"/>
        </w:rPr>
        <w:t>本公司与其他企业签订的合同或协议包括销售商品和提供劳务时，销售商品部分和提供劳务部分能够区分且能够单独计</w:t>
      </w:r>
    </w:p>
    <w:p>
      <w:pPr>
        <w:pStyle w:val="BodyText"/>
        <w:spacing w:line="319" w:lineRule="auto" w:before="2"/>
        <w:ind w:right="0"/>
        <w:jc w:val="left"/>
      </w:pPr>
      <w:r>
        <w:rPr>
          <w:spacing w:val="-2"/>
        </w:rPr>
        <w:t>量的，将销售商品的部分作为销售商品处理，将提供劳务的部分作为提供劳务处理。销售商品部分和提供劳务部分不能够区</w:t>
      </w:r>
      <w:r>
        <w:rPr>
          <w:spacing w:val="-66"/>
        </w:rPr>
        <w:t> </w:t>
      </w:r>
      <w:r>
        <w:rPr>
          <w:spacing w:val="-66"/>
        </w:rPr>
      </w:r>
      <w:r>
        <w:rPr/>
        <w:t>分，或虽能区分但不能够单独计量的，将销售商品部分和提供劳务部分全部作为销售商品处理。</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29、政府补助" w:id="211"/>
      <w:bookmarkEnd w:id="211"/>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类型 </w:t>
      </w:r>
      <w:r>
        <w:rPr>
          <w:spacing w:val="-2"/>
        </w:rPr>
        <w:t>政府补助，是本公司从政府无偿取得的货币性资产与非货币性资产。根据相关政府文件规定的补助对象，将政府补助划</w:t>
      </w:r>
    </w:p>
    <w:p>
      <w:pPr>
        <w:pStyle w:val="BodyText"/>
        <w:spacing w:line="357" w:lineRule="auto" w:before="4"/>
        <w:ind w:left="514" w:right="0" w:hanging="360"/>
        <w:jc w:val="left"/>
      </w:pPr>
      <w:r>
        <w:rPr/>
        <w:t>分为与资产相关的政府补助和与收益相关的政府补助。 </w:t>
      </w:r>
      <w:r>
        <w:rPr>
          <w:spacing w:val="-4"/>
        </w:rPr>
        <w:t>与资产相关的政府补助，是指本公司取得的、用于购建或以其他方式形成长期资产的政府补助。与收益相关的政府补助，</w:t>
      </w:r>
    </w:p>
    <w:p>
      <w:pPr>
        <w:pStyle w:val="BodyText"/>
        <w:spacing w:line="225" w:lineRule="exact"/>
        <w:ind w:right="0"/>
        <w:jc w:val="left"/>
      </w:pPr>
      <w:r>
        <w:rPr/>
        <w:t>是指除与资产相关的政府补助之外的政府补助。</w:t>
      </w:r>
    </w:p>
    <w:p>
      <w:pPr>
        <w:pStyle w:val="BodyText"/>
        <w:spacing w:line="338" w:lineRule="auto" w:before="116"/>
        <w:ind w:left="514" w:right="0"/>
        <w:jc w:val="left"/>
      </w:pPr>
      <w:r>
        <w:rPr>
          <w:rFonts w:ascii="Times New Roman" w:hAnsi="Times New Roman" w:cs="Times New Roman" w:eastAsia="Times New Roman" w:hint="default"/>
        </w:rPr>
        <w:t>2. </w:t>
      </w:r>
      <w:r>
        <w:rPr/>
        <w:t>政府补助的确认 </w:t>
      </w:r>
      <w:r>
        <w:rPr>
          <w:spacing w:val="-2"/>
        </w:rPr>
        <w:t>对期末有证据表明公司能够符合财政扶持政策规定的相关条件且预计能够收到财政扶持资金的，按应收金额确认政府补</w:t>
      </w:r>
    </w:p>
    <w:p>
      <w:pPr>
        <w:pStyle w:val="BodyText"/>
        <w:spacing w:line="357" w:lineRule="auto" w:before="4"/>
        <w:ind w:left="514" w:right="0" w:hanging="360"/>
        <w:jc w:val="left"/>
      </w:pPr>
      <w:r>
        <w:rPr/>
        <w:t>助。除此之外，政府补助均在实际收到时确认。 </w:t>
      </w:r>
      <w:r>
        <w:rPr>
          <w:spacing w:val="-2"/>
        </w:rPr>
        <w:t>政府补助为货币性资产的，按照收到或应收的金额计量。政府补助为非货币性资产的，按照公允价值计量；公允价值不</w:t>
      </w:r>
    </w:p>
    <w:p>
      <w:pPr>
        <w:pStyle w:val="BodyText"/>
        <w:spacing w:line="239" w:lineRule="exact"/>
        <w:ind w:right="0"/>
        <w:jc w:val="left"/>
      </w:pPr>
      <w:r>
        <w:rPr/>
        <w:t>能够可靠取得的，按照名义金额（人民币</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元）计量。按照名义金额计量的政府补助，直接计入当期损益。</w:t>
      </w:r>
    </w:p>
    <w:p>
      <w:pPr>
        <w:pStyle w:val="BodyText"/>
        <w:spacing w:line="348" w:lineRule="auto" w:before="102"/>
        <w:ind w:left="514" w:right="1032"/>
        <w:jc w:val="left"/>
      </w:pPr>
      <w:r>
        <w:rPr>
          <w:rFonts w:ascii="Times New Roman" w:hAnsi="Times New Roman" w:cs="Times New Roman" w:eastAsia="Times New Roman" w:hint="default"/>
        </w:rPr>
        <w:t>3. </w:t>
      </w:r>
      <w:r>
        <w:rPr/>
        <w:t>会计处理方法 与资产相关的政府补助，确认为递延收益，按照所建造或购买的资产使用年限内按照合理、系统的方法分期计入损益； </w:t>
      </w:r>
      <w:r>
        <w:rPr>
          <w:spacing w:val="-2"/>
        </w:rPr>
        <w:t>与收益相关的政府补助，用于补偿企业以后期间的相关费用或损失的，确认为递延收益，在确认相关费用或损失的期间</w:t>
      </w:r>
    </w:p>
    <w:p>
      <w:pPr>
        <w:pStyle w:val="BodyText"/>
        <w:spacing w:line="357" w:lineRule="auto"/>
        <w:ind w:left="514" w:right="0" w:hanging="360"/>
        <w:jc w:val="left"/>
      </w:pPr>
      <w:r>
        <w:rPr/>
        <w:t>计入当期损益；用于补偿企业已发生的相关费用或损失的，取得时直接计入当期损益。 与企业日常活动相关的政府补助计入其他收益；与企业日常活动无关的政府补助计入营业外收支。 </w:t>
      </w:r>
      <w:r>
        <w:rPr>
          <w:spacing w:val="-2"/>
        </w:rPr>
        <w:t>收到与政策性优惠贷款贴息相关的政府补助冲减相关借款费用；取得贷款银行提供的政策性优惠利率贷款的，以实际收</w:t>
      </w:r>
    </w:p>
    <w:p>
      <w:pPr>
        <w:pStyle w:val="BodyText"/>
        <w:spacing w:line="357" w:lineRule="auto"/>
        <w:ind w:left="514" w:right="1032" w:hanging="360"/>
        <w:jc w:val="left"/>
      </w:pPr>
      <w:r>
        <w:rPr/>
        <w:t>到的借款金额作为借款的入账价值，按照借款本金和该政策性优惠利率计算相关借款费用。 已确认的政府补助需要返还时，初始确认时冲减相关资产账面价值的，调整资产账面价值；存在相关递延收益余额的，</w:t>
      </w:r>
    </w:p>
    <w:p>
      <w:pPr>
        <w:pStyle w:val="BodyText"/>
        <w:spacing w:line="225" w:lineRule="exact"/>
        <w:ind w:right="0"/>
        <w:jc w:val="left"/>
      </w:pPr>
      <w:r>
        <w:rPr/>
        <w:t>冲减相关递延收益账面余额，超出部分计入当期损益；不存在相关递延收益的，直接计入当期损益。</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0、递延所得税资产/递延所得税负债" w:id="212"/>
      <w:bookmarkEnd w:id="212"/>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right="0" w:firstLine="360"/>
        <w:jc w:val="left"/>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计算确认。于资产负债</w:t>
      </w:r>
      <w:r>
        <w:rPr/>
        <w:t> 表日，递延所得税资产和递延所得税负债，按照预期收回该资产或清偿该负债期间的适用税率计量。</w:t>
      </w:r>
    </w:p>
    <w:p>
      <w:pPr>
        <w:pStyle w:val="BodyText"/>
        <w:spacing w:line="338" w:lineRule="auto" w:before="69"/>
        <w:ind w:left="514" w:right="0"/>
        <w:jc w:val="left"/>
      </w:pPr>
      <w:r>
        <w:rPr>
          <w:rFonts w:ascii="Times New Roman" w:hAnsi="Times New Roman" w:cs="Times New Roman" w:eastAsia="Times New Roman" w:hint="default"/>
        </w:rPr>
        <w:t>1. </w:t>
      </w:r>
      <w:r>
        <w:rPr/>
        <w:t>确认递延所得税资产的依据 </w:t>
      </w:r>
      <w:r>
        <w:rPr>
          <w:spacing w:val="-2"/>
        </w:rPr>
        <w:t>本公司以很可能取得用来抵扣可抵扣暂时性差异、能够结转以后年度的可抵扣亏损和税款抵减的应纳税所得额为限，确</w:t>
      </w:r>
    </w:p>
    <w:p>
      <w:pPr>
        <w:pStyle w:val="BodyText"/>
        <w:spacing w:line="240" w:lineRule="auto" w:before="2"/>
        <w:ind w:right="0"/>
        <w:jc w:val="left"/>
      </w:pPr>
      <w:r>
        <w:rPr/>
        <w:t>认由可抵扣暂时性差异产生的递延所得税资产。但是，同时具有下列特征的交易中因资产或负债的初始确认所产生的递延所</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338" w:lineRule="auto" w:before="44"/>
        <w:ind w:left="514" w:right="0" w:hanging="360"/>
        <w:jc w:val="left"/>
      </w:pPr>
      <w:r>
        <w:rPr>
          <w:spacing w:val="-4"/>
        </w:rPr>
        <w:t>得税资产不予确认：（</w:t>
      </w:r>
      <w:r>
        <w:rPr>
          <w:rFonts w:ascii="Times New Roman" w:hAnsi="Times New Roman" w:cs="Times New Roman" w:eastAsia="Times New Roman" w:hint="default"/>
          <w:spacing w:val="-4"/>
        </w:rPr>
        <w:t>1</w:t>
      </w:r>
      <w:r>
        <w:rPr>
          <w:spacing w:val="-4"/>
        </w:rPr>
        <w:t>）该交易不是企业合并；（</w:t>
      </w:r>
      <w:r>
        <w:rPr>
          <w:rFonts w:ascii="Times New Roman" w:hAnsi="Times New Roman" w:cs="Times New Roman" w:eastAsia="Times New Roman" w:hint="default"/>
          <w:spacing w:val="-4"/>
        </w:rPr>
        <w:t>2</w:t>
      </w:r>
      <w:r>
        <w:rPr>
          <w:spacing w:val="-4"/>
        </w:rPr>
        <w:t>）交易发生时既不影响会计利润也不影响应纳税所得额或可抵扣亏损。</w:t>
      </w:r>
      <w:r>
        <w:rPr>
          <w:spacing w:val="-50"/>
        </w:rPr>
        <w:t> </w:t>
      </w:r>
      <w:r>
        <w:rPr>
          <w:spacing w:val="-2"/>
        </w:rPr>
        <w:t>对于与联营企业投资相关的可抵扣暂时性差异，同时满足下列条件的，确认相应的递延所得税资产：暂时性差异在可预</w:t>
      </w:r>
    </w:p>
    <w:p>
      <w:pPr>
        <w:pStyle w:val="BodyText"/>
        <w:spacing w:line="240" w:lineRule="auto" w:before="4"/>
        <w:ind w:right="0"/>
        <w:jc w:val="left"/>
      </w:pPr>
      <w:r>
        <w:rPr/>
        <w:t>见的未来很可能转回，且未来很可能获得用来抵扣可抵扣暂时性差异的应纳税所得额。</w:t>
      </w:r>
    </w:p>
    <w:p>
      <w:pPr>
        <w:pStyle w:val="BodyText"/>
        <w:spacing w:line="338" w:lineRule="auto" w:before="117"/>
        <w:ind w:left="514" w:right="3372"/>
        <w:jc w:val="left"/>
      </w:pPr>
      <w:r>
        <w:rPr>
          <w:rFonts w:ascii="Times New Roman" w:hAnsi="Times New Roman" w:cs="Times New Roman" w:eastAsia="Times New Roman" w:hint="default"/>
        </w:rPr>
        <w:t>2. </w:t>
      </w:r>
      <w:r>
        <w:rPr/>
        <w:t>确认递延所得税负债的依据 公司将当期与以前期间应交未交的应纳税暂时性差异确认为递延所得税负债。但不包括：</w:t>
      </w:r>
    </w:p>
    <w:p>
      <w:pPr>
        <w:pStyle w:val="BodyText"/>
        <w:spacing w:line="240" w:lineRule="auto" w:before="42"/>
        <w:ind w:left="514" w:right="0"/>
        <w:jc w:val="left"/>
      </w:pPr>
      <w:r>
        <w:rPr/>
        <w:t>（</w:t>
      </w:r>
      <w:r>
        <w:rPr>
          <w:rFonts w:ascii="Times New Roman" w:hAnsi="Times New Roman" w:cs="Times New Roman" w:eastAsia="Times New Roman" w:hint="default"/>
        </w:rPr>
        <w:t>1</w:t>
      </w:r>
      <w:r>
        <w:rPr/>
        <w:t>）商誉的初始确认所形成的暂时性差异；</w:t>
      </w:r>
    </w:p>
    <w:p>
      <w:pPr>
        <w:pStyle w:val="BodyText"/>
        <w:spacing w:line="302" w:lineRule="auto" w:before="102"/>
        <w:ind w:right="1131" w:firstLine="360"/>
        <w:jc w:val="both"/>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）非企业合并形成的交易或事项，且该交易或事项发生时既不影响会计利润，也不影响应纳税所得额（或可抵扣亏 损）所形成的暂时性差异；</w:t>
      </w:r>
    </w:p>
    <w:p>
      <w:pPr>
        <w:pStyle w:val="BodyText"/>
        <w:spacing w:line="302" w:lineRule="auto" w:before="68"/>
        <w:ind w:right="1130" w:firstLine="360"/>
        <w:jc w:val="both"/>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）对于与子公司、联营企业投资相关的应纳税暂时性差异，该暂时性差异转回的时间能够控制并且该暂时性差异在 可预见的未来很可能不会转回。</w:t>
      </w:r>
    </w:p>
    <w:p>
      <w:pPr>
        <w:pStyle w:val="BodyText"/>
        <w:spacing w:line="240" w:lineRule="auto" w:before="69"/>
        <w:ind w:left="51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同时满足下列条件时，将递延所得税资产及递延所得税负债以抵销后的净额列示</w:t>
      </w:r>
    </w:p>
    <w:p>
      <w:pPr>
        <w:pStyle w:val="BodyText"/>
        <w:spacing w:line="240" w:lineRule="auto" w:before="103"/>
        <w:ind w:left="514" w:right="0"/>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309" w:lineRule="auto" w:before="101"/>
        <w:ind w:right="1131" w:firstLine="360"/>
        <w:jc w:val="both"/>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）递延所得税资产和递延所得税负债是与同一税收征管部门对同一纳税主体征收的所得税相关或者对不同的纳税主 </w:t>
      </w:r>
      <w:r>
        <w:rPr>
          <w:spacing w:val="-2"/>
        </w:rPr>
        <w:t>体相关，但在未来每一具有重要性的递延所得税资产和递延所得税负债转回的期间内，涉及的纳税主体体意图以净额结算当</w:t>
      </w:r>
      <w:r>
        <w:rPr>
          <w:spacing w:val="-64"/>
        </w:rPr>
        <w:t> </w:t>
      </w:r>
      <w:r>
        <w:rPr>
          <w:spacing w:val="-64"/>
        </w:rPr>
      </w:r>
      <w:r>
        <w:rPr/>
        <w:t>期所得税资产及当期所得税负债或是同时取得资产、清偿债务。</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31、租赁" w:id="213"/>
      <w:bookmarkEnd w:id="213"/>
      <w:r>
        <w:rPr>
          <w:b w:val="0"/>
          <w:bCs w:val="0"/>
        </w:rPr>
      </w: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经营租赁的会计处理方法" w:id="214"/>
      <w:bookmarkEnd w:id="21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2" w:firstLine="360"/>
        <w:jc w:val="both"/>
      </w:pPr>
      <w:r>
        <w:rPr>
          <w:spacing w:val="-2"/>
        </w:rPr>
        <w:t>如果租赁条款在实质上将与租赁资产所有权有关的全部风险和报酬转移给承租人，该租赁为融资租赁，其他租赁则为经</w:t>
      </w:r>
      <w:r>
        <w:rPr/>
        <w:t> 营租赁。</w:t>
      </w:r>
    </w:p>
    <w:p>
      <w:pPr>
        <w:pStyle w:val="BodyText"/>
        <w:spacing w:line="240" w:lineRule="auto" w:before="17"/>
        <w:ind w:left="60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经营租赁会计处理</w:t>
      </w:r>
    </w:p>
    <w:p>
      <w:pPr>
        <w:pStyle w:val="BodyText"/>
        <w:spacing w:line="300" w:lineRule="auto" w:before="63"/>
        <w:ind w:left="514" w:right="0"/>
        <w:jc w:val="left"/>
      </w:pPr>
      <w:r>
        <w:rPr/>
        <w:t>（</w:t>
      </w:r>
      <w:r>
        <w:rPr>
          <w:rFonts w:ascii="Times New Roman" w:hAnsi="Times New Roman" w:cs="Times New Roman" w:eastAsia="Times New Roman" w:hint="default"/>
        </w:rPr>
        <w:t>1</w:t>
      </w:r>
      <w:r>
        <w:rPr/>
        <w:t>）经营租入资产 </w:t>
      </w:r>
      <w:r>
        <w:rPr>
          <w:spacing w:val="-2"/>
        </w:rPr>
        <w:t>公司租入资产所支付的租赁费，在不扣除免租期的整个租赁期内，按直线法进行分摊，计入当期费用。公司支付的与租</w:t>
      </w:r>
    </w:p>
    <w:p>
      <w:pPr>
        <w:pStyle w:val="BodyText"/>
        <w:spacing w:line="316" w:lineRule="auto" w:before="31"/>
        <w:ind w:left="514" w:right="0" w:hanging="360"/>
        <w:jc w:val="left"/>
      </w:pPr>
      <w:r>
        <w:rPr/>
        <w:t>赁交易相关的初始直接费用，计入当期费用。 </w:t>
      </w:r>
      <w:r>
        <w:rPr>
          <w:spacing w:val="-2"/>
        </w:rPr>
        <w:t>资产出租方承担了应由公司承担的与租赁相关的费用时，公司将该部分费用从租金总额中扣除，按扣除后的租金费用在</w:t>
      </w:r>
    </w:p>
    <w:p>
      <w:pPr>
        <w:pStyle w:val="BodyText"/>
        <w:spacing w:line="240" w:lineRule="auto" w:before="19"/>
        <w:ind w:right="0"/>
        <w:jc w:val="left"/>
      </w:pPr>
      <w:r>
        <w:rPr/>
        <w:t>租赁期内分摊，计入当期费用。</w:t>
      </w:r>
    </w:p>
    <w:p>
      <w:pPr>
        <w:pStyle w:val="BodyText"/>
        <w:spacing w:line="300" w:lineRule="auto" w:before="76"/>
        <w:ind w:left="514" w:right="0"/>
        <w:jc w:val="left"/>
      </w:pPr>
      <w:r>
        <w:rPr/>
        <w:t>（</w:t>
      </w:r>
      <w:r>
        <w:rPr>
          <w:rFonts w:ascii="Times New Roman" w:hAnsi="Times New Roman" w:cs="Times New Roman" w:eastAsia="Times New Roman" w:hint="default"/>
        </w:rPr>
        <w:t>2</w:t>
      </w:r>
      <w:r>
        <w:rPr/>
        <w:t>）经营租出资产 </w:t>
      </w:r>
      <w:r>
        <w:rPr>
          <w:spacing w:val="-2"/>
        </w:rPr>
        <w:t>公司出租资产所收取的租赁费，在不扣除免租期的整个租赁期内，按直线法进行分摊，确认为租赁收入。公司支付的与</w:t>
      </w:r>
    </w:p>
    <w:p>
      <w:pPr>
        <w:pStyle w:val="BodyText"/>
        <w:spacing w:line="316" w:lineRule="auto" w:before="31"/>
        <w:ind w:right="0"/>
        <w:jc w:val="left"/>
      </w:pPr>
      <w:r>
        <w:rPr>
          <w:spacing w:val="-2"/>
        </w:rPr>
        <w:t>租赁交易相关的初始直接费用，计入当期费用；如金额较大的，则予以资本化，在整个租赁期间内按照与租赁收入确认相同</w:t>
      </w:r>
      <w:r>
        <w:rPr>
          <w:spacing w:val="-66"/>
        </w:rPr>
        <w:t> </w:t>
      </w:r>
      <w:r>
        <w:rPr>
          <w:spacing w:val="-66"/>
        </w:rPr>
      </w:r>
      <w:r>
        <w:rPr/>
        <w:t>的基础分期计入当期收益。</w:t>
      </w:r>
    </w:p>
    <w:p>
      <w:pPr>
        <w:pStyle w:val="BodyText"/>
        <w:spacing w:line="316" w:lineRule="auto" w:before="19"/>
        <w:ind w:right="1132"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融资租赁的会计处理方法" w:id="215"/>
      <w:bookmarkEnd w:id="21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0" w:firstLine="360"/>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 账价值，将最低租赁付款额作为长期应付款的入账价值，其差额作为未确认的融资费用。</w:t>
      </w:r>
      <w:r>
        <w:rPr>
          <w:spacing w:val="9"/>
        </w:rPr>
        <w:t> </w:t>
      </w:r>
      <w:r>
        <w:rPr/>
        <w:t>融资租入资产的认定依据、计价</w:t>
      </w:r>
      <w:r>
        <w:rPr/>
        <w:t> 和折旧方法详见本附注四／（十六）固定资产。</w:t>
      </w:r>
    </w:p>
    <w:p>
      <w:pPr>
        <w:pStyle w:val="BodyText"/>
        <w:spacing w:line="240" w:lineRule="auto" w:before="64"/>
        <w:ind w:left="514" w:right="0"/>
        <w:jc w:val="left"/>
      </w:pPr>
      <w:r>
        <w:rPr/>
        <w:t>公司采用实际利率法对未确认的融资费用，在资产租赁期间内摊销，计入财务费用。</w:t>
      </w:r>
    </w:p>
    <w:p>
      <w:pPr>
        <w:pStyle w:val="BodyText"/>
        <w:spacing w:line="300" w:lineRule="auto" w:before="116"/>
        <w:ind w:right="1041" w:firstLine="360"/>
        <w:jc w:val="both"/>
      </w:pPr>
      <w:r>
        <w:rPr>
          <w:spacing w:val="-2"/>
        </w:rPr>
        <w:t>（</w:t>
      </w:r>
      <w:r>
        <w:rPr>
          <w:rFonts w:ascii="Times New Roman" w:hAnsi="Times New Roman" w:cs="Times New Roman" w:eastAsia="Times New Roman" w:hint="default"/>
          <w:spacing w:val="-2"/>
        </w:rPr>
        <w:t>2</w:t>
      </w:r>
      <w:r>
        <w:rPr>
          <w:spacing w:val="-2"/>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p>
    <w:p>
      <w:pPr>
        <w:spacing w:after="0" w:line="300" w:lineRule="auto"/>
        <w:jc w:val="both"/>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中，并减少租赁期内确认的收益金额。</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2、其他重要的会计政策和会计估计" w:id="216"/>
      <w:bookmarkEnd w:id="216"/>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1118" w:firstLine="9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终止经营 </w:t>
      </w:r>
      <w:r>
        <w:rPr>
          <w:spacing w:val="-2"/>
        </w:rPr>
        <w:t>本公司将满足下列条件之一的，且该组成部分已经处置或划归为持有待售类别的、能够单独区分的组成部分确认为终止</w:t>
      </w:r>
    </w:p>
    <w:p>
      <w:pPr>
        <w:pStyle w:val="BodyText"/>
        <w:spacing w:line="240" w:lineRule="auto" w:before="4"/>
        <w:ind w:right="0"/>
        <w:jc w:val="left"/>
      </w:pPr>
      <w:r>
        <w:rPr/>
        <w:t>经营组成部分：</w:t>
      </w:r>
    </w:p>
    <w:p>
      <w:pPr>
        <w:pStyle w:val="BodyText"/>
        <w:spacing w:line="240" w:lineRule="auto" w:before="117"/>
        <w:ind w:left="514" w:right="0"/>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102"/>
        <w:ind w:left="514" w:right="0"/>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340" w:lineRule="auto" w:before="102"/>
        <w:ind w:left="514" w:right="3192"/>
        <w:jc w:val="left"/>
      </w:pPr>
      <w:r>
        <w:rPr/>
        <w:t>（</w:t>
      </w:r>
      <w:r>
        <w:rPr>
          <w:rFonts w:ascii="Times New Roman" w:hAnsi="Times New Roman" w:cs="Times New Roman" w:eastAsia="Times New Roman" w:hint="default"/>
        </w:rPr>
        <w:t>3</w:t>
      </w:r>
      <w:r>
        <w:rPr/>
        <w:t>）该组成部分是专为转售而取得的子公司。 终止经营的减值损失和转回金额等经营损益及处置损益作为终止经营损益在利润表中列示。</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3、重要会计政策和会计估计变更" w:id="217"/>
      <w:bookmarkEnd w:id="217"/>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18"/>
      <w:bookmarkEnd w:id="21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514"/>
        <w:gridCol w:w="1559"/>
        <w:gridCol w:w="497"/>
      </w:tblGrid>
      <w:tr>
        <w:trPr>
          <w:trHeight w:val="401" w:hRule="exact"/>
        </w:trPr>
        <w:tc>
          <w:tcPr>
            <w:tcW w:w="75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9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6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571" w:hRule="exact"/>
        </w:trPr>
        <w:tc>
          <w:tcPr>
            <w:tcW w:w="7514"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11"/>
              <w:ind w:left="27" w:right="21" w:firstLine="420"/>
              <w:jc w:val="left"/>
              <w:rPr>
                <w:rFonts w:ascii="宋体" w:hAnsi="宋体" w:cs="宋体" w:eastAsia="宋体" w:hint="default"/>
                <w:sz w:val="18"/>
                <w:szCs w:val="18"/>
              </w:rPr>
            </w:pPr>
            <w:r>
              <w:rPr>
                <w:rFonts w:ascii="宋体" w:hAnsi="宋体" w:cs="宋体" w:eastAsia="宋体" w:hint="default"/>
                <w:spacing w:val="-6"/>
                <w:sz w:val="18"/>
                <w:szCs w:val="18"/>
              </w:rPr>
              <w:t>财政部于</w:t>
            </w: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15</w:t>
            </w:r>
            <w:r>
              <w:rPr>
                <w:rFonts w:ascii="宋体" w:hAnsi="宋体" w:cs="宋体" w:eastAsia="宋体" w:hint="default"/>
                <w:spacing w:val="-6"/>
                <w:sz w:val="18"/>
                <w:szCs w:val="18"/>
              </w:rPr>
              <w:t>日发布了《关于修订印发</w:t>
            </w: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年度一般企业财务报表格式的通知》（财</w:t>
            </w:r>
            <w:r>
              <w:rPr>
                <w:rFonts w:ascii="宋体" w:hAnsi="宋体" w:cs="宋体" w:eastAsia="宋体" w:hint="default"/>
                <w:sz w:val="18"/>
                <w:szCs w:val="18"/>
              </w:rPr>
              <w:t> 会〔</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号），对一般企业财务报表格式进行了修订，归并部分资产负债表项目，拆分部 分利润表项目；并于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日发布了《关于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年度一般企业财务报表格式有关问题的解 </w:t>
            </w:r>
            <w:r>
              <w:rPr>
                <w:rFonts w:ascii="宋体" w:hAnsi="宋体" w:cs="宋体" w:eastAsia="宋体" w:hint="default"/>
                <w:spacing w:val="-3"/>
                <w:sz w:val="18"/>
                <w:szCs w:val="18"/>
              </w:rPr>
              <w:t>读》，明确要求代扣个人所得税手续费返还在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列报，实际收到的政府补助，无论是与</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资产相关还是与收益相关，在编制现金流量表时均作为经营活动产生的现金流量列报等。</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9" w:lineRule="auto"/>
              <w:ind w:left="143" w:right="53" w:hanging="90"/>
              <w:jc w:val="left"/>
              <w:rPr>
                <w:rFonts w:ascii="宋体" w:hAnsi="宋体" w:cs="宋体" w:eastAsia="宋体" w:hint="default"/>
                <w:sz w:val="18"/>
                <w:szCs w:val="18"/>
              </w:rPr>
            </w:pPr>
            <w:r>
              <w:rPr>
                <w:rFonts w:ascii="宋体" w:hAnsi="宋体" w:cs="宋体" w:eastAsia="宋体" w:hint="default"/>
                <w:sz w:val="18"/>
                <w:szCs w:val="18"/>
              </w:rPr>
              <w:t>第四届董事会第六 次会议审议通过</w:t>
            </w:r>
          </w:p>
        </w:tc>
        <w:tc>
          <w:tcPr>
            <w:tcW w:w="497" w:type="dxa"/>
            <w:tcBorders>
              <w:top w:val="single" w:sz="4" w:space="0" w:color="000000"/>
              <w:left w:val="single" w:sz="4" w:space="0" w:color="000000"/>
              <w:bottom w:val="single" w:sz="4" w:space="0" w:color="000000"/>
              <w:right w:val="nil" w:sz="6" w:space="0" w:color="auto"/>
            </w:tcBorders>
          </w:tcPr>
          <w:p>
            <w:pPr/>
          </w:p>
        </w:tc>
      </w:tr>
    </w:tbl>
    <w:p>
      <w:pPr>
        <w:pStyle w:val="BodyText"/>
        <w:spacing w:line="316" w:lineRule="auto" w:before="10"/>
        <w:ind w:right="1152" w:firstLine="420"/>
        <w:jc w:val="left"/>
      </w:pPr>
      <w:r>
        <w:rPr/>
        <w:t>本公司已经根据新的企业财务报表格式的要求编制财务报表，财务报表的列报项目因此发生变更的，已经按照《企业 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财务报表列报》等的相关规定，对可比期间的比较数据进行调整。</w:t>
      </w:r>
    </w:p>
    <w:p>
      <w:pPr>
        <w:pStyle w:val="BodyText"/>
        <w:spacing w:line="235" w:lineRule="exact"/>
        <w:ind w:left="574" w:right="0"/>
        <w:jc w:val="left"/>
      </w:pPr>
      <w:r>
        <w:rPr/>
        <w:t>对可比期间的财务报表列报项目及金额的影响如下：</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2211"/>
        <w:gridCol w:w="2513"/>
        <w:gridCol w:w="2213"/>
        <w:gridCol w:w="2722"/>
      </w:tblGrid>
      <w:tr>
        <w:trPr>
          <w:trHeight w:val="342" w:hRule="exact"/>
        </w:trPr>
        <w:tc>
          <w:tcPr>
            <w:tcW w:w="472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462"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93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1562"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3,520,946.36</w:t>
            </w:r>
          </w:p>
        </w:tc>
        <w:tc>
          <w:tcPr>
            <w:tcW w:w="2213" w:type="dxa"/>
            <w:vMerge w:val="restart"/>
            <w:tcBorders>
              <w:top w:val="single" w:sz="4" w:space="0" w:color="000000"/>
              <w:left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722" w:type="dxa"/>
            <w:vMerge w:val="restart"/>
            <w:tcBorders>
              <w:top w:val="single" w:sz="4" w:space="0" w:color="000000"/>
              <w:left w:val="single" w:sz="4" w:space="0" w:color="000000"/>
              <w:right w:val="nil" w:sz="6" w:space="0" w:color="auto"/>
            </w:tcBorders>
          </w:tcPr>
          <w:p>
            <w:pPr>
              <w:pStyle w:val="TableParagraph"/>
              <w:spacing w:line="240" w:lineRule="auto" w:before="61"/>
              <w:ind w:left="1673" w:right="0"/>
              <w:jc w:val="left"/>
              <w:rPr>
                <w:rFonts w:ascii="Times New Roman" w:hAnsi="Times New Roman" w:cs="Times New Roman" w:eastAsia="Times New Roman" w:hint="default"/>
                <w:sz w:val="18"/>
                <w:szCs w:val="18"/>
              </w:rPr>
            </w:pPr>
            <w:r>
              <w:rPr>
                <w:rFonts w:ascii="Times New Roman"/>
                <w:sz w:val="18"/>
              </w:rPr>
              <w:t>29,394,186.03</w:t>
            </w: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25,873,239.67</w:t>
            </w:r>
          </w:p>
        </w:tc>
        <w:tc>
          <w:tcPr>
            <w:tcW w:w="2213" w:type="dxa"/>
            <w:vMerge/>
            <w:tcBorders>
              <w:left w:val="single" w:sz="4" w:space="0" w:color="000000"/>
              <w:bottom w:val="single" w:sz="4" w:space="0" w:color="000000"/>
              <w:right w:val="single" w:sz="4" w:space="0" w:color="000000"/>
            </w:tcBorders>
          </w:tcPr>
          <w:p>
            <w:pPr/>
          </w:p>
        </w:tc>
        <w:tc>
          <w:tcPr>
            <w:tcW w:w="2722" w:type="dxa"/>
            <w:vMerge/>
            <w:tcBorders>
              <w:left w:val="single" w:sz="4" w:space="0" w:color="000000"/>
              <w:bottom w:val="single" w:sz="4" w:space="0" w:color="000000"/>
              <w:right w:val="nil" w:sz="6" w:space="0" w:color="auto"/>
            </w:tcBorders>
          </w:tcPr>
          <w:p>
            <w:pP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61" w:right="0"/>
              <w:jc w:val="left"/>
              <w:rPr>
                <w:rFonts w:ascii="Times New Roman" w:hAnsi="Times New Roman" w:cs="Times New Roman" w:eastAsia="Times New Roman" w:hint="default"/>
                <w:sz w:val="18"/>
                <w:szCs w:val="18"/>
              </w:rPr>
            </w:pPr>
            <w:r>
              <w:rPr>
                <w:rFonts w:ascii="Times New Roman"/>
                <w:sz w:val="18"/>
              </w:rPr>
              <w:t>---</w:t>
            </w:r>
          </w:p>
        </w:tc>
        <w:tc>
          <w:tcPr>
            <w:tcW w:w="2213" w:type="dxa"/>
            <w:vMerge w:val="restart"/>
            <w:tcBorders>
              <w:top w:val="single" w:sz="4" w:space="0" w:color="000000"/>
              <w:left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22" w:type="dxa"/>
            <w:vMerge w:val="restart"/>
            <w:tcBorders>
              <w:top w:val="single" w:sz="4" w:space="0" w:color="000000"/>
              <w:left w:val="single" w:sz="4" w:space="0" w:color="000000"/>
              <w:right w:val="nil" w:sz="6" w:space="0" w:color="auto"/>
            </w:tcBorders>
          </w:tcPr>
          <w:p>
            <w:pPr>
              <w:pStyle w:val="TableParagraph"/>
              <w:spacing w:line="240" w:lineRule="auto" w:before="61"/>
              <w:ind w:left="1763" w:right="0"/>
              <w:jc w:val="left"/>
              <w:rPr>
                <w:rFonts w:ascii="Times New Roman" w:hAnsi="Times New Roman" w:cs="Times New Roman" w:eastAsia="Times New Roman" w:hint="default"/>
                <w:sz w:val="18"/>
                <w:szCs w:val="18"/>
              </w:rPr>
            </w:pPr>
            <w:r>
              <w:rPr>
                <w:rFonts w:ascii="Times New Roman"/>
                <w:sz w:val="18"/>
              </w:rPr>
              <w:t>6,478,215.08</w:t>
            </w: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61" w:right="0"/>
              <w:jc w:val="left"/>
              <w:rPr>
                <w:rFonts w:ascii="Times New Roman" w:hAnsi="Times New Roman" w:cs="Times New Roman" w:eastAsia="Times New Roman" w:hint="default"/>
                <w:sz w:val="18"/>
                <w:szCs w:val="18"/>
              </w:rPr>
            </w:pPr>
            <w:r>
              <w:rPr>
                <w:rFonts w:ascii="Times New Roman"/>
                <w:sz w:val="18"/>
              </w:rPr>
              <w:t>---</w:t>
            </w:r>
          </w:p>
        </w:tc>
        <w:tc>
          <w:tcPr>
            <w:tcW w:w="2213" w:type="dxa"/>
            <w:vMerge/>
            <w:tcBorders>
              <w:left w:val="single" w:sz="4" w:space="0" w:color="000000"/>
              <w:right w:val="single" w:sz="4" w:space="0" w:color="000000"/>
            </w:tcBorders>
          </w:tcPr>
          <w:p>
            <w:pPr/>
          </w:p>
        </w:tc>
        <w:tc>
          <w:tcPr>
            <w:tcW w:w="2722" w:type="dxa"/>
            <w:vMerge/>
            <w:tcBorders>
              <w:left w:val="single" w:sz="4" w:space="0" w:color="000000"/>
              <w:right w:val="nil" w:sz="6" w:space="0" w:color="auto"/>
            </w:tcBorders>
          </w:tcPr>
          <w:p>
            <w:pP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6,478,215.08</w:t>
            </w:r>
          </w:p>
        </w:tc>
        <w:tc>
          <w:tcPr>
            <w:tcW w:w="2213" w:type="dxa"/>
            <w:vMerge/>
            <w:tcBorders>
              <w:left w:val="single" w:sz="4" w:space="0" w:color="000000"/>
              <w:bottom w:val="single" w:sz="4" w:space="0" w:color="000000"/>
              <w:right w:val="single" w:sz="4" w:space="0" w:color="000000"/>
            </w:tcBorders>
          </w:tcPr>
          <w:p>
            <w:pPr/>
          </w:p>
        </w:tc>
        <w:tc>
          <w:tcPr>
            <w:tcW w:w="2722" w:type="dxa"/>
            <w:vMerge/>
            <w:tcBorders>
              <w:left w:val="single" w:sz="4" w:space="0" w:color="000000"/>
              <w:bottom w:val="single" w:sz="4" w:space="0" w:color="000000"/>
              <w:right w:val="nil" w:sz="6" w:space="0" w:color="auto"/>
            </w:tcBorders>
          </w:tcPr>
          <w:p>
            <w:pP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82,240,821.55</w:t>
            </w:r>
          </w:p>
        </w:tc>
        <w:tc>
          <w:tcPr>
            <w:tcW w:w="2213" w:type="dxa"/>
            <w:vMerge w:val="restart"/>
            <w:tcBorders>
              <w:top w:val="single" w:sz="4" w:space="0" w:color="000000"/>
              <w:left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22" w:type="dxa"/>
            <w:vMerge w:val="restart"/>
            <w:tcBorders>
              <w:top w:val="single" w:sz="4" w:space="0" w:color="000000"/>
              <w:left w:val="single" w:sz="4" w:space="0" w:color="000000"/>
              <w:right w:val="nil" w:sz="6" w:space="0" w:color="auto"/>
            </w:tcBorders>
          </w:tcPr>
          <w:p>
            <w:pPr>
              <w:pStyle w:val="TableParagraph"/>
              <w:spacing w:line="240" w:lineRule="auto" w:before="61"/>
              <w:ind w:left="1673" w:right="0"/>
              <w:jc w:val="left"/>
              <w:rPr>
                <w:rFonts w:ascii="Times New Roman" w:hAnsi="Times New Roman" w:cs="Times New Roman" w:eastAsia="Times New Roman" w:hint="default"/>
                <w:sz w:val="18"/>
                <w:szCs w:val="18"/>
              </w:rPr>
            </w:pPr>
            <w:r>
              <w:rPr>
                <w:rFonts w:ascii="Times New Roman"/>
                <w:sz w:val="18"/>
              </w:rPr>
              <w:t>82,240,821.55</w:t>
            </w: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61" w:right="0"/>
              <w:jc w:val="left"/>
              <w:rPr>
                <w:rFonts w:ascii="Times New Roman" w:hAnsi="Times New Roman" w:cs="Times New Roman" w:eastAsia="Times New Roman" w:hint="default"/>
                <w:sz w:val="18"/>
                <w:szCs w:val="18"/>
              </w:rPr>
            </w:pPr>
            <w:r>
              <w:rPr>
                <w:rFonts w:ascii="Times New Roman"/>
                <w:sz w:val="18"/>
              </w:rPr>
              <w:t>---</w:t>
            </w:r>
          </w:p>
        </w:tc>
        <w:tc>
          <w:tcPr>
            <w:tcW w:w="2213" w:type="dxa"/>
            <w:vMerge/>
            <w:tcBorders>
              <w:left w:val="single" w:sz="4" w:space="0" w:color="000000"/>
              <w:bottom w:val="single" w:sz="4" w:space="0" w:color="000000"/>
              <w:right w:val="single" w:sz="4" w:space="0" w:color="000000"/>
            </w:tcBorders>
          </w:tcPr>
          <w:p>
            <w:pPr/>
          </w:p>
        </w:tc>
        <w:tc>
          <w:tcPr>
            <w:tcW w:w="2722" w:type="dxa"/>
            <w:vMerge/>
            <w:tcBorders>
              <w:left w:val="single" w:sz="4" w:space="0" w:color="000000"/>
              <w:bottom w:val="single" w:sz="4" w:space="0" w:color="000000"/>
              <w:right w:val="nil" w:sz="6" w:space="0" w:color="auto"/>
            </w:tcBorders>
          </w:tcPr>
          <w:p>
            <w:pP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5,711,094.00</w:t>
            </w:r>
          </w:p>
        </w:tc>
        <w:tc>
          <w:tcPr>
            <w:tcW w:w="2213" w:type="dxa"/>
            <w:vMerge w:val="restart"/>
            <w:tcBorders>
              <w:top w:val="single" w:sz="4" w:space="0" w:color="000000"/>
              <w:left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722" w:type="dxa"/>
            <w:vMerge w:val="restart"/>
            <w:tcBorders>
              <w:top w:val="single" w:sz="4" w:space="0" w:color="000000"/>
              <w:left w:val="single" w:sz="4" w:space="0" w:color="000000"/>
              <w:right w:val="nil" w:sz="6" w:space="0" w:color="auto"/>
            </w:tcBorders>
          </w:tcPr>
          <w:p>
            <w:pPr>
              <w:pStyle w:val="TableParagraph"/>
              <w:spacing w:line="240" w:lineRule="auto" w:before="61"/>
              <w:ind w:left="1673" w:right="0"/>
              <w:jc w:val="left"/>
              <w:rPr>
                <w:rFonts w:ascii="Times New Roman" w:hAnsi="Times New Roman" w:cs="Times New Roman" w:eastAsia="Times New Roman" w:hint="default"/>
                <w:sz w:val="18"/>
                <w:szCs w:val="18"/>
              </w:rPr>
            </w:pPr>
            <w:r>
              <w:rPr>
                <w:rFonts w:ascii="Times New Roman"/>
                <w:sz w:val="18"/>
              </w:rPr>
              <w:t>37,269,239.95</w:t>
            </w: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31,558,145.95</w:t>
            </w:r>
          </w:p>
        </w:tc>
        <w:tc>
          <w:tcPr>
            <w:tcW w:w="2213" w:type="dxa"/>
            <w:vMerge/>
            <w:tcBorders>
              <w:left w:val="single" w:sz="4" w:space="0" w:color="000000"/>
              <w:bottom w:val="single" w:sz="4" w:space="0" w:color="000000"/>
              <w:right w:val="single" w:sz="4" w:space="0" w:color="000000"/>
            </w:tcBorders>
          </w:tcPr>
          <w:p>
            <w:pPr/>
          </w:p>
        </w:tc>
        <w:tc>
          <w:tcPr>
            <w:tcW w:w="2722" w:type="dxa"/>
            <w:vMerge/>
            <w:tcBorders>
              <w:left w:val="single" w:sz="4" w:space="0" w:color="000000"/>
              <w:bottom w:val="single" w:sz="4" w:space="0" w:color="000000"/>
              <w:right w:val="nil" w:sz="6" w:space="0" w:color="auto"/>
            </w:tcBorders>
          </w:tcPr>
          <w:p>
            <w:pP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31,500.09</w:t>
            </w:r>
          </w:p>
        </w:tc>
        <w:tc>
          <w:tcPr>
            <w:tcW w:w="2213" w:type="dxa"/>
            <w:vMerge w:val="restart"/>
            <w:tcBorders>
              <w:top w:val="single" w:sz="4" w:space="0" w:color="000000"/>
              <w:left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22" w:type="dxa"/>
            <w:vMerge w:val="restart"/>
            <w:tcBorders>
              <w:top w:val="single" w:sz="4" w:space="0" w:color="000000"/>
              <w:left w:val="single" w:sz="4" w:space="0" w:color="000000"/>
              <w:right w:val="nil" w:sz="6" w:space="0" w:color="auto"/>
            </w:tcBorders>
          </w:tcPr>
          <w:p>
            <w:pPr>
              <w:pStyle w:val="TableParagraph"/>
              <w:spacing w:line="240" w:lineRule="auto" w:before="61"/>
              <w:ind w:left="1763" w:right="0"/>
              <w:jc w:val="left"/>
              <w:rPr>
                <w:rFonts w:ascii="Times New Roman" w:hAnsi="Times New Roman" w:cs="Times New Roman" w:eastAsia="Times New Roman" w:hint="default"/>
                <w:sz w:val="18"/>
                <w:szCs w:val="18"/>
              </w:rPr>
            </w:pPr>
            <w:r>
              <w:rPr>
                <w:rFonts w:ascii="Times New Roman"/>
                <w:sz w:val="18"/>
              </w:rPr>
              <w:t>5,336,584.97</w:t>
            </w: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61" w:right="0"/>
              <w:jc w:val="left"/>
              <w:rPr>
                <w:rFonts w:ascii="Times New Roman" w:hAnsi="Times New Roman" w:cs="Times New Roman" w:eastAsia="Times New Roman" w:hint="default"/>
                <w:sz w:val="18"/>
                <w:szCs w:val="18"/>
              </w:rPr>
            </w:pPr>
            <w:r>
              <w:rPr>
                <w:rFonts w:ascii="Times New Roman"/>
                <w:sz w:val="18"/>
              </w:rPr>
              <w:t>---</w:t>
            </w:r>
          </w:p>
        </w:tc>
        <w:tc>
          <w:tcPr>
            <w:tcW w:w="2213" w:type="dxa"/>
            <w:vMerge/>
            <w:tcBorders>
              <w:left w:val="single" w:sz="4" w:space="0" w:color="000000"/>
              <w:right w:val="single" w:sz="4" w:space="0" w:color="000000"/>
            </w:tcBorders>
          </w:tcPr>
          <w:p>
            <w:pPr/>
          </w:p>
        </w:tc>
        <w:tc>
          <w:tcPr>
            <w:tcW w:w="2722" w:type="dxa"/>
            <w:vMerge/>
            <w:tcBorders>
              <w:left w:val="single" w:sz="4" w:space="0" w:color="000000"/>
              <w:right w:val="nil" w:sz="6" w:space="0" w:color="auto"/>
            </w:tcBorders>
          </w:tcPr>
          <w:p>
            <w:pPr/>
          </w:p>
        </w:tc>
      </w:tr>
      <w:tr>
        <w:trPr>
          <w:trHeight w:val="342"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5,305,084.88</w:t>
            </w:r>
          </w:p>
        </w:tc>
        <w:tc>
          <w:tcPr>
            <w:tcW w:w="2213" w:type="dxa"/>
            <w:vMerge/>
            <w:tcBorders>
              <w:left w:val="single" w:sz="4" w:space="0" w:color="000000"/>
              <w:bottom w:val="single" w:sz="4" w:space="0" w:color="000000"/>
              <w:right w:val="single" w:sz="4" w:space="0" w:color="000000"/>
            </w:tcBorders>
          </w:tcPr>
          <w:p>
            <w:pPr/>
          </w:p>
        </w:tc>
        <w:tc>
          <w:tcPr>
            <w:tcW w:w="2722" w:type="dxa"/>
            <w:vMerge/>
            <w:tcBorders>
              <w:left w:val="single" w:sz="4" w:space="0" w:color="000000"/>
              <w:bottom w:val="single" w:sz="4" w:space="0" w:color="000000"/>
              <w:right w:val="nil" w:sz="6" w:space="0" w:color="auto"/>
            </w:tcBorders>
          </w:tcPr>
          <w:p>
            <w:pPr/>
          </w:p>
        </w:tc>
      </w:tr>
      <w:tr>
        <w:trPr>
          <w:trHeight w:val="342" w:hRule="exact"/>
        </w:trPr>
        <w:tc>
          <w:tcPr>
            <w:tcW w:w="2211" w:type="dxa"/>
            <w:vMerge w:val="restart"/>
            <w:tcBorders>
              <w:top w:val="single" w:sz="4" w:space="0" w:color="000000"/>
              <w:left w:val="nil" w:sz="6" w:space="0" w:color="auto"/>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13" w:type="dxa"/>
            <w:vMerge w:val="restart"/>
            <w:tcBorders>
              <w:top w:val="single" w:sz="4" w:space="0" w:color="000000"/>
              <w:left w:val="single" w:sz="4" w:space="0" w:color="000000"/>
              <w:right w:val="single" w:sz="4" w:space="0" w:color="000000"/>
            </w:tcBorders>
          </w:tcPr>
          <w:p>
            <w:pPr>
              <w:pStyle w:val="TableParagraph"/>
              <w:spacing w:line="240" w:lineRule="auto" w:before="61"/>
              <w:ind w:left="1463" w:right="0"/>
              <w:jc w:val="left"/>
              <w:rPr>
                <w:rFonts w:ascii="Times New Roman" w:hAnsi="Times New Roman" w:cs="Times New Roman" w:eastAsia="Times New Roman" w:hint="default"/>
                <w:sz w:val="18"/>
                <w:szCs w:val="18"/>
              </w:rPr>
            </w:pPr>
            <w:r>
              <w:rPr>
                <w:rFonts w:ascii="Times New Roman"/>
                <w:sz w:val="18"/>
              </w:rPr>
              <w:t>37,718,204.25</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19,962,899.22</w:t>
            </w:r>
          </w:p>
        </w:tc>
      </w:tr>
      <w:tr>
        <w:trPr>
          <w:trHeight w:val="342" w:hRule="exact"/>
        </w:trPr>
        <w:tc>
          <w:tcPr>
            <w:tcW w:w="2211" w:type="dxa"/>
            <w:vMerge/>
            <w:tcBorders>
              <w:left w:val="nil" w:sz="6" w:space="0" w:color="auto"/>
              <w:bottom w:val="single" w:sz="4" w:space="0" w:color="000000"/>
              <w:right w:val="single" w:sz="4" w:space="0" w:color="000000"/>
            </w:tcBorders>
          </w:tcPr>
          <w:p>
            <w:pPr/>
          </w:p>
        </w:tc>
        <w:tc>
          <w:tcPr>
            <w:tcW w:w="2513" w:type="dxa"/>
            <w:vMerge/>
            <w:tcBorders>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17,755,305.03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2）重要会计估计变更" w:id="219"/>
      <w:bookmarkEnd w:id="21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20"/>
      <w:bookmarkEnd w:id="220"/>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1"/>
      <w:bookmarkEnd w:id="221"/>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2"/>
      <w:bookmarkEnd w:id="222"/>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2" w:type="dxa"/>
        <w:tblLayout w:type="fixed"/>
        <w:tblCellMar>
          <w:top w:w="0" w:type="dxa"/>
          <w:left w:w="0" w:type="dxa"/>
          <w:bottom w:w="0" w:type="dxa"/>
          <w:right w:w="0" w:type="dxa"/>
        </w:tblCellMar>
        <w:tblLook w:val="01E0"/>
      </w:tblPr>
      <w:tblGrid>
        <w:gridCol w:w="3176"/>
        <w:gridCol w:w="3615"/>
        <w:gridCol w:w="2751"/>
      </w:tblGrid>
      <w:tr>
        <w:trPr>
          <w:trHeight w:val="402"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税种</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75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176" w:type="dxa"/>
            <w:tcBorders>
              <w:top w:val="single" w:sz="4" w:space="0" w:color="000000"/>
              <w:left w:val="nil" w:sz="6" w:space="0" w:color="auto"/>
              <w:bottom w:val="nil" w:sz="6" w:space="0" w:color="auto"/>
              <w:right w:val="single" w:sz="4" w:space="0" w:color="000000"/>
            </w:tcBorders>
            <w:shd w:val="clear" w:color="auto" w:fill="D2D2D2"/>
          </w:tcPr>
          <w:p>
            <w:pPr/>
          </w:p>
        </w:tc>
        <w:tc>
          <w:tcPr>
            <w:tcW w:w="3615"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19"/>
              <w:jc w:val="both"/>
              <w:rPr>
                <w:rFonts w:ascii="宋体" w:hAnsi="宋体" w:cs="宋体" w:eastAsia="宋体" w:hint="default"/>
                <w:sz w:val="18"/>
                <w:szCs w:val="18"/>
              </w:rPr>
            </w:pPr>
            <w:r>
              <w:rPr>
                <w:rFonts w:ascii="宋体" w:hAnsi="宋体" w:cs="宋体" w:eastAsia="宋体" w:hint="default"/>
                <w:spacing w:val="-3"/>
                <w:sz w:val="18"/>
                <w:szCs w:val="18"/>
              </w:rPr>
              <w:t>境内销售；提供加工、修理修配劳务；以及进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口等货物；提供有形动产租赁服务提供不动产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租赁服务，销售不动产，转让土地使用权其他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应税销售服务行为</w:t>
            </w:r>
          </w:p>
        </w:tc>
        <w:tc>
          <w:tcPr>
            <w:tcW w:w="2751"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6%</w:t>
            </w:r>
          </w:p>
        </w:tc>
      </w:tr>
      <w:tr>
        <w:trPr>
          <w:trHeight w:val="391" w:hRule="exact"/>
        </w:trPr>
        <w:tc>
          <w:tcPr>
            <w:tcW w:w="3176"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615" w:type="dxa"/>
            <w:vMerge/>
            <w:tcBorders>
              <w:left w:val="single" w:sz="9" w:space="0" w:color="D2D2D2"/>
              <w:right w:val="single" w:sz="4" w:space="0" w:color="000000"/>
            </w:tcBorders>
          </w:tcPr>
          <w:p>
            <w:pPr/>
          </w:p>
        </w:tc>
        <w:tc>
          <w:tcPr>
            <w:tcW w:w="2751" w:type="dxa"/>
            <w:vMerge/>
            <w:tcBorders>
              <w:left w:val="single" w:sz="4" w:space="0" w:color="000000"/>
              <w:right w:val="nil" w:sz="6" w:space="0" w:color="auto"/>
            </w:tcBorders>
          </w:tcPr>
          <w:p>
            <w:pPr/>
          </w:p>
        </w:tc>
      </w:tr>
      <w:tr>
        <w:trPr>
          <w:trHeight w:val="473" w:hRule="exact"/>
        </w:trPr>
        <w:tc>
          <w:tcPr>
            <w:tcW w:w="3176" w:type="dxa"/>
            <w:tcBorders>
              <w:top w:val="nil" w:sz="6" w:space="0" w:color="auto"/>
              <w:left w:val="nil" w:sz="6" w:space="0" w:color="auto"/>
              <w:bottom w:val="single" w:sz="4" w:space="0" w:color="000000"/>
              <w:right w:val="single" w:sz="4" w:space="0" w:color="000000"/>
            </w:tcBorders>
            <w:shd w:val="clear" w:color="auto" w:fill="D2D2D2"/>
          </w:tcPr>
          <w:p>
            <w:pPr/>
          </w:p>
        </w:tc>
        <w:tc>
          <w:tcPr>
            <w:tcW w:w="3615" w:type="dxa"/>
            <w:vMerge/>
            <w:tcBorders>
              <w:left w:val="single" w:sz="9" w:space="0" w:color="D2D2D2"/>
              <w:bottom w:val="single" w:sz="4" w:space="0" w:color="000000"/>
              <w:right w:val="single" w:sz="4" w:space="0" w:color="000000"/>
            </w:tcBorders>
          </w:tcPr>
          <w:p>
            <w:pPr/>
          </w:p>
        </w:tc>
        <w:tc>
          <w:tcPr>
            <w:tcW w:w="2751" w:type="dxa"/>
            <w:vMerge/>
            <w:tcBorders>
              <w:left w:val="single" w:sz="4" w:space="0" w:color="000000"/>
              <w:bottom w:val="single" w:sz="4" w:space="0" w:color="000000"/>
              <w:right w:val="nil" w:sz="6" w:space="0" w:color="auto"/>
            </w:tcBorders>
          </w:tcPr>
          <w:p>
            <w:pPr/>
          </w:p>
        </w:tc>
      </w:tr>
      <w:tr>
        <w:trPr>
          <w:trHeight w:val="402"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6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2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7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6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2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2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6"/>
        <w:rPr>
          <w:rFonts w:ascii="宋体" w:hAnsi="宋体" w:cs="宋体" w:eastAsia="宋体" w:hint="default"/>
          <w:b/>
          <w:bCs/>
          <w:sz w:val="27"/>
          <w:szCs w:val="27"/>
        </w:rPr>
      </w:pPr>
    </w:p>
    <w:p>
      <w:pPr>
        <w:pStyle w:val="BodyText"/>
        <w:spacing w:line="240" w:lineRule="auto" w:before="44"/>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武汉金之运</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武汉斯利沃</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上海金萃</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高投金运</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高汇科技</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金运产业发展</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金运互动</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税收优惠" w:id="223"/>
      <w:bookmarkEnd w:id="22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18"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3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30</w:t>
      </w:r>
      <w:r>
        <w:rPr>
          <w:rFonts w:ascii="Times New Roman" w:hAnsi="Times New Roman" w:cs="Times New Roman" w:eastAsia="Times New Roman" w:hint="default"/>
          <w:spacing w:val="11"/>
        </w:rPr>
        <w:t> </w:t>
      </w:r>
      <w:r>
        <w:rPr/>
        <w:t>日，本公司取得由湖北省科学技术厅、湖北省财政厅、湖北省国家税务局、湖北省地方税务局联合颁 发的编号为</w:t>
      </w:r>
      <w:r>
        <w:rPr>
          <w:spacing w:val="-46"/>
        </w:rPr>
        <w:t> </w:t>
      </w:r>
      <w:r>
        <w:rPr>
          <w:rFonts w:ascii="Times New Roman" w:hAnsi="Times New Roman" w:cs="Times New Roman" w:eastAsia="Times New Roman" w:hint="default"/>
        </w:rPr>
        <w:t>GR201742001980</w:t>
      </w:r>
      <w:r>
        <w:rPr>
          <w:rFonts w:ascii="Times New Roman" w:hAnsi="Times New Roman" w:cs="Times New Roman" w:eastAsia="Times New Roman" w:hint="default"/>
          <w:spacing w:val="-1"/>
        </w:rPr>
        <w:t> </w:t>
      </w:r>
      <w:r>
        <w:rPr/>
        <w:t>的高新技术企业证书，</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年享受所得税优惠税率</w:t>
      </w:r>
      <w:r>
        <w:rPr>
          <w:spacing w:val="-46"/>
        </w:rPr>
        <w:t> </w:t>
      </w:r>
      <w:r>
        <w:rPr>
          <w:rFonts w:ascii="Times New Roman" w:hAnsi="Times New Roman" w:cs="Times New Roman" w:eastAsia="Times New Roman" w:hint="default"/>
        </w:rPr>
        <w:t>15%</w:t>
      </w:r>
      <w:r>
        <w:rPr/>
        <w:t>。</w:t>
      </w:r>
    </w:p>
    <w:p>
      <w:pPr>
        <w:pStyle w:val="BodyText"/>
        <w:spacing w:line="300" w:lineRule="auto" w:before="49"/>
        <w:ind w:right="1118" w:firstLine="36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日，武汉唯拓在由全国高新技术企业认定管理工作领导小组办公室发布的《湖北省</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年第二批拟认 </w:t>
      </w:r>
      <w:r>
        <w:rPr>
          <w:spacing w:val="-2"/>
        </w:rPr>
        <w:t>定高新技术企业名单》中被公示认定为高新技术企业，因政府程序原因暂未取得高新技术企业证书，根据《国家税务总局关</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2" w:lineRule="auto" w:before="44"/>
        <w:ind w:right="1119"/>
        <w:jc w:val="left"/>
      </w:pPr>
      <w:r>
        <w:rPr>
          <w:spacing w:val="-3"/>
        </w:rPr>
        <w:t>于实施高新技术企业所得税优惠政策有关问题的公告》（国家税务总局公告</w:t>
      </w:r>
      <w:r>
        <w:rPr>
          <w:spacing w:val="-3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年第</w:t>
      </w:r>
      <w:r>
        <w:rPr>
          <w:spacing w:val="-37"/>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号）的规定，</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年至</w:t>
      </w:r>
      <w:r>
        <w:rPr>
          <w:spacing w:val="-37"/>
        </w:rPr>
        <w:t> </w:t>
      </w:r>
      <w:r>
        <w:rPr>
          <w:rFonts w:ascii="Times New Roman" w:hAnsi="Times New Roman" w:cs="Times New Roman" w:eastAsia="Times New Roman" w:hint="default"/>
        </w:rPr>
        <w:t>2020</w:t>
      </w:r>
      <w:r>
        <w:rPr>
          <w:rFonts w:ascii="Times New Roman" w:hAnsi="Times New Roman" w:cs="Times New Roman" w:eastAsia="Times New Roman" w:hint="default"/>
          <w:spacing w:val="8"/>
        </w:rPr>
        <w:t> </w:t>
      </w:r>
      <w:r>
        <w:rPr/>
        <w:t>年享 受所得税优惠税率</w:t>
      </w:r>
      <w:r>
        <w:rPr>
          <w:spacing w:val="-46"/>
        </w:rPr>
        <w:t> </w:t>
      </w:r>
      <w:r>
        <w:rPr>
          <w:rFonts w:ascii="Times New Roman" w:hAnsi="Times New Roman" w:cs="Times New Roman" w:eastAsia="Times New Roman" w:hint="default"/>
        </w:rPr>
        <w:t>15%</w:t>
      </w:r>
      <w:r>
        <w:rPr/>
        <w:t>。</w:t>
      </w:r>
    </w:p>
    <w:p>
      <w:pPr>
        <w:pStyle w:val="BodyText"/>
        <w:spacing w:line="302" w:lineRule="auto" w:before="49"/>
        <w:ind w:right="1118" w:firstLine="36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r>
        <w:rPr>
          <w:spacing w:val="-3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24</w:t>
      </w:r>
      <w:r>
        <w:rPr>
          <w:rFonts w:ascii="Times New Roman" w:hAnsi="Times New Roman" w:cs="Times New Roman" w:eastAsia="Times New Roman" w:hint="default"/>
          <w:spacing w:val="11"/>
        </w:rPr>
        <w:t> </w:t>
      </w:r>
      <w:r>
        <w:rPr/>
        <w:t>日，上海金萃取得由上海市科学技术委员会、上海市财政局、上海市国家税务局、上海市地方税务局 联合颁发的编号为</w:t>
      </w:r>
      <w:r>
        <w:rPr>
          <w:spacing w:val="-46"/>
        </w:rPr>
        <w:t> </w:t>
      </w:r>
      <w:r>
        <w:rPr>
          <w:rFonts w:ascii="Times New Roman" w:hAnsi="Times New Roman" w:cs="Times New Roman" w:eastAsia="Times New Roman" w:hint="default"/>
        </w:rPr>
        <w:t>GR201631001835</w:t>
      </w:r>
      <w:r>
        <w:rPr>
          <w:rFonts w:ascii="Times New Roman" w:hAnsi="Times New Roman" w:cs="Times New Roman" w:eastAsia="Times New Roman" w:hint="default"/>
          <w:spacing w:val="-1"/>
        </w:rPr>
        <w:t> </w:t>
      </w:r>
      <w:r>
        <w:rPr/>
        <w:t>的高新技术企业证书，</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年享受所得税优惠税率</w:t>
      </w:r>
      <w:r>
        <w:rPr>
          <w:spacing w:val="-46"/>
        </w:rPr>
        <w:t> </w:t>
      </w:r>
      <w:r>
        <w:rPr>
          <w:rFonts w:ascii="Times New Roman" w:hAnsi="Times New Roman" w:cs="Times New Roman" w:eastAsia="Times New Roman" w:hint="default"/>
        </w:rPr>
        <w:t>15%</w:t>
      </w:r>
      <w:r>
        <w:rPr/>
        <w:t>。</w:t>
      </w:r>
    </w:p>
    <w:p>
      <w:pPr>
        <w:pStyle w:val="BodyText"/>
        <w:spacing w:line="302" w:lineRule="auto" w:before="51"/>
        <w:ind w:right="1114" w:firstLine="360"/>
        <w:jc w:val="left"/>
      </w:pPr>
      <w:r>
        <w:rPr>
          <w:rFonts w:ascii="Times New Roman" w:hAnsi="Times New Roman" w:cs="Times New Roman" w:eastAsia="Times New Roman" w:hint="default"/>
        </w:rPr>
        <w:t>2018 </w:t>
      </w:r>
      <w:r>
        <w:rPr/>
        <w:t>年度武汉斯利沃、高投金运、金运数字、金运产业发展和金运互动符合小型微利企业的认定条件，适用</w:t>
      </w:r>
      <w:r>
        <w:rPr>
          <w:spacing w:val="-7"/>
        </w:rPr>
        <w:t> </w:t>
      </w:r>
      <w:r>
        <w:rPr>
          <w:rFonts w:ascii="Times New Roman" w:hAnsi="Times New Roman" w:cs="Times New Roman" w:eastAsia="Times New Roman" w:hint="default"/>
        </w:rPr>
        <w:t>20%</w:t>
      </w:r>
      <w:r>
        <w:rPr/>
        <w:t>的所 得税优惠税率并减半征收所得税。</w:t>
      </w:r>
    </w:p>
    <w:p>
      <w:pPr>
        <w:spacing w:line="240" w:lineRule="auto" w:before="2"/>
        <w:rPr>
          <w:rFonts w:ascii="宋体" w:hAnsi="宋体" w:cs="宋体" w:eastAsia="宋体" w:hint="default"/>
          <w:sz w:val="23"/>
          <w:szCs w:val="23"/>
        </w:rPr>
      </w:pPr>
    </w:p>
    <w:p>
      <w:pPr>
        <w:pStyle w:val="Heading4"/>
        <w:spacing w:line="240" w:lineRule="auto"/>
        <w:ind w:right="0"/>
        <w:jc w:val="left"/>
        <w:rPr>
          <w:b w:val="0"/>
          <w:bCs w:val="0"/>
        </w:rPr>
      </w:pPr>
      <w:bookmarkStart w:name="3、其他" w:id="224"/>
      <w:bookmarkEnd w:id="224"/>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0" w:firstLine="360"/>
        <w:jc w:val="left"/>
      </w:pPr>
      <w:r>
        <w:rPr>
          <w:spacing w:val="-2"/>
        </w:rPr>
        <w:t>根据财政部、税务总局《关于调整增值税税率的通知》（财税〔</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32</w:t>
      </w:r>
      <w:r>
        <w:rPr>
          <w:spacing w:val="-2"/>
        </w:rPr>
        <w:t>号）的规定，本公司自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日起发生增</w:t>
      </w:r>
      <w:r>
        <w:rPr/>
        <w:t> 值税应税销售行为或者进口货物，原适用</w:t>
      </w:r>
      <w:r>
        <w:rPr>
          <w:rFonts w:ascii="Times New Roman" w:hAnsi="Times New Roman" w:cs="Times New Roman" w:eastAsia="Times New Roman" w:hint="default"/>
        </w:rPr>
        <w:t>17%</w:t>
      </w:r>
      <w:r>
        <w:rPr/>
        <w:t>和</w:t>
      </w:r>
      <w:r>
        <w:rPr>
          <w:rFonts w:ascii="Times New Roman" w:hAnsi="Times New Roman" w:cs="Times New Roman" w:eastAsia="Times New Roman" w:hint="default"/>
        </w:rPr>
        <w:t>11%</w:t>
      </w:r>
      <w:r>
        <w:rPr/>
        <w:t>税率的，税率分别调整为</w:t>
      </w:r>
      <w:r>
        <w:rPr>
          <w:rFonts w:ascii="Times New Roman" w:hAnsi="Times New Roman" w:cs="Times New Roman" w:eastAsia="Times New Roman" w:hint="default"/>
        </w:rPr>
        <w:t>16%</w:t>
      </w:r>
      <w:r>
        <w:rPr/>
        <w:t>、</w:t>
      </w:r>
      <w:r>
        <w:rPr>
          <w:rFonts w:ascii="Times New Roman" w:hAnsi="Times New Roman" w:cs="Times New Roman" w:eastAsia="Times New Roman" w:hint="default"/>
        </w:rPr>
        <w:t>10%</w:t>
      </w:r>
      <w:r>
        <w:rPr/>
        <w:t>。</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七、合并财务报表项目注释" w:id="225"/>
      <w:bookmarkEnd w:id="225"/>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26"/>
      <w:bookmarkEnd w:id="22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6,355.01</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27,078.12</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51,237,447.85</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56,524,313.64</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28,776,187.50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2,465,834.00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80,019,990.36</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59,017,225.76</w:t>
            </w:r>
          </w:p>
        </w:tc>
      </w:tr>
      <w:tr>
        <w:trPr>
          <w:trHeight w:val="403"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9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150,682.81</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146,650.40</w:t>
            </w:r>
          </w:p>
        </w:tc>
      </w:tr>
    </w:tbl>
    <w:p>
      <w:pPr>
        <w:pStyle w:val="BodyText"/>
        <w:spacing w:line="240" w:lineRule="auto" w:before="51"/>
        <w:ind w:right="0"/>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574" w:right="0"/>
        <w:jc w:val="left"/>
      </w:pPr>
      <w:r>
        <w:rPr/>
        <w:t>其中受限制的货币资金明细如下：</w:t>
      </w:r>
    </w:p>
    <w:p>
      <w:pPr>
        <w:spacing w:line="240" w:lineRule="auto" w:before="0"/>
        <w:rPr>
          <w:rFonts w:ascii="宋体" w:hAnsi="宋体" w:cs="宋体" w:eastAsia="宋体" w:hint="default"/>
          <w:sz w:val="5"/>
          <w:szCs w:val="5"/>
        </w:rPr>
      </w:pPr>
    </w:p>
    <w:tbl>
      <w:tblPr>
        <w:tblW w:w="0" w:type="auto"/>
        <w:jc w:val="left"/>
        <w:tblInd w:w="125" w:type="dxa"/>
        <w:tblLayout w:type="fixed"/>
        <w:tblCellMar>
          <w:top w:w="0" w:type="dxa"/>
          <w:left w:w="0" w:type="dxa"/>
          <w:bottom w:w="0" w:type="dxa"/>
          <w:right w:w="0" w:type="dxa"/>
        </w:tblCellMar>
        <w:tblLook w:val="01E0"/>
      </w:tblPr>
      <w:tblGrid>
        <w:gridCol w:w="4152"/>
        <w:gridCol w:w="2761"/>
        <w:gridCol w:w="2760"/>
      </w:tblGrid>
      <w:tr>
        <w:trPr>
          <w:trHeight w:val="342"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right="1882"/>
              <w:jc w:val="right"/>
              <w:rPr>
                <w:rFonts w:ascii="宋体" w:hAnsi="宋体" w:cs="宋体" w:eastAsia="宋体" w:hint="default"/>
                <w:sz w:val="18"/>
                <w:szCs w:val="18"/>
              </w:rPr>
            </w:pPr>
            <w:r>
              <w:rPr>
                <w:rFonts w:ascii="宋体" w:hAnsi="宋体" w:cs="宋体" w:eastAsia="宋体" w:hint="default"/>
                <w:sz w:val="18"/>
                <w:szCs w:val="18"/>
              </w:rPr>
              <w:t>项目</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2"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7,637,531.50</w:t>
            </w:r>
          </w:p>
        </w:tc>
        <w:tc>
          <w:tcPr>
            <w:tcW w:w="2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2,465,834.00</w:t>
            </w:r>
          </w:p>
        </w:tc>
      </w:tr>
      <w:tr>
        <w:trPr>
          <w:trHeight w:val="342"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受冻结的银行存款</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w:t>
            </w:r>
          </w:p>
        </w:tc>
        <w:tc>
          <w:tcPr>
            <w:tcW w:w="2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607,278.00</w:t>
            </w:r>
          </w:p>
        </w:tc>
      </w:tr>
      <w:tr>
        <w:trPr>
          <w:trHeight w:val="342"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借款保证金</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21,138,656.00</w:t>
            </w:r>
          </w:p>
        </w:tc>
        <w:tc>
          <w:tcPr>
            <w:tcW w:w="2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4"/>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4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right="188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28,776,187.50</w:t>
            </w:r>
            <w:r>
              <w:rPr>
                <w:rFonts w:ascii="Times New Roman"/>
                <w:spacing w:val="-1"/>
                <w:sz w:val="18"/>
              </w:rPr>
            </w:r>
          </w:p>
        </w:tc>
        <w:tc>
          <w:tcPr>
            <w:tcW w:w="27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b/>
                <w:spacing w:val="-1"/>
                <w:sz w:val="18"/>
              </w:rPr>
              <w:t>3,073,112.00</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bookmarkStart w:name="2、以公允价值计量且其变动计入当期损益的金融资产" w:id="227"/>
      <w:bookmarkEnd w:id="227"/>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衍生金融资产" w:id="228"/>
      <w:bookmarkEnd w:id="228"/>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应收票据及应收账款" w:id="229"/>
      <w:bookmarkEnd w:id="229"/>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963"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8,349,420.52</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3,520,946.36</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23,479,957.90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25,873,239.67</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31,829,378.42</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29,394,186.03</w:t>
            </w:r>
          </w:p>
        </w:tc>
      </w:tr>
    </w:tbl>
    <w:p>
      <w:pPr>
        <w:spacing w:line="240" w:lineRule="auto" w:before="2"/>
        <w:rPr>
          <w:rFonts w:ascii="宋体" w:hAnsi="宋体" w:cs="宋体" w:eastAsia="宋体" w:hint="default"/>
          <w:sz w:val="19"/>
          <w:szCs w:val="19"/>
        </w:rPr>
      </w:pPr>
    </w:p>
    <w:p>
      <w:pPr>
        <w:pStyle w:val="Heading4"/>
        <w:spacing w:line="240" w:lineRule="auto" w:before="35"/>
        <w:ind w:left="954" w:right="0"/>
        <w:jc w:val="left"/>
        <w:rPr>
          <w:b w:val="0"/>
          <w:bCs w:val="0"/>
        </w:rPr>
      </w:pPr>
      <w:bookmarkStart w:name="（1）应收票据" w:id="230"/>
      <w:bookmarkEnd w:id="23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954"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962"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8,349,420.52</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3,166,902.00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354,044.36</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8,349,420.52</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3,520,946.36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80" w:right="0"/>
        </w:sectPr>
      </w:pPr>
    </w:p>
    <w:p>
      <w:pPr>
        <w:pStyle w:val="BodyText"/>
        <w:spacing w:line="240" w:lineRule="auto" w:before="51"/>
        <w:ind w:left="954" w:right="-2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954" w:right="-20"/>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953" w:right="0"/>
        <w:jc w:val="left"/>
      </w:pPr>
      <w:r>
        <w:rPr/>
        <w:t>单位： 元</w:t>
      </w:r>
    </w:p>
    <w:p>
      <w:pPr>
        <w:spacing w:after="0" w:line="240" w:lineRule="auto"/>
        <w:jc w:val="left"/>
        <w:sectPr>
          <w:type w:val="continuous"/>
          <w:pgSz w:w="11910" w:h="16840"/>
          <w:pgMar w:top="1060" w:bottom="1160" w:left="180" w:right="0"/>
          <w:cols w:num="2" w:equalWidth="0">
            <w:col w:w="5965" w:space="2865"/>
            <w:col w:w="2900"/>
          </w:cols>
        </w:sectPr>
      </w:pPr>
    </w:p>
    <w:p>
      <w:pPr>
        <w:spacing w:line="240" w:lineRule="auto" w:before="1"/>
        <w:rPr>
          <w:rFonts w:ascii="宋体" w:hAnsi="宋体" w:cs="宋体" w:eastAsia="宋体" w:hint="default"/>
          <w:sz w:val="8"/>
          <w:szCs w:val="8"/>
        </w:rPr>
      </w:pPr>
    </w:p>
    <w:tbl>
      <w:tblPr>
        <w:tblW w:w="0" w:type="auto"/>
        <w:jc w:val="left"/>
        <w:tblInd w:w="962"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15,935,923.08</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2,732,420.52</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15,935,923.08</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2,732,420.52</w:t>
            </w:r>
          </w:p>
        </w:tc>
      </w:tr>
    </w:tbl>
    <w:p>
      <w:pPr>
        <w:pStyle w:val="BodyText"/>
        <w:spacing w:line="240" w:lineRule="auto" w:before="51"/>
        <w:ind w:left="954" w:right="0"/>
        <w:jc w:val="left"/>
      </w:pPr>
      <w:r>
        <w:rPr>
          <w:rFonts w:ascii="Times New Roman" w:hAnsi="Times New Roman" w:cs="Times New Roman" w:eastAsia="Times New Roman" w:hint="default"/>
        </w:rPr>
        <w:t>4)</w:t>
      </w:r>
      <w:r>
        <w:rPr/>
        <w:t>期末公司因出票人未履约而将其转应收账款的票据</w:t>
      </w:r>
    </w:p>
    <w:p>
      <w:pPr>
        <w:spacing w:line="240" w:lineRule="auto" w:before="10"/>
        <w:rPr>
          <w:rFonts w:ascii="宋体" w:hAnsi="宋体" w:cs="宋体" w:eastAsia="宋体" w:hint="default"/>
          <w:sz w:val="25"/>
          <w:szCs w:val="25"/>
        </w:rPr>
      </w:pPr>
    </w:p>
    <w:p>
      <w:pPr>
        <w:pStyle w:val="Heading4"/>
        <w:spacing w:line="240" w:lineRule="auto"/>
        <w:ind w:left="954" w:right="0"/>
        <w:jc w:val="left"/>
        <w:rPr>
          <w:b w:val="0"/>
          <w:bCs w:val="0"/>
        </w:rPr>
      </w:pPr>
      <w:bookmarkStart w:name="（2）应收账款" w:id="231"/>
      <w:bookmarkEnd w:id="231"/>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954"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1393"/>
        <w:gridCol w:w="1146"/>
        <w:gridCol w:w="708"/>
        <w:gridCol w:w="1134"/>
        <w:gridCol w:w="710"/>
        <w:gridCol w:w="1220"/>
        <w:gridCol w:w="1190"/>
        <w:gridCol w:w="708"/>
        <w:gridCol w:w="1134"/>
        <w:gridCol w:w="851"/>
        <w:gridCol w:w="1120"/>
      </w:tblGrid>
      <w:tr>
        <w:trPr>
          <w:trHeight w:val="397" w:hRule="exact"/>
        </w:trPr>
        <w:tc>
          <w:tcPr>
            <w:tcW w:w="1393" w:type="dxa"/>
            <w:vMerge w:val="restart"/>
            <w:tcBorders>
              <w:top w:val="single" w:sz="4" w:space="0" w:color="000000"/>
              <w:left w:val="nil" w:sz="6" w:space="0" w:color="auto"/>
              <w:right w:val="single" w:sz="4" w:space="0" w:color="000000"/>
            </w:tcBorders>
            <w:shd w:val="clear" w:color="auto" w:fill="D2D2D2"/>
          </w:tcPr>
          <w:p>
            <w:pPr/>
          </w:p>
        </w:tc>
        <w:tc>
          <w:tcPr>
            <w:tcW w:w="49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004" w:type="dxa"/>
            <w:gridSpan w:val="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393" w:type="dxa"/>
            <w:vMerge/>
            <w:tcBorders>
              <w:left w:val="nil" w:sz="6" w:space="0" w:color="auto"/>
              <w:bottom w:val="nil" w:sz="6" w:space="0" w:color="auto"/>
              <w:right w:val="single" w:sz="4" w:space="0" w:color="000000"/>
            </w:tcBorders>
            <w:shd w:val="clear" w:color="auto" w:fill="D2D2D2"/>
          </w:tcPr>
          <w:p>
            <w:pPr/>
          </w:p>
        </w:tc>
        <w:tc>
          <w:tcPr>
            <w:tcW w:w="18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8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20" w:type="dxa"/>
            <w:vMerge w:val="restart"/>
            <w:tcBorders>
              <w:top w:val="single" w:sz="4" w:space="0" w:color="000000"/>
              <w:left w:val="single" w:sz="4" w:space="0" w:color="000000"/>
              <w:right w:val="nil" w:sz="6" w:space="0" w:color="auto"/>
            </w:tcBorders>
            <w:shd w:val="clear" w:color="auto" w:fill="D2D2D2"/>
          </w:tcPr>
          <w:p>
            <w:pPr/>
          </w:p>
        </w:tc>
      </w:tr>
      <w:tr>
        <w:trPr>
          <w:trHeight w:val="241" w:hRule="exact"/>
        </w:trPr>
        <w:tc>
          <w:tcPr>
            <w:tcW w:w="1393"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54" w:type="dxa"/>
            <w:gridSpan w:val="2"/>
            <w:vMerge/>
            <w:tcBorders>
              <w:left w:val="single" w:sz="4" w:space="0" w:color="000000"/>
              <w:bottom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899" w:type="dxa"/>
            <w:gridSpan w:val="2"/>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120" w:type="dxa"/>
            <w:vMerge/>
            <w:tcBorders>
              <w:left w:val="single" w:sz="4" w:space="0" w:color="000000"/>
              <w:bottom w:val="nil" w:sz="6" w:space="0" w:color="auto"/>
              <w:right w:val="nil" w:sz="6" w:space="0" w:color="auto"/>
            </w:tcBorders>
            <w:shd w:val="clear" w:color="auto" w:fill="D2D2D2"/>
          </w:tcPr>
          <w:p>
            <w:pPr/>
          </w:p>
        </w:tc>
      </w:tr>
      <w:tr>
        <w:trPr>
          <w:trHeight w:val="161" w:hRule="exact"/>
        </w:trPr>
        <w:tc>
          <w:tcPr>
            <w:tcW w:w="1393" w:type="dxa"/>
            <w:vMerge/>
            <w:tcBorders>
              <w:left w:val="nil" w:sz="6" w:space="0" w:color="auto"/>
              <w:bottom w:val="nil" w:sz="6" w:space="0" w:color="auto"/>
              <w:right w:val="single" w:sz="4" w:space="0" w:color="000000"/>
            </w:tcBorders>
            <w:shd w:val="clear" w:color="auto" w:fill="D2D2D2"/>
          </w:tcPr>
          <w:p>
            <w:pPr/>
          </w:p>
        </w:tc>
        <w:tc>
          <w:tcPr>
            <w:tcW w:w="114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60" w:right="77"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4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0"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393" w:type="dxa"/>
            <w:vMerge w:val="restart"/>
            <w:tcBorders>
              <w:top w:val="nil" w:sz="6" w:space="0" w:color="auto"/>
              <w:left w:val="nil" w:sz="6" w:space="0" w:color="auto"/>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20" w:type="dxa"/>
            <w:vMerge/>
            <w:tcBorders>
              <w:left w:val="single" w:sz="4" w:space="0" w:color="000000"/>
              <w:bottom w:val="nil" w:sz="6" w:space="0" w:color="auto"/>
              <w:right w:val="nil" w:sz="6" w:space="0" w:color="auto"/>
            </w:tcBorders>
            <w:shd w:val="clear" w:color="auto" w:fill="D2D2D2"/>
          </w:tcPr>
          <w:p>
            <w:pPr/>
          </w:p>
        </w:tc>
      </w:tr>
      <w:tr>
        <w:trPr>
          <w:trHeight w:val="200" w:hRule="exact"/>
        </w:trPr>
        <w:tc>
          <w:tcPr>
            <w:tcW w:w="1393" w:type="dxa"/>
            <w:vMerge/>
            <w:tcBorders>
              <w:left w:val="nil" w:sz="6" w:space="0" w:color="auto"/>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120"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393" w:type="dxa"/>
            <w:vMerge/>
            <w:tcBorders>
              <w:left w:val="nil" w:sz="6" w:space="0" w:color="auto"/>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0" w:type="dxa"/>
            <w:vMerge/>
            <w:tcBorders>
              <w:left w:val="single" w:sz="4" w:space="0" w:color="000000"/>
              <w:bottom w:val="single" w:sz="4" w:space="0" w:color="000000"/>
              <w:right w:val="nil" w:sz="6" w:space="0" w:color="auto"/>
            </w:tcBorders>
            <w:shd w:val="clear" w:color="auto" w:fill="D2D2D2"/>
          </w:tcPr>
          <w:p>
            <w:pPr/>
          </w:p>
        </w:tc>
      </w:tr>
      <w:tr>
        <w:trPr>
          <w:trHeight w:val="1026" w:hRule="exact"/>
        </w:trPr>
        <w:tc>
          <w:tcPr>
            <w:tcW w:w="1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12"/>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725,396.79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725,396.79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721,194.95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721,194.95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20"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1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12"/>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34,170,191.92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10,690,234.02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23,479,957.90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35,239,951.89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9,366,712.22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26.58%</w:t>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25,873,239.67</w:t>
            </w:r>
          </w:p>
        </w:tc>
      </w:tr>
      <w:tr>
        <w:trPr>
          <w:trHeight w:val="1026" w:hRule="exact"/>
        </w:trPr>
        <w:tc>
          <w:tcPr>
            <w:tcW w:w="1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12"/>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296,225.44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296,225.44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296,225.44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296,225.44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20" w:type="dxa"/>
            <w:tcBorders>
              <w:top w:val="single" w:sz="4" w:space="0" w:color="000000"/>
              <w:left w:val="single" w:sz="4" w:space="0" w:color="000000"/>
              <w:bottom w:val="single" w:sz="4" w:space="0" w:color="000000"/>
              <w:right w:val="nil" w:sz="6" w:space="0" w:color="auto"/>
            </w:tcBorders>
          </w:tcPr>
          <w:p>
            <w:pPr/>
          </w:p>
        </w:tc>
      </w:tr>
    </w:tbl>
    <w:p>
      <w:pPr>
        <w:spacing w:after="0"/>
        <w:sectPr>
          <w:type w:val="continuous"/>
          <w:pgSz w:w="11910" w:h="16840"/>
          <w:pgMar w:top="1060" w:bottom="1160" w:left="180" w:right="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418"/>
        <w:gridCol w:w="1135"/>
        <w:gridCol w:w="708"/>
        <w:gridCol w:w="1134"/>
        <w:gridCol w:w="710"/>
        <w:gridCol w:w="1220"/>
        <w:gridCol w:w="1190"/>
        <w:gridCol w:w="708"/>
        <w:gridCol w:w="1134"/>
        <w:gridCol w:w="851"/>
        <w:gridCol w:w="1134"/>
      </w:tblGrid>
      <w:tr>
        <w:trPr>
          <w:trHeight w:val="402" w:hRule="exact"/>
        </w:trPr>
        <w:tc>
          <w:tcPr>
            <w:tcW w:w="141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35,191,814.15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11,711,856.25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33.28%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2" w:right="0"/>
              <w:jc w:val="left"/>
              <w:rPr>
                <w:rFonts w:ascii="Times New Roman" w:hAnsi="Times New Roman" w:cs="Times New Roman" w:eastAsia="Times New Roman" w:hint="default"/>
                <w:sz w:val="18"/>
                <w:szCs w:val="18"/>
              </w:rPr>
            </w:pPr>
            <w:r>
              <w:rPr>
                <w:rFonts w:ascii="Times New Roman"/>
                <w:sz w:val="18"/>
              </w:rPr>
              <w:t>23,479,957.90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36,257,372.28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10,384,132.61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28.64%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25,873,239.67</w:t>
            </w:r>
          </w:p>
        </w:tc>
      </w:tr>
    </w:tbl>
    <w:p>
      <w:pPr>
        <w:spacing w:after="0" w:line="240" w:lineRule="auto"/>
        <w:jc w:val="left"/>
        <w:rPr>
          <w:rFonts w:ascii="Times New Roman" w:hAnsi="Times New Roman" w:cs="Times New Roman" w:eastAsia="Times New Roman" w:hint="default"/>
          <w:sz w:val="18"/>
          <w:szCs w:val="18"/>
        </w:rPr>
        <w:sectPr>
          <w:footerReference w:type="default" r:id="rId18"/>
          <w:pgSz w:w="11910" w:h="16840"/>
          <w:pgMar w:footer="979" w:header="877" w:top="1100" w:bottom="1160" w:left="160" w:right="0"/>
        </w:sectPr>
      </w:pPr>
    </w:p>
    <w:p>
      <w:pPr>
        <w:pStyle w:val="BodyText"/>
        <w:spacing w:line="240" w:lineRule="auto" w:before="51"/>
        <w:ind w:left="974" w:right="-20"/>
        <w:jc w:val="left"/>
      </w:pPr>
      <w:r>
        <w:rPr/>
        <w:t>期末单项金额重大并单项计提坏账准备的应收账款：</w:t>
      </w:r>
    </w:p>
    <w:p>
      <w:pPr>
        <w:pStyle w:val="BodyText"/>
        <w:spacing w:line="240" w:lineRule="auto" w:before="117"/>
        <w:ind w:left="97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955" w:right="1111"/>
        <w:jc w:val="center"/>
      </w:pPr>
      <w:r>
        <w:rPr/>
        <w:t>单位： 元</w:t>
      </w:r>
    </w:p>
    <w:p>
      <w:pPr>
        <w:spacing w:after="0" w:line="240" w:lineRule="auto"/>
        <w:jc w:val="center"/>
        <w:sectPr>
          <w:type w:val="continuous"/>
          <w:pgSz w:w="11910" w:h="16840"/>
          <w:pgMar w:top="1060" w:bottom="1160" w:left="160" w:right="0"/>
          <w:cols w:num="2" w:equalWidth="0">
            <w:col w:w="5115" w:space="3715"/>
            <w:col w:w="2920"/>
          </w:cols>
        </w:sectPr>
      </w:pPr>
    </w:p>
    <w:p>
      <w:pPr>
        <w:spacing w:line="240" w:lineRule="auto" w:before="1"/>
        <w:rPr>
          <w:rFonts w:ascii="宋体" w:hAnsi="宋体" w:cs="宋体" w:eastAsia="宋体" w:hint="default"/>
          <w:sz w:val="8"/>
          <w:szCs w:val="8"/>
        </w:rPr>
      </w:pPr>
    </w:p>
    <w:tbl>
      <w:tblPr>
        <w:tblW w:w="0" w:type="auto"/>
        <w:jc w:val="left"/>
        <w:tblInd w:w="96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nil" w:sz="6" w:space="0" w:color="auto"/>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78"/>
              <w:jc w:val="left"/>
              <w:rPr>
                <w:rFonts w:ascii="宋体" w:hAnsi="宋体" w:cs="宋体" w:eastAsia="宋体" w:hint="default"/>
                <w:sz w:val="18"/>
                <w:szCs w:val="18"/>
              </w:rPr>
            </w:pPr>
            <w:r>
              <w:rPr>
                <w:rFonts w:ascii="宋体" w:hAnsi="宋体" w:cs="宋体" w:eastAsia="宋体" w:hint="default"/>
                <w:sz w:val="18"/>
                <w:szCs w:val="18"/>
              </w:rPr>
              <w:t>落地创意（武汉）科技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725,396.79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725,396.79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2" w:hRule="exact"/>
        </w:trPr>
        <w:tc>
          <w:tcPr>
            <w:tcW w:w="191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725,396.79</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725,396.79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160" w:right="0"/>
        </w:sectPr>
      </w:pPr>
    </w:p>
    <w:p>
      <w:pPr>
        <w:pStyle w:val="BodyText"/>
        <w:spacing w:line="240" w:lineRule="auto" w:before="51"/>
        <w:ind w:left="974" w:right="-20"/>
        <w:jc w:val="left"/>
      </w:pPr>
      <w:r>
        <w:rPr/>
        <w:t>组合中，按账龄分析法计提坏账准备的应收账款：</w:t>
      </w:r>
    </w:p>
    <w:p>
      <w:pPr>
        <w:pStyle w:val="BodyText"/>
        <w:spacing w:line="240" w:lineRule="auto" w:before="117"/>
        <w:ind w:left="97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955" w:right="1111"/>
        <w:jc w:val="center"/>
      </w:pPr>
      <w:r>
        <w:rPr/>
        <w:t>单位： 元</w:t>
      </w:r>
    </w:p>
    <w:p>
      <w:pPr>
        <w:spacing w:after="0" w:line="240" w:lineRule="auto"/>
        <w:jc w:val="center"/>
        <w:sectPr>
          <w:type w:val="continuous"/>
          <w:pgSz w:w="11910" w:h="16840"/>
          <w:pgMar w:top="1060" w:bottom="1160" w:left="160" w:right="0"/>
          <w:cols w:num="2" w:equalWidth="0">
            <w:col w:w="4935" w:space="3895"/>
            <w:col w:w="2920"/>
          </w:cols>
        </w:sectPr>
      </w:pPr>
    </w:p>
    <w:p>
      <w:pPr>
        <w:spacing w:line="240" w:lineRule="auto" w:before="0"/>
        <w:rPr>
          <w:rFonts w:ascii="宋体" w:hAnsi="宋体" w:cs="宋体" w:eastAsia="宋体" w:hint="default"/>
          <w:sz w:val="8"/>
          <w:szCs w:val="8"/>
        </w:rPr>
      </w:pPr>
    </w:p>
    <w:tbl>
      <w:tblPr>
        <w:tblW w:w="0" w:type="auto"/>
        <w:jc w:val="left"/>
        <w:tblInd w:w="982" w:type="dxa"/>
        <w:tblLayout w:type="fixed"/>
        <w:tblCellMar>
          <w:top w:w="0" w:type="dxa"/>
          <w:left w:w="0" w:type="dxa"/>
          <w:bottom w:w="0" w:type="dxa"/>
          <w:right w:w="0" w:type="dxa"/>
        </w:tblCellMar>
        <w:tblLook w:val="01E0"/>
      </w:tblPr>
      <w:tblGrid>
        <w:gridCol w:w="2379"/>
        <w:gridCol w:w="2393"/>
        <w:gridCol w:w="2392"/>
        <w:gridCol w:w="2378"/>
      </w:tblGrid>
      <w:tr>
        <w:trPr>
          <w:trHeight w:val="206" w:hRule="exact"/>
        </w:trPr>
        <w:tc>
          <w:tcPr>
            <w:tcW w:w="2379" w:type="dxa"/>
            <w:tcBorders>
              <w:top w:val="single" w:sz="4" w:space="0" w:color="000000"/>
              <w:left w:val="nil" w:sz="6" w:space="0" w:color="auto"/>
              <w:bottom w:val="nil" w:sz="6" w:space="0" w:color="auto"/>
              <w:right w:val="single" w:sz="4" w:space="0" w:color="000000"/>
            </w:tcBorders>
            <w:shd w:val="clear" w:color="auto" w:fill="D2D2D2"/>
          </w:tcPr>
          <w:p>
            <w:pPr/>
          </w:p>
        </w:tc>
        <w:tc>
          <w:tcPr>
            <w:tcW w:w="7163"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9"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账龄</w:t>
            </w:r>
          </w:p>
        </w:tc>
        <w:tc>
          <w:tcPr>
            <w:tcW w:w="7163" w:type="dxa"/>
            <w:gridSpan w:val="3"/>
            <w:vMerge/>
            <w:tcBorders>
              <w:left w:val="single" w:sz="4" w:space="0" w:color="000000"/>
              <w:bottom w:val="single" w:sz="4" w:space="0" w:color="000000"/>
              <w:right w:val="nil" w:sz="6" w:space="0" w:color="auto"/>
            </w:tcBorders>
            <w:shd w:val="clear" w:color="auto" w:fill="D2D2D2"/>
          </w:tcPr>
          <w:p>
            <w:pPr/>
          </w:p>
        </w:tc>
      </w:tr>
      <w:tr>
        <w:trPr>
          <w:trHeight w:val="196" w:hRule="exact"/>
        </w:trPr>
        <w:tc>
          <w:tcPr>
            <w:tcW w:w="2379" w:type="dxa"/>
            <w:vMerge/>
            <w:tcBorders>
              <w:left w:val="nil" w:sz="6" w:space="0" w:color="auto"/>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8"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nil" w:sz="6" w:space="0" w:color="auto"/>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78" w:type="dxa"/>
            <w:vMerge/>
            <w:tcBorders>
              <w:left w:val="single" w:sz="4" w:space="0" w:color="000000"/>
              <w:bottom w:val="single" w:sz="4" w:space="0" w:color="000000"/>
              <w:right w:val="nil" w:sz="6" w:space="0" w:color="auto"/>
            </w:tcBorders>
            <w:shd w:val="clear" w:color="auto" w:fill="D2D2D2"/>
          </w:tcPr>
          <w:p>
            <w:pPr/>
          </w:p>
        </w:tc>
      </w:tr>
      <w:tr>
        <w:trPr>
          <w:trHeight w:val="396" w:hRule="exact"/>
        </w:trPr>
        <w:tc>
          <w:tcPr>
            <w:tcW w:w="9541" w:type="dxa"/>
            <w:gridSpan w:val="4"/>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18,070,261.65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542,107.85</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3,306,214.28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495,932.14</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6,283,043.93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3,141,521.97</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6,510,672.06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6,510,672.06</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34,170,191.92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10,690,234.02</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31.29%</w:t>
            </w:r>
          </w:p>
        </w:tc>
      </w:tr>
    </w:tbl>
    <w:p>
      <w:pPr>
        <w:pStyle w:val="BodyText"/>
        <w:spacing w:line="357" w:lineRule="auto" w:before="51"/>
        <w:ind w:left="974" w:right="6432"/>
        <w:jc w:val="left"/>
      </w:pPr>
      <w:r>
        <w:rPr/>
        <w:t>确定该组合依据的说明： 组合中，采用余额百分比法计提坏账准备的应收账款：</w:t>
      </w:r>
    </w:p>
    <w:p>
      <w:pPr>
        <w:pStyle w:val="BodyText"/>
        <w:spacing w:line="338" w:lineRule="auto" w:before="29"/>
        <w:ind w:left="974"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4"/>
        <w:rPr>
          <w:rFonts w:ascii="宋体" w:hAnsi="宋体" w:cs="宋体" w:eastAsia="宋体" w:hint="default"/>
          <w:sz w:val="2"/>
          <w:szCs w:val="2"/>
        </w:rPr>
      </w:pPr>
    </w:p>
    <w:tbl>
      <w:tblPr>
        <w:tblW w:w="0" w:type="auto"/>
        <w:jc w:val="left"/>
        <w:tblInd w:w="959" w:type="dxa"/>
        <w:tblLayout w:type="fixed"/>
        <w:tblCellMar>
          <w:top w:w="0" w:type="dxa"/>
          <w:left w:w="0" w:type="dxa"/>
          <w:bottom w:w="0" w:type="dxa"/>
          <w:right w:w="0" w:type="dxa"/>
        </w:tblCellMar>
        <w:tblLook w:val="01E0"/>
      </w:tblPr>
      <w:tblGrid>
        <w:gridCol w:w="3173"/>
        <w:gridCol w:w="1594"/>
        <w:gridCol w:w="1847"/>
        <w:gridCol w:w="894"/>
        <w:gridCol w:w="2150"/>
      </w:tblGrid>
      <w:tr>
        <w:trPr>
          <w:trHeight w:val="342" w:hRule="exact"/>
        </w:trPr>
        <w:tc>
          <w:tcPr>
            <w:tcW w:w="3173" w:type="dxa"/>
            <w:vMerge w:val="restart"/>
            <w:tcBorders>
              <w:top w:val="single" w:sz="4" w:space="0" w:color="000000"/>
              <w:left w:val="nil" w:sz="6" w:space="0" w:color="auto"/>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48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3173" w:type="dxa"/>
            <w:vMerge/>
            <w:tcBorders>
              <w:left w:val="nil" w:sz="6" w:space="0" w:color="auto"/>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296,225.44</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296,225.44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5" w:right="0"/>
              <w:jc w:val="left"/>
              <w:rPr>
                <w:rFonts w:ascii="Times New Roman" w:hAnsi="Times New Roman" w:cs="Times New Roman" w:eastAsia="Times New Roman" w:hint="default"/>
                <w:sz w:val="18"/>
                <w:szCs w:val="18"/>
              </w:rPr>
            </w:pPr>
            <w:r>
              <w:rPr>
                <w:rFonts w:ascii="Times New Roman"/>
                <w:sz w:val="18"/>
              </w:rPr>
              <w:t>100.00</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3"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z w:val="18"/>
              </w:rPr>
              <w:t>296,225.44</w:t>
            </w:r>
            <w:r>
              <w:rPr>
                <w:rFonts w:ascii="Times New Roman"/>
                <w:sz w:val="18"/>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296,225.44</w:t>
            </w:r>
            <w:r>
              <w:rPr>
                <w:rFonts w:ascii="Times New Roman"/>
                <w:sz w:val="18"/>
              </w:rPr>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95"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5"/>
        <w:rPr>
          <w:rFonts w:ascii="宋体" w:hAnsi="宋体" w:cs="宋体" w:eastAsia="宋体" w:hint="default"/>
          <w:sz w:val="24"/>
          <w:szCs w:val="24"/>
        </w:rPr>
      </w:pPr>
    </w:p>
    <w:p>
      <w:pPr>
        <w:pStyle w:val="BodyText"/>
        <w:spacing w:line="240" w:lineRule="auto" w:before="44"/>
        <w:ind w:left="974" w:right="6432"/>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left="974" w:right="4460"/>
        <w:jc w:val="left"/>
      </w:pPr>
      <w:r>
        <w:rPr/>
        <w:t>本期计提坏账准备金额</w:t>
      </w:r>
      <w:r>
        <w:rPr>
          <w:spacing w:val="-47"/>
        </w:rPr>
        <w:t> </w:t>
      </w:r>
      <w:r>
        <w:rPr>
          <w:rFonts w:ascii="Times New Roman" w:hAnsi="Times New Roman" w:cs="Times New Roman" w:eastAsia="Times New Roman" w:hint="default"/>
        </w:rPr>
        <w:t>1,371,946.64</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pStyle w:val="BodyText"/>
        <w:spacing w:line="240" w:lineRule="auto" w:before="40"/>
        <w:ind w:left="974" w:right="6432"/>
        <w:jc w:val="left"/>
      </w:pPr>
      <w:r>
        <w:rPr>
          <w:rFonts w:ascii="Times New Roman" w:hAnsi="Times New Roman" w:cs="Times New Roman" w:eastAsia="Times New Roman" w:hint="default"/>
        </w:rPr>
        <w:t>3)</w:t>
      </w:r>
      <w:r>
        <w:rPr/>
        <w:t>本期实际核销的应收账款情况</w:t>
      </w:r>
    </w:p>
    <w:p>
      <w:pPr>
        <w:pStyle w:val="BodyText"/>
        <w:spacing w:line="340" w:lineRule="auto" w:before="103"/>
        <w:ind w:left="974" w:right="6822"/>
        <w:jc w:val="left"/>
      </w:pPr>
      <w:r>
        <w:rPr>
          <w:rFonts w:ascii="Times New Roman" w:hAnsi="Times New Roman" w:cs="Times New Roman" w:eastAsia="Times New Roman" w:hint="default"/>
        </w:rPr>
        <w:t>4)</w:t>
      </w:r>
      <w:r>
        <w:rPr/>
        <w:t>按欠款方归集的期末余额前五名的应收账款情况</w:t>
      </w:r>
      <w:r>
        <w:rPr>
          <w:w w:val="99"/>
        </w:rPr>
        <w:t> </w:t>
      </w:r>
      <w:r>
        <w:rPr/>
        <w:t>公司是否需要遵守特殊行业的披露要求</w:t>
      </w:r>
    </w:p>
    <w:p>
      <w:pPr>
        <w:pStyle w:val="BodyText"/>
        <w:spacing w:line="240" w:lineRule="auto" w:before="40"/>
        <w:ind w:left="974" w:right="6432"/>
        <w:jc w:val="left"/>
      </w:pPr>
      <w:r>
        <w:rPr/>
        <w:t>否</w:t>
      </w:r>
    </w:p>
    <w:p>
      <w:pPr>
        <w:spacing w:after="0" w:line="240" w:lineRule="auto"/>
        <w:jc w:val="left"/>
        <w:sectPr>
          <w:type w:val="continuous"/>
          <w:pgSz w:w="11910" w:h="16840"/>
          <w:pgMar w:top="1060" w:bottom="1160" w:left="160" w:right="0"/>
        </w:sectPr>
      </w:pPr>
    </w:p>
    <w:p>
      <w:pPr>
        <w:spacing w:line="240" w:lineRule="auto" w:before="6"/>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370"/>
        <w:gridCol w:w="2264"/>
        <w:gridCol w:w="1778"/>
        <w:gridCol w:w="2262"/>
      </w:tblGrid>
      <w:tr>
        <w:trPr>
          <w:trHeight w:val="654"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77" w:right="72" w:hanging="40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 的比例</w:t>
            </w:r>
            <w:r>
              <w:rPr>
                <w:rFonts w:ascii="Times New Roman" w:hAnsi="Times New Roman" w:cs="Times New Roman" w:eastAsia="Times New Roman" w:hint="default"/>
                <w:sz w:val="18"/>
                <w:szCs w:val="18"/>
              </w:rPr>
              <w:t>(%)</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495"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4,414,400.00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80" w:right="0"/>
              <w:jc w:val="left"/>
              <w:rPr>
                <w:rFonts w:ascii="Times New Roman" w:hAnsi="Times New Roman" w:cs="Times New Roman" w:eastAsia="Times New Roman" w:hint="default"/>
                <w:sz w:val="18"/>
                <w:szCs w:val="18"/>
              </w:rPr>
            </w:pPr>
            <w:r>
              <w:rPr>
                <w:rFonts w:ascii="Times New Roman"/>
                <w:sz w:val="18"/>
              </w:rPr>
              <w:t>12.54</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2,207,200.00</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2,778,397.25</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26" w:right="0"/>
              <w:jc w:val="left"/>
              <w:rPr>
                <w:rFonts w:ascii="Times New Roman" w:hAnsi="Times New Roman" w:cs="Times New Roman" w:eastAsia="Times New Roman" w:hint="default"/>
                <w:sz w:val="18"/>
                <w:szCs w:val="18"/>
              </w:rPr>
            </w:pPr>
            <w:r>
              <w:rPr>
                <w:rFonts w:ascii="Times New Roman"/>
                <w:sz w:val="18"/>
              </w:rPr>
              <w:t>7.90</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83,351.92</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1,534,000.00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26" w:right="0"/>
              <w:jc w:val="left"/>
              <w:rPr>
                <w:rFonts w:ascii="Times New Roman" w:hAnsi="Times New Roman" w:cs="Times New Roman" w:eastAsia="Times New Roman" w:hint="default"/>
                <w:sz w:val="18"/>
                <w:szCs w:val="18"/>
              </w:rPr>
            </w:pPr>
            <w:r>
              <w:rPr>
                <w:rFonts w:ascii="Times New Roman"/>
                <w:sz w:val="18"/>
              </w:rPr>
              <w:t>4.36</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1,534,000.00</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1,461,535.47</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26" w:right="0"/>
              <w:jc w:val="left"/>
              <w:rPr>
                <w:rFonts w:ascii="Times New Roman" w:hAnsi="Times New Roman" w:cs="Times New Roman" w:eastAsia="Times New Roman" w:hint="default"/>
                <w:sz w:val="18"/>
                <w:szCs w:val="18"/>
              </w:rPr>
            </w:pPr>
            <w:r>
              <w:rPr>
                <w:rFonts w:ascii="Times New Roman"/>
                <w:sz w:val="18"/>
              </w:rPr>
              <w:t>4.15</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43,846.06</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1,272,115.00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26" w:right="0"/>
              <w:jc w:val="left"/>
              <w:rPr>
                <w:rFonts w:ascii="Times New Roman" w:hAnsi="Times New Roman" w:cs="Times New Roman" w:eastAsia="Times New Roman" w:hint="default"/>
                <w:sz w:val="18"/>
                <w:szCs w:val="18"/>
              </w:rPr>
            </w:pPr>
            <w:r>
              <w:rPr>
                <w:rFonts w:ascii="Times New Roman"/>
                <w:sz w:val="18"/>
              </w:rPr>
              <w:t>3.61</w:t>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38,163.45</w:t>
            </w:r>
          </w:p>
        </w:tc>
      </w:tr>
      <w:tr>
        <w:trPr>
          <w:trHeight w:val="342"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11,460,447.72</w:t>
            </w:r>
            <w:r>
              <w:rPr>
                <w:rFonts w:ascii="Times New Roman"/>
                <w:spacing w:val="-1"/>
                <w:sz w:val="18"/>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80" w:right="0"/>
              <w:jc w:val="left"/>
              <w:rPr>
                <w:rFonts w:ascii="Times New Roman" w:hAnsi="Times New Roman" w:cs="Times New Roman" w:eastAsia="Times New Roman" w:hint="default"/>
                <w:sz w:val="18"/>
                <w:szCs w:val="18"/>
              </w:rPr>
            </w:pPr>
            <w:r>
              <w:rPr>
                <w:rFonts w:ascii="Times New Roman"/>
                <w:b/>
                <w:sz w:val="18"/>
              </w:rPr>
              <w:t>32.56</w:t>
            </w:r>
            <w:r>
              <w:rPr>
                <w:rFonts w:ascii="Times New Roman"/>
                <w:sz w:val="18"/>
              </w:rPr>
            </w:r>
          </w:p>
        </w:tc>
        <w:tc>
          <w:tcPr>
            <w:tcW w:w="2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b/>
                <w:spacing w:val="-1"/>
                <w:sz w:val="18"/>
              </w:rPr>
              <w:t>3,906,561.43</w:t>
            </w:r>
            <w:r>
              <w:rPr>
                <w:rFonts w:ascii="Times New Roman"/>
                <w:spacing w:val="-1"/>
                <w:sz w:val="18"/>
              </w:rPr>
            </w: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5、预付款项" w:id="232"/>
      <w:bookmarkEnd w:id="232"/>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33"/>
      <w:bookmarkEnd w:id="23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887"/>
        <w:gridCol w:w="1927"/>
        <w:gridCol w:w="1914"/>
        <w:gridCol w:w="1914"/>
        <w:gridCol w:w="1915"/>
      </w:tblGrid>
      <w:tr>
        <w:trPr>
          <w:trHeight w:val="206" w:hRule="exact"/>
        </w:trPr>
        <w:tc>
          <w:tcPr>
            <w:tcW w:w="1887" w:type="dxa"/>
            <w:tcBorders>
              <w:top w:val="single" w:sz="4" w:space="0" w:color="000000"/>
              <w:left w:val="nil" w:sz="6" w:space="0" w:color="auto"/>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7"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1887" w:type="dxa"/>
            <w:vMerge/>
            <w:tcBorders>
              <w:left w:val="nil" w:sz="6" w:space="0" w:color="auto"/>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7" w:type="dxa"/>
            <w:tcBorders>
              <w:top w:val="nil" w:sz="6" w:space="0" w:color="auto"/>
              <w:left w:val="nil" w:sz="6" w:space="0" w:color="auto"/>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4,251,092.76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7,219,491.69</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88.27%</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108,957.85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151,380.83</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1.85%</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54,908.12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38,526.56</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69,192.03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769,527.53</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9.41%</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4,484,150.76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8,178,926.61</w:t>
            </w:r>
          </w:p>
        </w:tc>
        <w:tc>
          <w:tcPr>
            <w:tcW w:w="19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按预付对象归集的期末余额前五名的预付款情况" w:id="234"/>
      <w:bookmarkEnd w:id="23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3990"/>
        <w:gridCol w:w="1445"/>
        <w:gridCol w:w="1285"/>
        <w:gridCol w:w="1125"/>
        <w:gridCol w:w="1829"/>
      </w:tblGrid>
      <w:tr>
        <w:trPr>
          <w:trHeight w:val="654"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7"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32" w:right="5" w:hanging="225"/>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占预付账款总额 的比例</w:t>
            </w:r>
            <w:r>
              <w:rPr>
                <w:rFonts w:ascii="Times New Roman" w:hAnsi="Times New Roman" w:cs="Times New Roman" w:eastAsia="Times New Roman" w:hint="default"/>
                <w:sz w:val="18"/>
                <w:szCs w:val="18"/>
              </w:rPr>
              <w:t>(%)</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6" w:right="0"/>
              <w:jc w:val="left"/>
              <w:rPr>
                <w:rFonts w:ascii="宋体" w:hAnsi="宋体" w:cs="宋体" w:eastAsia="宋体" w:hint="default"/>
                <w:sz w:val="18"/>
                <w:szCs w:val="18"/>
              </w:rPr>
            </w:pPr>
            <w:r>
              <w:rPr>
                <w:rFonts w:ascii="宋体" w:hAnsi="宋体" w:cs="宋体" w:eastAsia="宋体" w:hint="default"/>
                <w:sz w:val="18"/>
                <w:szCs w:val="18"/>
              </w:rPr>
              <w:t>预付款时间</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2"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东莞市汇樾科技有限公司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523,893.15</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5" w:right="0"/>
              <w:jc w:val="left"/>
              <w:rPr>
                <w:rFonts w:ascii="Times New Roman" w:hAnsi="Times New Roman" w:cs="Times New Roman" w:eastAsia="Times New Roman" w:hint="default"/>
                <w:sz w:val="18"/>
                <w:szCs w:val="18"/>
              </w:rPr>
            </w:pPr>
            <w:r>
              <w:rPr>
                <w:rFonts w:ascii="Times New Roman"/>
                <w:sz w:val="18"/>
              </w:rPr>
              <w:t>11.68</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42"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武汉锐科光纤激光器技术有限责任公司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461,500.00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5" w:right="0"/>
              <w:jc w:val="left"/>
              <w:rPr>
                <w:rFonts w:ascii="Times New Roman" w:hAnsi="Times New Roman" w:cs="Times New Roman" w:eastAsia="Times New Roman" w:hint="default"/>
                <w:sz w:val="18"/>
                <w:szCs w:val="18"/>
              </w:rPr>
            </w:pPr>
            <w:r>
              <w:rPr>
                <w:rFonts w:ascii="Times New Roman"/>
                <w:sz w:val="18"/>
              </w:rPr>
              <w:t>10.29</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42"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深圳市迅龙软件有限公司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342,076.00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81" w:right="0"/>
              <w:jc w:val="left"/>
              <w:rPr>
                <w:rFonts w:ascii="Times New Roman" w:hAnsi="Times New Roman" w:cs="Times New Roman" w:eastAsia="Times New Roman" w:hint="default"/>
                <w:sz w:val="18"/>
                <w:szCs w:val="18"/>
              </w:rPr>
            </w:pPr>
            <w:r>
              <w:rPr>
                <w:rFonts w:ascii="Times New Roman"/>
                <w:sz w:val="18"/>
              </w:rPr>
              <w:t>7.63</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42"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云工工业科技（深圳）有限公司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131,700.00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81" w:right="0"/>
              <w:jc w:val="left"/>
              <w:rPr>
                <w:rFonts w:ascii="Times New Roman" w:hAnsi="Times New Roman" w:cs="Times New Roman" w:eastAsia="Times New Roman" w:hint="default"/>
                <w:sz w:val="18"/>
                <w:szCs w:val="18"/>
              </w:rPr>
            </w:pPr>
            <w:r>
              <w:rPr>
                <w:rFonts w:ascii="Times New Roman"/>
                <w:sz w:val="18"/>
              </w:rPr>
              <w:t>2.94</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42"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深圳市汇商显科技有限公司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71,810.69</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81" w:right="0"/>
              <w:jc w:val="left"/>
              <w:rPr>
                <w:rFonts w:ascii="Times New Roman" w:hAnsi="Times New Roman" w:cs="Times New Roman" w:eastAsia="Times New Roman" w:hint="default"/>
                <w:sz w:val="18"/>
                <w:szCs w:val="18"/>
              </w:rPr>
            </w:pPr>
            <w:r>
              <w:rPr>
                <w:rFonts w:ascii="Times New Roman"/>
                <w:sz w:val="18"/>
              </w:rPr>
              <w:t>1.60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42" w:hRule="exact"/>
        </w:trPr>
        <w:tc>
          <w:tcPr>
            <w:tcW w:w="3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1,530,979.84</w:t>
            </w:r>
            <w:r>
              <w:rPr>
                <w:rFonts w:ascii="Times New Roman"/>
                <w:spacing w:val="-1"/>
                <w:sz w:val="18"/>
              </w:rPr>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35" w:right="0"/>
              <w:jc w:val="left"/>
              <w:rPr>
                <w:rFonts w:ascii="Times New Roman" w:hAnsi="Times New Roman" w:cs="Times New Roman" w:eastAsia="Times New Roman" w:hint="default"/>
                <w:sz w:val="18"/>
                <w:szCs w:val="18"/>
              </w:rPr>
            </w:pPr>
            <w:r>
              <w:rPr>
                <w:rFonts w:ascii="Times New Roman"/>
                <w:b/>
                <w:sz w:val="18"/>
              </w:rPr>
              <w:t>34.14</w:t>
            </w:r>
            <w:r>
              <w:rPr>
                <w:rFonts w:ascii="Times New Roman"/>
                <w:sz w:val="18"/>
              </w:rPr>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6、其他应收款" w:id="235"/>
      <w:bookmarkEnd w:id="235"/>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footerReference w:type="default" r:id="rId19"/>
          <w:pgSz w:w="11910" w:h="16840"/>
          <w:pgMar w:footer="979" w:header="877" w:top="1100" w:bottom="1160" w:left="980" w:right="0"/>
          <w:pgNumType w:start="101"/>
        </w:sectPr>
      </w:pPr>
    </w:p>
    <w:p>
      <w:pPr>
        <w:spacing w:line="240" w:lineRule="auto" w:before="6"/>
        <w:rPr>
          <w:rFonts w:ascii="宋体" w:hAnsi="宋体" w:cs="宋体" w:eastAsia="宋体" w:hint="default"/>
          <w:sz w:val="24"/>
          <w:szCs w:val="24"/>
        </w:rPr>
      </w:pPr>
    </w:p>
    <w:tbl>
      <w:tblPr>
        <w:tblW w:w="0" w:type="auto"/>
        <w:jc w:val="left"/>
        <w:tblInd w:w="1103"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6,621,077.51</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6,478,215.08</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6,621,077.51</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6,478,215.08</w:t>
            </w:r>
          </w:p>
        </w:tc>
      </w:tr>
    </w:tbl>
    <w:p>
      <w:pPr>
        <w:spacing w:line="240" w:lineRule="auto" w:before="3"/>
        <w:rPr>
          <w:rFonts w:ascii="宋体" w:hAnsi="宋体" w:cs="宋体" w:eastAsia="宋体" w:hint="default"/>
          <w:sz w:val="19"/>
          <w:szCs w:val="19"/>
        </w:rPr>
      </w:pPr>
    </w:p>
    <w:p>
      <w:pPr>
        <w:pStyle w:val="Heading4"/>
        <w:spacing w:line="240" w:lineRule="auto" w:before="35"/>
        <w:ind w:left="1094" w:right="0"/>
        <w:jc w:val="left"/>
        <w:rPr>
          <w:b w:val="0"/>
          <w:bCs w:val="0"/>
        </w:rPr>
      </w:pPr>
      <w:bookmarkStart w:name="（1）应收利息" w:id="236"/>
      <w:bookmarkEnd w:id="23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094" w:right="0"/>
        <w:jc w:val="left"/>
        <w:rPr>
          <w:b w:val="0"/>
          <w:bCs w:val="0"/>
        </w:rPr>
      </w:pPr>
      <w:bookmarkStart w:name="（2）应收股利" w:id="237"/>
      <w:bookmarkEnd w:id="23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094" w:right="0"/>
        <w:jc w:val="left"/>
        <w:rPr>
          <w:b w:val="0"/>
          <w:bCs w:val="0"/>
        </w:rPr>
      </w:pPr>
      <w:bookmarkStart w:name="（3）其他应收款" w:id="238"/>
      <w:bookmarkEnd w:id="23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094"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1535"/>
        <w:gridCol w:w="1146"/>
        <w:gridCol w:w="708"/>
        <w:gridCol w:w="1134"/>
        <w:gridCol w:w="852"/>
        <w:gridCol w:w="1078"/>
        <w:gridCol w:w="1190"/>
        <w:gridCol w:w="708"/>
        <w:gridCol w:w="1134"/>
        <w:gridCol w:w="851"/>
        <w:gridCol w:w="1120"/>
      </w:tblGrid>
      <w:tr>
        <w:trPr>
          <w:trHeight w:val="403" w:hRule="exact"/>
        </w:trPr>
        <w:tc>
          <w:tcPr>
            <w:tcW w:w="1535" w:type="dxa"/>
            <w:tcBorders>
              <w:top w:val="single" w:sz="4" w:space="0" w:color="000000"/>
              <w:left w:val="nil" w:sz="6" w:space="0" w:color="auto"/>
              <w:bottom w:val="nil" w:sz="6" w:space="0" w:color="auto"/>
              <w:right w:val="single" w:sz="4" w:space="0" w:color="000000"/>
            </w:tcBorders>
            <w:shd w:val="clear" w:color="auto" w:fill="D2D2D2"/>
          </w:tcPr>
          <w:p>
            <w:pPr/>
          </w:p>
        </w:tc>
        <w:tc>
          <w:tcPr>
            <w:tcW w:w="49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004" w:type="dxa"/>
            <w:gridSpan w:val="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1535"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20"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6" w:hRule="exact"/>
        </w:trPr>
        <w:tc>
          <w:tcPr>
            <w:tcW w:w="1535" w:type="dxa"/>
            <w:vMerge/>
            <w:tcBorders>
              <w:left w:val="nil" w:sz="6" w:space="0" w:color="auto"/>
              <w:bottom w:val="nil" w:sz="6" w:space="0" w:color="auto"/>
              <w:right w:val="single" w:sz="4" w:space="0" w:color="000000"/>
            </w:tcBorders>
            <w:shd w:val="clear" w:color="auto" w:fill="D2D2D2"/>
          </w:tcPr>
          <w:p>
            <w:pPr/>
          </w:p>
        </w:tc>
        <w:tc>
          <w:tcPr>
            <w:tcW w:w="1854" w:type="dxa"/>
            <w:gridSpan w:val="2"/>
            <w:vMerge/>
            <w:tcBorders>
              <w:left w:val="single" w:sz="4" w:space="0" w:color="000000"/>
              <w:bottom w:val="single" w:sz="4" w:space="0" w:color="000000"/>
              <w:right w:val="single" w:sz="4" w:space="0" w:color="000000"/>
            </w:tcBorders>
            <w:shd w:val="clear" w:color="auto" w:fill="D2D2D2"/>
          </w:tcPr>
          <w:p>
            <w:pPr/>
          </w:p>
        </w:tc>
        <w:tc>
          <w:tcPr>
            <w:tcW w:w="1986" w:type="dxa"/>
            <w:gridSpan w:val="2"/>
            <w:vMerge/>
            <w:tcBorders>
              <w:left w:val="single" w:sz="4" w:space="0" w:color="000000"/>
              <w:bottom w:val="single" w:sz="4" w:space="0" w:color="000000"/>
              <w:right w:val="single" w:sz="4" w:space="0" w:color="000000"/>
            </w:tcBorders>
            <w:shd w:val="clear" w:color="auto" w:fill="D2D2D2"/>
          </w:tcPr>
          <w:p>
            <w:pPr/>
          </w:p>
        </w:tc>
        <w:tc>
          <w:tcPr>
            <w:tcW w:w="1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99" w:type="dxa"/>
            <w:gridSpan w:val="2"/>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120"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7" w:hRule="exact"/>
        </w:trPr>
        <w:tc>
          <w:tcPr>
            <w:tcW w:w="1535" w:type="dxa"/>
            <w:vMerge w:val="restart"/>
            <w:tcBorders>
              <w:top w:val="nil" w:sz="6" w:space="0" w:color="auto"/>
              <w:left w:val="nil" w:sz="6" w:space="0" w:color="auto"/>
              <w:right w:val="single" w:sz="4" w:space="0" w:color="000000"/>
            </w:tcBorders>
            <w:shd w:val="clear" w:color="auto" w:fill="D2D2D2"/>
          </w:tcPr>
          <w:p>
            <w:pPr/>
          </w:p>
        </w:tc>
        <w:tc>
          <w:tcPr>
            <w:tcW w:w="11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078"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20" w:type="dxa"/>
            <w:vMerge/>
            <w:tcBorders>
              <w:left w:val="single" w:sz="4" w:space="0" w:color="000000"/>
              <w:bottom w:val="nil" w:sz="6" w:space="0" w:color="auto"/>
              <w:right w:val="nil" w:sz="6" w:space="0" w:color="auto"/>
            </w:tcBorders>
            <w:shd w:val="clear" w:color="auto" w:fill="D2D2D2"/>
          </w:tcPr>
          <w:p>
            <w:pPr/>
          </w:p>
        </w:tc>
      </w:tr>
      <w:tr>
        <w:trPr>
          <w:trHeight w:val="205" w:hRule="exact"/>
        </w:trPr>
        <w:tc>
          <w:tcPr>
            <w:tcW w:w="1535" w:type="dxa"/>
            <w:vMerge/>
            <w:tcBorders>
              <w:left w:val="nil" w:sz="6" w:space="0" w:color="auto"/>
              <w:bottom w:val="single" w:sz="4" w:space="0" w:color="000000"/>
              <w:right w:val="single" w:sz="4" w:space="0" w:color="000000"/>
            </w:tcBorders>
            <w:shd w:val="clear" w:color="auto" w:fill="D2D2D2"/>
          </w:tcPr>
          <w:p>
            <w:pPr/>
          </w:p>
        </w:tc>
        <w:tc>
          <w:tcPr>
            <w:tcW w:w="114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120"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1026" w:hRule="exact"/>
        </w:trPr>
        <w:tc>
          <w:tcPr>
            <w:tcW w:w="15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75"/>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4,361,169.40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4,361,169.40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4,361,169.40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4,361,169.40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20"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15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2"/>
              <w:ind w:left="13" w:right="75"/>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12,064,712.21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5,443,634.70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45.12%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6,621,077.51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11,613,891.90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5,135,676.82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44.22%</w:t>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6,478,215.08</w:t>
            </w:r>
          </w:p>
        </w:tc>
      </w:tr>
      <w:tr>
        <w:trPr>
          <w:trHeight w:val="1026" w:hRule="exact"/>
        </w:trPr>
        <w:tc>
          <w:tcPr>
            <w:tcW w:w="15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75"/>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2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5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16,925,881.61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10,304,804.10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60.88%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 w:right="0"/>
              <w:jc w:val="center"/>
              <w:rPr>
                <w:rFonts w:ascii="Times New Roman" w:hAnsi="Times New Roman" w:cs="Times New Roman" w:eastAsia="Times New Roman" w:hint="default"/>
                <w:sz w:val="18"/>
                <w:szCs w:val="18"/>
              </w:rPr>
            </w:pPr>
            <w:r>
              <w:rPr>
                <w:rFonts w:ascii="Times New Roman"/>
                <w:sz w:val="18"/>
              </w:rPr>
              <w:t>6,621,077.51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16,475,061.30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9,996,846.22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60.68%</w:t>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6,478,215.08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40" w:right="0"/>
        </w:sectPr>
      </w:pPr>
    </w:p>
    <w:p>
      <w:pPr>
        <w:pStyle w:val="BodyText"/>
        <w:spacing w:line="240" w:lineRule="auto" w:before="51"/>
        <w:ind w:left="1094" w:right="-20"/>
        <w:jc w:val="left"/>
      </w:pPr>
      <w:r>
        <w:rPr/>
        <w:t>期末单项金额重大并单项计提坏账准备的其他应收款：</w:t>
      </w:r>
    </w:p>
    <w:p>
      <w:pPr>
        <w:pStyle w:val="BodyText"/>
        <w:spacing w:line="240" w:lineRule="auto" w:before="116"/>
        <w:ind w:left="109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075" w:right="1111"/>
        <w:jc w:val="center"/>
      </w:pPr>
      <w:r>
        <w:rPr/>
        <w:t>单位： 元</w:t>
      </w:r>
    </w:p>
    <w:p>
      <w:pPr>
        <w:spacing w:after="0" w:line="240" w:lineRule="auto"/>
        <w:jc w:val="center"/>
        <w:sectPr>
          <w:type w:val="continuous"/>
          <w:pgSz w:w="11910" w:h="16840"/>
          <w:pgMar w:top="1060" w:bottom="1160" w:left="40" w:right="0"/>
          <w:cols w:num="2" w:equalWidth="0">
            <w:col w:w="5415" w:space="3415"/>
            <w:col w:w="3040"/>
          </w:cols>
        </w:sectPr>
      </w:pPr>
    </w:p>
    <w:p>
      <w:pPr>
        <w:spacing w:line="240" w:lineRule="auto" w:before="13"/>
        <w:rPr>
          <w:rFonts w:ascii="宋体" w:hAnsi="宋体" w:cs="宋体" w:eastAsia="宋体" w:hint="default"/>
          <w:sz w:val="7"/>
          <w:szCs w:val="7"/>
        </w:rPr>
      </w:pPr>
    </w:p>
    <w:tbl>
      <w:tblPr>
        <w:tblW w:w="0" w:type="auto"/>
        <w:jc w:val="left"/>
        <w:tblInd w:w="108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nil" w:sz="6" w:space="0" w:color="auto"/>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77"/>
              <w:jc w:val="left"/>
              <w:rPr>
                <w:rFonts w:ascii="宋体" w:hAnsi="宋体" w:cs="宋体" w:eastAsia="宋体" w:hint="default"/>
                <w:sz w:val="18"/>
                <w:szCs w:val="18"/>
              </w:rPr>
            </w:pPr>
            <w:r>
              <w:rPr>
                <w:rFonts w:ascii="宋体" w:hAnsi="宋体" w:cs="宋体" w:eastAsia="宋体" w:hint="default"/>
                <w:sz w:val="18"/>
                <w:szCs w:val="18"/>
              </w:rPr>
              <w:t>落地创意（武汉）科技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4,361,169.40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4,361,169.40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2"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4,361,169.40</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4,361,169.40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40" w:right="0"/>
        </w:sectPr>
      </w:pPr>
    </w:p>
    <w:p>
      <w:pPr>
        <w:pStyle w:val="BodyText"/>
        <w:spacing w:line="240" w:lineRule="auto" w:before="51"/>
        <w:ind w:left="1094" w:right="-20"/>
        <w:jc w:val="left"/>
      </w:pPr>
      <w:r>
        <w:rPr/>
        <w:t>组合中，按账龄分析法计提坏账准备的其他应收款：</w:t>
      </w:r>
    </w:p>
    <w:p>
      <w:pPr>
        <w:pStyle w:val="BodyText"/>
        <w:spacing w:line="240" w:lineRule="auto" w:before="117"/>
        <w:ind w:left="109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075" w:right="1111"/>
        <w:jc w:val="center"/>
      </w:pPr>
      <w:r>
        <w:rPr/>
        <w:t>单位： 元</w:t>
      </w:r>
    </w:p>
    <w:p>
      <w:pPr>
        <w:spacing w:after="0" w:line="240" w:lineRule="auto"/>
        <w:jc w:val="center"/>
        <w:sectPr>
          <w:type w:val="continuous"/>
          <w:pgSz w:w="11910" w:h="16840"/>
          <w:pgMar w:top="1060" w:bottom="1160" w:left="40" w:right="0"/>
          <w:cols w:num="2" w:equalWidth="0">
            <w:col w:w="5235" w:space="3595"/>
            <w:col w:w="3040"/>
          </w:cols>
        </w:sectPr>
      </w:pPr>
    </w:p>
    <w:p>
      <w:pPr>
        <w:spacing w:line="240" w:lineRule="auto" w:before="1"/>
        <w:rPr>
          <w:rFonts w:ascii="宋体" w:hAnsi="宋体" w:cs="宋体" w:eastAsia="宋体" w:hint="default"/>
          <w:sz w:val="8"/>
          <w:szCs w:val="8"/>
        </w:rPr>
      </w:pPr>
    </w:p>
    <w:tbl>
      <w:tblPr>
        <w:tblW w:w="0" w:type="auto"/>
        <w:jc w:val="left"/>
        <w:tblInd w:w="108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nil" w:sz="6" w:space="0" w:color="auto"/>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40" w:right="0"/>
        </w:sectPr>
      </w:pPr>
    </w:p>
    <w:p>
      <w:pPr>
        <w:spacing w:line="240" w:lineRule="auto" w:before="6"/>
        <w:rPr>
          <w:rFonts w:ascii="宋体" w:hAnsi="宋体" w:cs="宋体" w:eastAsia="宋体" w:hint="default"/>
          <w:sz w:val="24"/>
          <w:szCs w:val="24"/>
        </w:rPr>
      </w:pPr>
    </w:p>
    <w:tbl>
      <w:tblPr>
        <w:tblW w:w="0" w:type="auto"/>
        <w:jc w:val="left"/>
        <w:tblInd w:w="162" w:type="dxa"/>
        <w:tblLayout w:type="fixed"/>
        <w:tblCellMar>
          <w:top w:w="0" w:type="dxa"/>
          <w:left w:w="0" w:type="dxa"/>
          <w:bottom w:w="0" w:type="dxa"/>
          <w:right w:w="0" w:type="dxa"/>
        </w:tblCellMar>
        <w:tblLook w:val="01E0"/>
      </w:tblPr>
      <w:tblGrid>
        <w:gridCol w:w="2366"/>
        <w:gridCol w:w="2405"/>
        <w:gridCol w:w="2392"/>
        <w:gridCol w:w="2378"/>
      </w:tblGrid>
      <w:tr>
        <w:trPr>
          <w:trHeight w:val="402" w:hRule="exact"/>
        </w:trPr>
        <w:tc>
          <w:tcPr>
            <w:tcW w:w="9541" w:type="dxa"/>
            <w:gridSpan w:val="4"/>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4,156,861.97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124,705.86</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1,571,467.67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235,720.15</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88,236.82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44,118.41</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5,039,090.28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5,039,090.28</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6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10,855,656.74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5,443,634.70</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50.15%</w:t>
            </w:r>
          </w:p>
        </w:tc>
      </w:tr>
    </w:tbl>
    <w:p>
      <w:pPr>
        <w:spacing w:line="240" w:lineRule="auto" w:before="6"/>
        <w:rPr>
          <w:rFonts w:ascii="宋体" w:hAnsi="宋体" w:cs="宋体" w:eastAsia="宋体" w:hint="default"/>
          <w:sz w:val="27"/>
          <w:szCs w:val="27"/>
        </w:rPr>
      </w:pPr>
    </w:p>
    <w:p>
      <w:pPr>
        <w:pStyle w:val="BodyText"/>
        <w:spacing w:line="240" w:lineRule="auto" w:before="44"/>
        <w:ind w:right="0"/>
        <w:jc w:val="left"/>
      </w:pPr>
      <w:r>
        <w:rPr/>
        <w:t>确定该组合依据的说明：</w:t>
      </w:r>
    </w:p>
    <w:p>
      <w:pPr>
        <w:spacing w:line="240" w:lineRule="auto" w:before="13"/>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3014"/>
        <w:gridCol w:w="1754"/>
        <w:gridCol w:w="1457"/>
        <w:gridCol w:w="1284"/>
        <w:gridCol w:w="2150"/>
      </w:tblGrid>
      <w:tr>
        <w:trPr>
          <w:trHeight w:val="342" w:hRule="exact"/>
        </w:trPr>
        <w:tc>
          <w:tcPr>
            <w:tcW w:w="3014" w:type="dxa"/>
            <w:vMerge w:val="restart"/>
            <w:tcBorders>
              <w:top w:val="single" w:sz="4" w:space="0" w:color="000000"/>
              <w:left w:val="nil" w:sz="6" w:space="0" w:color="auto"/>
              <w:right w:val="single" w:sz="4" w:space="0" w:color="000000"/>
            </w:tcBorders>
          </w:tcPr>
          <w:p>
            <w:pPr>
              <w:pStyle w:val="TableParagraph"/>
              <w:spacing w:line="240" w:lineRule="auto" w:before="21"/>
              <w:ind w:left="696" w:right="0"/>
              <w:jc w:val="left"/>
              <w:rPr>
                <w:rFonts w:ascii="宋体" w:hAnsi="宋体" w:cs="宋体" w:eastAsia="宋体" w:hint="default"/>
                <w:sz w:val="18"/>
                <w:szCs w:val="18"/>
              </w:rPr>
            </w:pPr>
            <w:r>
              <w:rPr>
                <w:rFonts w:ascii="宋体" w:hAnsi="宋体" w:cs="宋体" w:eastAsia="宋体" w:hint="default"/>
                <w:sz w:val="18"/>
                <w:szCs w:val="18"/>
              </w:rPr>
              <w:t>无风险及关联方组合</w:t>
            </w:r>
          </w:p>
        </w:tc>
        <w:tc>
          <w:tcPr>
            <w:tcW w:w="66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3014" w:type="dxa"/>
            <w:vMerge/>
            <w:tcBorders>
              <w:left w:val="nil" w:sz="6" w:space="0" w:color="auto"/>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1,037,098.41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收回无风险</w:t>
            </w:r>
          </w:p>
        </w:tc>
      </w:tr>
      <w:tr>
        <w:trPr>
          <w:trHeight w:val="342" w:hRule="exact"/>
        </w:trPr>
        <w:tc>
          <w:tcPr>
            <w:tcW w:w="3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出口报关保证金</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171,957.06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收回无风险</w:t>
            </w:r>
          </w:p>
        </w:tc>
      </w:tr>
      <w:tr>
        <w:trPr>
          <w:trHeight w:val="343" w:hRule="exact"/>
        </w:trPr>
        <w:tc>
          <w:tcPr>
            <w:tcW w:w="3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1,209,055.47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t>组合中，采用余额百分比法计提坏账准备的其他应收款：</w:t>
      </w:r>
    </w:p>
    <w:p>
      <w:pPr>
        <w:pStyle w:val="BodyText"/>
        <w:spacing w:line="340" w:lineRule="auto" w:before="11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240" w:lineRule="auto"/>
        <w:ind w:left="514" w:right="0"/>
        <w:jc w:val="left"/>
      </w:pPr>
      <w:r>
        <w:rPr>
          <w:rFonts w:ascii="Times New Roman" w:hAnsi="Times New Roman" w:cs="Times New Roman" w:eastAsia="Times New Roman" w:hint="default"/>
        </w:rPr>
        <w:t>1.</w:t>
      </w:r>
      <w:r>
        <w:rPr/>
        <w:t>期末单项金额虽不重大但单独计提坏账准备的其他应收款</w:t>
      </w:r>
    </w:p>
    <w:p>
      <w:pPr>
        <w:spacing w:line="240" w:lineRule="auto" w:before="0"/>
        <w:rPr>
          <w:rFonts w:ascii="宋体" w:hAnsi="宋体" w:cs="宋体" w:eastAsia="宋体" w:hint="default"/>
          <w:sz w:val="4"/>
          <w:szCs w:val="4"/>
        </w:rPr>
      </w:pPr>
    </w:p>
    <w:tbl>
      <w:tblPr>
        <w:tblW w:w="0" w:type="auto"/>
        <w:jc w:val="left"/>
        <w:tblInd w:w="125" w:type="dxa"/>
        <w:tblLayout w:type="fixed"/>
        <w:tblCellMar>
          <w:top w:w="0" w:type="dxa"/>
          <w:left w:w="0" w:type="dxa"/>
          <w:bottom w:w="0" w:type="dxa"/>
          <w:right w:w="0" w:type="dxa"/>
        </w:tblCellMar>
        <w:tblLook w:val="01E0"/>
      </w:tblPr>
      <w:tblGrid>
        <w:gridCol w:w="3028"/>
        <w:gridCol w:w="1754"/>
        <w:gridCol w:w="1847"/>
        <w:gridCol w:w="894"/>
        <w:gridCol w:w="2150"/>
      </w:tblGrid>
      <w:tr>
        <w:trPr>
          <w:trHeight w:val="342" w:hRule="exact"/>
        </w:trPr>
        <w:tc>
          <w:tcPr>
            <w:tcW w:w="3028" w:type="dxa"/>
            <w:vMerge w:val="restart"/>
            <w:tcBorders>
              <w:top w:val="single" w:sz="4" w:space="0" w:color="000000"/>
              <w:left w:val="nil" w:sz="6" w:space="0" w:color="auto"/>
              <w:right w:val="single" w:sz="4" w:space="0" w:color="000000"/>
            </w:tcBorders>
          </w:tcPr>
          <w:p>
            <w:pPr>
              <w:pStyle w:val="TableParagraph"/>
              <w:spacing w:line="240" w:lineRule="auto" w:before="21"/>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6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3028" w:type="dxa"/>
            <w:vMerge/>
            <w:tcBorders>
              <w:left w:val="nil" w:sz="6" w:space="0" w:color="auto"/>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500,000.00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5" w:right="0"/>
              <w:jc w:val="left"/>
              <w:rPr>
                <w:rFonts w:ascii="Times New Roman" w:hAnsi="Times New Roman" w:cs="Times New Roman" w:eastAsia="Times New Roman" w:hint="default"/>
                <w:sz w:val="18"/>
                <w:szCs w:val="18"/>
              </w:rPr>
            </w:pPr>
            <w:r>
              <w:rPr>
                <w:rFonts w:ascii="Times New Roman"/>
                <w:sz w:val="18"/>
              </w:rPr>
              <w:t>100.00</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2" w:hRule="exact"/>
        </w:trPr>
        <w:tc>
          <w:tcPr>
            <w:tcW w:w="3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500,000.00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5" w:right="0"/>
              <w:jc w:val="left"/>
              <w:rPr>
                <w:rFonts w:ascii="Times New Roman" w:hAnsi="Times New Roman" w:cs="Times New Roman" w:eastAsia="Times New Roman" w:hint="default"/>
                <w:sz w:val="18"/>
                <w:szCs w:val="18"/>
              </w:rPr>
            </w:pPr>
            <w:r>
              <w:rPr>
                <w:rFonts w:ascii="Times New Roman"/>
                <w:sz w:val="18"/>
              </w:rPr>
              <w:t>100.00</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240" w:lineRule="auto" w:before="51"/>
        <w:ind w:right="-16"/>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6"/>
        <w:jc w:val="left"/>
      </w:pPr>
      <w:r>
        <w:rPr/>
        <w:t>本期计提坏账准备金额</w:t>
      </w:r>
      <w:r>
        <w:rPr>
          <w:spacing w:val="-46"/>
        </w:rPr>
        <w:t> </w:t>
      </w:r>
      <w:r>
        <w:rPr>
          <w:rFonts w:ascii="Times New Roman" w:hAnsi="Times New Roman" w:cs="Times New Roman" w:eastAsia="Times New Roman" w:hint="default"/>
        </w:rPr>
        <w:t>308,284.43</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pStyle w:val="BodyText"/>
        <w:spacing w:line="240" w:lineRule="auto" w:before="43"/>
        <w:ind w:right="-16"/>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2"/>
        <w:ind w:right="-16"/>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借支款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1,170,639.11</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1,389,578.38</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1,032,718.30</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1,806,855.21</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775,769.20</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959,641.00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10,942,670.75</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9,029,106.16</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310,000.00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1,037,098.41</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988,803.62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1,966,985.84</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1,991,076.93</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16,925,881.61</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16,475,061.30</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134"/>
        <w:gridCol w:w="1276"/>
        <w:gridCol w:w="1559"/>
        <w:gridCol w:w="1560"/>
        <w:gridCol w:w="1202"/>
      </w:tblGrid>
      <w:tr>
        <w:trPr>
          <w:trHeight w:val="713" w:hRule="exact"/>
        </w:trPr>
        <w:tc>
          <w:tcPr>
            <w:tcW w:w="28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 w:right="54"/>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20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2"/>
              <w:ind w:left="415" w:right="60"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02" w:hRule="exact"/>
        </w:trPr>
        <w:tc>
          <w:tcPr>
            <w:tcW w:w="2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4,361,169.40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25.77%</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4,361,169.40</w:t>
            </w:r>
          </w:p>
        </w:tc>
      </w:tr>
      <w:tr>
        <w:trPr>
          <w:trHeight w:val="402" w:hRule="exact"/>
        </w:trPr>
        <w:tc>
          <w:tcPr>
            <w:tcW w:w="2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武汉金运加科技孵化器有限公司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4,232,667.89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pacing w:val="-6"/>
                <w:sz w:val="18"/>
                <w:szCs w:val="18"/>
              </w:rPr>
              <w:t>年以内，</w:t>
            </w:r>
            <w:r>
              <w:rPr>
                <w:rFonts w:ascii="Times New Roman" w:hAnsi="Times New Roman" w:cs="Times New Roman" w:eastAsia="Times New Roman" w:hint="default"/>
                <w:spacing w:val="-6"/>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25.01%</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371,850.31</w:t>
            </w:r>
          </w:p>
        </w:tc>
      </w:tr>
      <w:tr>
        <w:trPr>
          <w:trHeight w:val="402" w:hRule="exact"/>
        </w:trPr>
        <w:tc>
          <w:tcPr>
            <w:tcW w:w="2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Vinwin Trading</w:t>
            </w:r>
            <w:r>
              <w:rPr>
                <w:rFonts w:ascii="Times New Roman"/>
                <w:spacing w:val="-26"/>
                <w:sz w:val="18"/>
              </w:rPr>
              <w:t> </w:t>
            </w:r>
            <w:r>
              <w:rPr>
                <w:rFonts w:ascii="Times New Roman"/>
                <w:sz w:val="18"/>
              </w:rPr>
              <w:t>FZE</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1,329,930.74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7.86%</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1,329,930.74</w:t>
            </w:r>
          </w:p>
        </w:tc>
      </w:tr>
      <w:tr>
        <w:trPr>
          <w:trHeight w:val="402" w:hRule="exact"/>
        </w:trPr>
        <w:tc>
          <w:tcPr>
            <w:tcW w:w="2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1,037,098.41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6.13%</w:t>
            </w:r>
          </w:p>
        </w:tc>
        <w:tc>
          <w:tcPr>
            <w:tcW w:w="120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2.95%</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500,000.00</w:t>
            </w:r>
          </w:p>
        </w:tc>
      </w:tr>
      <w:tr>
        <w:trPr>
          <w:trHeight w:val="403" w:hRule="exact"/>
        </w:trPr>
        <w:tc>
          <w:tcPr>
            <w:tcW w:w="28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11,460,866.44</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67.72%</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6,562,950.45</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7、存货" w:id="239"/>
      <w:bookmarkEnd w:id="239"/>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1）存货分类" w:id="240"/>
      <w:bookmarkEnd w:id="24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1362"/>
        <w:gridCol w:w="1368"/>
        <w:gridCol w:w="1367"/>
        <w:gridCol w:w="1367"/>
        <w:gridCol w:w="1368"/>
        <w:gridCol w:w="1367"/>
        <w:gridCol w:w="1367"/>
      </w:tblGrid>
      <w:tr>
        <w:trPr>
          <w:trHeight w:val="206" w:hRule="exact"/>
        </w:trPr>
        <w:tc>
          <w:tcPr>
            <w:tcW w:w="1362" w:type="dxa"/>
            <w:tcBorders>
              <w:top w:val="single" w:sz="4" w:space="0" w:color="000000"/>
              <w:left w:val="nil" w:sz="6" w:space="0" w:color="auto"/>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2"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1362" w:type="dxa"/>
            <w:vMerge/>
            <w:tcBorders>
              <w:left w:val="nil" w:sz="6" w:space="0" w:color="auto"/>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2" w:type="dxa"/>
            <w:tcBorders>
              <w:top w:val="nil" w:sz="6" w:space="0" w:color="auto"/>
              <w:left w:val="nil" w:sz="6" w:space="0" w:color="auto"/>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41,021,475.65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8,428,027.13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32,593,448.52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41,205,355.08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8,801,430.42</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32,403,924.66</w:t>
            </w:r>
          </w:p>
        </w:tc>
      </w:tr>
      <w:tr>
        <w:trPr>
          <w:trHeight w:val="402" w:hRule="exact"/>
        </w:trPr>
        <w:tc>
          <w:tcPr>
            <w:tcW w:w="1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21,792,038.23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4,352,345.84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17,439,692.39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26,194,016.21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3,738,069.52</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22,455,946.69</w:t>
            </w:r>
          </w:p>
        </w:tc>
      </w:tr>
      <w:tr>
        <w:trPr>
          <w:trHeight w:val="402" w:hRule="exact"/>
        </w:trPr>
        <w:tc>
          <w:tcPr>
            <w:tcW w:w="1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30,669,023.74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7,579,956.00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23,089,067.74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34,783,584.45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7,443,567.24</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27,340,017.21</w:t>
            </w:r>
          </w:p>
        </w:tc>
      </w:tr>
      <w:tr>
        <w:trPr>
          <w:trHeight w:val="402" w:hRule="exact"/>
        </w:trPr>
        <w:tc>
          <w:tcPr>
            <w:tcW w:w="1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11,470,149.22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5,565,913.23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5,904,235.99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12,139,547.24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5,568,489.95</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6,571,057.29</w:t>
            </w:r>
          </w:p>
        </w:tc>
      </w:tr>
      <w:tr>
        <w:trPr>
          <w:trHeight w:val="402" w:hRule="exact"/>
        </w:trPr>
        <w:tc>
          <w:tcPr>
            <w:tcW w:w="1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1,369,140.46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1,369,140.46</w:t>
            </w:r>
          </w:p>
        </w:tc>
      </w:tr>
      <w:tr>
        <w:trPr>
          <w:trHeight w:val="402" w:hRule="exact"/>
        </w:trPr>
        <w:tc>
          <w:tcPr>
            <w:tcW w:w="1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7,193,232.06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7,193,232.06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8,309,548.64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8,309,548.64</w:t>
            </w:r>
          </w:p>
        </w:tc>
      </w:tr>
      <w:tr>
        <w:trPr>
          <w:trHeight w:val="402" w:hRule="exact"/>
        </w:trPr>
        <w:tc>
          <w:tcPr>
            <w:tcW w:w="1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112,145,918.90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25,926,242.20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86,219,676.70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124,001,192.08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25,551,557.13</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98,449,634.95</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0"/>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spacing w:after="0" w:line="338"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338" w:lineRule="auto" w:before="44"/>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3"/>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存货跌价准备" w:id="241"/>
      <w:bookmarkEnd w:id="24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56" w:type="dxa"/>
        <w:tblLayout w:type="fixed"/>
        <w:tblCellMar>
          <w:top w:w="0" w:type="dxa"/>
          <w:left w:w="0" w:type="dxa"/>
          <w:bottom w:w="0" w:type="dxa"/>
          <w:right w:w="0" w:type="dxa"/>
        </w:tblCellMar>
        <w:tblLook w:val="01E0"/>
      </w:tblPr>
      <w:tblGrid>
        <w:gridCol w:w="1362"/>
        <w:gridCol w:w="1368"/>
        <w:gridCol w:w="1367"/>
        <w:gridCol w:w="1367"/>
        <w:gridCol w:w="1368"/>
        <w:gridCol w:w="1367"/>
        <w:gridCol w:w="1367"/>
      </w:tblGrid>
      <w:tr>
        <w:trPr>
          <w:trHeight w:val="206" w:hRule="exact"/>
        </w:trPr>
        <w:tc>
          <w:tcPr>
            <w:tcW w:w="1362" w:type="dxa"/>
            <w:tcBorders>
              <w:top w:val="single" w:sz="4" w:space="0" w:color="000000"/>
              <w:left w:val="nil" w:sz="6" w:space="0" w:color="auto"/>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62"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nil" w:sz="6" w:space="0" w:color="auto"/>
            </w:tcBorders>
            <w:shd w:val="clear" w:color="auto" w:fill="D2D2D2"/>
          </w:tcPr>
          <w:p>
            <w:pPr/>
          </w:p>
        </w:tc>
      </w:tr>
      <w:tr>
        <w:trPr>
          <w:trHeight w:val="196" w:hRule="exact"/>
        </w:trPr>
        <w:tc>
          <w:tcPr>
            <w:tcW w:w="1362" w:type="dxa"/>
            <w:vMerge/>
            <w:tcBorders>
              <w:left w:val="nil" w:sz="6" w:space="0" w:color="auto"/>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nil" w:sz="6" w:space="0" w:color="auto"/>
            </w:tcBorders>
            <w:shd w:val="clear" w:color="auto" w:fill="D2D2D2"/>
          </w:tcPr>
          <w:p>
            <w:pPr/>
          </w:p>
        </w:tc>
      </w:tr>
      <w:tr>
        <w:trPr>
          <w:trHeight w:val="205" w:hRule="exact"/>
        </w:trPr>
        <w:tc>
          <w:tcPr>
            <w:tcW w:w="1362" w:type="dxa"/>
            <w:tcBorders>
              <w:top w:val="nil" w:sz="6" w:space="0" w:color="auto"/>
              <w:left w:val="nil" w:sz="6" w:space="0" w:color="auto"/>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8,801,430.42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443,993.61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817,396.90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8,428,027.13</w:t>
            </w:r>
          </w:p>
        </w:tc>
      </w:tr>
      <w:tr>
        <w:trPr>
          <w:trHeight w:val="402" w:hRule="exact"/>
        </w:trPr>
        <w:tc>
          <w:tcPr>
            <w:tcW w:w="1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3,738,069.52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614,276.32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4,352,345.84</w:t>
            </w:r>
          </w:p>
        </w:tc>
      </w:tr>
      <w:tr>
        <w:trPr>
          <w:trHeight w:val="402" w:hRule="exact"/>
        </w:trPr>
        <w:tc>
          <w:tcPr>
            <w:tcW w:w="1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7,443,567.24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822,311.35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685,922.59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7,579,956.00</w:t>
            </w:r>
          </w:p>
        </w:tc>
      </w:tr>
      <w:tr>
        <w:trPr>
          <w:trHeight w:val="402" w:hRule="exact"/>
        </w:trPr>
        <w:tc>
          <w:tcPr>
            <w:tcW w:w="1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5,568,489.95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14,684.14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17,260.86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5,565,913.23</w:t>
            </w:r>
          </w:p>
        </w:tc>
      </w:tr>
      <w:tr>
        <w:trPr>
          <w:trHeight w:val="403" w:hRule="exact"/>
        </w:trPr>
        <w:tc>
          <w:tcPr>
            <w:tcW w:w="13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25,551,557.13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1,895,265.42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1,520,580.35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25,926,242.20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存货期末余额含有借款费用资本化金额的说明" w:id="242"/>
      <w:bookmarkEnd w:id="242"/>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期末建造合同形成的已完工未结算资产情况" w:id="243"/>
      <w:bookmarkEnd w:id="243"/>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8、持有待售资产" w:id="244"/>
      <w:bookmarkEnd w:id="244"/>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9、一年内到期的非流动资产" w:id="245"/>
      <w:bookmarkEnd w:id="245"/>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0、其他流动资产" w:id="246"/>
      <w:bookmarkEnd w:id="246"/>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588,320.11</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2,267,709.91</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190,775.89</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601,207.67</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支付宝账户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420.05</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17,494.18</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1,817,998.99</w:t>
            </w:r>
          </w:p>
        </w:tc>
        <w:tc>
          <w:tcPr>
            <w:tcW w:w="3191"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2,597,515.04</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2,886,411.76</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1、可供出售金融资产" w:id="247"/>
      <w:bookmarkEnd w:id="247"/>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48"/>
      <w:bookmarkEnd w:id="248"/>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402" w:type="dxa"/>
        <w:tblLayout w:type="fixed"/>
        <w:tblCellMar>
          <w:top w:w="0" w:type="dxa"/>
          <w:left w:w="0" w:type="dxa"/>
          <w:bottom w:w="0" w:type="dxa"/>
          <w:right w:w="0" w:type="dxa"/>
        </w:tblCellMar>
        <w:tblLook w:val="01E0"/>
      </w:tblPr>
      <w:tblGrid>
        <w:gridCol w:w="1987"/>
        <w:gridCol w:w="1195"/>
        <w:gridCol w:w="1196"/>
        <w:gridCol w:w="1196"/>
        <w:gridCol w:w="1248"/>
        <w:gridCol w:w="1367"/>
        <w:gridCol w:w="1367"/>
      </w:tblGrid>
      <w:tr>
        <w:trPr>
          <w:trHeight w:val="206" w:hRule="exact"/>
        </w:trPr>
        <w:tc>
          <w:tcPr>
            <w:tcW w:w="1987" w:type="dxa"/>
            <w:tcBorders>
              <w:top w:val="single" w:sz="4" w:space="0" w:color="000000"/>
              <w:left w:val="nil" w:sz="6" w:space="0" w:color="auto"/>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87"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1987" w:type="dxa"/>
            <w:vMerge/>
            <w:tcBorders>
              <w:left w:val="nil" w:sz="6" w:space="0" w:color="auto"/>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7" w:type="dxa"/>
            <w:tcBorders>
              <w:top w:val="nil" w:sz="6" w:space="0" w:color="auto"/>
              <w:left w:val="nil" w:sz="6" w:space="0" w:color="auto"/>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9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300,000.00</w:t>
            </w:r>
          </w:p>
        </w:tc>
      </w:tr>
    </w:tbl>
    <w:p>
      <w:pPr>
        <w:spacing w:line="240" w:lineRule="auto" w:before="2"/>
        <w:rPr>
          <w:rFonts w:ascii="宋体" w:hAnsi="宋体" w:cs="宋体" w:eastAsia="宋体" w:hint="default"/>
          <w:sz w:val="19"/>
          <w:szCs w:val="19"/>
        </w:rPr>
      </w:pPr>
    </w:p>
    <w:p>
      <w:pPr>
        <w:pStyle w:val="Heading4"/>
        <w:spacing w:line="240" w:lineRule="auto" w:before="35"/>
        <w:ind w:left="394" w:right="0"/>
        <w:jc w:val="left"/>
        <w:rPr>
          <w:b w:val="0"/>
          <w:bCs w:val="0"/>
        </w:rPr>
      </w:pPr>
      <w:bookmarkStart w:name="（2）期末按公允价值计量的可供出售金融资产" w:id="249"/>
      <w:bookmarkEnd w:id="249"/>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394" w:right="0"/>
        <w:jc w:val="left"/>
        <w:rPr>
          <w:b w:val="0"/>
          <w:bCs w:val="0"/>
        </w:rPr>
      </w:pPr>
      <w:bookmarkStart w:name="（3）期末按成本计量的可供出售金融资产" w:id="250"/>
      <w:bookmarkEnd w:id="250"/>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140"/>
        <w:gridCol w:w="870"/>
        <w:gridCol w:w="870"/>
        <w:gridCol w:w="870"/>
        <w:gridCol w:w="870"/>
        <w:gridCol w:w="870"/>
        <w:gridCol w:w="870"/>
        <w:gridCol w:w="870"/>
        <w:gridCol w:w="870"/>
        <w:gridCol w:w="870"/>
        <w:gridCol w:w="870"/>
      </w:tblGrid>
      <w:tr>
        <w:trPr>
          <w:trHeight w:val="402" w:hRule="exact"/>
        </w:trPr>
        <w:tc>
          <w:tcPr>
            <w:tcW w:w="1140"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73"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1140" w:type="dxa"/>
            <w:vMerge/>
            <w:tcBorders>
              <w:left w:val="nil" w:sz="6" w:space="0" w:color="auto"/>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nil" w:sz="6" w:space="0" w:color="auto"/>
            </w:tcBorders>
            <w:shd w:val="clear" w:color="auto" w:fill="D2D2D2"/>
          </w:tcPr>
          <w:p>
            <w:pPr/>
          </w:p>
        </w:tc>
      </w:tr>
      <w:tr>
        <w:trPr>
          <w:trHeight w:val="1026" w:hRule="exact"/>
        </w:trPr>
        <w:tc>
          <w:tcPr>
            <w:tcW w:w="114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1" w:right="33"/>
              <w:jc w:val="both"/>
              <w:rPr>
                <w:rFonts w:ascii="宋体" w:hAnsi="宋体" w:cs="宋体" w:eastAsia="宋体" w:hint="default"/>
                <w:sz w:val="18"/>
                <w:szCs w:val="18"/>
              </w:rPr>
            </w:pPr>
            <w:r>
              <w:rPr>
                <w:rFonts w:ascii="宋体" w:hAnsi="宋体" w:cs="宋体" w:eastAsia="宋体" w:hint="default"/>
                <w:sz w:val="18"/>
                <w:szCs w:val="18"/>
              </w:rPr>
              <w:t>玩偶一号（武 汉）科技有限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14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394" w:right="0"/>
        <w:jc w:val="left"/>
        <w:rPr>
          <w:b w:val="0"/>
          <w:bCs w:val="0"/>
        </w:rPr>
      </w:pPr>
      <w:bookmarkStart w:name="（4）报告期内可供出售金融资产减值的变动情况" w:id="251"/>
      <w:bookmarkEnd w:id="251"/>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394" w:right="0"/>
        <w:jc w:val="left"/>
        <w:rPr>
          <w:b w:val="0"/>
          <w:bCs w:val="0"/>
        </w:rPr>
      </w:pPr>
      <w:bookmarkStart w:name="（5）可供出售权益工具期末公允价值严重下跌或非暂时性下跌但未计提减值准备的相关说" w:id="252"/>
      <w:bookmarkEnd w:id="252"/>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394" w:right="0"/>
        <w:jc w:val="left"/>
        <w:rPr>
          <w:b w:val="0"/>
          <w:bCs w:val="0"/>
        </w:rPr>
      </w:pPr>
      <w:bookmarkStart w:name="12、持有至到期投资" w:id="253"/>
      <w:bookmarkEnd w:id="253"/>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394" w:right="0"/>
        <w:jc w:val="left"/>
        <w:rPr>
          <w:b w:val="0"/>
          <w:bCs w:val="0"/>
        </w:rPr>
      </w:pPr>
      <w:bookmarkStart w:name="（1）持有至到期投资情况" w:id="254"/>
      <w:bookmarkEnd w:id="254"/>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394" w:right="0"/>
        <w:jc w:val="left"/>
        <w:rPr>
          <w:b w:val="0"/>
          <w:bCs w:val="0"/>
        </w:rPr>
      </w:pPr>
      <w:bookmarkStart w:name="（2）期末重要的持有至到期投资" w:id="255"/>
      <w:bookmarkEnd w:id="255"/>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394" w:right="0"/>
        <w:jc w:val="left"/>
        <w:rPr>
          <w:b w:val="0"/>
          <w:bCs w:val="0"/>
        </w:rPr>
      </w:pPr>
      <w:bookmarkStart w:name="（3）本期重分类的持有至到期投资" w:id="256"/>
      <w:bookmarkEnd w:id="256"/>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9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394" w:right="0"/>
        <w:jc w:val="left"/>
        <w:rPr>
          <w:b w:val="0"/>
          <w:bCs w:val="0"/>
        </w:rPr>
      </w:pPr>
      <w:bookmarkStart w:name="13、长期应收款" w:id="257"/>
      <w:bookmarkEnd w:id="257"/>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394" w:right="0"/>
        <w:jc w:val="left"/>
        <w:rPr>
          <w:b w:val="0"/>
          <w:bCs w:val="0"/>
        </w:rPr>
      </w:pPr>
      <w:bookmarkStart w:name="（1）长期应收款情况" w:id="258"/>
      <w:bookmarkEnd w:id="258"/>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394" w:right="0"/>
        <w:jc w:val="left"/>
        <w:rPr>
          <w:b w:val="0"/>
          <w:bCs w:val="0"/>
        </w:rPr>
      </w:pPr>
      <w:bookmarkStart w:name="（2）因金融资产转移而终止确认的长期应收款" w:id="259"/>
      <w:bookmarkEnd w:id="259"/>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394" w:right="0"/>
        <w:jc w:val="left"/>
        <w:rPr>
          <w:b w:val="0"/>
          <w:bCs w:val="0"/>
        </w:rPr>
      </w:pPr>
      <w:bookmarkStart w:name="（3）转移长期应收款且继续涉入形成的资产、负债金额" w:id="260"/>
      <w:bookmarkEnd w:id="260"/>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94" w:right="0"/>
        <w:jc w:val="left"/>
      </w:pPr>
      <w:r>
        <w:rPr/>
        <w:t>其他说明</w:t>
      </w:r>
    </w:p>
    <w:p>
      <w:pPr>
        <w:spacing w:after="0" w:line="240" w:lineRule="auto"/>
        <w:jc w:val="left"/>
        <w:sectPr>
          <w:pgSz w:w="11910" w:h="16840"/>
          <w:pgMar w:header="877" w:footer="979" w:top="1100" w:bottom="1160" w:left="740" w:right="0"/>
        </w:sectPr>
      </w:pPr>
    </w:p>
    <w:p>
      <w:pPr>
        <w:spacing w:line="240" w:lineRule="auto" w:before="9"/>
        <w:rPr>
          <w:rFonts w:ascii="宋体" w:hAnsi="宋体" w:cs="宋体" w:eastAsia="宋体" w:hint="default"/>
          <w:sz w:val="20"/>
          <w:szCs w:val="20"/>
        </w:rPr>
      </w:pPr>
    </w:p>
    <w:p>
      <w:pPr>
        <w:pStyle w:val="Heading4"/>
        <w:spacing w:line="240" w:lineRule="auto" w:before="35"/>
        <w:ind w:left="534" w:right="0"/>
        <w:jc w:val="left"/>
        <w:rPr>
          <w:b w:val="0"/>
          <w:bCs w:val="0"/>
        </w:rPr>
      </w:pPr>
      <w:bookmarkStart w:name="14、长期股权投资" w:id="261"/>
      <w:bookmarkEnd w:id="261"/>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222"/>
        <w:gridCol w:w="798"/>
        <w:gridCol w:w="108"/>
        <w:gridCol w:w="689"/>
        <w:gridCol w:w="798"/>
        <w:gridCol w:w="798"/>
        <w:gridCol w:w="798"/>
        <w:gridCol w:w="798"/>
        <w:gridCol w:w="798"/>
        <w:gridCol w:w="565"/>
        <w:gridCol w:w="568"/>
        <w:gridCol w:w="1134"/>
        <w:gridCol w:w="1276"/>
      </w:tblGrid>
      <w:tr>
        <w:trPr>
          <w:trHeight w:val="402" w:hRule="exact"/>
        </w:trPr>
        <w:tc>
          <w:tcPr>
            <w:tcW w:w="1222"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2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6"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452" w:right="96"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1025" w:hRule="exact"/>
        </w:trPr>
        <w:tc>
          <w:tcPr>
            <w:tcW w:w="1222" w:type="dxa"/>
            <w:vMerge/>
            <w:tcBorders>
              <w:left w:val="nil" w:sz="6" w:space="0" w:color="auto"/>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7" w:right="9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10350" w:type="dxa"/>
            <w:gridSpan w:val="1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10350" w:type="dxa"/>
            <w:gridSpan w:val="13"/>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2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27" w:right="107"/>
              <w:jc w:val="both"/>
              <w:rPr>
                <w:rFonts w:ascii="宋体" w:hAnsi="宋体" w:cs="宋体" w:eastAsia="宋体" w:hint="default"/>
                <w:sz w:val="18"/>
                <w:szCs w:val="18"/>
              </w:rPr>
            </w:pPr>
            <w:r>
              <w:rPr>
                <w:rFonts w:ascii="宋体" w:hAnsi="宋体" w:cs="宋体" w:eastAsia="宋体" w:hint="default"/>
                <w:sz w:val="18"/>
                <w:szCs w:val="18"/>
              </w:rPr>
              <w:t>扬州市金运环 宇激光设备有 限公司</w:t>
            </w:r>
          </w:p>
        </w:tc>
        <w:tc>
          <w:tcPr>
            <w:tcW w:w="9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170,040.26</w:t>
            </w:r>
          </w:p>
        </w:tc>
        <w:tc>
          <w:tcPr>
            <w:tcW w:w="68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17,231.74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187,272.00</w:t>
            </w: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12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27" w:right="107"/>
              <w:jc w:val="both"/>
              <w:rPr>
                <w:rFonts w:ascii="宋体" w:hAnsi="宋体" w:cs="宋体" w:eastAsia="宋体" w:hint="default"/>
                <w:sz w:val="18"/>
                <w:szCs w:val="18"/>
              </w:rPr>
            </w:pPr>
            <w:r>
              <w:rPr>
                <w:rFonts w:ascii="宋体" w:hAnsi="宋体" w:cs="宋体" w:eastAsia="宋体" w:hint="default"/>
                <w:sz w:val="18"/>
                <w:szCs w:val="18"/>
              </w:rPr>
              <w:t>落地创意（武 汉）科技有限 公司</w:t>
            </w:r>
          </w:p>
        </w:tc>
        <w:tc>
          <w:tcPr>
            <w:tcW w:w="906" w:type="dxa"/>
            <w:gridSpan w:val="2"/>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3,681,743.61</w:t>
            </w:r>
          </w:p>
        </w:tc>
      </w:tr>
      <w:tr>
        <w:trPr>
          <w:trHeight w:val="402" w:hRule="exact"/>
        </w:trPr>
        <w:tc>
          <w:tcPr>
            <w:tcW w:w="122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 w:right="0"/>
              <w:jc w:val="left"/>
              <w:rPr>
                <w:rFonts w:ascii="Times New Roman" w:hAnsi="Times New Roman" w:cs="Times New Roman" w:eastAsia="Times New Roman" w:hint="default"/>
                <w:sz w:val="18"/>
                <w:szCs w:val="18"/>
              </w:rPr>
            </w:pPr>
            <w:r>
              <w:rPr>
                <w:rFonts w:ascii="Times New Roman"/>
                <w:sz w:val="18"/>
              </w:rPr>
              <w:t>170,040.26</w:t>
            </w:r>
          </w:p>
        </w:tc>
        <w:tc>
          <w:tcPr>
            <w:tcW w:w="68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17,231.74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187,272.00</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3,681,743.61</w:t>
            </w:r>
          </w:p>
        </w:tc>
      </w:tr>
      <w:tr>
        <w:trPr>
          <w:trHeight w:val="403" w:hRule="exact"/>
        </w:trPr>
        <w:tc>
          <w:tcPr>
            <w:tcW w:w="122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 w:right="0"/>
              <w:jc w:val="left"/>
              <w:rPr>
                <w:rFonts w:ascii="Times New Roman" w:hAnsi="Times New Roman" w:cs="Times New Roman" w:eastAsia="Times New Roman" w:hint="default"/>
                <w:sz w:val="18"/>
                <w:szCs w:val="18"/>
              </w:rPr>
            </w:pPr>
            <w:r>
              <w:rPr>
                <w:rFonts w:ascii="Times New Roman"/>
                <w:sz w:val="18"/>
              </w:rPr>
              <w:t>170,040.26</w:t>
            </w:r>
          </w:p>
        </w:tc>
        <w:tc>
          <w:tcPr>
            <w:tcW w:w="68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17,231.74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187,272.00</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3,681,743.61</w:t>
            </w:r>
          </w:p>
        </w:tc>
      </w:tr>
    </w:tbl>
    <w:p>
      <w:pPr>
        <w:pStyle w:val="BodyText"/>
        <w:spacing w:line="240" w:lineRule="auto" w:before="51"/>
        <w:ind w:left="5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534" w:right="0"/>
        <w:jc w:val="left"/>
        <w:rPr>
          <w:b w:val="0"/>
          <w:bCs w:val="0"/>
        </w:rPr>
      </w:pPr>
      <w:bookmarkStart w:name="15、投资性房地产" w:id="262"/>
      <w:bookmarkEnd w:id="26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534" w:right="0"/>
        <w:jc w:val="left"/>
        <w:rPr>
          <w:b w:val="0"/>
          <w:bCs w:val="0"/>
        </w:rPr>
      </w:pPr>
      <w:bookmarkStart w:name="（1）采用成本计量模式的投资性房地产" w:id="263"/>
      <w:bookmarkEnd w:id="263"/>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534" w:right="0"/>
        <w:jc w:val="left"/>
        <w:rPr>
          <w:b w:val="0"/>
          <w:bCs w:val="0"/>
        </w:rPr>
      </w:pPr>
      <w:bookmarkStart w:name="（2）采用公允价值计量模式的投资性房地产" w:id="264"/>
      <w:bookmarkEnd w:id="264"/>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534" w:right="0"/>
        <w:jc w:val="left"/>
        <w:rPr>
          <w:b w:val="0"/>
          <w:bCs w:val="0"/>
        </w:rPr>
      </w:pPr>
      <w:bookmarkStart w:name="（3）未办妥产权证书的投资性房地产情况" w:id="265"/>
      <w:bookmarkEnd w:id="265"/>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534" w:right="0"/>
        <w:jc w:val="left"/>
        <w:rPr>
          <w:b w:val="0"/>
          <w:bCs w:val="0"/>
        </w:rPr>
      </w:pPr>
      <w:bookmarkStart w:name="16、固定资产" w:id="266"/>
      <w:bookmarkEnd w:id="26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543" w:type="dxa"/>
        <w:tblLayout w:type="fixed"/>
        <w:tblCellMar>
          <w:top w:w="0" w:type="dxa"/>
          <w:left w:w="0" w:type="dxa"/>
          <w:bottom w:w="0" w:type="dxa"/>
          <w:right w:w="0" w:type="dxa"/>
        </w:tblCellMar>
        <w:tblLook w:val="01E0"/>
      </w:tblPr>
      <w:tblGrid>
        <w:gridCol w:w="3169"/>
        <w:gridCol w:w="3200"/>
        <w:gridCol w:w="3174"/>
      </w:tblGrid>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77,725,415.19</w:t>
            </w:r>
          </w:p>
        </w:tc>
        <w:tc>
          <w:tcPr>
            <w:tcW w:w="3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82,240,821.55</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77,725,415.19</w:t>
            </w:r>
          </w:p>
        </w:tc>
        <w:tc>
          <w:tcPr>
            <w:tcW w:w="3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82,240,821.55</w:t>
            </w:r>
          </w:p>
        </w:tc>
      </w:tr>
    </w:tbl>
    <w:p>
      <w:pPr>
        <w:spacing w:line="240" w:lineRule="auto" w:before="3"/>
        <w:rPr>
          <w:rFonts w:ascii="宋体" w:hAnsi="宋体" w:cs="宋体" w:eastAsia="宋体" w:hint="default"/>
          <w:sz w:val="19"/>
          <w:szCs w:val="19"/>
        </w:rPr>
      </w:pPr>
    </w:p>
    <w:p>
      <w:pPr>
        <w:pStyle w:val="Heading4"/>
        <w:spacing w:line="240" w:lineRule="auto" w:before="35"/>
        <w:ind w:left="534" w:right="0"/>
        <w:jc w:val="left"/>
        <w:rPr>
          <w:b w:val="0"/>
          <w:bCs w:val="0"/>
        </w:rPr>
      </w:pPr>
      <w:bookmarkStart w:name="（1）固定资产情况" w:id="267"/>
      <w:bookmarkEnd w:id="26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6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80"/>
      </w:tblGrid>
      <w:tr>
        <w:trPr>
          <w:trHeight w:val="402" w:hRule="exact"/>
        </w:trPr>
        <w:tc>
          <w:tcPr>
            <w:tcW w:w="1583" w:type="dxa"/>
            <w:tcBorders>
              <w:top w:val="single" w:sz="4" w:space="0" w:color="000000"/>
              <w:left w:val="nil" w:sz="6" w:space="0" w:color="auto"/>
              <w:bottom w:val="single" w:sz="4" w:space="0" w:color="000000"/>
              <w:right w:val="single" w:sz="13" w:space="0" w:color="E0FFFF"/>
            </w:tcBorders>
            <w:shd w:val="clear" w:color="auto" w:fill="D2D2D2"/>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8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74,156,626.70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28,332,513.22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2,677,384.47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7,040,660.60</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112,207,184.99</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370,416.23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361,406.89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99,728.32</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831,551.44</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370,416.23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361,406.89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99,728.32</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831,551.44</w:t>
            </w:r>
          </w:p>
        </w:tc>
      </w:tr>
      <w:tr>
        <w:trPr>
          <w:trHeight w:val="714"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191,317.09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215,608.43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67,767.91</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474,693.43</w:t>
            </w:r>
          </w:p>
        </w:tc>
      </w:tr>
      <w:tr>
        <w:trPr>
          <w:trHeight w:val="714"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191,317.09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215,608.43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18,550.75</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425,476.27</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E0FFFF"/>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49,217.16</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49,217.16</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74,156,626.70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28,511,612.36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2,823,182.93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7,072,621.01</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112,564,043.00</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9,828,024.56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11,983,696.78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2,272,157.75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4,782,072.02</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28,865,951.11</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1,765,662.72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2,944,008.16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43,134.73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434,669.07</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5,187,474.68</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1,765,662.72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2,944,008.16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43,134.73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434,669.07</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5,187,474.68</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77,625.78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198,132.03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39,452.50</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315,210.31</w:t>
            </w:r>
          </w:p>
        </w:tc>
      </w:tr>
      <w:tr>
        <w:trPr>
          <w:trHeight w:val="714"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77,625.78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198,132.03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17,590.48</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293,348.29</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E0FFFF"/>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21,862.02</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21,862.02</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11,593,687.28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14,850,079.16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2,117,160.45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5,177,288.59</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33,738,215.48</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116,166.81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984,245.52</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1,100,412.33</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116,166.81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984,245.52</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1,100,412.33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62,562,939.42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13,661,533.20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589,855.67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911,086.90</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77,725,415.19</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64,328,602.14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16,348,816.44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289,059.91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1,274,343.06</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82,240,821.55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2）暂时闲置的固定资产情况" w:id="268"/>
      <w:bookmarkEnd w:id="268"/>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通过融资租赁租入的固定资产情况" w:id="269"/>
      <w:bookmarkEnd w:id="269"/>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通过经营租赁租出的固定资产" w:id="270"/>
      <w:bookmarkEnd w:id="270"/>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4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57,277,176.66</w:t>
            </w:r>
          </w:p>
        </w:tc>
      </w:tr>
      <w:tr>
        <w:trPr>
          <w:trHeight w:val="402" w:hRule="exact"/>
        </w:trPr>
        <w:tc>
          <w:tcPr>
            <w:tcW w:w="4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57,277,176.66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办妥产权证书的固定资产情况" w:id="271"/>
      <w:bookmarkEnd w:id="271"/>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固定资产清理" w:id="272"/>
      <w:bookmarkEnd w:id="272"/>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7、在建工程" w:id="273"/>
      <w:bookmarkEnd w:id="27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202,977.68</w:t>
            </w:r>
          </w:p>
        </w:tc>
        <w:tc>
          <w:tcPr>
            <w:tcW w:w="385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85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202,977.68</w:t>
            </w:r>
          </w:p>
        </w:tc>
        <w:tc>
          <w:tcPr>
            <w:tcW w:w="3858"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在建工程情况" w:id="274"/>
      <w:bookmarkEnd w:id="27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nil" w:sz="6" w:space="0" w:color="auto"/>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熔覆设备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202,977.68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202,977.68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6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202,977.68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202,977.68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2）重要在建工程项目本期变动情况" w:id="275"/>
      <w:bookmarkEnd w:id="27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本期计提在建工程减值准备情况" w:id="276"/>
      <w:bookmarkEnd w:id="276"/>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工程物资" w:id="277"/>
      <w:bookmarkEnd w:id="277"/>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8、生产性生物资产" w:id="278"/>
      <w:bookmarkEnd w:id="278"/>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生产性生物资产" w:id="279"/>
      <w:bookmarkEnd w:id="279"/>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生产性生物资产" w:id="280"/>
      <w:bookmarkEnd w:id="280"/>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9、油气资产" w:id="281"/>
      <w:bookmarkEnd w:id="281"/>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0、无形资产" w:id="282"/>
      <w:bookmarkEnd w:id="282"/>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83"/>
      <w:bookmarkEnd w:id="283"/>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688"/>
        <w:gridCol w:w="708"/>
        <w:gridCol w:w="568"/>
        <w:gridCol w:w="709"/>
        <w:gridCol w:w="1559"/>
        <w:gridCol w:w="992"/>
        <w:gridCol w:w="993"/>
        <w:gridCol w:w="1134"/>
        <w:gridCol w:w="1202"/>
      </w:tblGrid>
      <w:tr>
        <w:trPr>
          <w:trHeight w:val="161" w:hRule="exact"/>
        </w:trPr>
        <w:tc>
          <w:tcPr>
            <w:tcW w:w="1688" w:type="dxa"/>
            <w:tcBorders>
              <w:top w:val="single" w:sz="4" w:space="0" w:color="000000"/>
              <w:left w:val="nil" w:sz="6" w:space="0" w:color="auto"/>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69" w:right="77" w:hanging="90"/>
              <w:jc w:val="left"/>
              <w:rPr>
                <w:rFonts w:ascii="宋体" w:hAnsi="宋体" w:cs="宋体" w:eastAsia="宋体" w:hint="default"/>
                <w:sz w:val="18"/>
                <w:szCs w:val="18"/>
              </w:rPr>
            </w:pPr>
            <w:r>
              <w:rPr>
                <w:rFonts w:ascii="宋体" w:hAnsi="宋体" w:cs="宋体" w:eastAsia="宋体" w:hint="default"/>
                <w:sz w:val="18"/>
                <w:szCs w:val="18"/>
              </w:rPr>
              <w:t>土地使 用权</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89" w:right="96" w:hanging="90"/>
              <w:jc w:val="left"/>
              <w:rPr>
                <w:rFonts w:ascii="宋体" w:hAnsi="宋体" w:cs="宋体" w:eastAsia="宋体" w:hint="default"/>
                <w:sz w:val="18"/>
                <w:szCs w:val="18"/>
              </w:rPr>
            </w:pPr>
            <w:r>
              <w:rPr>
                <w:rFonts w:ascii="宋体" w:hAnsi="宋体" w:cs="宋体" w:eastAsia="宋体" w:hint="default"/>
                <w:sz w:val="18"/>
                <w:szCs w:val="18"/>
              </w:rPr>
              <w:t>专利 权</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69" w:right="78" w:hanging="90"/>
              <w:jc w:val="left"/>
              <w:rPr>
                <w:rFonts w:ascii="宋体" w:hAnsi="宋体" w:cs="宋体" w:eastAsia="宋体" w:hint="default"/>
                <w:sz w:val="18"/>
                <w:szCs w:val="18"/>
              </w:rPr>
            </w:pPr>
            <w:r>
              <w:rPr>
                <w:rFonts w:ascii="宋体" w:hAnsi="宋体" w:cs="宋体" w:eastAsia="宋体" w:hint="default"/>
                <w:sz w:val="18"/>
                <w:szCs w:val="18"/>
              </w:rPr>
              <w:t>非专利 技术</w:t>
            </w:r>
          </w:p>
        </w:tc>
        <w:tc>
          <w:tcPr>
            <w:tcW w:w="1559" w:type="dxa"/>
            <w:vMerge w:val="restart"/>
            <w:tcBorders>
              <w:top w:val="single" w:sz="4" w:space="0" w:color="000000"/>
              <w:left w:val="single" w:sz="13" w:space="0" w:color="D2D2D2"/>
              <w:right w:val="single" w:sz="4" w:space="0" w:color="000000"/>
            </w:tcBorders>
            <w:shd w:val="clear" w:color="auto" w:fill="E0FFFF"/>
          </w:tcPr>
          <w:p>
            <w:pPr>
              <w:pStyle w:val="TableParagraph"/>
              <w:spacing w:line="316" w:lineRule="auto" w:before="51"/>
              <w:ind w:left="222" w:right="53" w:hanging="180"/>
              <w:jc w:val="left"/>
              <w:rPr>
                <w:rFonts w:ascii="宋体" w:hAnsi="宋体" w:cs="宋体" w:eastAsia="宋体" w:hint="default"/>
                <w:sz w:val="18"/>
                <w:szCs w:val="18"/>
              </w:rPr>
            </w:pPr>
            <w:r>
              <w:rPr>
                <w:rFonts w:ascii="宋体" w:hAnsi="宋体" w:cs="宋体" w:eastAsia="宋体" w:hint="default"/>
                <w:sz w:val="18"/>
                <w:szCs w:val="18"/>
              </w:rPr>
              <w:t>专利权、专有技术 及非专利技术</w:t>
            </w:r>
          </w:p>
        </w:tc>
        <w:tc>
          <w:tcPr>
            <w:tcW w:w="992"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99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13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软件及许可</w:t>
            </w:r>
          </w:p>
        </w:tc>
        <w:tc>
          <w:tcPr>
            <w:tcW w:w="1202"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68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708"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559" w:type="dxa"/>
            <w:vMerge/>
            <w:tcBorders>
              <w:left w:val="single" w:sz="13" w:space="0" w:color="D2D2D2"/>
              <w:right w:val="single" w:sz="4" w:space="0" w:color="000000"/>
            </w:tcBorders>
            <w:shd w:val="clear" w:color="auto" w:fill="E0FFFF"/>
          </w:tcPr>
          <w:p>
            <w:pPr/>
          </w:p>
        </w:tc>
        <w:tc>
          <w:tcPr>
            <w:tcW w:w="992" w:type="dxa"/>
            <w:vMerge/>
            <w:tcBorders>
              <w:left w:val="single" w:sz="4" w:space="0" w:color="000000"/>
              <w:right w:val="single" w:sz="4" w:space="0" w:color="000000"/>
            </w:tcBorders>
            <w:shd w:val="clear" w:color="auto" w:fill="E0FFFF"/>
          </w:tcPr>
          <w:p>
            <w:pPr/>
          </w:p>
        </w:tc>
        <w:tc>
          <w:tcPr>
            <w:tcW w:w="993" w:type="dxa"/>
            <w:vMerge/>
            <w:tcBorders>
              <w:left w:val="single" w:sz="4" w:space="0" w:color="000000"/>
              <w:right w:val="single" w:sz="4" w:space="0" w:color="000000"/>
            </w:tcBorders>
            <w:shd w:val="clear" w:color="auto" w:fill="E0FFFF"/>
          </w:tcPr>
          <w:p>
            <w:pPr/>
          </w:p>
        </w:tc>
        <w:tc>
          <w:tcPr>
            <w:tcW w:w="1134" w:type="dxa"/>
            <w:vMerge/>
            <w:tcBorders>
              <w:left w:val="single" w:sz="4" w:space="0" w:color="000000"/>
              <w:right w:val="single" w:sz="4" w:space="0" w:color="000000"/>
            </w:tcBorders>
            <w:shd w:val="clear" w:color="auto" w:fill="E0FFFF"/>
          </w:tcPr>
          <w:p>
            <w:pPr/>
          </w:p>
        </w:tc>
        <w:tc>
          <w:tcPr>
            <w:tcW w:w="1202" w:type="dxa"/>
            <w:vMerge/>
            <w:tcBorders>
              <w:left w:val="single" w:sz="4" w:space="0" w:color="000000"/>
              <w:right w:val="nil" w:sz="6" w:space="0" w:color="auto"/>
            </w:tcBorders>
            <w:shd w:val="clear" w:color="auto" w:fill="D2D2D2"/>
          </w:tcPr>
          <w:p>
            <w:pPr/>
          </w:p>
        </w:tc>
      </w:tr>
      <w:tr>
        <w:trPr>
          <w:trHeight w:val="161" w:hRule="exact"/>
        </w:trPr>
        <w:tc>
          <w:tcPr>
            <w:tcW w:w="1688" w:type="dxa"/>
            <w:tcBorders>
              <w:top w:val="nil" w:sz="6" w:space="0" w:color="auto"/>
              <w:left w:val="nil" w:sz="6" w:space="0" w:color="auto"/>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13" w:space="0" w:color="D2D2D2"/>
              <w:bottom w:val="single" w:sz="4" w:space="0" w:color="000000"/>
              <w:right w:val="single" w:sz="4" w:space="0" w:color="000000"/>
            </w:tcBorders>
            <w:shd w:val="clear" w:color="auto" w:fill="E0FFFF"/>
          </w:tcPr>
          <w:p>
            <w:pPr/>
          </w:p>
        </w:tc>
        <w:tc>
          <w:tcPr>
            <w:tcW w:w="992" w:type="dxa"/>
            <w:vMerge/>
            <w:tcBorders>
              <w:left w:val="single" w:sz="4" w:space="0" w:color="000000"/>
              <w:bottom w:val="single" w:sz="4" w:space="0" w:color="000000"/>
              <w:right w:val="single" w:sz="4" w:space="0" w:color="000000"/>
            </w:tcBorders>
            <w:shd w:val="clear" w:color="auto" w:fill="E0FFFF"/>
          </w:tcPr>
          <w:p>
            <w:pPr/>
          </w:p>
        </w:tc>
        <w:tc>
          <w:tcPr>
            <w:tcW w:w="993" w:type="dxa"/>
            <w:vMerge/>
            <w:tcBorders>
              <w:left w:val="single" w:sz="4" w:space="0" w:color="000000"/>
              <w:bottom w:val="single" w:sz="4" w:space="0" w:color="000000"/>
              <w:right w:val="single" w:sz="4" w:space="0" w:color="000000"/>
            </w:tcBorders>
            <w:shd w:val="clear" w:color="auto" w:fill="E0FFFF"/>
          </w:tcPr>
          <w:p>
            <w:pPr/>
          </w:p>
        </w:tc>
        <w:tc>
          <w:tcPr>
            <w:tcW w:w="1134" w:type="dxa"/>
            <w:vMerge/>
            <w:tcBorders>
              <w:left w:val="single" w:sz="4" w:space="0" w:color="000000"/>
              <w:bottom w:val="single" w:sz="4" w:space="0" w:color="000000"/>
              <w:right w:val="single" w:sz="4" w:space="0" w:color="000000"/>
            </w:tcBorders>
            <w:shd w:val="clear" w:color="auto" w:fill="E0FFFF"/>
          </w:tcPr>
          <w:p>
            <w:pPr/>
          </w:p>
        </w:tc>
        <w:tc>
          <w:tcPr>
            <w:tcW w:w="1202"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6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708"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708"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26,429,428.95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16,015.54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347,956.71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10,653,363.90</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37,446,765.10</w:t>
            </w:r>
          </w:p>
        </w:tc>
      </w:tr>
      <w:tr>
        <w:trPr>
          <w:trHeight w:val="402" w:hRule="exact"/>
        </w:trPr>
        <w:tc>
          <w:tcPr>
            <w:tcW w:w="16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708"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1,281,569.51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1,844.66</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2,667.54</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1,286,081.71</w:t>
            </w:r>
          </w:p>
        </w:tc>
      </w:tr>
      <w:tr>
        <w:trPr>
          <w:trHeight w:val="402" w:hRule="exact"/>
        </w:trPr>
        <w:tc>
          <w:tcPr>
            <w:tcW w:w="16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708"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3,164.99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1,844.66</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2,667.54</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7,677.19</w:t>
            </w:r>
          </w:p>
        </w:tc>
      </w:tr>
      <w:tr>
        <w:trPr>
          <w:trHeight w:val="402" w:hRule="exact"/>
        </w:trPr>
        <w:tc>
          <w:tcPr>
            <w:tcW w:w="16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）内部研发</w:t>
            </w:r>
          </w:p>
        </w:tc>
        <w:tc>
          <w:tcPr>
            <w:tcW w:w="708"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1,278,404.52</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1,278,404.52</w:t>
            </w:r>
          </w:p>
        </w:tc>
      </w:tr>
      <w:tr>
        <w:trPr>
          <w:trHeight w:val="714" w:hRule="exact"/>
        </w:trPr>
        <w:tc>
          <w:tcPr>
            <w:tcW w:w="16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）企业合并</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708"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88" w:type="dxa"/>
            <w:tcBorders>
              <w:top w:val="single" w:sz="4" w:space="0" w:color="000000"/>
              <w:left w:val="nil" w:sz="6" w:space="0" w:color="auto"/>
              <w:bottom w:val="single" w:sz="4" w:space="0" w:color="000000"/>
              <w:right w:val="single" w:sz="4" w:space="0" w:color="000000"/>
            </w:tcBorders>
            <w:shd w:val="clear" w:color="auto" w:fill="E0FFFF"/>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88" w:type="dxa"/>
            <w:tcBorders>
              <w:top w:val="single" w:sz="4" w:space="0" w:color="000000"/>
              <w:left w:val="nil" w:sz="6" w:space="0" w:color="auto"/>
              <w:bottom w:val="single" w:sz="4" w:space="0" w:color="000000"/>
              <w:right w:val="single" w:sz="4" w:space="0" w:color="000000"/>
            </w:tcBorders>
            <w:shd w:val="clear" w:color="auto" w:fill="E0FFFF"/>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27,710,998.46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17,860.20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347,956.71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10,656,031.44</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38,732,846.81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02"/>
        <w:gridCol w:w="708"/>
        <w:gridCol w:w="568"/>
        <w:gridCol w:w="709"/>
        <w:gridCol w:w="1559"/>
        <w:gridCol w:w="992"/>
        <w:gridCol w:w="993"/>
        <w:gridCol w:w="1134"/>
        <w:gridCol w:w="1204"/>
      </w:tblGrid>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5,699,473.97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11,239.30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195,909.70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3,395,082.72</w:t>
            </w:r>
          </w:p>
        </w:tc>
        <w:tc>
          <w:tcPr>
            <w:tcW w:w="1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97" w:right="0"/>
              <w:jc w:val="center"/>
              <w:rPr>
                <w:rFonts w:ascii="Times New Roman" w:hAnsi="Times New Roman" w:cs="Times New Roman" w:eastAsia="Times New Roman" w:hint="default"/>
                <w:sz w:val="18"/>
                <w:szCs w:val="18"/>
              </w:rPr>
            </w:pPr>
            <w:r>
              <w:rPr>
                <w:rFonts w:ascii="Times New Roman"/>
                <w:sz w:val="18"/>
              </w:rPr>
              <w:t>9,301,705.69</w:t>
            </w: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1,514,704.21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105.58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24,223.66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33,777.53</w:t>
            </w:r>
          </w:p>
        </w:tc>
        <w:tc>
          <w:tcPr>
            <w:tcW w:w="1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97" w:right="0"/>
              <w:jc w:val="center"/>
              <w:rPr>
                <w:rFonts w:ascii="Times New Roman" w:hAnsi="Times New Roman" w:cs="Times New Roman" w:eastAsia="Times New Roman" w:hint="default"/>
                <w:sz w:val="18"/>
                <w:szCs w:val="18"/>
              </w:rPr>
            </w:pPr>
            <w:r>
              <w:rPr>
                <w:rFonts w:ascii="Times New Roman"/>
                <w:sz w:val="18"/>
              </w:rPr>
              <w:t>1,572,810.98</w:t>
            </w: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1,514,704.21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105.58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24,223.66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33,777.53</w:t>
            </w:r>
          </w:p>
        </w:tc>
        <w:tc>
          <w:tcPr>
            <w:tcW w:w="1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97" w:right="0"/>
              <w:jc w:val="center"/>
              <w:rPr>
                <w:rFonts w:ascii="Times New Roman" w:hAnsi="Times New Roman" w:cs="Times New Roman" w:eastAsia="Times New Roman" w:hint="default"/>
                <w:sz w:val="18"/>
                <w:szCs w:val="18"/>
              </w:rPr>
            </w:pPr>
            <w:r>
              <w:rPr>
                <w:rFonts w:ascii="Times New Roman"/>
                <w:sz w:val="18"/>
              </w:rPr>
              <w:t>1,572,810.98</w:t>
            </w: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E0FFFF"/>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E0FFFF"/>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7,214,178.18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11,344.88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220,133.36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3,428,860.25</w:t>
            </w:r>
          </w:p>
        </w:tc>
        <w:tc>
          <w:tcPr>
            <w:tcW w:w="1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10,874,516.67</w:t>
            </w: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9,260,520.82</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7,218,511.94</w:t>
            </w:r>
          </w:p>
        </w:tc>
        <w:tc>
          <w:tcPr>
            <w:tcW w:w="1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16,479,032.76</w:t>
            </w: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E0FFFF"/>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E0FFFF"/>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9,260,520.82</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7,218,511.94</w:t>
            </w:r>
          </w:p>
        </w:tc>
        <w:tc>
          <w:tcPr>
            <w:tcW w:w="1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16,479,032.76</w:t>
            </w: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11,236,299.46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6,515.32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127,823.35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8,659.25</w:t>
            </w:r>
          </w:p>
        </w:tc>
        <w:tc>
          <w:tcPr>
            <w:tcW w:w="1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11,379,297.38</w:t>
            </w:r>
          </w:p>
        </w:tc>
      </w:tr>
      <w:tr>
        <w:trPr>
          <w:trHeight w:val="402" w:hRule="exact"/>
        </w:trPr>
        <w:tc>
          <w:tcPr>
            <w:tcW w:w="17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11,469,434.16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4,776.24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152,047.01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39,769.24</w:t>
            </w:r>
          </w:p>
        </w:tc>
        <w:tc>
          <w:tcPr>
            <w:tcW w:w="1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11,666,026.65</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3.30%</w:t>
      </w:r>
      <w:r>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284"/>
      <w:bookmarkEnd w:id="284"/>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1、开发支出" w:id="285"/>
      <w:bookmarkEnd w:id="285"/>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050"/>
        <w:gridCol w:w="1063"/>
        <w:gridCol w:w="1276"/>
        <w:gridCol w:w="850"/>
        <w:gridCol w:w="1063"/>
        <w:gridCol w:w="1206"/>
        <w:gridCol w:w="1134"/>
        <w:gridCol w:w="850"/>
        <w:gridCol w:w="1048"/>
      </w:tblGrid>
      <w:tr>
        <w:trPr>
          <w:trHeight w:val="402" w:hRule="exact"/>
        </w:trPr>
        <w:tc>
          <w:tcPr>
            <w:tcW w:w="1050" w:type="dxa"/>
            <w:tcBorders>
              <w:top w:val="single" w:sz="4" w:space="0" w:color="000000"/>
              <w:left w:val="nil" w:sz="6" w:space="0" w:color="auto"/>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48"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61" w:hRule="exact"/>
        </w:trPr>
        <w:tc>
          <w:tcPr>
            <w:tcW w:w="1050"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11"/>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9" w:space="0" w:color="D2D2D2"/>
            </w:tcBorders>
            <w:shd w:val="clear" w:color="auto" w:fill="E0FFFF"/>
          </w:tcPr>
          <w:p>
            <w:pPr/>
          </w:p>
        </w:tc>
        <w:tc>
          <w:tcPr>
            <w:tcW w:w="120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07" w:right="56"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1" w:right="111" w:hanging="361"/>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850" w:type="dxa"/>
            <w:vMerge w:val="restart"/>
            <w:tcBorders>
              <w:top w:val="single" w:sz="4" w:space="0" w:color="000000"/>
              <w:left w:val="single" w:sz="13" w:space="0" w:color="D2D2D2"/>
              <w:right w:val="single" w:sz="9" w:space="0" w:color="D2D2D2"/>
            </w:tcBorders>
            <w:shd w:val="clear" w:color="auto" w:fill="E0FFFF"/>
          </w:tcPr>
          <w:p>
            <w:pPr/>
          </w:p>
        </w:tc>
        <w:tc>
          <w:tcPr>
            <w:tcW w:w="1048"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50" w:type="dxa"/>
            <w:vMerge/>
            <w:tcBorders>
              <w:left w:val="nil" w:sz="6" w:space="0" w:color="auto"/>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tcBorders>
              <w:left w:val="single" w:sz="9" w:space="0" w:color="D2D2D2"/>
              <w:right w:val="single" w:sz="9" w:space="0" w:color="D2D2D2"/>
            </w:tcBorders>
            <w:shd w:val="clear" w:color="auto" w:fill="E0FFFF"/>
          </w:tcPr>
          <w:p>
            <w:pPr/>
          </w:p>
        </w:tc>
        <w:tc>
          <w:tcPr>
            <w:tcW w:w="120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850" w:type="dxa"/>
            <w:vMerge/>
            <w:tcBorders>
              <w:left w:val="single" w:sz="13" w:space="0" w:color="D2D2D2"/>
              <w:right w:val="single" w:sz="9" w:space="0" w:color="D2D2D2"/>
            </w:tcBorders>
            <w:shd w:val="clear" w:color="auto" w:fill="E0FFFF"/>
          </w:tcPr>
          <w:p>
            <w:pPr/>
          </w:p>
        </w:tc>
        <w:tc>
          <w:tcPr>
            <w:tcW w:w="1048" w:type="dxa"/>
            <w:vMerge/>
            <w:tcBorders>
              <w:left w:val="single" w:sz="4" w:space="0" w:color="000000"/>
              <w:bottom w:val="nil" w:sz="6" w:space="0" w:color="auto"/>
              <w:right w:val="nil" w:sz="6" w:space="0" w:color="auto"/>
            </w:tcBorders>
            <w:shd w:val="clear" w:color="auto" w:fill="D2D2D2"/>
          </w:tcPr>
          <w:p>
            <w:pPr/>
          </w:p>
        </w:tc>
      </w:tr>
      <w:tr>
        <w:trPr>
          <w:trHeight w:val="200" w:hRule="exact"/>
        </w:trPr>
        <w:tc>
          <w:tcPr>
            <w:tcW w:w="1050" w:type="dxa"/>
            <w:vMerge w:val="restart"/>
            <w:tcBorders>
              <w:top w:val="nil" w:sz="6" w:space="0" w:color="auto"/>
              <w:left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9" w:space="0" w:color="D2D2D2"/>
              <w:right w:val="single" w:sz="9" w:space="0" w:color="D2D2D2"/>
            </w:tcBorders>
            <w:shd w:val="clear" w:color="auto" w:fill="E0FFFF"/>
          </w:tcPr>
          <w:p>
            <w:pPr/>
          </w:p>
        </w:tc>
        <w:tc>
          <w:tcPr>
            <w:tcW w:w="120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850" w:type="dxa"/>
            <w:vMerge/>
            <w:tcBorders>
              <w:left w:val="single" w:sz="13" w:space="0" w:color="D2D2D2"/>
              <w:right w:val="single" w:sz="9" w:space="0" w:color="D2D2D2"/>
            </w:tcBorders>
            <w:shd w:val="clear" w:color="auto" w:fill="E0FFFF"/>
          </w:tcPr>
          <w:p>
            <w:pPr/>
          </w:p>
        </w:tc>
        <w:tc>
          <w:tcPr>
            <w:tcW w:w="1048"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050" w:type="dxa"/>
            <w:vMerge/>
            <w:tcBorders>
              <w:left w:val="nil" w:sz="6" w:space="0" w:color="auto"/>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9" w:space="0" w:color="D2D2D2"/>
            </w:tcBorders>
            <w:shd w:val="clear" w:color="auto" w:fill="E0FFFF"/>
          </w:tcPr>
          <w:p>
            <w:pPr/>
          </w:p>
        </w:tc>
        <w:tc>
          <w:tcPr>
            <w:tcW w:w="120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13" w:space="0" w:color="D2D2D2"/>
              <w:bottom w:val="single" w:sz="4" w:space="0" w:color="000000"/>
              <w:right w:val="single" w:sz="9" w:space="0" w:color="D2D2D2"/>
            </w:tcBorders>
            <w:shd w:val="clear" w:color="auto" w:fill="E0FFFF"/>
          </w:tcPr>
          <w:p>
            <w:pPr/>
          </w:p>
        </w:tc>
        <w:tc>
          <w:tcPr>
            <w:tcW w:w="1048"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050" w:type="dxa"/>
            <w:tcBorders>
              <w:top w:val="single" w:sz="4" w:space="0" w:color="000000"/>
              <w:left w:val="nil" w:sz="6" w:space="0" w:color="auto"/>
              <w:bottom w:val="single" w:sz="4" w:space="0" w:color="000000"/>
              <w:right w:val="single" w:sz="4" w:space="0" w:color="000000"/>
            </w:tcBorders>
            <w:shd w:val="clear" w:color="auto" w:fill="E0FFFF"/>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开发支出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14,089,105.75</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1,278,404.52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12,369,532.45</w:t>
            </w:r>
          </w:p>
        </w:tc>
        <w:tc>
          <w:tcPr>
            <w:tcW w:w="850"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441,168.78</w:t>
            </w:r>
          </w:p>
        </w:tc>
      </w:tr>
      <w:tr>
        <w:trPr>
          <w:trHeight w:val="402" w:hRule="exact"/>
        </w:trPr>
        <w:tc>
          <w:tcPr>
            <w:tcW w:w="105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14,089,105.75</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1,278,404.52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12,369,532.45</w:t>
            </w:r>
          </w:p>
        </w:tc>
        <w:tc>
          <w:tcPr>
            <w:tcW w:w="850"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441,168.78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22、商誉" w:id="286"/>
      <w:bookmarkEnd w:id="286"/>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87"/>
      <w:bookmarkEnd w:id="28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商誉减值准备" w:id="288"/>
      <w:bookmarkEnd w:id="288"/>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3、长期待摊费用" w:id="289"/>
      <w:bookmarkEnd w:id="289"/>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993,823.02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316,882.65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676,940.37</w:t>
            </w:r>
          </w:p>
        </w:tc>
      </w:tr>
      <w:tr>
        <w:trPr>
          <w:trHeight w:val="402" w:hRule="exact"/>
        </w:trPr>
        <w:tc>
          <w:tcPr>
            <w:tcW w:w="15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993,823.02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316,882.65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676,940.37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4、递延所得税资产/递延所得税负债" w:id="290"/>
      <w:bookmarkEnd w:id="290"/>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91"/>
      <w:bookmarkEnd w:id="29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56" w:type="dxa"/>
        <w:tblLayout w:type="fixed"/>
        <w:tblCellMar>
          <w:top w:w="0" w:type="dxa"/>
          <w:left w:w="0" w:type="dxa"/>
          <w:bottom w:w="0" w:type="dxa"/>
          <w:right w:w="0" w:type="dxa"/>
        </w:tblCellMar>
        <w:tblLook w:val="01E0"/>
      </w:tblPr>
      <w:tblGrid>
        <w:gridCol w:w="1905"/>
        <w:gridCol w:w="1917"/>
        <w:gridCol w:w="1914"/>
        <w:gridCol w:w="1914"/>
        <w:gridCol w:w="1914"/>
      </w:tblGrid>
      <w:tr>
        <w:trPr>
          <w:trHeight w:val="206" w:hRule="exact"/>
        </w:trPr>
        <w:tc>
          <w:tcPr>
            <w:tcW w:w="1905" w:type="dxa"/>
            <w:tcBorders>
              <w:top w:val="single" w:sz="4" w:space="0" w:color="000000"/>
              <w:left w:val="nil" w:sz="6" w:space="0" w:color="auto"/>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5"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nil" w:sz="6" w:space="0" w:color="auto"/>
            </w:tcBorders>
            <w:shd w:val="clear" w:color="auto" w:fill="D2D2D2"/>
          </w:tcPr>
          <w:p>
            <w:pPr/>
          </w:p>
        </w:tc>
      </w:tr>
      <w:tr>
        <w:trPr>
          <w:trHeight w:val="196" w:hRule="exact"/>
        </w:trPr>
        <w:tc>
          <w:tcPr>
            <w:tcW w:w="1905" w:type="dxa"/>
            <w:vMerge/>
            <w:tcBorders>
              <w:left w:val="nil" w:sz="6" w:space="0" w:color="auto"/>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5" w:type="dxa"/>
            <w:tcBorders>
              <w:top w:val="nil" w:sz="6" w:space="0" w:color="auto"/>
              <w:left w:val="nil" w:sz="6" w:space="0" w:color="auto"/>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9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69,410,876.49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10,190,593.38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67,712,907.42</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10,192,572.14</w:t>
            </w:r>
          </w:p>
        </w:tc>
      </w:tr>
      <w:tr>
        <w:trPr>
          <w:trHeight w:val="402" w:hRule="exact"/>
        </w:trPr>
        <w:tc>
          <w:tcPr>
            <w:tcW w:w="19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427,805.98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63,129.31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467,392.43</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147,723.54</w:t>
            </w:r>
          </w:p>
        </w:tc>
      </w:tr>
      <w:tr>
        <w:trPr>
          <w:trHeight w:val="402" w:hRule="exact"/>
        </w:trPr>
        <w:tc>
          <w:tcPr>
            <w:tcW w:w="19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23,680,000.88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3,552,000.13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13,954,110.70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3,321,667.49</w:t>
            </w:r>
          </w:p>
        </w:tc>
      </w:tr>
      <w:tr>
        <w:trPr>
          <w:trHeight w:val="402" w:hRule="exact"/>
        </w:trPr>
        <w:tc>
          <w:tcPr>
            <w:tcW w:w="1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1,050,828.01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157,624.20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1,305,966.25</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195,894.94</w:t>
            </w:r>
          </w:p>
        </w:tc>
      </w:tr>
      <w:tr>
        <w:trPr>
          <w:trHeight w:val="403" w:hRule="exact"/>
        </w:trPr>
        <w:tc>
          <w:tcPr>
            <w:tcW w:w="190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94,569,511.36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13,963,347.02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83,440,376.80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13,857,858.11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292"/>
      <w:bookmarkEnd w:id="29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以抵销后净额列示的递延所得税资产或负债" w:id="293"/>
      <w:bookmarkEnd w:id="293"/>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3" w:type="dxa"/>
        <w:tblLayout w:type="fixed"/>
        <w:tblCellMar>
          <w:top w:w="0" w:type="dxa"/>
          <w:left w:w="0" w:type="dxa"/>
          <w:bottom w:w="0" w:type="dxa"/>
          <w:right w:w="0" w:type="dxa"/>
        </w:tblCellMar>
        <w:tblLook w:val="01E0"/>
      </w:tblPr>
      <w:tblGrid>
        <w:gridCol w:w="1910"/>
        <w:gridCol w:w="1905"/>
        <w:gridCol w:w="1914"/>
        <w:gridCol w:w="1914"/>
        <w:gridCol w:w="1914"/>
      </w:tblGrid>
      <w:tr>
        <w:trPr>
          <w:trHeight w:val="162" w:hRule="exact"/>
        </w:trPr>
        <w:tc>
          <w:tcPr>
            <w:tcW w:w="1910" w:type="dxa"/>
            <w:tcBorders>
              <w:top w:val="single" w:sz="4" w:space="0" w:color="000000"/>
              <w:left w:val="nil" w:sz="6" w:space="0" w:color="auto"/>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52"/>
              <w:ind w:left="321" w:right="55"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0"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nil" w:sz="6" w:space="0" w:color="auto"/>
            </w:tcBorders>
            <w:shd w:val="clear" w:color="auto" w:fill="D2D2D2"/>
          </w:tcPr>
          <w:p>
            <w:pPr/>
          </w:p>
        </w:tc>
      </w:tr>
      <w:tr>
        <w:trPr>
          <w:trHeight w:val="161" w:hRule="exact"/>
        </w:trPr>
        <w:tc>
          <w:tcPr>
            <w:tcW w:w="1910" w:type="dxa"/>
            <w:tcBorders>
              <w:top w:val="nil" w:sz="6" w:space="0" w:color="auto"/>
              <w:left w:val="nil" w:sz="6" w:space="0" w:color="auto"/>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nil" w:sz="6" w:space="0" w:color="auto"/>
            </w:tcBorders>
            <w:shd w:val="clear" w:color="auto" w:fill="D2D2D2"/>
          </w:tcPr>
          <w:p>
            <w:pPr/>
          </w:p>
        </w:tc>
      </w:tr>
      <w:tr>
        <w:trPr>
          <w:trHeight w:val="403" w:hRule="exact"/>
        </w:trPr>
        <w:tc>
          <w:tcPr>
            <w:tcW w:w="19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13,963,347.02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851" w:right="0"/>
              <w:jc w:val="left"/>
              <w:rPr>
                <w:rFonts w:ascii="Times New Roman" w:hAnsi="Times New Roman" w:cs="Times New Roman" w:eastAsia="Times New Roman" w:hint="default"/>
                <w:sz w:val="18"/>
                <w:szCs w:val="18"/>
              </w:rPr>
            </w:pPr>
            <w:r>
              <w:rPr>
                <w:rFonts w:ascii="Times New Roman"/>
                <w:sz w:val="18"/>
              </w:rPr>
              <w:t>13,857,858.11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294"/>
      <w:bookmarkEnd w:id="294"/>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3"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12,554,478.18</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12,242,080.66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12,368,057.48</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9,221,913.94</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24,922,535.66</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21,463,994.60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295"/>
      <w:bookmarkEnd w:id="295"/>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693,107.56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958,474.26</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3,175,201.53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3,175,201.53</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4,237,892.06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5,088,238.15</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4,261,856.33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12,368,057.48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9,221,913.94</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5、其他非流动资产" w:id="296"/>
      <w:bookmarkEnd w:id="296"/>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新余云尚投资合伙企业（有限合伙）</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8,041,124.66</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12,720,240.17</w:t>
            </w:r>
          </w:p>
        </w:tc>
      </w:tr>
      <w:tr>
        <w:trPr>
          <w:trHeight w:val="714"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93"/>
              <w:jc w:val="left"/>
              <w:rPr>
                <w:rFonts w:ascii="宋体" w:hAnsi="宋体" w:cs="宋体" w:eastAsia="宋体" w:hint="default"/>
                <w:sz w:val="18"/>
                <w:szCs w:val="18"/>
              </w:rPr>
            </w:pPr>
            <w:r>
              <w:rPr>
                <w:rFonts w:ascii="宋体" w:hAnsi="宋体" w:cs="宋体" w:eastAsia="宋体" w:hint="default"/>
                <w:sz w:val="18"/>
                <w:szCs w:val="18"/>
              </w:rPr>
              <w:t>武汉高投金运激光产业投资基金合伙企 业（有限合伙）</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26,319,563.30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24,879,300.60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预付购买长期资产款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4,298,055.60</w:t>
            </w:r>
          </w:p>
        </w:tc>
        <w:tc>
          <w:tcPr>
            <w:tcW w:w="31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38,658,743.56</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37,599,540.77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6、短期借款" w:id="297"/>
      <w:bookmarkEnd w:id="297"/>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298"/>
      <w:bookmarkEnd w:id="29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3"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317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20,000,000.00</w:t>
            </w:r>
          </w:p>
        </w:tc>
      </w:tr>
    </w:tbl>
    <w:p>
      <w:pPr>
        <w:pStyle w:val="BodyText"/>
        <w:spacing w:line="240" w:lineRule="auto" w:before="51"/>
        <w:ind w:right="0"/>
        <w:jc w:val="left"/>
      </w:pPr>
      <w:r>
        <w:rPr/>
        <w:t>短期借款分类的说明：</w:t>
      </w:r>
    </w:p>
    <w:p>
      <w:pPr>
        <w:pStyle w:val="BodyText"/>
        <w:spacing w:line="240" w:lineRule="auto" w:before="116"/>
        <w:ind w:left="514" w:right="0"/>
        <w:jc w:val="left"/>
      </w:pPr>
      <w:r>
        <w:rPr/>
        <w:t>（</w:t>
      </w:r>
      <w:r>
        <w:rPr>
          <w:rFonts w:ascii="Times New Roman" w:hAnsi="Times New Roman" w:cs="Times New Roman" w:eastAsia="Times New Roman" w:hint="default"/>
        </w:rPr>
        <w:t>1</w:t>
      </w:r>
      <w:r>
        <w:rPr/>
        <w:t>）本公司于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9 </w:t>
      </w:r>
      <w:r>
        <w:rPr>
          <w:rFonts w:ascii="Times New Roman" w:hAnsi="Times New Roman" w:cs="Times New Roman" w:eastAsia="Times New Roman" w:hint="default"/>
          <w:spacing w:val="18"/>
        </w:rPr>
        <w:t> </w:t>
      </w:r>
      <w:r>
        <w:rPr/>
        <w:t>日，与上海浦东发展银行股份有限公司武汉分行（以下简称</w:t>
      </w:r>
      <w:r>
        <w:rPr>
          <w:rFonts w:ascii="Times New Roman" w:hAnsi="Times New Roman" w:cs="Times New Roman" w:eastAsia="Times New Roman" w:hint="default"/>
        </w:rPr>
        <w:t>“</w:t>
      </w:r>
      <w:r>
        <w:rPr/>
        <w:t>浦发银行）签订了编号为</w:t>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70012018280</w:t>
      </w:r>
      <w:r>
        <w:rPr>
          <w:rFonts w:ascii="Times New Roman" w:hAnsi="Times New Roman" w:cs="Times New Roman" w:eastAsia="Times New Roman" w:hint="default"/>
          <w:spacing w:val="-8"/>
        </w:rPr>
        <w:t>1</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10"/>
        </w:rPr>
        <w:t>的</w:t>
      </w:r>
      <w:r>
        <w:rPr/>
        <w:t>《流动资金借款合同</w:t>
      </w:r>
      <w:r>
        <w:rPr>
          <w:spacing w:val="-90"/>
        </w:rPr>
        <w:t>》</w:t>
      </w:r>
      <w:r>
        <w:rPr>
          <w:spacing w:val="-10"/>
        </w:rPr>
        <w:t>，</w:t>
      </w:r>
      <w:r>
        <w:rPr/>
        <w:t>获取人民币借款</w:t>
      </w:r>
      <w:r>
        <w:rPr>
          <w:spacing w:val="-46"/>
        </w:rPr>
        <w:t> </w:t>
      </w:r>
      <w:r>
        <w:rPr>
          <w:rFonts w:ascii="Times New Roman" w:hAnsi="Times New Roman" w:cs="Times New Roman" w:eastAsia="Times New Roman" w:hint="default"/>
        </w:rPr>
        <w:t>12,000,00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 </w:t>
      </w:r>
      <w:r>
        <w:rPr/>
        <w:t>元</w:t>
      </w:r>
      <w:r>
        <w:rPr>
          <w:spacing w:val="-10"/>
        </w:rPr>
        <w:t>，</w:t>
      </w:r>
      <w:r>
        <w:rPr/>
        <w:t>借款期限为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1"/>
        </w:rPr>
        <w:t>日</w:t>
      </w:r>
      <w:r>
        <w:rPr/>
        <w:t>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9</w:t>
      </w:r>
    </w:p>
    <w:p>
      <w:pPr>
        <w:spacing w:after="0" w:line="240" w:lineRule="auto"/>
        <w:jc w:val="left"/>
        <w:rPr>
          <w:rFonts w:ascii="Times New Roman" w:hAnsi="Times New Roman" w:cs="Times New Roman" w:eastAsia="Times New Roman" w:hint="default"/>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4"/>
          <w:szCs w:val="24"/>
        </w:rPr>
      </w:pPr>
    </w:p>
    <w:p>
      <w:pPr>
        <w:pStyle w:val="BodyText"/>
        <w:spacing w:line="302" w:lineRule="auto" w:before="44"/>
        <w:ind w:right="1115"/>
        <w:jc w:val="left"/>
      </w:pPr>
      <w:r>
        <w:rPr/>
        <w:t>日，借款利率为 </w:t>
      </w:r>
      <w:r>
        <w:rPr>
          <w:rFonts w:ascii="Times New Roman" w:hAnsi="Times New Roman" w:cs="Times New Roman" w:eastAsia="Times New Roman" w:hint="default"/>
        </w:rPr>
        <w:t>5.220%</w:t>
      </w:r>
      <w:r>
        <w:rPr/>
        <w:t>，按季结息，到期还本；该借款由本公司与浦发银行签订编号为 </w:t>
      </w:r>
      <w:r>
        <w:rPr>
          <w:rFonts w:ascii="Times New Roman" w:hAnsi="Times New Roman" w:cs="Times New Roman" w:eastAsia="Times New Roman" w:hint="default"/>
        </w:rPr>
        <w:t>YZ7001201828011003</w:t>
      </w:r>
      <w:r>
        <w:rPr>
          <w:rFonts w:ascii="Times New Roman" w:hAnsi="Times New Roman" w:cs="Times New Roman" w:eastAsia="Times New Roman" w:hint="default"/>
          <w:spacing w:val="-23"/>
        </w:rPr>
        <w:t> </w:t>
      </w:r>
      <w:r>
        <w:rPr/>
        <w:t>的《保证金 质押合同》以</w:t>
      </w:r>
      <w:r>
        <w:rPr>
          <w:spacing w:val="-47"/>
        </w:rPr>
        <w:t> </w:t>
      </w:r>
      <w:r>
        <w:rPr>
          <w:rFonts w:ascii="Times New Roman" w:hAnsi="Times New Roman" w:cs="Times New Roman" w:eastAsia="Times New Roman" w:hint="default"/>
        </w:rPr>
        <w:t>2,250,000.00</w:t>
      </w:r>
      <w:r>
        <w:rPr>
          <w:rFonts w:ascii="Times New Roman" w:hAnsi="Times New Roman" w:cs="Times New Roman" w:eastAsia="Times New Roman" w:hint="default"/>
          <w:spacing w:val="-1"/>
        </w:rPr>
        <w:t> </w:t>
      </w:r>
      <w:r>
        <w:rPr/>
        <w:t>美元保证金提供质押。</w:t>
      </w:r>
    </w:p>
    <w:p>
      <w:pPr>
        <w:pStyle w:val="BodyText"/>
        <w:spacing w:line="240" w:lineRule="auto" w:before="49"/>
        <w:ind w:left="0" w:right="1132"/>
        <w:jc w:val="right"/>
      </w:pPr>
      <w:r>
        <w:rPr/>
        <w:t>（</w:t>
      </w:r>
      <w:r>
        <w:rPr>
          <w:rFonts w:ascii="Times New Roman" w:hAnsi="Times New Roman" w:cs="Times New Roman" w:eastAsia="Times New Roman" w:hint="default"/>
        </w:rPr>
        <w:t>2</w:t>
      </w:r>
      <w:r>
        <w:rPr>
          <w:spacing w:val="-21"/>
        </w:rPr>
        <w:t>）</w:t>
      </w:r>
      <w:r>
        <w:rPr/>
        <w:t>本公司于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1 </w:t>
      </w:r>
      <w:r>
        <w:rPr/>
        <w:t>日</w:t>
      </w:r>
      <w:r>
        <w:rPr>
          <w:spacing w:val="-21"/>
        </w:rPr>
        <w:t>，</w:t>
      </w:r>
      <w:r>
        <w:rPr/>
        <w:t>与浦发银行签订了编号为</w:t>
      </w:r>
      <w:r>
        <w:rPr>
          <w:spacing w:val="-46"/>
        </w:rPr>
        <w:t> </w:t>
      </w:r>
      <w:r>
        <w:rPr>
          <w:rFonts w:ascii="Times New Roman" w:hAnsi="Times New Roman" w:cs="Times New Roman" w:eastAsia="Times New Roman" w:hint="default"/>
        </w:rPr>
        <w:t>70012018280522</w:t>
      </w:r>
      <w:r>
        <w:rPr>
          <w:rFonts w:ascii="Times New Roman" w:hAnsi="Times New Roman" w:cs="Times New Roman" w:eastAsia="Times New Roman" w:hint="default"/>
          <w:spacing w:val="-1"/>
        </w:rPr>
        <w:t> </w:t>
      </w:r>
      <w:r>
        <w:rPr>
          <w:spacing w:val="-21"/>
        </w:rPr>
        <w:t>的</w:t>
      </w:r>
      <w:r>
        <w:rPr/>
        <w:t>《流动资金借款合同</w:t>
      </w:r>
      <w:r>
        <w:rPr>
          <w:spacing w:val="-90"/>
        </w:rPr>
        <w:t>》</w:t>
      </w:r>
      <w:r>
        <w:rPr>
          <w:spacing w:val="-21"/>
        </w:rPr>
        <w:t>，</w:t>
      </w:r>
      <w:r>
        <w:rPr/>
        <w:t>获取人民币</w:t>
      </w:r>
      <w:r>
        <w:rPr>
          <w:spacing w:val="1"/>
        </w:rPr>
        <w:t>借</w:t>
      </w:r>
      <w:r>
        <w:rPr/>
        <w:t>款</w:t>
      </w:r>
    </w:p>
    <w:p>
      <w:pPr>
        <w:pStyle w:val="BodyText"/>
        <w:spacing w:line="302" w:lineRule="auto" w:before="63"/>
        <w:ind w:right="1128"/>
        <w:jc w:val="left"/>
      </w:pPr>
      <w:r>
        <w:rPr>
          <w:rFonts w:ascii="Times New Roman" w:hAnsi="Times New Roman" w:cs="Times New Roman" w:eastAsia="Times New Roman" w:hint="default"/>
        </w:rPr>
        <w:t>5,000,000.00</w:t>
      </w:r>
      <w:r>
        <w:rPr>
          <w:rFonts w:ascii="Times New Roman" w:hAnsi="Times New Roman" w:cs="Times New Roman" w:eastAsia="Times New Roman" w:hint="default"/>
          <w:spacing w:val="-4"/>
        </w:rPr>
        <w:t> </w:t>
      </w:r>
      <w:r>
        <w:rPr/>
        <w:t>元，借款期限为</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日至</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日，借款利率为</w:t>
      </w:r>
      <w:r>
        <w:rPr>
          <w:spacing w:val="-50"/>
        </w:rPr>
        <w:t> </w:t>
      </w:r>
      <w:r>
        <w:rPr>
          <w:rFonts w:ascii="Times New Roman" w:hAnsi="Times New Roman" w:cs="Times New Roman" w:eastAsia="Times New Roman" w:hint="default"/>
        </w:rPr>
        <w:t>5.220%</w:t>
      </w:r>
      <w:r>
        <w:rPr/>
        <w:t>，按季结息，到期还本；该借款由本</w:t>
      </w:r>
      <w:r>
        <w:rPr>
          <w:spacing w:val="1"/>
        </w:rPr>
        <w:t> </w:t>
      </w:r>
      <w:r>
        <w:rPr/>
        <w:t>公司与浦发银行签订编号为</w:t>
      </w:r>
      <w:r>
        <w:rPr>
          <w:spacing w:val="-47"/>
        </w:rPr>
        <w:t> </w:t>
      </w:r>
      <w:r>
        <w:rPr>
          <w:rFonts w:ascii="Times New Roman" w:hAnsi="Times New Roman" w:cs="Times New Roman" w:eastAsia="Times New Roman" w:hint="default"/>
        </w:rPr>
        <w:t>YZ7001201828052201</w:t>
      </w:r>
      <w:r>
        <w:rPr>
          <w:rFonts w:ascii="Times New Roman" w:hAnsi="Times New Roman" w:cs="Times New Roman" w:eastAsia="Times New Roman" w:hint="default"/>
          <w:spacing w:val="-2"/>
        </w:rPr>
        <w:t> </w:t>
      </w:r>
      <w:r>
        <w:rPr/>
        <w:t>的《保证金质押合同》以</w:t>
      </w:r>
      <w:r>
        <w:rPr>
          <w:spacing w:val="-1"/>
        </w:rPr>
        <w:t> </w:t>
      </w:r>
      <w:r>
        <w:rPr>
          <w:rFonts w:ascii="Times New Roman" w:hAnsi="Times New Roman" w:cs="Times New Roman" w:eastAsia="Times New Roman" w:hint="default"/>
        </w:rPr>
        <w:t>830,000.00</w:t>
      </w:r>
      <w:r>
        <w:rPr>
          <w:rFonts w:ascii="Times New Roman" w:hAnsi="Times New Roman" w:cs="Times New Roman" w:eastAsia="Times New Roman" w:hint="default"/>
          <w:spacing w:val="-2"/>
        </w:rPr>
        <w:t> </w:t>
      </w:r>
      <w:r>
        <w:rPr/>
        <w:t>美元保证金提供质押。</w:t>
      </w:r>
    </w:p>
    <w:p>
      <w:pPr>
        <w:spacing w:line="240" w:lineRule="auto" w:before="11"/>
        <w:rPr>
          <w:rFonts w:ascii="宋体" w:hAnsi="宋体" w:cs="宋体" w:eastAsia="宋体" w:hint="default"/>
          <w:sz w:val="21"/>
          <w:szCs w:val="21"/>
        </w:rPr>
      </w:pPr>
    </w:p>
    <w:p>
      <w:pPr>
        <w:spacing w:line="547" w:lineRule="auto" w:before="0"/>
        <w:ind w:left="154" w:right="5693" w:firstLine="0"/>
        <w:jc w:val="left"/>
        <w:rPr>
          <w:rFonts w:ascii="宋体" w:hAnsi="宋体" w:cs="宋体" w:eastAsia="宋体" w:hint="default"/>
          <w:sz w:val="21"/>
          <w:szCs w:val="21"/>
        </w:rPr>
      </w:pPr>
      <w:bookmarkStart w:name="（2）已逾期未偿还的短期借款情况" w:id="299"/>
      <w:bookmarkEnd w:id="2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99"/>
          <w:sz w:val="21"/>
          <w:szCs w:val="21"/>
        </w:rPr>
        <w:t> </w:t>
      </w: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bookmarkStart w:name="27、以公允价值计量且其变动计入当期损益的金融负债" w:id="300"/>
      <w:bookmarkEnd w:id="300"/>
      <w:r>
        <w:rPr>
          <w:rFonts w:ascii="宋体" w:hAnsi="宋体" w:cs="宋体" w:eastAsia="宋体" w:hint="default"/>
          <w:sz w:val="18"/>
          <w:szCs w:val="18"/>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pStyle w:val="Heading4"/>
        <w:spacing w:line="240" w:lineRule="auto" w:before="25"/>
        <w:ind w:right="0"/>
        <w:jc w:val="left"/>
        <w:rPr>
          <w:b w:val="0"/>
          <w:bCs w:val="0"/>
        </w:rPr>
      </w:pPr>
      <w:bookmarkStart w:name="28、衍生金融负债" w:id="301"/>
      <w:bookmarkEnd w:id="301"/>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9、应付票据及应付账款" w:id="302"/>
      <w:bookmarkEnd w:id="302"/>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15,633,491.12</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5,711,094.00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26,753,562.53</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31,558,145.95</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42,387,053.65</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37,269,239.95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票据分类列示" w:id="303"/>
      <w:bookmarkEnd w:id="303"/>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3"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15,633,491.12</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5,711,094.00</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15,633,491.12</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5,711,094.00</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15,633,491.12 </w:t>
      </w:r>
      <w:r>
        <w:rPr/>
        <w:t>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应付账款列示" w:id="304"/>
      <w:bookmarkEnd w:id="304"/>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26,667,536.53</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31,287,504.52</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29,200.00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应付费用款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86,026.00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241,441.43</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26,753,562.53</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31,558,145.95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3）账龄超过1年的重要应付账款" w:id="305"/>
      <w:bookmarkEnd w:id="305"/>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0、预收款项" w:id="306"/>
      <w:bookmarkEnd w:id="306"/>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307"/>
      <w:bookmarkEnd w:id="30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24,267,788.33</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30,103,103.81</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24,267,788.33</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30,103,103.81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308"/>
      <w:bookmarkEnd w:id="30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期末建造合同形成的已结算未完工项目情况" w:id="309"/>
      <w:bookmarkEnd w:id="309"/>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1、应付职工薪酬" w:id="310"/>
      <w:bookmarkEnd w:id="310"/>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311"/>
      <w:bookmarkEnd w:id="31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887"/>
        <w:gridCol w:w="1928"/>
        <w:gridCol w:w="1914"/>
        <w:gridCol w:w="1914"/>
        <w:gridCol w:w="1900"/>
      </w:tblGrid>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5,816,279.83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31,223,455.66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30,565,244.73</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6,474,490.76</w:t>
            </w:r>
          </w:p>
        </w:tc>
      </w:tr>
      <w:tr>
        <w:trPr>
          <w:trHeight w:val="714"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1"/>
              <w:ind w:left="13"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12,643.95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2,668,272.93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2,666,881.68</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14,035.20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9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5,828,923.78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33,901,728.59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33,242,126.41</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6,488,525.96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312"/>
      <w:bookmarkEnd w:id="31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887"/>
        <w:gridCol w:w="1928"/>
        <w:gridCol w:w="1914"/>
        <w:gridCol w:w="1914"/>
        <w:gridCol w:w="1900"/>
      </w:tblGrid>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2"/>
              <w:ind w:left="13"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5,614,490.00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28,263,911.99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27,544,458.81</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6,333,943.18</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46,680.00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742,279.06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788,959.06</w:t>
            </w:r>
          </w:p>
        </w:tc>
        <w:tc>
          <w:tcPr>
            <w:tcW w:w="190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155,109.83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1,202,486.37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1,320,446.18</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37,150.02</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124,746.51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1,065,392.65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1,183,634.96</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6,504.20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29,955.42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64,613.16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64,607.46</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29,961.12</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72,480.56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72,203.76</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684.70</w:t>
            </w:r>
          </w:p>
        </w:tc>
      </w:tr>
      <w:tr>
        <w:trPr>
          <w:trHeight w:val="403"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779,122.51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730,625.95</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48,496.56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2"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235,655.73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180,754.73</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54,901.00</w:t>
            </w:r>
          </w:p>
        </w:tc>
      </w:tr>
      <w:tr>
        <w:trPr>
          <w:trHeight w:val="402"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5,816,279.83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31,223,455.66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30,565,244.73</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6,474,490.76</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313"/>
      <w:bookmarkEnd w:id="31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887"/>
        <w:gridCol w:w="1928"/>
        <w:gridCol w:w="1914"/>
        <w:gridCol w:w="1914"/>
        <w:gridCol w:w="1900"/>
      </w:tblGrid>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12,486.40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2,577,268.73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2,576,062.33</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13,692.80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91,004.20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90,819.35</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342.40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12,643.95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2,668,272.93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2,666,881.68</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14,035.20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2、应交税费" w:id="314"/>
      <w:bookmarkEnd w:id="314"/>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56" w:type="dxa"/>
        <w:tblLayout w:type="fixed"/>
        <w:tblCellMar>
          <w:top w:w="0" w:type="dxa"/>
          <w:left w:w="0" w:type="dxa"/>
          <w:bottom w:w="0" w:type="dxa"/>
          <w:right w:w="0" w:type="dxa"/>
        </w:tblCellMar>
        <w:tblLook w:val="01E0"/>
      </w:tblPr>
      <w:tblGrid>
        <w:gridCol w:w="3181"/>
        <w:gridCol w:w="3194"/>
        <w:gridCol w:w="3175"/>
      </w:tblGrid>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605,332.76</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450,228.03</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519,235.10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72,810.25</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118,330.40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158,278.76</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121,964.25</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51,573.90</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164,714.21</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164,714.21</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14,888.48</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14,888.48</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19,275.83</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12,274.63</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68,072.34</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61,135.98</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62,129.87</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27,737.92</w:t>
            </w:r>
          </w:p>
        </w:tc>
      </w:tr>
      <w:tr>
        <w:trPr>
          <w:trHeight w:val="402"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水利建设基金及其他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5,494.30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7,560.44</w:t>
            </w:r>
          </w:p>
        </w:tc>
      </w:tr>
      <w:tr>
        <w:trPr>
          <w:trHeight w:val="403" w:hRule="exact"/>
        </w:trPr>
        <w:tc>
          <w:tcPr>
            <w:tcW w:w="31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1,699,437.54</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1,021,202.60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3、其他应付款" w:id="315"/>
      <w:bookmarkEnd w:id="315"/>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24,650.00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31,500.09</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4,752,331.48</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5,305,084.88</w:t>
            </w:r>
          </w:p>
        </w:tc>
      </w:tr>
      <w:tr>
        <w:trPr>
          <w:trHeight w:val="403"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4,776,981.48</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5,336,584.97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1）应付利息" w:id="316"/>
      <w:bookmarkEnd w:id="316"/>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24,650.00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31,500.09</w:t>
            </w:r>
          </w:p>
        </w:tc>
      </w:tr>
      <w:tr>
        <w:trPr>
          <w:trHeight w:val="403"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24,650.00</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31,500.09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其他应付款" w:id="317"/>
      <w:bookmarkEnd w:id="317"/>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1,590,428.85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1,760,915.00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152,000.00</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178,139.91</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应付费用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760,344.95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1,415,611.48</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违约赔款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1,748,095.95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1,748,095.95</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501,461.73</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202,322.54</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4,752,331.48</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5,305,084.88</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4、持有待售负债" w:id="318"/>
      <w:bookmarkEnd w:id="318"/>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5、一年内到期的非流动负债" w:id="319"/>
      <w:bookmarkEnd w:id="319"/>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6、其他流动负债" w:id="320"/>
      <w:bookmarkEnd w:id="320"/>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7、长期借款" w:id="321"/>
      <w:bookmarkEnd w:id="321"/>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322"/>
      <w:bookmarkEnd w:id="322"/>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8、应付债券" w:id="323"/>
      <w:bookmarkEnd w:id="323"/>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债券" w:id="324"/>
      <w:bookmarkEnd w:id="324"/>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应付债券的增减变动（不包括划分为金融负债的优先股、永续债等其他金融工具）" w:id="325"/>
      <w:bookmarkEnd w:id="325"/>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3）可转换公司债券的转股条件、转股时间说明" w:id="326"/>
      <w:bookmarkEnd w:id="326"/>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划分为金融负债的其他金融工具说明" w:id="327"/>
      <w:bookmarkEnd w:id="327"/>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39、长期应付款" w:id="328"/>
      <w:bookmarkEnd w:id="328"/>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专项应付款" w:id="329"/>
      <w:bookmarkEnd w:id="329"/>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0、长期应付职工薪酬" w:id="330"/>
      <w:bookmarkEnd w:id="330"/>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长期应付职工薪酬表" w:id="331"/>
      <w:bookmarkEnd w:id="331"/>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设定受益计划变动情况" w:id="332"/>
      <w:bookmarkEnd w:id="332"/>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1、预计负债" w:id="333"/>
      <w:bookmarkEnd w:id="333"/>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2、递延收益" w:id="334"/>
      <w:bookmarkEnd w:id="334"/>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1,305,966.25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255,138.24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1,050,828.01</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2" w:hRule="exact"/>
        </w:trPr>
        <w:tc>
          <w:tcPr>
            <w:tcW w:w="15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1,305,966.25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255,138.24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1,050,828.01</w:t>
            </w:r>
          </w:p>
        </w:tc>
        <w:tc>
          <w:tcPr>
            <w:tcW w:w="159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4"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5" w:hRule="exact"/>
        </w:trPr>
        <w:tc>
          <w:tcPr>
            <w:tcW w:w="106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27" w:right="129"/>
              <w:jc w:val="left"/>
              <w:rPr>
                <w:rFonts w:ascii="宋体" w:hAnsi="宋体" w:cs="宋体" w:eastAsia="宋体" w:hint="default"/>
                <w:sz w:val="18"/>
                <w:szCs w:val="18"/>
              </w:rPr>
            </w:pPr>
            <w:r>
              <w:rPr>
                <w:rFonts w:ascii="宋体" w:hAnsi="宋体" w:cs="宋体" w:eastAsia="宋体" w:hint="default"/>
                <w:sz w:val="18"/>
                <w:szCs w:val="18"/>
              </w:rPr>
              <w:t>与资产相关 政府补助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1,305,966.25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255,138.24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1,050,828.01</w:t>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pStyle w:val="BodyText"/>
        <w:spacing w:line="240" w:lineRule="auto" w:before="51"/>
        <w:ind w:right="0"/>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1.  </w:t>
      </w:r>
      <w:r>
        <w:rPr/>
        <w:t>与政府补助相关的递延收益</w:t>
      </w:r>
    </w:p>
    <w:p>
      <w:pPr>
        <w:spacing w:line="240" w:lineRule="auto" w:before="0"/>
        <w:rPr>
          <w:rFonts w:ascii="宋体" w:hAnsi="宋体" w:cs="宋体" w:eastAsia="宋体" w:hint="default"/>
          <w:sz w:val="5"/>
          <w:szCs w:val="5"/>
        </w:rPr>
      </w:pPr>
    </w:p>
    <w:tbl>
      <w:tblPr>
        <w:tblW w:w="0" w:type="auto"/>
        <w:jc w:val="left"/>
        <w:tblInd w:w="125" w:type="dxa"/>
        <w:tblLayout w:type="fixed"/>
        <w:tblCellMar>
          <w:top w:w="0" w:type="dxa"/>
          <w:left w:w="0" w:type="dxa"/>
          <w:bottom w:w="0" w:type="dxa"/>
          <w:right w:w="0" w:type="dxa"/>
        </w:tblCellMar>
        <w:tblLook w:val="01E0"/>
      </w:tblPr>
      <w:tblGrid>
        <w:gridCol w:w="2860"/>
        <w:gridCol w:w="1134"/>
        <w:gridCol w:w="1134"/>
        <w:gridCol w:w="1134"/>
        <w:gridCol w:w="993"/>
        <w:gridCol w:w="1068"/>
        <w:gridCol w:w="1350"/>
      </w:tblGrid>
      <w:tr>
        <w:trPr>
          <w:trHeight w:val="654" w:hRule="exact"/>
        </w:trPr>
        <w:tc>
          <w:tcPr>
            <w:tcW w:w="2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8"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81" w:right="20"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01" w:right="20" w:hanging="180"/>
              <w:jc w:val="left"/>
              <w:rPr>
                <w:rFonts w:ascii="宋体" w:hAnsi="宋体" w:cs="宋体" w:eastAsia="宋体" w:hint="default"/>
                <w:sz w:val="18"/>
                <w:szCs w:val="18"/>
              </w:rPr>
            </w:pPr>
            <w:r>
              <w:rPr>
                <w:rFonts w:ascii="宋体" w:hAnsi="宋体" w:cs="宋体" w:eastAsia="宋体" w:hint="default"/>
                <w:sz w:val="18"/>
                <w:szCs w:val="18"/>
              </w:rPr>
              <w:t>本期计入当期 损益金额</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其他变动</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300" w:lineRule="auto" w:before="21"/>
              <w:ind w:left="399" w:right="18"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342" w:hRule="exact"/>
        </w:trPr>
        <w:tc>
          <w:tcPr>
            <w:tcW w:w="2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十大科技产业化专项项目</w:t>
            </w:r>
            <w:r>
              <w:rPr>
                <w:rFonts w:ascii="Times New Roman" w:hAnsi="Times New Roman" w:cs="Times New Roman" w:eastAsia="Times New Roman" w:hint="default"/>
                <w:sz w:val="18"/>
                <w:szCs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109,585.78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54,128.14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55,457.64</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2" w:hRule="exact"/>
        </w:trPr>
        <w:tc>
          <w:tcPr>
            <w:tcW w:w="2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牛仔雕花机研发补贴</w:t>
            </w:r>
            <w:r>
              <w:rPr>
                <w:rFonts w:ascii="Times New Roman" w:hAnsi="Times New Roman" w:cs="Times New Roman" w:eastAsia="Times New Roman" w:hint="default"/>
                <w:sz w:val="18"/>
                <w:szCs w:val="18"/>
              </w:rPr>
              <w:t>*2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384,259.25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55,555.56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328,703.69</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2" w:hRule="exact"/>
        </w:trPr>
        <w:tc>
          <w:tcPr>
            <w:tcW w:w="2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桥架多功能一体机项目研发补贴</w:t>
            </w:r>
            <w:r>
              <w:rPr>
                <w:rFonts w:ascii="Times New Roman" w:hAnsi="Times New Roman" w:cs="Times New Roman" w:eastAsia="Times New Roman" w:hint="default"/>
                <w:sz w:val="18"/>
                <w:szCs w:val="18"/>
              </w:rPr>
              <w:t>*3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812,121.22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145,454.54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666,666.68</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2" w:hRule="exact"/>
        </w:trPr>
        <w:tc>
          <w:tcPr>
            <w:tcW w:w="2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1,305,966.25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255,138.24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1,050,828.01</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4"/>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6"/>
          <w:szCs w:val="6"/>
        </w:rPr>
      </w:pPr>
    </w:p>
    <w:p>
      <w:pPr>
        <w:pStyle w:val="BodyText"/>
        <w:spacing w:line="300" w:lineRule="auto" w:before="44"/>
        <w:ind w:right="1115"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根据《武汉市科技局关于下达</w:t>
      </w:r>
      <w:r>
        <w:rPr>
          <w:rFonts w:ascii="Times New Roman" w:hAnsi="Times New Roman" w:cs="Times New Roman" w:eastAsia="Times New Roman" w:hint="default"/>
        </w:rPr>
        <w:t>2011</w:t>
      </w:r>
      <w:r>
        <w:rPr/>
        <w:t>年十大科技产业化专项项目的通知》（武科计</w:t>
      </w:r>
      <w:r>
        <w:rPr>
          <w:rFonts w:ascii="Times New Roman" w:hAnsi="Times New Roman" w:cs="Times New Roman" w:eastAsia="Times New Roman" w:hint="default"/>
        </w:rPr>
        <w:t>[2011]54</w:t>
      </w:r>
      <w:r>
        <w:rPr/>
        <w:t>号文件）规定，公司</w:t>
      </w:r>
      <w:r>
        <w:rPr>
          <w:rFonts w:ascii="Times New Roman" w:hAnsi="Times New Roman" w:cs="Times New Roman" w:eastAsia="Times New Roman" w:hint="default"/>
        </w:rPr>
        <w:t>2011 </w:t>
      </w:r>
      <w:r>
        <w:rPr/>
        <w:t>年收到与资产相关政府补助</w:t>
      </w:r>
      <w:r>
        <w:rPr>
          <w:rFonts w:ascii="Times New Roman" w:hAnsi="Times New Roman" w:cs="Times New Roman" w:eastAsia="Times New Roman" w:hint="default"/>
        </w:rPr>
        <w:t>44</w:t>
      </w:r>
      <w:r>
        <w:rPr/>
        <w:t>万元，已全部用于购买固定资产，并按资产使用年限摊销计入当期损益。</w:t>
      </w:r>
    </w:p>
    <w:p>
      <w:pPr>
        <w:pStyle w:val="BodyText"/>
        <w:spacing w:line="240" w:lineRule="auto" w:before="133"/>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根据《武汉市商务局、武汉市财政局关于</w:t>
      </w:r>
      <w:r>
        <w:rPr>
          <w:rFonts w:ascii="Times New Roman" w:hAnsi="Times New Roman" w:cs="Times New Roman" w:eastAsia="Times New Roman" w:hint="default"/>
        </w:rPr>
        <w:t>2015</w:t>
      </w:r>
      <w:r>
        <w:rPr/>
        <w:t>年市外经贸（区域协调）发展促进资金项目（第一期）安排的通知》</w:t>
      </w:r>
    </w:p>
    <w:p>
      <w:pPr>
        <w:pStyle w:val="BodyText"/>
        <w:spacing w:line="240" w:lineRule="auto" w:before="63"/>
        <w:ind w:right="0"/>
        <w:jc w:val="left"/>
      </w:pPr>
      <w:r>
        <w:rPr/>
        <w:t>（武商务</w:t>
      </w:r>
      <w:r>
        <w:rPr>
          <w:rFonts w:ascii="Times New Roman" w:hAnsi="Times New Roman" w:cs="Times New Roman" w:eastAsia="Times New Roman" w:hint="default"/>
        </w:rPr>
        <w:t>[2015]177</w:t>
      </w:r>
      <w:r>
        <w:rPr/>
        <w:t>号通知），公司本期收到的关于</w:t>
      </w:r>
      <w:r>
        <w:rPr>
          <w:rFonts w:ascii="Times New Roman" w:hAnsi="Times New Roman" w:cs="Times New Roman" w:eastAsia="Times New Roman" w:hint="default"/>
        </w:rPr>
        <w:t>“</w:t>
      </w:r>
      <w:r>
        <w:rPr/>
        <w:t>牛仔激光立体雕花机研发</w:t>
      </w:r>
      <w:r>
        <w:rPr>
          <w:rFonts w:ascii="Times New Roman" w:hAnsi="Times New Roman" w:cs="Times New Roman" w:eastAsia="Times New Roman" w:hint="default"/>
        </w:rPr>
        <w:t>”</w:t>
      </w:r>
      <w:r>
        <w:rPr/>
        <w:t>项目补助</w:t>
      </w:r>
      <w:r>
        <w:rPr>
          <w:rFonts w:ascii="Times New Roman" w:hAnsi="Times New Roman" w:cs="Times New Roman" w:eastAsia="Times New Roman" w:hint="default"/>
        </w:rPr>
        <w:t>50</w:t>
      </w:r>
      <w:r>
        <w:rPr/>
        <w:t>万元，为对公司已于</w:t>
      </w:r>
      <w:r>
        <w:rPr>
          <w:rFonts w:ascii="Times New Roman" w:hAnsi="Times New Roman" w:cs="Times New Roman" w:eastAsia="Times New Roman" w:hint="default"/>
        </w:rPr>
        <w:t>2014</w:t>
      </w:r>
      <w:r>
        <w:rPr/>
        <w:t>年形成</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无形资产的研发项目补助，按照该无形资产摊销年限进行摊销。</w:t>
      </w:r>
    </w:p>
    <w:p>
      <w:pPr>
        <w:spacing w:line="240" w:lineRule="auto" w:before="0"/>
        <w:rPr>
          <w:rFonts w:ascii="宋体" w:hAnsi="宋体" w:cs="宋体" w:eastAsia="宋体" w:hint="default"/>
          <w:sz w:val="15"/>
          <w:szCs w:val="15"/>
        </w:rPr>
      </w:pPr>
    </w:p>
    <w:p>
      <w:pPr>
        <w:pStyle w:val="BodyText"/>
        <w:spacing w:line="300" w:lineRule="auto"/>
        <w:ind w:right="113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根据《武汉市科技局关于下达</w:t>
      </w:r>
      <w:r>
        <w:rPr>
          <w:rFonts w:ascii="Times New Roman" w:hAnsi="Times New Roman" w:cs="Times New Roman" w:eastAsia="Times New Roman" w:hint="default"/>
        </w:rPr>
        <w:t>2015</w:t>
      </w:r>
      <w:r>
        <w:rPr/>
        <w:t>年高新技术成果转化及产业化项目的通知》（武科计</w:t>
      </w:r>
      <w:r>
        <w:rPr>
          <w:rFonts w:ascii="Times New Roman" w:hAnsi="Times New Roman" w:cs="Times New Roman" w:eastAsia="Times New Roman" w:hint="default"/>
        </w:rPr>
        <w:t>[2015]19</w:t>
      </w:r>
      <w:r>
        <w:rPr/>
        <w:t>号），公司本期收 到的关于</w:t>
      </w:r>
      <w:r>
        <w:rPr>
          <w:rFonts w:ascii="Times New Roman" w:hAnsi="Times New Roman" w:cs="Times New Roman" w:eastAsia="Times New Roman" w:hint="default"/>
        </w:rPr>
        <w:t>“</w:t>
      </w:r>
      <w:r>
        <w:rPr/>
        <w:t>桥架激光刺绣雕花切割一体机产业化</w:t>
      </w:r>
      <w:r>
        <w:rPr>
          <w:rFonts w:ascii="Times New Roman" w:hAnsi="Times New Roman" w:cs="Times New Roman" w:eastAsia="Times New Roman" w:hint="default"/>
        </w:rPr>
        <w:t>”</w:t>
      </w:r>
      <w:r>
        <w:rPr/>
        <w:t>项目补助</w:t>
      </w:r>
      <w:r>
        <w:rPr>
          <w:rFonts w:ascii="Times New Roman" w:hAnsi="Times New Roman" w:cs="Times New Roman" w:eastAsia="Times New Roman" w:hint="default"/>
        </w:rPr>
        <w:t>120</w:t>
      </w:r>
      <w:r>
        <w:rPr/>
        <w:t>万元，为对公司已于</w:t>
      </w:r>
      <w:r>
        <w:rPr>
          <w:rFonts w:ascii="Times New Roman" w:hAnsi="Times New Roman" w:cs="Times New Roman" w:eastAsia="Times New Roman" w:hint="default"/>
        </w:rPr>
        <w:t>2014</w:t>
      </w:r>
      <w:r>
        <w:rPr/>
        <w:t>年形成无形资产的研发项目补助，按 照该无形资产摊销年限进行摊销。</w:t>
      </w:r>
    </w:p>
    <w:p>
      <w:pPr>
        <w:pStyle w:val="BodyText"/>
        <w:spacing w:line="240" w:lineRule="auto" w:before="152"/>
        <w:ind w:left="576" w:right="0"/>
        <w:jc w:val="left"/>
      </w:pPr>
      <w:r>
        <w:rPr/>
        <w:t>本期计入当期损益金额中，计入其他收益</w:t>
      </w:r>
      <w:r>
        <w:rPr>
          <w:rFonts w:ascii="Times New Roman" w:hAnsi="Times New Roman" w:cs="Times New Roman" w:eastAsia="Times New Roman" w:hint="default"/>
        </w:rPr>
        <w:t>255,138.24</w:t>
      </w:r>
      <w:r>
        <w:rPr/>
        <w:t>元，计入营业外收入</w:t>
      </w:r>
      <w:r>
        <w:rPr>
          <w:rFonts w:ascii="Times New Roman" w:hAnsi="Times New Roman" w:cs="Times New Roman" w:eastAsia="Times New Roman" w:hint="default"/>
        </w:rPr>
        <w:t>0</w:t>
      </w:r>
      <w:r>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3、其他非流动负债" w:id="335"/>
      <w:bookmarkEnd w:id="335"/>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4、股本" w:id="336"/>
      <w:bookmarkEnd w:id="336"/>
      <w:r>
        <w:rPr>
          <w:b w:val="0"/>
          <w:bCs w:val="0"/>
        </w:rPr>
      </w:r>
      <w:r>
        <w:rPr>
          <w:rFonts w:ascii="Times New Roman" w:hAnsi="Times New Roman" w:cs="Times New Roman" w:eastAsia="Times New Roman" w:hint="default"/>
        </w:rPr>
        <w:t>44</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182"/>
        <w:gridCol w:w="1208"/>
        <w:gridCol w:w="1184"/>
        <w:gridCol w:w="1197"/>
        <w:gridCol w:w="1195"/>
        <w:gridCol w:w="1197"/>
        <w:gridCol w:w="1184"/>
        <w:gridCol w:w="1193"/>
      </w:tblGrid>
      <w:tr>
        <w:trPr>
          <w:trHeight w:val="206" w:hRule="exact"/>
        </w:trPr>
        <w:tc>
          <w:tcPr>
            <w:tcW w:w="1182" w:type="dxa"/>
            <w:tcBorders>
              <w:top w:val="single" w:sz="4" w:space="0" w:color="000000"/>
              <w:left w:val="nil" w:sz="6" w:space="0" w:color="auto"/>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196" w:hRule="exact"/>
        </w:trPr>
        <w:tc>
          <w:tcPr>
            <w:tcW w:w="1182" w:type="dxa"/>
            <w:vMerge w:val="restart"/>
            <w:tcBorders>
              <w:top w:val="nil" w:sz="6" w:space="0" w:color="auto"/>
              <w:left w:val="nil" w:sz="6" w:space="0" w:color="auto"/>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2" w:type="dxa"/>
            <w:vMerge/>
            <w:tcBorders>
              <w:left w:val="nil" w:sz="6" w:space="0" w:color="auto"/>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3" w:type="dxa"/>
            <w:vMerge/>
            <w:tcBorders>
              <w:left w:val="single" w:sz="4" w:space="0" w:color="000000"/>
              <w:bottom w:val="nil" w:sz="6" w:space="0" w:color="auto"/>
              <w:right w:val="nil" w:sz="6" w:space="0" w:color="auto"/>
            </w:tcBorders>
            <w:shd w:val="clear" w:color="auto" w:fill="D2D2D2"/>
          </w:tcPr>
          <w:p>
            <w:pPr/>
          </w:p>
        </w:tc>
      </w:tr>
      <w:tr>
        <w:trPr>
          <w:trHeight w:val="205" w:hRule="exact"/>
        </w:trPr>
        <w:tc>
          <w:tcPr>
            <w:tcW w:w="1182" w:type="dxa"/>
            <w:tcBorders>
              <w:top w:val="nil" w:sz="6" w:space="0" w:color="auto"/>
              <w:left w:val="nil" w:sz="6" w:space="0" w:color="auto"/>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3" w:hRule="exact"/>
        </w:trPr>
        <w:tc>
          <w:tcPr>
            <w:tcW w:w="11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126,000,000.00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126,000,000.00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5、其他权益工具" w:id="337"/>
      <w:bookmarkEnd w:id="337"/>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期末发行在外的优先股、永续债等其他金融工具基本情况" w:id="338"/>
      <w:bookmarkEnd w:id="338"/>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期末发行在外的优先股、永续债等金融工具变动情况表" w:id="339"/>
      <w:bookmarkEnd w:id="339"/>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6、资本公积" w:id="340"/>
      <w:bookmarkEnd w:id="340"/>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887"/>
        <w:gridCol w:w="1928"/>
        <w:gridCol w:w="1914"/>
        <w:gridCol w:w="1914"/>
        <w:gridCol w:w="1900"/>
      </w:tblGrid>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85,222,850.09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85,222,850.09</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85,222,850.09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85,222,850.09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7、库存股" w:id="341"/>
      <w:bookmarkEnd w:id="341"/>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8、其他综合收益" w:id="342"/>
      <w:bookmarkEnd w:id="342"/>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3" w:type="dxa"/>
        <w:tblLayout w:type="fixed"/>
        <w:tblCellMar>
          <w:top w:w="0" w:type="dxa"/>
          <w:left w:w="0" w:type="dxa"/>
          <w:bottom w:w="0" w:type="dxa"/>
          <w:right w:w="0" w:type="dxa"/>
        </w:tblCellMar>
        <w:tblLook w:val="01E0"/>
      </w:tblPr>
      <w:tblGrid>
        <w:gridCol w:w="2797"/>
        <w:gridCol w:w="1081"/>
        <w:gridCol w:w="923"/>
        <w:gridCol w:w="1152"/>
        <w:gridCol w:w="838"/>
        <w:gridCol w:w="851"/>
        <w:gridCol w:w="992"/>
        <w:gridCol w:w="907"/>
      </w:tblGrid>
      <w:tr>
        <w:trPr>
          <w:trHeight w:val="397" w:hRule="exact"/>
        </w:trPr>
        <w:tc>
          <w:tcPr>
            <w:tcW w:w="2797" w:type="dxa"/>
            <w:vMerge w:val="restart"/>
            <w:tcBorders>
              <w:top w:val="single" w:sz="4" w:space="0" w:color="000000"/>
              <w:left w:val="nil" w:sz="6" w:space="0" w:color="auto"/>
              <w:right w:val="single" w:sz="4" w:space="0" w:color="000000"/>
            </w:tcBorders>
            <w:shd w:val="clear" w:color="auto" w:fill="D2D2D2"/>
          </w:tcPr>
          <w:p>
            <w:pPr/>
          </w:p>
        </w:tc>
        <w:tc>
          <w:tcPr>
            <w:tcW w:w="1081" w:type="dxa"/>
            <w:vMerge w:val="restart"/>
            <w:tcBorders>
              <w:top w:val="single" w:sz="4" w:space="0" w:color="000000"/>
              <w:left w:val="single" w:sz="4" w:space="0" w:color="000000"/>
              <w:right w:val="single" w:sz="4" w:space="0" w:color="000000"/>
            </w:tcBorders>
            <w:shd w:val="clear" w:color="auto" w:fill="D2D2D2"/>
          </w:tcPr>
          <w:p>
            <w:pPr/>
          </w:p>
        </w:tc>
        <w:tc>
          <w:tcPr>
            <w:tcW w:w="47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907" w:type="dxa"/>
            <w:vMerge w:val="restart"/>
            <w:tcBorders>
              <w:top w:val="single" w:sz="4" w:space="0" w:color="000000"/>
              <w:left w:val="single" w:sz="4" w:space="0" w:color="000000"/>
              <w:right w:val="nil" w:sz="6" w:space="0" w:color="auto"/>
            </w:tcBorders>
            <w:shd w:val="clear" w:color="auto" w:fill="D2D2D2"/>
          </w:tcPr>
          <w:p>
            <w:pPr/>
          </w:p>
        </w:tc>
      </w:tr>
      <w:tr>
        <w:trPr>
          <w:trHeight w:val="143" w:hRule="exact"/>
        </w:trPr>
        <w:tc>
          <w:tcPr>
            <w:tcW w:w="2797" w:type="dxa"/>
            <w:vMerge/>
            <w:tcBorders>
              <w:left w:val="nil" w:sz="6" w:space="0" w:color="auto"/>
              <w:bottom w:val="nil" w:sz="6" w:space="0" w:color="auto"/>
              <w:right w:val="single" w:sz="4" w:space="0" w:color="000000"/>
            </w:tcBorders>
            <w:shd w:val="clear" w:color="auto" w:fill="D2D2D2"/>
          </w:tcPr>
          <w:p>
            <w:pPr/>
          </w:p>
        </w:tc>
        <w:tc>
          <w:tcPr>
            <w:tcW w:w="1081" w:type="dxa"/>
            <w:vMerge/>
            <w:tcBorders>
              <w:left w:val="single" w:sz="4" w:space="0" w:color="000000"/>
              <w:bottom w:val="nil" w:sz="6" w:space="0" w:color="auto"/>
              <w:right w:val="single" w:sz="4" w:space="0" w:color="000000"/>
            </w:tcBorders>
            <w:shd w:val="clear" w:color="auto" w:fill="D2D2D2"/>
          </w:tcPr>
          <w:p>
            <w:pP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0"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bottom w:val="nil" w:sz="6" w:space="0" w:color="auto"/>
              <w:right w:val="nil" w:sz="6" w:space="0" w:color="auto"/>
            </w:tcBorders>
            <w:shd w:val="clear" w:color="auto" w:fill="D2D2D2"/>
          </w:tcPr>
          <w:p>
            <w:pPr/>
          </w:p>
        </w:tc>
      </w:tr>
      <w:tr>
        <w:trPr>
          <w:trHeight w:val="370" w:hRule="exact"/>
        </w:trPr>
        <w:tc>
          <w:tcPr>
            <w:tcW w:w="2797"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28"/>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0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23"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83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4"/>
              <w:ind w:left="144" w:right="53"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4"/>
              <w:ind w:left="59" w:right="5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4"/>
              <w:ind w:left="130" w:right="41" w:hanging="90"/>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907"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28"/>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7" w:type="dxa"/>
            <w:vMerge w:val="restart"/>
            <w:tcBorders>
              <w:top w:val="nil" w:sz="6" w:space="0" w:color="auto"/>
              <w:left w:val="nil" w:sz="6" w:space="0" w:color="auto"/>
              <w:right w:val="single" w:sz="4" w:space="0" w:color="000000"/>
            </w:tcBorders>
            <w:shd w:val="clear" w:color="auto" w:fill="D2D2D2"/>
          </w:tcPr>
          <w:p>
            <w:pPr/>
          </w:p>
        </w:tc>
        <w:tc>
          <w:tcPr>
            <w:tcW w:w="1081" w:type="dxa"/>
            <w:vMerge w:val="restart"/>
            <w:tcBorders>
              <w:top w:val="nil" w:sz="6" w:space="0" w:color="auto"/>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838"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07"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2797" w:type="dxa"/>
            <w:vMerge/>
            <w:tcBorders>
              <w:left w:val="nil" w:sz="6" w:space="0" w:color="auto"/>
              <w:bottom w:val="single" w:sz="4" w:space="0" w:color="000000"/>
              <w:right w:val="single" w:sz="4" w:space="0" w:color="000000"/>
            </w:tcBorders>
            <w:shd w:val="clear" w:color="auto" w:fill="D2D2D2"/>
          </w:tcPr>
          <w:p>
            <w:pPr/>
          </w:p>
        </w:tc>
        <w:tc>
          <w:tcPr>
            <w:tcW w:w="1081"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nil" w:sz="6" w:space="0" w:color="auto"/>
            </w:tcBorders>
            <w:shd w:val="clear" w:color="auto" w:fill="D2D2D2"/>
          </w:tcPr>
          <w:p>
            <w:pPr/>
          </w:p>
        </w:tc>
      </w:tr>
      <w:tr>
        <w:trPr>
          <w:trHeight w:val="714" w:hRule="exact"/>
        </w:trPr>
        <w:tc>
          <w:tcPr>
            <w:tcW w:w="279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13"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260,857.16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4,434.20</w:t>
            </w:r>
          </w:p>
        </w:tc>
        <w:tc>
          <w:tcPr>
            <w:tcW w:w="115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4,434.20</w:t>
            </w:r>
          </w:p>
        </w:tc>
        <w:tc>
          <w:tcPr>
            <w:tcW w:w="99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265,291.36</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10"/>
        <w:gridCol w:w="1070"/>
        <w:gridCol w:w="935"/>
        <w:gridCol w:w="1152"/>
        <w:gridCol w:w="838"/>
        <w:gridCol w:w="851"/>
        <w:gridCol w:w="992"/>
        <w:gridCol w:w="920"/>
      </w:tblGrid>
      <w:tr>
        <w:trPr>
          <w:trHeight w:val="402" w:hRule="exact"/>
        </w:trPr>
        <w:tc>
          <w:tcPr>
            <w:tcW w:w="28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260,857.16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4,434.20</w:t>
            </w:r>
          </w:p>
        </w:tc>
        <w:tc>
          <w:tcPr>
            <w:tcW w:w="115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4,434.20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265,291.36</w:t>
            </w:r>
          </w:p>
        </w:tc>
      </w:tr>
      <w:tr>
        <w:trPr>
          <w:trHeight w:val="402" w:hRule="exact"/>
        </w:trPr>
        <w:tc>
          <w:tcPr>
            <w:tcW w:w="281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260,857.16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4,434.20</w:t>
            </w:r>
          </w:p>
        </w:tc>
        <w:tc>
          <w:tcPr>
            <w:tcW w:w="115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4,434.20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265,291.36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9、专项储备" w:id="343"/>
      <w:bookmarkEnd w:id="343"/>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50、盈余公积" w:id="344"/>
      <w:bookmarkEnd w:id="344"/>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887"/>
        <w:gridCol w:w="1928"/>
        <w:gridCol w:w="1914"/>
        <w:gridCol w:w="1914"/>
        <w:gridCol w:w="1900"/>
      </w:tblGrid>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9,985,834.59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1,612,546.81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11,598,381.40</w:t>
            </w: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9,985,834.59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1,612,546.81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11,598,381.40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1、未分配利润" w:id="345"/>
      <w:bookmarkEnd w:id="345"/>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8"/>
      </w:tblGrid>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21,989,423.67</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65,090,532.71</w:t>
            </w: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21,989,423.67</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65,090,532.71</w:t>
            </w: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7,142,042.20</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-42,345,109.04</w:t>
            </w: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1,612,546.81</w:t>
            </w:r>
          </w:p>
        </w:tc>
        <w:tc>
          <w:tcPr>
            <w:tcW w:w="291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756,000.00</w:t>
            </w:r>
          </w:p>
        </w:tc>
      </w:tr>
      <w:tr>
        <w:trPr>
          <w:trHeight w:val="402" w:hRule="exact"/>
        </w:trPr>
        <w:tc>
          <w:tcPr>
            <w:tcW w:w="37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27,518,919.06</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21,989,423.67</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2、营业收入和营业成本" w:id="346"/>
      <w:bookmarkEnd w:id="346"/>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887"/>
        <w:gridCol w:w="1928"/>
        <w:gridCol w:w="1914"/>
        <w:gridCol w:w="1914"/>
        <w:gridCol w:w="1914"/>
      </w:tblGrid>
      <w:tr>
        <w:trPr>
          <w:trHeight w:val="206" w:hRule="exact"/>
        </w:trPr>
        <w:tc>
          <w:tcPr>
            <w:tcW w:w="1887" w:type="dxa"/>
            <w:tcBorders>
              <w:top w:val="single" w:sz="4" w:space="0" w:color="000000"/>
              <w:left w:val="nil" w:sz="6" w:space="0" w:color="auto"/>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887"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nil" w:sz="6" w:space="0" w:color="auto"/>
            </w:tcBorders>
            <w:shd w:val="clear" w:color="auto" w:fill="D2D2D2"/>
          </w:tcPr>
          <w:p>
            <w:pPr/>
          </w:p>
        </w:tc>
      </w:tr>
      <w:tr>
        <w:trPr>
          <w:trHeight w:val="196" w:hRule="exact"/>
        </w:trPr>
        <w:tc>
          <w:tcPr>
            <w:tcW w:w="1887" w:type="dxa"/>
            <w:vMerge/>
            <w:tcBorders>
              <w:left w:val="nil" w:sz="6" w:space="0" w:color="auto"/>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887" w:type="dxa"/>
            <w:tcBorders>
              <w:top w:val="nil" w:sz="6" w:space="0" w:color="auto"/>
              <w:left w:val="nil" w:sz="6" w:space="0" w:color="auto"/>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200,113,805.01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136,331,786.24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169,718,334.20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122,035,952.38</w:t>
            </w:r>
          </w:p>
        </w:tc>
      </w:tr>
      <w:tr>
        <w:trPr>
          <w:trHeight w:val="403" w:hRule="exact"/>
        </w:trPr>
        <w:tc>
          <w:tcPr>
            <w:tcW w:w="188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12,673,800.81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5,340,195.57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15,231,137.16</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7,922,802.56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212,787,605.82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141,671,981.81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184,949,471.36</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129,958,754.94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3、税金及附加" w:id="347"/>
      <w:bookmarkEnd w:id="347"/>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3169"/>
        <w:gridCol w:w="3206"/>
        <w:gridCol w:w="3175"/>
      </w:tblGrid>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595,786.37</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713,104.30</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267,877.31</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297,928.50</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357,142.56</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357,142.56</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59,553.92</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59,553.92</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151,014.64</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125,751.54</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127,726.09</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152,559.37</w:t>
            </w:r>
          </w:p>
        </w:tc>
      </w:tr>
      <w:tr>
        <w:trPr>
          <w:trHeight w:val="402" w:hRule="exact"/>
        </w:trPr>
        <w:tc>
          <w:tcPr>
            <w:tcW w:w="31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1,559,100.89</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1,706,040.19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4、销售费用" w:id="348"/>
      <w:bookmarkEnd w:id="348"/>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人工薪酬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10,687,748.09</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11,209,063.47</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运费和报关杂费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4,681,452.45</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6,561,491.72</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3,230,914.41</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3,929,448.46</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展会费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2,492,351.90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3,266,442.38</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1,154,709.81</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1,449,809.54</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售后维修费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4,652,247.28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2,875,698.52</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222,081.19</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284,629.43</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374,226.31</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279,717.24</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1,361,944.21</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1,368,489.52</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28,857,675.65</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31,224,790.28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5、管理费用" w:id="349"/>
      <w:bookmarkEnd w:id="349"/>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人工薪酬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10,288,196.55</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9,426,798.51</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2,484,938.68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4,820,820.68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447,285.51</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329,303.57</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762,791.96</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2"/>
                <w:sz w:val="18"/>
              </w:rPr>
              <w:t>1,111,191.34</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629,857.13</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596,312.37</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咨询、设计费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1,450,758.08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1,314,539.74</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1,386,616.56</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2,363,933.01</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17,450,444.47</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19,962,899.22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6、研发费用" w:id="350"/>
      <w:bookmarkEnd w:id="350"/>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人工薪酬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5,133,337.38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7,038,806.20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材料领用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5,801,394.12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8,699,289.06</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折旧费用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509,506.34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319,484.44</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925,294.61</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1,697,725.33</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12,369,532.45</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17,755,305.03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7、财务费用" w:id="351"/>
      <w:bookmarkEnd w:id="351"/>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利息支出</w:t>
            </w:r>
            <w:r>
              <w:rPr>
                <w:rFonts w:ascii="Times New Roman" w:hAnsi="Times New Roman" w:cs="Times New Roman" w:eastAsia="Times New Roman" w:hint="default"/>
                <w:sz w:val="18"/>
                <w:szCs w:val="18"/>
              </w:rPr>
              <w:t>*1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501,537.42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2,329,490.00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1445"/>
              <w:jc w:val="righ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259,097.07</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727,347.60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-2,118,901.61</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1,471,333.98</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149,587.68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236,894.14</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-1,726,873.58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3,310,370.52</w:t>
            </w:r>
          </w:p>
        </w:tc>
      </w:tr>
    </w:tbl>
    <w:p>
      <w:pPr>
        <w:pStyle w:val="BodyText"/>
        <w:spacing w:line="240" w:lineRule="auto" w:before="51"/>
        <w:ind w:right="0"/>
        <w:jc w:val="left"/>
      </w:pPr>
      <w:r>
        <w:rPr/>
        <w:t>其他说明：</w:t>
      </w:r>
    </w:p>
    <w:p>
      <w:pPr>
        <w:pStyle w:val="BodyText"/>
        <w:spacing w:line="240" w:lineRule="auto" w:before="117"/>
        <w:ind w:left="514" w:right="0"/>
        <w:jc w:val="left"/>
      </w:pPr>
      <w:r>
        <w:rPr/>
        <w:t>财务费用说明：</w:t>
      </w:r>
    </w:p>
    <w:p>
      <w:pPr>
        <w:pStyle w:val="BodyText"/>
        <w:spacing w:line="240" w:lineRule="auto" w:before="115"/>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*1.  </w:t>
      </w:r>
      <w:r>
        <w:rPr/>
        <w:t>根据《关于</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年江岸区高新技术产业化贷款贴息项目立项审查的报告》岸科</w:t>
      </w:r>
      <w:r>
        <w:rPr>
          <w:rFonts w:ascii="Times New Roman" w:hAnsi="Times New Roman" w:cs="Times New Roman" w:eastAsia="Times New Roman" w:hint="default"/>
        </w:rPr>
        <w:t>[2017]44</w:t>
      </w:r>
      <w:r>
        <w:rPr>
          <w:rFonts w:ascii="Times New Roman" w:hAnsi="Times New Roman" w:cs="Times New Roman" w:eastAsia="Times New Roman" w:hint="default"/>
          <w:spacing w:val="2"/>
        </w:rPr>
        <w:t> </w:t>
      </w:r>
      <w:r>
        <w:rPr/>
        <w:t>号，公司于</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8</w:t>
      </w:r>
    </w:p>
    <w:p>
      <w:pPr>
        <w:pStyle w:val="BodyText"/>
        <w:spacing w:line="240" w:lineRule="auto" w:before="64"/>
        <w:ind w:right="0"/>
        <w:jc w:val="left"/>
      </w:pPr>
      <w:r>
        <w:rPr/>
        <w:t>日收到武汉市江岸区科学技术局拨付的</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年江岸区高新技术产业化贷款贴息</w:t>
      </w:r>
      <w:r>
        <w:rPr>
          <w:spacing w:val="-47"/>
        </w:rPr>
        <w:t> </w:t>
      </w:r>
      <w:r>
        <w:rPr>
          <w:rFonts w:ascii="Times New Roman" w:hAnsi="Times New Roman" w:cs="Times New Roman" w:eastAsia="Times New Roman" w:hint="default"/>
        </w:rPr>
        <w:t>300,000.00</w:t>
      </w:r>
      <w:r>
        <w:rPr>
          <w:rFonts w:ascii="Times New Roman" w:hAnsi="Times New Roman" w:cs="Times New Roman" w:eastAsia="Times New Roman" w:hint="default"/>
          <w:spacing w:val="-2"/>
        </w:rPr>
        <w:t> </w:t>
      </w:r>
      <w:r>
        <w:rPr/>
        <w:t>元；</w:t>
      </w:r>
    </w:p>
    <w:p>
      <w:pPr>
        <w:pStyle w:val="BodyText"/>
        <w:spacing w:line="302" w:lineRule="auto" w:before="102"/>
        <w:ind w:right="1032" w:firstLine="360"/>
        <w:jc w:val="left"/>
      </w:pPr>
      <w:r>
        <w:rPr/>
        <w:t>根据《市经信委关于开展 </w:t>
      </w:r>
      <w:r>
        <w:rPr>
          <w:rFonts w:ascii="Times New Roman" w:hAnsi="Times New Roman" w:cs="Times New Roman" w:eastAsia="Times New Roman" w:hint="default"/>
        </w:rPr>
        <w:t>2017 </w:t>
      </w:r>
      <w:r>
        <w:rPr>
          <w:spacing w:val="-3"/>
        </w:rPr>
        <w:t>年度武汉市成长性工业企业流动资金贷款贴息工作的通知》（武经信运行</w:t>
      </w:r>
      <w:r>
        <w:rPr>
          <w:rFonts w:ascii="Times New Roman" w:hAnsi="Times New Roman" w:cs="Times New Roman" w:eastAsia="Times New Roman" w:hint="default"/>
          <w:spacing w:val="-3"/>
        </w:rPr>
        <w:t>[2018]47</w:t>
      </w:r>
      <w:r>
        <w:rPr>
          <w:rFonts w:ascii="Times New Roman" w:hAnsi="Times New Roman" w:cs="Times New Roman" w:eastAsia="Times New Roman" w:hint="default"/>
          <w:spacing w:val="-6"/>
        </w:rPr>
        <w:t> </w:t>
      </w:r>
      <w:r>
        <w:rPr>
          <w:spacing w:val="-30"/>
        </w:rPr>
        <w:t>号），</w:t>
      </w:r>
      <w:r>
        <w:rPr/>
        <w:t> 公司于</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0"/>
        </w:rPr>
        <w:t> </w:t>
      </w:r>
      <w:r>
        <w:rPr/>
        <w:t>日收到武汉市经济贸易和信息化委员会拨付的武汉市成长性工业企业流动资金贷款贴息</w:t>
      </w:r>
      <w:r>
        <w:rPr>
          <w:spacing w:val="-55"/>
        </w:rPr>
        <w:t> </w:t>
      </w:r>
      <w:r>
        <w:rPr>
          <w:rFonts w:ascii="Times New Roman" w:hAnsi="Times New Roman" w:cs="Times New Roman" w:eastAsia="Times New Roman" w:hint="default"/>
        </w:rPr>
        <w:t>87,500.00</w:t>
      </w:r>
      <w:r>
        <w:rPr>
          <w:rFonts w:ascii="Times New Roman" w:hAnsi="Times New Roman" w:cs="Times New Roman" w:eastAsia="Times New Roman" w:hint="default"/>
          <w:spacing w:val="-10"/>
        </w:rPr>
        <w:t> </w:t>
      </w:r>
      <w:r>
        <w:rPr/>
        <w:t>元；</w:t>
      </w:r>
    </w:p>
    <w:p>
      <w:pPr>
        <w:pStyle w:val="BodyText"/>
        <w:spacing w:line="300" w:lineRule="auto" w:before="50"/>
        <w:ind w:right="1117" w:firstLine="360"/>
        <w:jc w:val="left"/>
      </w:pPr>
      <w:r>
        <w:rPr/>
        <w:t>根</w:t>
      </w:r>
      <w:r>
        <w:rPr>
          <w:spacing w:val="-8"/>
        </w:rPr>
        <w:t>据</w:t>
      </w:r>
      <w:r>
        <w:rPr/>
        <w:t>《武汉市江岸区科学技术研究与开发资金管理办法</w:t>
      </w:r>
      <w:r>
        <w:rPr>
          <w:spacing w:val="-98"/>
        </w:rPr>
        <w:t>》</w:t>
      </w:r>
      <w:r>
        <w:rPr/>
        <w:t>（岸科</w:t>
      </w:r>
      <w:r>
        <w:rPr>
          <w:rFonts w:ascii="Times New Roman" w:hAnsi="Times New Roman" w:cs="Times New Roman" w:eastAsia="Times New Roman" w:hint="default"/>
        </w:rPr>
        <w:t>{2017}44</w:t>
      </w:r>
      <w:r>
        <w:rPr>
          <w:rFonts w:ascii="Times New Roman" w:hAnsi="Times New Roman" w:cs="Times New Roman" w:eastAsia="Times New Roman" w:hint="default"/>
          <w:spacing w:val="-1"/>
        </w:rPr>
        <w:t> </w:t>
      </w:r>
      <w:r>
        <w:rPr/>
        <w:t>号</w:t>
      </w:r>
      <w:r>
        <w:rPr>
          <w:spacing w:val="-8"/>
        </w:rPr>
        <w:t>）和</w:t>
      </w:r>
      <w:r>
        <w:rPr/>
        <w:t>《江岸区促进新民营经济突破性发展的</w:t>
      </w:r>
      <w:r>
        <w:rPr/>
        <w:t> 政策措施（试行</w:t>
      </w:r>
      <w:r>
        <w:rPr>
          <w:spacing w:val="-90"/>
        </w:rPr>
        <w:t>）》</w:t>
      </w:r>
      <w:r>
        <w:rPr/>
        <w:t>（岸文</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6"/>
        </w:rPr>
        <w:t> </w:t>
      </w:r>
      <w:r>
        <w:rPr/>
        <w:t>号）公司于</w:t>
      </w:r>
      <w:r>
        <w:rPr>
          <w:spacing w:val="-3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t>日收到武汉市江岸区科学技术局拨付的</w:t>
      </w:r>
      <w:r>
        <w:rPr>
          <w:spacing w:val="-3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年江岸区科</w:t>
      </w:r>
    </w:p>
    <w:p>
      <w:pPr>
        <w:pStyle w:val="BodyText"/>
        <w:spacing w:line="338" w:lineRule="auto" w:before="14"/>
        <w:ind w:left="514" w:right="7332" w:hanging="360"/>
        <w:jc w:val="left"/>
      </w:pPr>
      <w:r>
        <w:rPr/>
        <w:t>技企业化贷款贴息</w:t>
      </w:r>
      <w:r>
        <w:rPr>
          <w:spacing w:val="-47"/>
        </w:rPr>
        <w:t> </w:t>
      </w:r>
      <w:r>
        <w:rPr>
          <w:rFonts w:ascii="Times New Roman" w:hAnsi="Times New Roman" w:cs="Times New Roman" w:eastAsia="Times New Roman" w:hint="default"/>
        </w:rPr>
        <w:t>300,000.00</w:t>
      </w:r>
      <w:r>
        <w:rPr>
          <w:rFonts w:ascii="Times New Roman" w:hAnsi="Times New Roman" w:cs="Times New Roman" w:eastAsia="Times New Roman" w:hint="default"/>
          <w:spacing w:val="-2"/>
        </w:rPr>
        <w:t> </w:t>
      </w:r>
      <w:r>
        <w:rPr/>
        <w:t>元； 收到的上述政府补助已冲减利息支出。</w:t>
      </w:r>
    </w:p>
    <w:p>
      <w:pPr>
        <w:spacing w:after="0" w:line="338"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58、资产减值损失" w:id="352"/>
      <w:bookmarkEnd w:id="352"/>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1,680,231.07</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8,314,263.88</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1,895,265.42</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22,567,817.51</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3,681,743.61</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1,100,412.33</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13,446,232.76</w:t>
            </w:r>
          </w:p>
        </w:tc>
      </w:tr>
      <w:tr>
        <w:trPr>
          <w:trHeight w:val="403"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3,575,496.49</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49,110,470.09</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9、其他收益" w:id="353"/>
      <w:bookmarkEnd w:id="353"/>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784"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由递延收益转入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255,138.24</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255,138.24</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年江岸区科技局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打印项目补贴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61,000.00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技术成果转化类科技计划项目补贴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年专利转化类科技计划项目补贴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105,000.00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年湖北名牌产品政府奖励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武汉市科普助推行动计划补贴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年度企业研发投入补贴资金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714"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52"/>
              <w:ind w:left="27" w:right="22"/>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年江岸区文化和科技融合发展 资金支持项目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350,000.00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年市对外经贸发展资金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318,300.00</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高新技术产品出口奖励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368,400.00</w:t>
            </w:r>
          </w:p>
        </w:tc>
        <w:tc>
          <w:tcPr>
            <w:tcW w:w="31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武汉市中央外贸发展专项资金补助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236,600.00</w:t>
            </w:r>
          </w:p>
        </w:tc>
        <w:tc>
          <w:tcPr>
            <w:tcW w:w="31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武汉市江岸区科技局 专利资助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w:t>
            </w:r>
          </w:p>
        </w:tc>
        <w:tc>
          <w:tcPr>
            <w:tcW w:w="31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江岸区文化和科技融合发展资金补助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中央外经贸资金拨付补助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169,500.00</w:t>
            </w:r>
          </w:p>
        </w:tc>
        <w:tc>
          <w:tcPr>
            <w:tcW w:w="31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其他零星补助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31,693.07</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46,341.08</w:t>
            </w:r>
          </w:p>
        </w:tc>
      </w:tr>
      <w:tr>
        <w:trPr>
          <w:trHeight w:val="403"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1,217,331.31</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1,515,779.32</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60、投资收益" w:id="354"/>
      <w:bookmarkEnd w:id="354"/>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56" w:type="dxa"/>
        <w:tblLayout w:type="fixed"/>
        <w:tblCellMar>
          <w:top w:w="0" w:type="dxa"/>
          <w:left w:w="0" w:type="dxa"/>
          <w:bottom w:w="0" w:type="dxa"/>
          <w:right w:w="0" w:type="dxa"/>
        </w:tblCellMar>
        <w:tblLook w:val="01E0"/>
      </w:tblPr>
      <w:tblGrid>
        <w:gridCol w:w="3453"/>
        <w:gridCol w:w="3191"/>
        <w:gridCol w:w="2904"/>
      </w:tblGrid>
      <w:tr>
        <w:trPr>
          <w:trHeight w:val="402" w:hRule="exact"/>
        </w:trPr>
        <w:tc>
          <w:tcPr>
            <w:tcW w:w="3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0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-441,336.95</w:t>
            </w:r>
            <w:r>
              <w:rPr>
                <w:rFonts w:ascii="Times New Roman"/>
                <w:sz w:val="18"/>
              </w:rPr>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15,055,459.48</w:t>
            </w:r>
          </w:p>
        </w:tc>
      </w:tr>
      <w:tr>
        <w:trPr>
          <w:trHeight w:val="402" w:hRule="exact"/>
        </w:trPr>
        <w:tc>
          <w:tcPr>
            <w:tcW w:w="3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-6,429.81</w:t>
            </w:r>
            <w:r>
              <w:rPr>
                <w:rFonts w:ascii="Times New Roman"/>
                <w:sz w:val="18"/>
              </w:rPr>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-6,586.98</w:t>
            </w:r>
            <w:r>
              <w:rPr>
                <w:rFonts w:ascii="Times New Roman"/>
                <w:sz w:val="18"/>
              </w:rPr>
            </w:r>
          </w:p>
        </w:tc>
      </w:tr>
      <w:tr>
        <w:trPr>
          <w:trHeight w:val="402" w:hRule="exact"/>
        </w:trPr>
        <w:tc>
          <w:tcPr>
            <w:tcW w:w="34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17,998.99</w:t>
            </w:r>
          </w:p>
        </w:tc>
        <w:tc>
          <w:tcPr>
            <w:tcW w:w="290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4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-429,767.77</w:t>
            </w:r>
            <w:r>
              <w:rPr>
                <w:rFonts w:ascii="Times New Roman"/>
                <w:sz w:val="18"/>
              </w:rPr>
            </w:r>
          </w:p>
        </w:tc>
        <w:tc>
          <w:tcPr>
            <w:tcW w:w="2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15,048,872.50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1、公允价值变动收益" w:id="355"/>
      <w:bookmarkEnd w:id="355"/>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2、资产处置收益" w:id="356"/>
      <w:bookmarkEnd w:id="356"/>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784"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-37,268.35</w:t>
            </w:r>
            <w:r>
              <w:rPr>
                <w:rFonts w:ascii="Times New Roman"/>
                <w:sz w:val="18"/>
              </w:rPr>
            </w:r>
          </w:p>
        </w:tc>
        <w:tc>
          <w:tcPr>
            <w:tcW w:w="3190"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3、营业外收入" w:id="357"/>
      <w:bookmarkEnd w:id="357"/>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51"/>
              <w:ind w:left="1100" w:right="114"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资产报废收益</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30,033.70</w:t>
            </w:r>
          </w:p>
        </w:tc>
        <w:tc>
          <w:tcPr>
            <w:tcW w:w="239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经批准无须支付的应付款项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132,749.33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173,033.95</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132,749.33</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诉讼赔款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47,716.39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47,716.39</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52,974.75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9,758.65</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52,974.75</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233,440.47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212,826.30</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233,440.47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4、营业外支出" w:id="358"/>
      <w:bookmarkEnd w:id="358"/>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1"/>
              <w:ind w:left="1100" w:right="114"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10,077.49</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3,238.10</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债务豁免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资产报废</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561,533.99</w:t>
            </w:r>
          </w:p>
        </w:tc>
        <w:tc>
          <w:tcPr>
            <w:tcW w:w="239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13.79</w:t>
            </w:r>
          </w:p>
        </w:tc>
      </w:tr>
      <w:tr>
        <w:trPr>
          <w:trHeight w:val="402" w:hRule="exact"/>
        </w:trPr>
        <w:tc>
          <w:tcPr>
            <w:tcW w:w="239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53,251.89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571,611.48</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53,251.89</w:t>
            </w:r>
          </w:p>
        </w:tc>
      </w:tr>
    </w:tbl>
    <w:p>
      <w:pPr>
        <w:pStyle w:val="BodyText"/>
        <w:spacing w:line="240" w:lineRule="auto" w:before="51"/>
        <w:ind w:right="0"/>
        <w:jc w:val="left"/>
      </w:pPr>
      <w:r>
        <w:rPr/>
        <w:t>其他说明：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65、所得税费用" w:id="359"/>
      <w:bookmarkEnd w:id="359"/>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60"/>
      <w:bookmarkEnd w:id="36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162"/>
        <w:gridCol w:w="3206"/>
        <w:gridCol w:w="3175"/>
      </w:tblGrid>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2,223,814.59</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859,051.80</w:t>
            </w:r>
          </w:p>
        </w:tc>
      </w:tr>
      <w:tr>
        <w:trPr>
          <w:trHeight w:val="402"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-109,943.87</w:t>
            </w:r>
            <w:r>
              <w:rPr>
                <w:rFonts w:ascii="Times New Roman"/>
                <w:sz w:val="18"/>
              </w:rPr>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-9,951,496.16</w:t>
            </w:r>
          </w:p>
        </w:tc>
      </w:tr>
      <w:tr>
        <w:trPr>
          <w:trHeight w:val="403" w:hRule="exact"/>
        </w:trPr>
        <w:tc>
          <w:tcPr>
            <w:tcW w:w="31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2,113,870.72</w:t>
            </w:r>
          </w:p>
        </w:tc>
        <w:tc>
          <w:tcPr>
            <w:tcW w:w="3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-9,092,444.36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61"/>
      <w:bookmarkEnd w:id="36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56" w:type="dxa"/>
        <w:tblLayout w:type="fixed"/>
        <w:tblCellMar>
          <w:top w:w="0" w:type="dxa"/>
          <w:left w:w="0" w:type="dxa"/>
          <w:bottom w:w="0" w:type="dxa"/>
          <w:right w:w="0" w:type="dxa"/>
        </w:tblCellMar>
        <w:tblLook w:val="01E0"/>
      </w:tblPr>
      <w:tblGrid>
        <w:gridCol w:w="4762"/>
        <w:gridCol w:w="4787"/>
      </w:tblGrid>
      <w:tr>
        <w:trPr>
          <w:trHeight w:val="403"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9,960,731.41</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1,494,109.71</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165,639.36</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16,393.23</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125,076.69</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62,715.92</w:t>
            </w:r>
          </w:p>
        </w:tc>
      </w:tr>
      <w:tr>
        <w:trPr>
          <w:trHeight w:val="713"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20"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416,490.11</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税率变动对递延所得税余额的影响</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1,156,474.73</w:t>
            </w:r>
          </w:p>
        </w:tc>
      </w:tr>
      <w:tr>
        <w:trPr>
          <w:trHeight w:val="402"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-1,323,029.03</w:t>
            </w:r>
          </w:p>
        </w:tc>
      </w:tr>
      <w:tr>
        <w:trPr>
          <w:trHeight w:val="403" w:hRule="exact"/>
        </w:trPr>
        <w:tc>
          <w:tcPr>
            <w:tcW w:w="476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2,113,870.72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6、其他综合收益" w:id="362"/>
      <w:bookmarkEnd w:id="362"/>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详见附注财务报告七</w:t>
      </w:r>
      <w:r>
        <w:rPr>
          <w:rFonts w:ascii="Times New Roman" w:hAnsi="Times New Roman" w:cs="Times New Roman" w:eastAsia="Times New Roman" w:hint="default"/>
        </w:rPr>
        <w:t>-</w:t>
      </w:r>
      <w:r>
        <w:rPr/>
        <w:t>合并财务报表项目注释</w:t>
      </w:r>
      <w:r>
        <w:rPr>
          <w:spacing w:val="-46"/>
        </w:rPr>
        <w:t> </w:t>
      </w:r>
      <w:r>
        <w:rPr>
          <w:rFonts w:ascii="Times New Roman" w:hAnsi="Times New Roman" w:cs="Times New Roman" w:eastAsia="Times New Roman" w:hint="default"/>
        </w:rPr>
        <w:t>48</w:t>
      </w:r>
      <w:r>
        <w:rPr/>
        <w:t>。</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67、现金流量表项目" w:id="363"/>
      <w:bookmarkEnd w:id="363"/>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64"/>
      <w:bookmarkEnd w:id="36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962,193.07</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1,260,641.08</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259,097.07</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727,347.60</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3,896,340.28</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1,854,823.09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5,117,630.42</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3,842,811.77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支付的其他与经营活动有关的现金" w:id="365"/>
      <w:bookmarkEnd w:id="36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17,795,701.25</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19,554,999.48</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10,509,118.48</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15,141,732.16</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149,587.68</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236,894.14</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51,981.62</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3,008,569.11</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28,506,389.03</w:t>
            </w: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37,942,194.89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收到的其他与投资活动有关的现金" w:id="366"/>
      <w:bookmarkEnd w:id="36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支付的其他与投资活动有关的现金" w:id="367"/>
      <w:bookmarkEnd w:id="36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处置子公司</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33,871,697.25</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33,871,697.25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收到的其他与筹资活动有关的现金" w:id="368"/>
      <w:bookmarkEnd w:id="36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2,555,918.70</w:t>
            </w:r>
          </w:p>
        </w:tc>
      </w:tr>
      <w:tr>
        <w:trPr>
          <w:trHeight w:val="403"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2,555,918.70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支付的其他与筹资活动有关的现金" w:id="369"/>
      <w:bookmarkEnd w:id="36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5,171,697.50</w:t>
            </w:r>
          </w:p>
        </w:tc>
        <w:tc>
          <w:tcPr>
            <w:tcW w:w="31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借款信贷保证金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21,138,656.00</w:t>
            </w:r>
          </w:p>
        </w:tc>
        <w:tc>
          <w:tcPr>
            <w:tcW w:w="31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26,310,353.50</w:t>
            </w:r>
          </w:p>
        </w:tc>
        <w:tc>
          <w:tcPr>
            <w:tcW w:w="3189"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51"/>
        <w:ind w:right="0"/>
        <w:jc w:val="left"/>
      </w:pPr>
      <w:r>
        <w:rPr/>
        <w:t>支付的其他与筹资活动有关的现金说明：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r>
        <w:rPr/>
        <w:pict>
          <v:group style="position:absolute;margin-left:223.339996pt;margin-top:403.189972pt;width:151.25pt;height:20.75pt;mso-position-horizontal-relative:page;mso-position-vertical-relative:page;z-index:-733480" coordorigin="4467,8064" coordsize="3025,415">
            <v:group style="position:absolute;left:4478;top:8075;width:2;height:392" coordorigin="4478,8075" coordsize="2,392">
              <v:shape style="position:absolute;left:4478;top:8075;width:2;height:392" coordorigin="4478,8075" coordsize="0,392" path="m4478,8075l4478,8467e" filled="false" stroked="true" strokeweight="1.140pt" strokecolor="#ffffff">
                <v:path arrowok="t"/>
              </v:shape>
            </v:group>
            <v:group style="position:absolute;left:4490;top:8075;width:3002;height:392" coordorigin="4490,8075" coordsize="3002,392">
              <v:shape style="position:absolute;left:4490;top:8075;width:3002;height:392" coordorigin="4490,8075" coordsize="3002,392" path="m4490,8467l7491,8467,7491,8075,4490,8075,4490,8467xe" filled="true" fillcolor="#ffffff" stroked="false">
                <v:path arrowok="t"/>
                <v:fill type="solid"/>
              </v:shape>
            </v:group>
            <w10:wrap type="none"/>
          </v:group>
        </w:pict>
      </w:r>
    </w:p>
    <w:p>
      <w:pPr>
        <w:pStyle w:val="Heading4"/>
        <w:spacing w:line="240" w:lineRule="auto" w:before="35"/>
        <w:ind w:right="0"/>
        <w:jc w:val="left"/>
        <w:rPr>
          <w:b w:val="0"/>
          <w:bCs w:val="0"/>
        </w:rPr>
      </w:pPr>
      <w:bookmarkStart w:name="68、现金流量表补充资料" w:id="370"/>
      <w:bookmarkEnd w:id="370"/>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71"/>
      <w:bookmarkEnd w:id="37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302"/>
        <w:gridCol w:w="1122"/>
        <w:gridCol w:w="1947"/>
        <w:gridCol w:w="3170"/>
      </w:tblGrid>
      <w:tr>
        <w:trPr>
          <w:trHeight w:val="403"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7,846,860.69</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-42,780,847.91</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3,575,496.49</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49,110,470.09</w:t>
            </w:r>
          </w:p>
        </w:tc>
      </w:tr>
      <w:tr>
        <w:trPr>
          <w:trHeight w:val="714"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5,187,474.68</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5,680,534.83</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1,572,810.98</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3,311,074.74</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316,882.65</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394,909.85</w:t>
            </w:r>
          </w:p>
        </w:tc>
      </w:tr>
      <w:tr>
        <w:trPr>
          <w:trHeight w:val="714"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37,268.35</w:t>
            </w:r>
          </w:p>
        </w:tc>
        <w:tc>
          <w:tcPr>
            <w:tcW w:w="317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531,500.29</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-408,800.20</w:t>
            </w:r>
            <w:r>
              <w:rPr>
                <w:rFonts w:ascii="Times New Roman"/>
                <w:sz w:val="18"/>
              </w:rPr>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w w:val="95"/>
                <w:sz w:val="18"/>
              </w:rPr>
              <w:t>-224,592.48</w:t>
            </w:r>
            <w:r>
              <w:rPr>
                <w:rFonts w:ascii="Times New Roman"/>
                <w:sz w:val="18"/>
              </w:rPr>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429,767.77</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-15,048,872.50</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048" w:right="0"/>
              <w:jc w:val="left"/>
              <w:rPr>
                <w:rFonts w:ascii="Times New Roman" w:hAnsi="Times New Roman" w:cs="Times New Roman" w:eastAsia="Times New Roman" w:hint="default"/>
                <w:sz w:val="18"/>
                <w:szCs w:val="18"/>
              </w:rPr>
            </w:pPr>
            <w:r>
              <w:rPr>
                <w:rFonts w:ascii="Times New Roman"/>
                <w:sz w:val="18"/>
              </w:rPr>
              <w:t>-109,943.87</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-9,951,496.16</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6,381,033.97</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-5,649,922.73</w:t>
            </w:r>
          </w:p>
        </w:tc>
      </w:tr>
      <w:tr>
        <w:trPr>
          <w:trHeight w:val="714"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2"/>
              <w:ind w:left="13"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-2,102,182.85</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40,642.83</w:t>
            </w:r>
          </w:p>
        </w:tc>
      </w:tr>
      <w:tr>
        <w:trPr>
          <w:trHeight w:val="714"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00" w:lineRule="auto" w:before="52"/>
              <w:ind w:left="13"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6,976,328.35</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14,364,742.97</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607,278.00</w:t>
            </w:r>
          </w:p>
        </w:tc>
      </w:tr>
      <w:tr>
        <w:trPr>
          <w:trHeight w:val="403"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29,702,997.01</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385,421.82</w:t>
            </w:r>
          </w:p>
        </w:tc>
      </w:tr>
      <w:tr>
        <w:trPr>
          <w:trHeight w:val="161" w:hRule="exact"/>
        </w:trPr>
        <w:tc>
          <w:tcPr>
            <w:tcW w:w="3302" w:type="dxa"/>
            <w:vMerge w:val="restart"/>
            <w:tcBorders>
              <w:top w:val="single" w:sz="4" w:space="0" w:color="000000"/>
              <w:left w:val="nil" w:sz="6" w:space="0" w:color="auto"/>
              <w:right w:val="single" w:sz="4" w:space="0" w:color="000000"/>
            </w:tcBorders>
            <w:shd w:val="clear" w:color="auto" w:fill="D2D2D2"/>
          </w:tcPr>
          <w:p>
            <w:pPr>
              <w:pStyle w:val="TableParagraph"/>
              <w:spacing w:line="300" w:lineRule="auto" w:before="52"/>
              <w:ind w:left="13"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70" w:type="dxa"/>
            <w:tcBorders>
              <w:top w:val="single" w:sz="4" w:space="0" w:color="000000"/>
              <w:left w:val="single" w:sz="4" w:space="0" w:color="000000"/>
              <w:bottom w:val="nil" w:sz="6" w:space="0" w:color="auto"/>
              <w:right w:val="nil" w:sz="6" w:space="0" w:color="auto"/>
            </w:tcBorders>
            <w:shd w:val="clear" w:color="auto" w:fill="D2D2D2"/>
          </w:tcPr>
          <w:p>
            <w:pPr/>
          </w:p>
        </w:tc>
      </w:tr>
      <w:tr>
        <w:trPr>
          <w:trHeight w:val="391" w:hRule="exact"/>
        </w:trPr>
        <w:tc>
          <w:tcPr>
            <w:tcW w:w="3302" w:type="dxa"/>
            <w:vMerge/>
            <w:tcBorders>
              <w:left w:val="nil" w:sz="6" w:space="0" w:color="auto"/>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70"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2" w:type="dxa"/>
            <w:vMerge/>
            <w:tcBorders>
              <w:left w:val="nil" w:sz="6" w:space="0" w:color="auto"/>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70" w:type="dxa"/>
            <w:tcBorders>
              <w:top w:val="nil" w:sz="6" w:space="0" w:color="auto"/>
              <w:left w:val="single" w:sz="4" w:space="0" w:color="000000"/>
              <w:bottom w:val="single" w:sz="4" w:space="0" w:color="000000"/>
              <w:right w:val="nil" w:sz="6" w:space="0" w:color="auto"/>
            </w:tcBorders>
            <w:shd w:val="clear" w:color="auto" w:fill="D2D2D2"/>
          </w:tcPr>
          <w:p>
            <w:pPr/>
          </w:p>
        </w:tc>
      </w:tr>
      <w:tr>
        <w:trPr>
          <w:trHeight w:val="401"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51,243,802.86</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55,944,113.76</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95" w:right="0"/>
              <w:jc w:val="left"/>
              <w:rPr>
                <w:rFonts w:ascii="Times New Roman" w:hAnsi="Times New Roman" w:cs="Times New Roman" w:eastAsia="Times New Roman" w:hint="default"/>
                <w:sz w:val="18"/>
                <w:szCs w:val="18"/>
              </w:rPr>
            </w:pPr>
            <w:r>
              <w:rPr>
                <w:rFonts w:ascii="Times New Roman"/>
                <w:sz w:val="18"/>
              </w:rPr>
              <w:t>55,944,113.76</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121,558,166.94</w:t>
            </w:r>
          </w:p>
        </w:tc>
      </w:tr>
      <w:tr>
        <w:trPr>
          <w:trHeight w:val="403"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-4,700,310.90</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-65,614,053.18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72"/>
      <w:bookmarkEnd w:id="37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3）本期收到的处置子公司的现金净额" w:id="373"/>
      <w:bookmarkEnd w:id="37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nil" w:sz="6" w:space="0" w:color="auto"/>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9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497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9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84,389.33</w:t>
            </w:r>
          </w:p>
        </w:tc>
      </w:tr>
      <w:tr>
        <w:trPr>
          <w:trHeight w:val="402" w:hRule="exact"/>
        </w:trPr>
        <w:tc>
          <w:tcPr>
            <w:tcW w:w="497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515,610.67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现金和现金等价物的构成" w:id="374"/>
      <w:bookmarkEnd w:id="37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302"/>
        <w:gridCol w:w="3069"/>
        <w:gridCol w:w="3170"/>
      </w:tblGrid>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51,243,802.86</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55,944,113.76</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6,355.01</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27,078.12</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51,237,447.85</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55,917,035.64</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51,243,802.86</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55,944,113.76</w:t>
            </w:r>
          </w:p>
        </w:tc>
      </w:tr>
      <w:tr>
        <w:trPr>
          <w:trHeight w:val="714"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28,776,187.50</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3,073,112.00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9、所有者权益变动表项目注释" w:id="375"/>
      <w:bookmarkEnd w:id="375"/>
      <w:r>
        <w:rPr>
          <w:b w:val="0"/>
          <w:bCs w:val="0"/>
        </w:rPr>
      </w:r>
      <w:r>
        <w:rPr>
          <w:rFonts w:ascii="Times New Roman" w:hAnsi="Times New Roman" w:cs="Times New Roman" w:eastAsia="Times New Roman" w:hint="default"/>
        </w:rPr>
        <w:t>69</w:t>
      </w:r>
      <w:r>
        <w:rPr/>
        <w:t>、所有者权益变动表项目注释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70、所有权或使用权受到限制的资产" w:id="376"/>
      <w:bookmarkEnd w:id="376"/>
      <w:r>
        <w:rPr>
          <w:b w:val="0"/>
          <w:bCs w:val="0"/>
        </w:rPr>
      </w:r>
      <w:r>
        <w:rPr>
          <w:rFonts w:ascii="Times New Roman" w:hAnsi="Times New Roman" w:cs="Times New Roman" w:eastAsia="Times New Roman" w:hint="default"/>
        </w:rPr>
        <w:t>70</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3" w:type="dxa"/>
        <w:tblLayout w:type="fixed"/>
        <w:tblCellMar>
          <w:top w:w="0" w:type="dxa"/>
          <w:left w:w="0" w:type="dxa"/>
          <w:bottom w:w="0" w:type="dxa"/>
          <w:right w:w="0" w:type="dxa"/>
        </w:tblCellMar>
        <w:tblLook w:val="01E0"/>
      </w:tblPr>
      <w:tblGrid>
        <w:gridCol w:w="3302"/>
        <w:gridCol w:w="3069"/>
        <w:gridCol w:w="3170"/>
      </w:tblGrid>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28,776,187.50</w:t>
            </w:r>
          </w:p>
        </w:tc>
        <w:tc>
          <w:tcPr>
            <w:tcW w:w="3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承兑汇票保证金、借款质押保证金</w:t>
            </w:r>
          </w:p>
        </w:tc>
      </w:tr>
      <w:tr>
        <w:trPr>
          <w:trHeight w:val="403" w:hRule="exact"/>
        </w:trPr>
        <w:tc>
          <w:tcPr>
            <w:tcW w:w="330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28,776,187.50</w:t>
            </w:r>
          </w:p>
        </w:tc>
        <w:tc>
          <w:tcPr>
            <w:tcW w:w="317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1、外币货币性项目" w:id="377"/>
      <w:bookmarkEnd w:id="377"/>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78"/>
      <w:bookmarkEnd w:id="37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387"/>
      </w:tblGrid>
      <w:tr>
        <w:trPr>
          <w:trHeight w:val="403" w:hRule="exact"/>
        </w:trPr>
        <w:tc>
          <w:tcPr>
            <w:tcW w:w="24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39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87" w:type="dxa"/>
            <w:tcBorders>
              <w:top w:val="single" w:sz="4" w:space="0" w:color="000000"/>
              <w:left w:val="single" w:sz="13" w:space="0" w:color="D2D2D2"/>
              <w:bottom w:val="single" w:sz="4" w:space="0" w:color="000000"/>
              <w:right w:val="nil" w:sz="6" w:space="0" w:color="auto"/>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8,442,082.20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57,939,698.56</w:t>
            </w:r>
          </w:p>
        </w:tc>
      </w:tr>
      <w:tr>
        <w:trPr>
          <w:trHeight w:val="402" w:hRule="exact"/>
        </w:trPr>
        <w:tc>
          <w:tcPr>
            <w:tcW w:w="24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204,658.26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1,606,014.76</w:t>
            </w:r>
          </w:p>
        </w:tc>
      </w:tr>
      <w:tr>
        <w:trPr>
          <w:trHeight w:val="402" w:hRule="exact"/>
        </w:trPr>
        <w:tc>
          <w:tcPr>
            <w:tcW w:w="24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95" w:type="dxa"/>
            <w:tcBorders>
              <w:top w:val="single" w:sz="4" w:space="0" w:color="000000"/>
              <w:left w:val="nil" w:sz="6" w:space="0" w:color="auto"/>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821,851.38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5,640,530.39</w:t>
            </w:r>
          </w:p>
        </w:tc>
      </w:tr>
      <w:tr>
        <w:trPr>
          <w:trHeight w:val="402" w:hRule="exact"/>
        </w:trPr>
        <w:tc>
          <w:tcPr>
            <w:tcW w:w="24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1,878.57</w:t>
            </w:r>
          </w:p>
        </w:tc>
      </w:tr>
      <w:tr>
        <w:trPr>
          <w:trHeight w:val="402" w:hRule="exact"/>
        </w:trPr>
        <w:tc>
          <w:tcPr>
            <w:tcW w:w="24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95" w:type="dxa"/>
            <w:tcBorders>
              <w:top w:val="single" w:sz="4" w:space="0" w:color="000000"/>
              <w:left w:val="nil" w:sz="6" w:space="0" w:color="auto"/>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495" w:type="dxa"/>
            <w:tcBorders>
              <w:top w:val="single" w:sz="4" w:space="0" w:color="000000"/>
              <w:left w:val="nil" w:sz="6" w:space="0" w:color="auto"/>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59" w:lineRule="auto"/>
        <w:ind w:right="0"/>
        <w:jc w:val="left"/>
        <w:rPr>
          <w:b w:val="0"/>
          <w:bCs w:val="0"/>
        </w:rPr>
      </w:pPr>
      <w:bookmarkStart w:name="（2）境外经营实体说明，包括对于重要的境外经营实体，应披露其境外主要经营地、记账" w:id="379"/>
      <w:bookmarkEnd w:id="37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72、套期" w:id="380"/>
      <w:bookmarkEnd w:id="380"/>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3、政府补助" w:id="381"/>
      <w:bookmarkEnd w:id="381"/>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382"/>
      <w:bookmarkEnd w:id="382"/>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255,138.24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255,138.24</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962,193.07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962,193.07</w:t>
            </w:r>
          </w:p>
        </w:tc>
      </w:tr>
      <w:tr>
        <w:trPr>
          <w:trHeight w:val="402"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冲减成本费用的政府补助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687,500.00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687,500.00</w:t>
            </w:r>
          </w:p>
        </w:tc>
      </w:tr>
      <w:tr>
        <w:trPr>
          <w:trHeight w:val="404"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1,904,831.31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1,904,831.31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政府补助退回情况" w:id="383"/>
      <w:bookmarkEnd w:id="383"/>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spacing w:line="487" w:lineRule="auto" w:before="35"/>
        <w:ind w:left="814" w:right="8328" w:firstLine="0"/>
        <w:jc w:val="left"/>
        <w:rPr>
          <w:rFonts w:ascii="宋体" w:hAnsi="宋体" w:cs="宋体" w:eastAsia="宋体" w:hint="default"/>
          <w:sz w:val="21"/>
          <w:szCs w:val="21"/>
        </w:rPr>
      </w:pPr>
      <w:bookmarkStart w:name="74、其他" w:id="384"/>
      <w:bookmarkEnd w:id="384"/>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85"/>
      <w:bookmarkEnd w:id="385"/>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6"/>
      <w:bookmarkEnd w:id="38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left="814" w:right="0"/>
        <w:jc w:val="left"/>
        <w:rPr>
          <w:b w:val="0"/>
          <w:bCs w:val="0"/>
        </w:rPr>
      </w:pPr>
      <w:bookmarkStart w:name="（1）本期发生的非同一控制下企业合并" w:id="387"/>
      <w:bookmarkEnd w:id="38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814" w:right="8328"/>
        <w:jc w:val="left"/>
        <w:rPr>
          <w:b w:val="0"/>
          <w:bCs w:val="0"/>
        </w:rPr>
      </w:pPr>
      <w:bookmarkStart w:name="（2）合并成本及商誉" w:id="388"/>
      <w:bookmarkEnd w:id="38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814" w:right="0"/>
        <w:jc w:val="left"/>
        <w:rPr>
          <w:b w:val="0"/>
          <w:bCs w:val="0"/>
        </w:rPr>
      </w:pPr>
      <w:bookmarkStart w:name="（3）被购买方于购买日可辨认资产、负债" w:id="389"/>
      <w:bookmarkEnd w:id="38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814" w:right="0"/>
        <w:jc w:val="left"/>
        <w:rPr>
          <w:b w:val="0"/>
          <w:bCs w:val="0"/>
        </w:rPr>
      </w:pPr>
      <w:bookmarkStart w:name="（4）购买日之前持有的股权按照公允价值重新计量产生的利得或损失" w:id="390"/>
      <w:bookmarkEnd w:id="39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814" w:right="0"/>
        <w:jc w:val="left"/>
      </w:pPr>
      <w:r>
        <w:rPr/>
        <w:t>是否存在通过多次交易分步实现企业合并且在报告期内取得控制权的交易</w:t>
      </w:r>
    </w:p>
    <w:p>
      <w:pPr>
        <w:pStyle w:val="BodyText"/>
        <w:spacing w:line="240" w:lineRule="auto" w:before="116"/>
        <w:ind w:left="814" w:right="832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left="814" w:right="0"/>
        <w:jc w:val="left"/>
        <w:rPr>
          <w:b w:val="0"/>
          <w:bCs w:val="0"/>
        </w:rPr>
      </w:pPr>
      <w:bookmarkStart w:name="（5）购买日或合并当期期末无法合理确定合并对价或被购买方可辨认资产、负债公允价值" w:id="391"/>
      <w:bookmarkEnd w:id="391"/>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814" w:right="8328"/>
        <w:jc w:val="left"/>
        <w:rPr>
          <w:b w:val="0"/>
          <w:bCs w:val="0"/>
        </w:rPr>
      </w:pPr>
      <w:bookmarkStart w:name="（6）其他说明" w:id="392"/>
      <w:bookmarkEnd w:id="392"/>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814" w:right="8328"/>
        <w:jc w:val="left"/>
        <w:rPr>
          <w:b w:val="0"/>
          <w:bCs w:val="0"/>
        </w:rPr>
      </w:pPr>
      <w:bookmarkStart w:name="2、同一控制下企业合并" w:id="393"/>
      <w:bookmarkEnd w:id="393"/>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814" w:right="0"/>
        <w:jc w:val="left"/>
        <w:rPr>
          <w:b w:val="0"/>
          <w:bCs w:val="0"/>
        </w:rPr>
      </w:pPr>
      <w:bookmarkStart w:name="（1）本期发生的同一控制下企业合并" w:id="394"/>
      <w:bookmarkEnd w:id="394"/>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814" w:right="8328"/>
        <w:jc w:val="left"/>
        <w:rPr>
          <w:b w:val="0"/>
          <w:bCs w:val="0"/>
        </w:rPr>
      </w:pPr>
      <w:bookmarkStart w:name="（2）合并成本" w:id="395"/>
      <w:bookmarkEnd w:id="395"/>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814" w:right="0"/>
        <w:jc w:val="left"/>
        <w:rPr>
          <w:b w:val="0"/>
          <w:bCs w:val="0"/>
        </w:rPr>
      </w:pPr>
      <w:bookmarkStart w:name="（3）合并日被合并方资产、负债的账面价值" w:id="396"/>
      <w:bookmarkEnd w:id="396"/>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814" w:right="8328"/>
        <w:jc w:val="left"/>
        <w:rPr>
          <w:b w:val="0"/>
          <w:bCs w:val="0"/>
        </w:rPr>
      </w:pPr>
      <w:bookmarkStart w:name="3、反向购买" w:id="397"/>
      <w:bookmarkEnd w:id="397"/>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81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4"/>
        <w:spacing w:line="240" w:lineRule="auto"/>
        <w:ind w:left="814" w:right="8328"/>
        <w:jc w:val="left"/>
        <w:rPr>
          <w:b w:val="0"/>
          <w:bCs w:val="0"/>
        </w:rPr>
      </w:pPr>
      <w:bookmarkStart w:name="4、处置子公司" w:id="398"/>
      <w:bookmarkEnd w:id="398"/>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320" w:right="0"/>
        </w:sectPr>
      </w:pPr>
    </w:p>
    <w:p>
      <w:pPr>
        <w:pStyle w:val="BodyText"/>
        <w:spacing w:line="240" w:lineRule="auto" w:before="44"/>
        <w:ind w:left="814" w:right="-20"/>
        <w:jc w:val="left"/>
      </w:pPr>
      <w:r>
        <w:rPr/>
        <w:t>是否存在单次处置对子公司投资即丧失控制权的情形</w:t>
      </w:r>
    </w:p>
    <w:p>
      <w:pPr>
        <w:pStyle w:val="BodyText"/>
        <w:spacing w:line="240" w:lineRule="auto" w:before="116"/>
        <w:ind w:left="814"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813" w:right="0"/>
        <w:jc w:val="left"/>
      </w:pPr>
      <w:r>
        <w:rPr/>
        <w:t>单位： 元</w:t>
      </w:r>
    </w:p>
    <w:p>
      <w:pPr>
        <w:spacing w:after="0" w:line="240" w:lineRule="auto"/>
        <w:jc w:val="left"/>
        <w:sectPr>
          <w:type w:val="continuous"/>
          <w:pgSz w:w="11910" w:h="16840"/>
          <w:pgMar w:top="1060" w:bottom="1160" w:left="320" w:right="0"/>
          <w:cols w:num="2" w:equalWidth="0">
            <w:col w:w="4955" w:space="3875"/>
            <w:col w:w="2760"/>
          </w:cols>
        </w:sectPr>
      </w:pPr>
    </w:p>
    <w:p>
      <w:pPr>
        <w:spacing w:line="240" w:lineRule="auto" w:before="6"/>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994"/>
        <w:gridCol w:w="992"/>
        <w:gridCol w:w="709"/>
        <w:gridCol w:w="709"/>
        <w:gridCol w:w="984"/>
        <w:gridCol w:w="736"/>
        <w:gridCol w:w="832"/>
        <w:gridCol w:w="638"/>
        <w:gridCol w:w="737"/>
        <w:gridCol w:w="736"/>
        <w:gridCol w:w="1008"/>
        <w:gridCol w:w="992"/>
        <w:gridCol w:w="850"/>
      </w:tblGrid>
      <w:tr>
        <w:trPr>
          <w:trHeight w:val="1641" w:hRule="exact"/>
        </w:trPr>
        <w:tc>
          <w:tcPr>
            <w:tcW w:w="99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401" w:right="39" w:hanging="361"/>
              <w:jc w:val="left"/>
              <w:rPr>
                <w:rFonts w:ascii="宋体" w:hAnsi="宋体" w:cs="宋体" w:eastAsia="宋体" w:hint="default"/>
                <w:sz w:val="18"/>
                <w:szCs w:val="18"/>
              </w:rPr>
            </w:pPr>
            <w:r>
              <w:rPr>
                <w:rFonts w:ascii="宋体" w:hAnsi="宋体" w:cs="宋体" w:eastAsia="宋体" w:hint="default"/>
                <w:sz w:val="18"/>
                <w:szCs w:val="18"/>
              </w:rPr>
              <w:t>股权处置价 款</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80" w:right="77"/>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215" w:right="36" w:hanging="180"/>
              <w:jc w:val="left"/>
              <w:rPr>
                <w:rFonts w:ascii="宋体" w:hAnsi="宋体" w:cs="宋体" w:eastAsia="宋体" w:hint="default"/>
                <w:sz w:val="18"/>
                <w:szCs w:val="18"/>
              </w:rPr>
            </w:pPr>
            <w:r>
              <w:rPr>
                <w:rFonts w:ascii="宋体" w:hAnsi="宋体" w:cs="宋体" w:eastAsia="宋体" w:hint="default"/>
                <w:sz w:val="18"/>
                <w:szCs w:val="18"/>
              </w:rPr>
              <w:t>丧失控制权 的时点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50" w:right="49"/>
              <w:jc w:val="both"/>
              <w:rPr>
                <w:rFonts w:ascii="宋体" w:hAnsi="宋体" w:cs="宋体" w:eastAsia="宋体" w:hint="default"/>
                <w:sz w:val="18"/>
                <w:szCs w:val="18"/>
              </w:rPr>
            </w:pPr>
            <w:r>
              <w:rPr>
                <w:rFonts w:ascii="宋体" w:hAnsi="宋体" w:cs="宋体" w:eastAsia="宋体" w:hint="default"/>
                <w:sz w:val="18"/>
                <w:szCs w:val="18"/>
              </w:rPr>
              <w:t>处置价款 与处置投 资对应的 合并财务 报表层面</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43" w:right="43"/>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3"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账面价</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2" w:right="93"/>
              <w:jc w:val="both"/>
              <w:rPr>
                <w:rFonts w:ascii="宋体" w:hAnsi="宋体" w:cs="宋体" w:eastAsia="宋体" w:hint="default"/>
                <w:sz w:val="18"/>
                <w:szCs w:val="18"/>
              </w:rPr>
            </w:pPr>
            <w:r>
              <w:rPr>
                <w:rFonts w:ascii="宋体" w:hAnsi="宋体" w:cs="宋体" w:eastAsia="宋体" w:hint="default"/>
                <w:sz w:val="18"/>
                <w:szCs w:val="18"/>
              </w:rPr>
              <w:t>丧失控 制权之 日剩余 股权的 公允价</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47" w:right="48"/>
              <w:jc w:val="center"/>
              <w:rPr>
                <w:rFonts w:ascii="宋体" w:hAnsi="宋体" w:cs="宋体" w:eastAsia="宋体" w:hint="default"/>
                <w:sz w:val="18"/>
                <w:szCs w:val="18"/>
              </w:rPr>
            </w:pPr>
            <w:r>
              <w:rPr>
                <w:rFonts w:ascii="宋体" w:hAnsi="宋体" w:cs="宋体" w:eastAsia="宋体" w:hint="default"/>
                <w:sz w:val="18"/>
                <w:szCs w:val="18"/>
              </w:rPr>
              <w:t>按照公允价 值重新计量 剩余股权产 生的利得或 损失</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40" w:right="41"/>
              <w:jc w:val="both"/>
              <w:rPr>
                <w:rFonts w:ascii="宋体" w:hAnsi="宋体" w:cs="宋体" w:eastAsia="宋体" w:hint="default"/>
                <w:sz w:val="18"/>
                <w:szCs w:val="18"/>
              </w:rPr>
            </w:pPr>
            <w:r>
              <w:rPr>
                <w:rFonts w:ascii="宋体" w:hAnsi="宋体" w:cs="宋体" w:eastAsia="宋体" w:hint="default"/>
                <w:sz w:val="18"/>
                <w:szCs w:val="18"/>
              </w:rPr>
              <w:t>丧失控制权 之日剩余股 权公允价值 的确定方法 及主要假设</w:t>
            </w:r>
          </w:p>
        </w:tc>
        <w:tc>
          <w:tcPr>
            <w:tcW w:w="85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67"/>
              <w:ind w:left="59" w:right="62"/>
              <w:jc w:val="both"/>
              <w:rPr>
                <w:rFonts w:ascii="宋体" w:hAnsi="宋体" w:cs="宋体" w:eastAsia="宋体" w:hint="default"/>
                <w:sz w:val="18"/>
                <w:szCs w:val="18"/>
              </w:rPr>
            </w:pPr>
            <w:r>
              <w:rPr>
                <w:rFonts w:ascii="宋体" w:hAnsi="宋体" w:cs="宋体" w:eastAsia="宋体" w:hint="default"/>
                <w:sz w:val="18"/>
                <w:szCs w:val="18"/>
              </w:rPr>
              <w:t>与原子公 司股权投 资相关的 其他综合 收益转入</w:t>
            </w:r>
          </w:p>
        </w:tc>
      </w:tr>
    </w:tbl>
    <w:p>
      <w:pPr>
        <w:spacing w:after="0" w:line="316" w:lineRule="auto"/>
        <w:jc w:val="both"/>
        <w:rPr>
          <w:rFonts w:ascii="宋体" w:hAnsi="宋体" w:cs="宋体" w:eastAsia="宋体" w:hint="default"/>
          <w:sz w:val="18"/>
          <w:szCs w:val="18"/>
        </w:rPr>
        <w:sectPr>
          <w:type w:val="continuous"/>
          <w:pgSz w:w="11910" w:h="16840"/>
          <w:pgMar w:top="1060" w:bottom="1160" w:left="320" w:right="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994"/>
        <w:gridCol w:w="992"/>
        <w:gridCol w:w="709"/>
        <w:gridCol w:w="709"/>
        <w:gridCol w:w="984"/>
        <w:gridCol w:w="736"/>
        <w:gridCol w:w="832"/>
        <w:gridCol w:w="638"/>
        <w:gridCol w:w="737"/>
        <w:gridCol w:w="736"/>
        <w:gridCol w:w="1008"/>
        <w:gridCol w:w="992"/>
        <w:gridCol w:w="850"/>
      </w:tblGrid>
      <w:tr>
        <w:trPr>
          <w:trHeight w:val="1298" w:hRule="exact"/>
        </w:trPr>
        <w:tc>
          <w:tcPr>
            <w:tcW w:w="994" w:type="dxa"/>
            <w:tcBorders>
              <w:top w:val="single" w:sz="4" w:space="0" w:color="000000"/>
              <w:left w:val="nil" w:sz="6" w:space="0" w:color="auto"/>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50" w:right="49"/>
              <w:jc w:val="center"/>
              <w:rPr>
                <w:rFonts w:ascii="宋体" w:hAnsi="宋体" w:cs="宋体" w:eastAsia="宋体" w:hint="default"/>
                <w:sz w:val="18"/>
                <w:szCs w:val="18"/>
              </w:rPr>
            </w:pPr>
            <w:r>
              <w:rPr>
                <w:rFonts w:ascii="宋体" w:hAnsi="宋体" w:cs="宋体" w:eastAsia="宋体" w:hint="default"/>
                <w:sz w:val="18"/>
                <w:szCs w:val="18"/>
              </w:rPr>
              <w:t>享有该子 公司净资 产份额的 差额</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值</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9" w:lineRule="auto" w:before="10"/>
              <w:ind w:left="149" w:right="62" w:hanging="90"/>
              <w:jc w:val="left"/>
              <w:rPr>
                <w:rFonts w:ascii="宋体" w:hAnsi="宋体" w:cs="宋体" w:eastAsia="宋体" w:hint="default"/>
                <w:sz w:val="18"/>
                <w:szCs w:val="18"/>
              </w:rPr>
            </w:pPr>
            <w:r>
              <w:rPr>
                <w:rFonts w:ascii="宋体" w:hAnsi="宋体" w:cs="宋体" w:eastAsia="宋体" w:hint="default"/>
                <w:sz w:val="18"/>
                <w:szCs w:val="18"/>
              </w:rPr>
              <w:t>投资损益 的金额</w:t>
            </w:r>
          </w:p>
        </w:tc>
      </w:tr>
      <w:tr>
        <w:trPr>
          <w:trHeight w:val="714"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东莞汇研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处置全 部股权</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-6,429.81</w:t>
            </w:r>
          </w:p>
        </w:tc>
        <w:tc>
          <w:tcPr>
            <w:tcW w:w="63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nil" w:sz="6" w:space="0" w:color="auto"/>
            </w:tcBorders>
          </w:tcPr>
          <w:p>
            <w:pPr/>
          </w:p>
        </w:tc>
      </w:tr>
    </w:tbl>
    <w:p>
      <w:pPr>
        <w:pStyle w:val="BodyText"/>
        <w:spacing w:line="360" w:lineRule="auto" w:before="51"/>
        <w:ind w:left="834" w:right="4992"/>
        <w:jc w:val="left"/>
      </w:pPr>
      <w:r>
        <w:rPr/>
        <w:t>其他说明： 是否存在通过多次交易分步处置对子公司投资且在本期丧失控制权的情形</w:t>
      </w:r>
    </w:p>
    <w:p>
      <w:pPr>
        <w:pStyle w:val="BodyText"/>
        <w:spacing w:line="240" w:lineRule="auto" w:before="26"/>
        <w:ind w:left="834"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left="834" w:right="4992"/>
        <w:jc w:val="left"/>
        <w:rPr>
          <w:b w:val="0"/>
          <w:bCs w:val="0"/>
        </w:rPr>
      </w:pPr>
      <w:bookmarkStart w:name="5、其他原因的合并范围变动" w:id="399"/>
      <w:bookmarkEnd w:id="399"/>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10"/>
        <w:rPr>
          <w:rFonts w:ascii="宋体" w:hAnsi="宋体" w:cs="宋体" w:eastAsia="宋体" w:hint="default"/>
          <w:b/>
          <w:bCs/>
          <w:sz w:val="24"/>
          <w:szCs w:val="24"/>
        </w:rPr>
      </w:pPr>
    </w:p>
    <w:p>
      <w:pPr>
        <w:spacing w:line="487" w:lineRule="auto" w:before="0"/>
        <w:ind w:left="834" w:right="7537" w:firstLine="0"/>
        <w:jc w:val="left"/>
        <w:rPr>
          <w:rFonts w:ascii="宋体" w:hAnsi="宋体" w:cs="宋体" w:eastAsia="宋体" w:hint="default"/>
          <w:sz w:val="21"/>
          <w:szCs w:val="21"/>
        </w:rPr>
      </w:pPr>
      <w:bookmarkStart w:name="6、其他" w:id="400"/>
      <w:bookmarkEnd w:id="40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1"/>
      <w:bookmarkEnd w:id="401"/>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2"/>
      <w:bookmarkEnd w:id="402"/>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left="834" w:right="4992"/>
        <w:jc w:val="left"/>
        <w:rPr>
          <w:b w:val="0"/>
          <w:bCs w:val="0"/>
        </w:rPr>
      </w:pPr>
      <w:bookmarkStart w:name="（1）企业集团的构成" w:id="403"/>
      <w:bookmarkEnd w:id="40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829" w:type="dxa"/>
        <w:tblLayout w:type="fixed"/>
        <w:tblCellMar>
          <w:top w:w="0" w:type="dxa"/>
          <w:left w:w="0" w:type="dxa"/>
          <w:bottom w:w="0" w:type="dxa"/>
          <w:right w:w="0" w:type="dxa"/>
        </w:tblCellMar>
        <w:tblLook w:val="01E0"/>
      </w:tblPr>
      <w:tblGrid>
        <w:gridCol w:w="1372"/>
        <w:gridCol w:w="1181"/>
        <w:gridCol w:w="1134"/>
        <w:gridCol w:w="1984"/>
        <w:gridCol w:w="1419"/>
        <w:gridCol w:w="1117"/>
        <w:gridCol w:w="1366"/>
      </w:tblGrid>
      <w:tr>
        <w:trPr>
          <w:trHeight w:val="402" w:hRule="exact"/>
        </w:trPr>
        <w:tc>
          <w:tcPr>
            <w:tcW w:w="1372"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nil" w:sz="6" w:space="0" w:color="auto"/>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984"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电子设备生产销售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武汉金之运</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激光设备生产销售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武汉斯利沃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激光设备生产销售</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9"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上海金萃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激光系统组装、销售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68.50%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高投金运</w:t>
            </w:r>
            <w:r>
              <w:rPr>
                <w:rFonts w:ascii="Times New Roman" w:hAnsi="Times New Roman" w:cs="Times New Roman" w:eastAsia="Times New Roman"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股权类投资管理</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高汇科技</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CORP</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金运产业发展</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5"/>
                <w:sz w:val="18"/>
                <w:szCs w:val="18"/>
              </w:rPr>
              <w:t>激光设备、配件生产销售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金运互动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广告设计、制作、代理</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51"/>
        <w:ind w:left="834" w:right="4992"/>
        <w:jc w:val="left"/>
      </w:pPr>
      <w:r>
        <w:rPr/>
        <w:t>在子公司的持股比例不同于表决权比例的说明：</w:t>
      </w:r>
    </w:p>
    <w:p>
      <w:pPr>
        <w:spacing w:line="240" w:lineRule="auto" w:before="12"/>
        <w:rPr>
          <w:rFonts w:ascii="宋体" w:hAnsi="宋体" w:cs="宋体" w:eastAsia="宋体" w:hint="default"/>
          <w:sz w:val="14"/>
          <w:szCs w:val="14"/>
        </w:rPr>
      </w:pPr>
    </w:p>
    <w:p>
      <w:pPr>
        <w:pStyle w:val="BodyText"/>
        <w:spacing w:line="415" w:lineRule="auto"/>
        <w:ind w:left="1194" w:right="0" w:hanging="360"/>
        <w:jc w:val="left"/>
      </w:pPr>
      <w:r>
        <w:rPr>
          <w:rFonts w:ascii="Times New Roman" w:hAnsi="Times New Roman" w:cs="Times New Roman" w:eastAsia="Times New Roman" w:hint="default"/>
        </w:rPr>
        <w:t>1.</w:t>
      </w:r>
      <w:r>
        <w:rPr/>
        <w:t>子公司的持股比例不同于表决权比例的原因 </w:t>
      </w:r>
      <w:r>
        <w:rPr>
          <w:spacing w:val="-2"/>
        </w:rPr>
        <w:t>高投金运为高投基金的基金管理公司，根据《关于共同设立武汉高投金运激光产业投资基金合伙企业（有限合伙）及湖</w:t>
      </w:r>
    </w:p>
    <w:p>
      <w:pPr>
        <w:pStyle w:val="BodyText"/>
        <w:spacing w:line="194" w:lineRule="exact"/>
        <w:ind w:left="834" w:right="0"/>
        <w:jc w:val="left"/>
      </w:pPr>
      <w:r>
        <w:rPr/>
        <w:t>北高投金运激光产业投资管理有限公司的发起人协议》，管理公司设董事会，本公司在董事会中享有</w:t>
      </w:r>
      <w:r>
        <w:rPr>
          <w:rFonts w:ascii="Times New Roman" w:hAnsi="Times New Roman" w:cs="Times New Roman" w:eastAsia="Times New Roman" w:hint="default"/>
        </w:rPr>
        <w:t>3/5</w:t>
      </w:r>
      <w:r>
        <w:rPr/>
        <w:t>的表决权，能对高</w:t>
      </w:r>
    </w:p>
    <w:p>
      <w:pPr>
        <w:pStyle w:val="BodyText"/>
        <w:spacing w:line="240" w:lineRule="auto" w:before="63"/>
        <w:ind w:left="834" w:right="4992"/>
        <w:jc w:val="left"/>
      </w:pPr>
      <w:r>
        <w:rPr/>
        <w:t>投金运实施控制，故将其纳入财务报表合并范围</w:t>
      </w:r>
    </w:p>
    <w:p>
      <w:pPr>
        <w:spacing w:after="0" w:line="240" w:lineRule="auto"/>
        <w:jc w:val="left"/>
        <w:sectPr>
          <w:pgSz w:w="11910" w:h="16840"/>
          <w:pgMar w:header="877" w:footer="979" w:top="1100" w:bottom="1160" w:left="30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2）重要的非全资子公司" w:id="404"/>
      <w:bookmarkEnd w:id="40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重要非全资子公司的主要财务信息" w:id="405"/>
      <w:bookmarkEnd w:id="40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使用企业集团资产和清偿企业集团债务的重大限制" w:id="406"/>
      <w:bookmarkEnd w:id="406"/>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向纳入合并财务报表范围的结构化主体提供的财务支持或其他支持" w:id="407"/>
      <w:bookmarkEnd w:id="407"/>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在子公司的所有者权益份额发生变化且仍控制子公司的交易" w:id="408"/>
      <w:bookmarkEnd w:id="40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在子公司所有者权益份额发生变化的情况说明" w:id="409"/>
      <w:bookmarkEnd w:id="409"/>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交易对于少数股东权益及归属于母公司所有者权益的影响" w:id="410"/>
      <w:bookmarkEnd w:id="410"/>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在合营安排或联营企业中的权益" w:id="411"/>
      <w:bookmarkEnd w:id="411"/>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412"/>
      <w:bookmarkEnd w:id="41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327"/>
        <w:gridCol w:w="658"/>
        <w:gridCol w:w="756"/>
        <w:gridCol w:w="1176"/>
        <w:gridCol w:w="630"/>
        <w:gridCol w:w="677"/>
        <w:gridCol w:w="1349"/>
      </w:tblGrid>
      <w:tr>
        <w:trPr>
          <w:trHeight w:val="402" w:hRule="exact"/>
        </w:trPr>
        <w:tc>
          <w:tcPr>
            <w:tcW w:w="4327"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72"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43" w:right="53" w:hanging="90"/>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7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49" w:type="dxa"/>
            <w:vMerge w:val="restart"/>
            <w:tcBorders>
              <w:top w:val="single" w:sz="4" w:space="0" w:color="000000"/>
              <w:left w:val="single" w:sz="4" w:space="0" w:color="000000"/>
              <w:right w:val="nil" w:sz="6" w:space="0" w:color="auto"/>
            </w:tcBorders>
            <w:shd w:val="clear" w:color="auto" w:fill="D2D2D2"/>
          </w:tcPr>
          <w:p>
            <w:pPr>
              <w:pStyle w:val="TableParagraph"/>
              <w:spacing w:line="319" w:lineRule="auto" w:before="51"/>
              <w:ind w:left="38" w:right="43"/>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4327" w:type="dxa"/>
            <w:vMerge/>
            <w:tcBorders>
              <w:left w:val="nil" w:sz="6" w:space="0" w:color="auto"/>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c>
          <w:tcPr>
            <w:tcW w:w="756"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49"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4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打印</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25.00%</w:t>
            </w:r>
          </w:p>
        </w:tc>
        <w:tc>
          <w:tcPr>
            <w:tcW w:w="6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4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扬州市金运环宇激光设备有限公司</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扬州市</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扬州市</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激光设备制造</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20.00%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432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63"/>
              <w:jc w:val="left"/>
              <w:rPr>
                <w:rFonts w:ascii="宋体" w:hAnsi="宋体" w:cs="宋体" w:eastAsia="宋体" w:hint="default"/>
                <w:sz w:val="18"/>
                <w:szCs w:val="18"/>
              </w:rPr>
            </w:pPr>
            <w:r>
              <w:rPr>
                <w:rFonts w:ascii="宋体" w:hAnsi="宋体" w:cs="宋体" w:eastAsia="宋体" w:hint="default"/>
                <w:sz w:val="18"/>
                <w:szCs w:val="18"/>
              </w:rPr>
              <w:t>新余云尚投资合伙企业（有限合伙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（曾用名苏州云联</w:t>
            </w:r>
            <w:r>
              <w:rPr>
                <w:rFonts w:ascii="宋体" w:hAnsi="宋体" w:cs="宋体" w:eastAsia="宋体" w:hint="default"/>
                <w:sz w:val="18"/>
                <w:szCs w:val="18"/>
              </w:rPr>
              <w:t> 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新余市</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新余市</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43.05%</w:t>
            </w:r>
          </w:p>
        </w:tc>
        <w:tc>
          <w:tcPr>
            <w:tcW w:w="6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4327" w:type="dxa"/>
            <w:tcBorders>
              <w:top w:val="single" w:sz="4" w:space="0" w:color="000000"/>
              <w:left w:val="nil" w:sz="6" w:space="0" w:color="auto"/>
              <w:bottom w:val="single" w:sz="4" w:space="0" w:color="000000"/>
              <w:right w:val="single" w:sz="9" w:space="0" w:color="FFFFFF"/>
            </w:tcBorders>
          </w:tcPr>
          <w:p>
            <w:pPr>
              <w:pStyle w:val="TableParagraph"/>
              <w:spacing w:line="240" w:lineRule="auto" w:before="51"/>
              <w:ind w:left="27" w:right="-33"/>
              <w:jc w:val="left"/>
              <w:rPr>
                <w:rFonts w:ascii="宋体" w:hAnsi="宋体" w:cs="宋体" w:eastAsia="宋体" w:hint="default"/>
                <w:sz w:val="18"/>
                <w:szCs w:val="18"/>
              </w:rPr>
            </w:pPr>
            <w:r>
              <w:rPr>
                <w:rFonts w:ascii="宋体" w:hAnsi="宋体" w:cs="宋体" w:eastAsia="宋体" w:hint="default"/>
                <w:sz w:val="18"/>
                <w:szCs w:val="18"/>
              </w:rPr>
              <w:t>武汉高投金运激光产业投资基金合伙企业（有限合伙）</w:t>
            </w:r>
          </w:p>
        </w:tc>
        <w:tc>
          <w:tcPr>
            <w:tcW w:w="65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right="67"/>
              <w:jc w:val="center"/>
              <w:rPr>
                <w:rFonts w:ascii="宋体" w:hAnsi="宋体" w:cs="宋体" w:eastAsia="宋体" w:hint="default"/>
                <w:sz w:val="18"/>
                <w:szCs w:val="18"/>
              </w:rPr>
            </w:pPr>
            <w:r>
              <w:rPr>
                <w:rFonts w:ascii="宋体" w:hAnsi="宋体" w:cs="宋体" w:eastAsia="宋体" w:hint="default"/>
                <w:sz w:val="18"/>
                <w:szCs w:val="18"/>
              </w:rPr>
              <w:t>武汉市</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股权类投资</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52.20%</w:t>
            </w:r>
          </w:p>
        </w:tc>
        <w:tc>
          <w:tcPr>
            <w:tcW w:w="6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b/>
          <w:bCs/>
          <w:sz w:val="20"/>
          <w:szCs w:val="20"/>
        </w:rPr>
      </w:pPr>
    </w:p>
    <w:p>
      <w:pPr>
        <w:pStyle w:val="Heading4"/>
        <w:spacing w:line="240" w:lineRule="auto" w:before="35"/>
        <w:ind w:right="0"/>
        <w:jc w:val="left"/>
        <w:rPr>
          <w:b w:val="0"/>
          <w:bCs w:val="0"/>
        </w:rPr>
      </w:pPr>
      <w:bookmarkStart w:name="（2）重要合营企业的主要财务信息" w:id="413"/>
      <w:bookmarkEnd w:id="413"/>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重要联营企业的主要财务信息" w:id="414"/>
      <w:bookmarkEnd w:id="414"/>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不重要的合营企业和联营企业的汇总财务信息" w:id="415"/>
      <w:bookmarkEnd w:id="415"/>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合营企业或联营企业向本公司转移资金的能力存在重大限制的说明" w:id="416"/>
      <w:bookmarkEnd w:id="416"/>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合营企业或联营企业发生的超额亏损" w:id="417"/>
      <w:bookmarkEnd w:id="417"/>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7）与合营企业投资相关的未确认承诺" w:id="418"/>
      <w:bookmarkEnd w:id="418"/>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与合营企业或联营企业投资相关的或有负债" w:id="419"/>
      <w:bookmarkEnd w:id="419"/>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重要的共同经营" w:id="420"/>
      <w:bookmarkEnd w:id="420"/>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在未纳入合并财务报表范围的结构化主体中的权益" w:id="421"/>
      <w:bookmarkEnd w:id="421"/>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477" w:lineRule="auto" w:before="35"/>
        <w:ind w:right="7602"/>
        <w:jc w:val="left"/>
        <w:rPr>
          <w:b w:val="0"/>
          <w:bCs w:val="0"/>
        </w:rPr>
      </w:pPr>
      <w:bookmarkStart w:name="6、其他" w:id="422"/>
      <w:bookmarkEnd w:id="422"/>
      <w:r>
        <w:rPr>
          <w:b w:val="0"/>
          <w:bCs w:val="0"/>
        </w:rPr>
      </w:r>
      <w:r>
        <w:rPr>
          <w:rFonts w:ascii="Times New Roman" w:hAnsi="Times New Roman" w:cs="Times New Roman" w:eastAsia="Times New Roman" w:hint="default"/>
          <w:sz w:val="21"/>
          <w:szCs w:val="21"/>
        </w:rPr>
        <w:t>6</w:t>
      </w:r>
      <w:r>
        <w:rPr>
          <w:sz w:val="21"/>
          <w:szCs w:val="21"/>
        </w:rPr>
        <w:t>、其他</w:t>
      </w:r>
      <w:r>
        <w:rPr>
          <w:spacing w:val="1"/>
          <w:w w:val="99"/>
          <w:sz w:val="21"/>
          <w:szCs w:val="21"/>
        </w:rPr>
        <w:t> </w:t>
      </w:r>
      <w:bookmarkStart w:name="十、与金融工具相关的风险" w:id="423"/>
      <w:bookmarkEnd w:id="423"/>
      <w:r>
        <w:rPr>
          <w:spacing w:val="1"/>
          <w:w w:val="99"/>
          <w:sz w:val="21"/>
          <w:szCs w:val="21"/>
        </w:rPr>
      </w:r>
      <w:r>
        <w:rPr>
          <w:w w:val="95"/>
        </w:rPr>
        <w:t>十、与金融工具相关的风险</w:t>
      </w:r>
      <w:r>
        <w:rPr>
          <w:spacing w:val="18"/>
          <w:w w:val="95"/>
        </w:rPr>
        <w:t> </w:t>
      </w:r>
      <w:r>
        <w:rPr>
          <w:spacing w:val="18"/>
          <w:w w:val="95"/>
        </w:rPr>
      </w:r>
      <w:bookmarkStart w:name="十一、公允价值的披露" w:id="424"/>
      <w:bookmarkEnd w:id="424"/>
      <w:r>
        <w:rPr/>
        <w:t>十一、公允价值的披露</w:t>
      </w:r>
      <w:r>
        <w:rPr>
          <w:b w:val="0"/>
          <w:bCs w:val="0"/>
        </w:rPr>
      </w:r>
    </w:p>
    <w:p>
      <w:pPr>
        <w:pStyle w:val="Heading4"/>
        <w:spacing w:line="240" w:lineRule="auto" w:before="84"/>
        <w:ind w:right="0"/>
        <w:jc w:val="left"/>
        <w:rPr>
          <w:b w:val="0"/>
          <w:bCs w:val="0"/>
        </w:rPr>
      </w:pPr>
      <w:bookmarkStart w:name="1、以公允价值计量的资产和负债的期末公允价值" w:id="425"/>
      <w:bookmarkEnd w:id="425"/>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持续和非持续第一层次公允价值计量项目市价的确定依据" w:id="426"/>
      <w:bookmarkEnd w:id="426"/>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持续和非持续第二层次公允价值计量项目，采用的估值技术和重要参数的定性及定量信" w:id="427"/>
      <w:bookmarkEnd w:id="427"/>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持续和非持续第三层次公允价值计量项目，采用的估值技术和重要参数的定性及定量信" w:id="428"/>
      <w:bookmarkEnd w:id="428"/>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5、持续的第三层次公允价值计量项目，期初与期末账面价值间的调节信息及不可观察参数" w:id="429"/>
      <w:bookmarkEnd w:id="429"/>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持续的公允价值计量项目，本期内发生各层级之间转换的，转换的原因及确定转换时点" w:id="430"/>
      <w:bookmarkEnd w:id="430"/>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7、本期内发生的估值技术变更及变更原因" w:id="431"/>
      <w:bookmarkEnd w:id="431"/>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不以公允价值计量的金融资产和金融负债的公允价值情况" w:id="432"/>
      <w:bookmarkEnd w:id="432"/>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9"/>
        <w:rPr>
          <w:rFonts w:ascii="宋体" w:hAnsi="宋体" w:cs="宋体" w:eastAsia="宋体" w:hint="default"/>
          <w:b/>
          <w:bCs/>
          <w:sz w:val="24"/>
          <w:szCs w:val="24"/>
        </w:rPr>
      </w:pPr>
    </w:p>
    <w:p>
      <w:pPr>
        <w:spacing w:line="487" w:lineRule="auto" w:before="0"/>
        <w:ind w:left="154" w:right="7602" w:firstLine="0"/>
        <w:jc w:val="left"/>
        <w:rPr>
          <w:rFonts w:ascii="宋体" w:hAnsi="宋体" w:cs="宋体" w:eastAsia="宋体" w:hint="default"/>
          <w:sz w:val="21"/>
          <w:szCs w:val="21"/>
        </w:rPr>
      </w:pPr>
      <w:bookmarkStart w:name="9、其他" w:id="433"/>
      <w:bookmarkEnd w:id="433"/>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34"/>
      <w:bookmarkEnd w:id="43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35"/>
      <w:bookmarkEnd w:id="435"/>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BodyText"/>
        <w:spacing w:line="357" w:lineRule="auto" w:before="108"/>
        <w:ind w:right="7182"/>
        <w:jc w:val="left"/>
      </w:pPr>
      <w:r>
        <w:rPr/>
        <w:t>本企业的母公司情况的说明 本企业最终控制方是梁伟。</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2、本企业的子公司情况" w:id="436"/>
      <w:bookmarkEnd w:id="436"/>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本企业子公司的情况详见附注九（一）在子公司中的权益。</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本企业合营和联营企业情况" w:id="437"/>
      <w:bookmarkEnd w:id="437"/>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本企业重要的合营或联营企业详见附注附注九（三）在合营安排或联营企业中的权益。</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438"/>
      <w:bookmarkEnd w:id="43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梁萍</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董事长、董事、股东、总经理</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董事、股东、高级管理人员</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34" w:type="dxa"/>
        <w:tblLayout w:type="fixed"/>
        <w:tblCellMar>
          <w:top w:w="0" w:type="dxa"/>
          <w:left w:w="0" w:type="dxa"/>
          <w:bottom w:w="0" w:type="dxa"/>
          <w:right w:w="0" w:type="dxa"/>
        </w:tblCellMar>
        <w:tblLook w:val="01E0"/>
      </w:tblPr>
      <w:tblGrid>
        <w:gridCol w:w="4797"/>
        <w:gridCol w:w="4786"/>
      </w:tblGrid>
      <w:tr>
        <w:trPr>
          <w:trHeight w:val="402" w:hRule="exact"/>
        </w:trPr>
        <w:tc>
          <w:tcPr>
            <w:tcW w:w="4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肖璇</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李秉成、施先旺</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聂金萍、黄海霞、李爱静</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李丹、廖琨</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r>
      <w:tr>
        <w:trPr>
          <w:trHeight w:val="402" w:hRule="exact"/>
        </w:trPr>
        <w:tc>
          <w:tcPr>
            <w:tcW w:w="4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岳萍芳</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实际控制人梁伟的配偶</w:t>
            </w:r>
          </w:p>
        </w:tc>
      </w:tr>
      <w:tr>
        <w:trPr>
          <w:trHeight w:val="402" w:hRule="exact"/>
        </w:trPr>
        <w:tc>
          <w:tcPr>
            <w:tcW w:w="4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梁芳</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实际控制人梁伟的姐姐</w:t>
            </w:r>
          </w:p>
        </w:tc>
      </w:tr>
      <w:tr>
        <w:trPr>
          <w:trHeight w:val="402" w:hRule="exact"/>
        </w:trPr>
        <w:tc>
          <w:tcPr>
            <w:tcW w:w="4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梁浩东</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实际控制人梁伟的儿子</w:t>
            </w:r>
          </w:p>
        </w:tc>
      </w:tr>
      <w:tr>
        <w:trPr>
          <w:trHeight w:val="714" w:hRule="exact"/>
        </w:trPr>
        <w:tc>
          <w:tcPr>
            <w:tcW w:w="4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武汉金运云智能网络有限公司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302"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实际控制人梁伟持股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、实际控制人梁伟的配偶岳萍芳持 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股权的公司</w:t>
            </w:r>
          </w:p>
        </w:tc>
      </w:tr>
      <w:tr>
        <w:trPr>
          <w:trHeight w:val="402" w:hRule="exact"/>
        </w:trPr>
        <w:tc>
          <w:tcPr>
            <w:tcW w:w="4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武汉金好运设备制造有限公司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实际控制人梁伟持股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的公司</w:t>
            </w:r>
          </w:p>
        </w:tc>
      </w:tr>
      <w:tr>
        <w:trPr>
          <w:trHeight w:val="402" w:hRule="exact"/>
        </w:trPr>
        <w:tc>
          <w:tcPr>
            <w:tcW w:w="4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发现定制网（武汉）科技股份有限公司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实际控制人梁伟的儿子梁浩东控制的公司</w:t>
            </w:r>
          </w:p>
        </w:tc>
      </w:tr>
      <w:tr>
        <w:trPr>
          <w:trHeight w:val="402" w:hRule="exact"/>
        </w:trPr>
        <w:tc>
          <w:tcPr>
            <w:tcW w:w="4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新余全盛通投资管理有限公司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梁芳控制的公司</w:t>
            </w:r>
          </w:p>
        </w:tc>
      </w:tr>
      <w:tr>
        <w:trPr>
          <w:trHeight w:val="402" w:hRule="exact"/>
        </w:trPr>
        <w:tc>
          <w:tcPr>
            <w:tcW w:w="4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落地创意（武汉）科技有限公司之子公司</w:t>
            </w:r>
          </w:p>
        </w:tc>
      </w:tr>
      <w:tr>
        <w:trPr>
          <w:trHeight w:val="402" w:hRule="exact"/>
        </w:trPr>
        <w:tc>
          <w:tcPr>
            <w:tcW w:w="4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意造（中山）三维科技有限公司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落地创意（武汉）科技有限公司之子公司</w:t>
            </w:r>
          </w:p>
        </w:tc>
      </w:tr>
      <w:tr>
        <w:trPr>
          <w:trHeight w:val="402" w:hRule="exact"/>
        </w:trPr>
        <w:tc>
          <w:tcPr>
            <w:tcW w:w="4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长沙落地创意文化传播有限公司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落地创意（武汉）科技有限公司之子公司</w:t>
            </w:r>
          </w:p>
        </w:tc>
      </w:tr>
      <w:tr>
        <w:trPr>
          <w:trHeight w:val="402" w:hRule="exact"/>
        </w:trPr>
        <w:tc>
          <w:tcPr>
            <w:tcW w:w="4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武汉金块链科技有限公司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实际控制人梁伟持股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的公司</w:t>
            </w:r>
          </w:p>
        </w:tc>
      </w:tr>
      <w:tr>
        <w:trPr>
          <w:trHeight w:val="402" w:hRule="exact"/>
        </w:trPr>
        <w:tc>
          <w:tcPr>
            <w:tcW w:w="4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玩偶一号（武汉）科技有限公司</w:t>
            </w:r>
          </w:p>
        </w:tc>
        <w:tc>
          <w:tcPr>
            <w:tcW w:w="4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实际控制人梁伟持股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w:t>
            </w:r>
            <w:r>
              <w:rPr>
                <w:rFonts w:ascii="宋体" w:hAnsi="宋体" w:cs="宋体" w:eastAsia="宋体" w:hint="default"/>
                <w:sz w:val="18"/>
                <w:szCs w:val="18"/>
              </w:rPr>
              <w:t>的公司</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5、关联交易情况" w:id="439"/>
      <w:bookmarkEnd w:id="43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440"/>
      <w:bookmarkEnd w:id="44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74"/>
        <w:gridCol w:w="1401"/>
        <w:gridCol w:w="1148"/>
        <w:gridCol w:w="1511"/>
        <w:gridCol w:w="1695"/>
        <w:gridCol w:w="1141"/>
      </w:tblGrid>
      <w:tr>
        <w:trPr>
          <w:trHeight w:val="402" w:hRule="exact"/>
        </w:trPr>
        <w:tc>
          <w:tcPr>
            <w:tcW w:w="26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14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185.05</w:t>
            </w:r>
          </w:p>
        </w:tc>
        <w:tc>
          <w:tcPr>
            <w:tcW w:w="1511"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9,353.03</w:t>
            </w:r>
          </w:p>
        </w:tc>
      </w:tr>
      <w:tr>
        <w:trPr>
          <w:trHeight w:val="402"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148"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5,448.75</w:t>
            </w:r>
          </w:p>
        </w:tc>
      </w:tr>
      <w:tr>
        <w:trPr>
          <w:trHeight w:val="714"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27" w:right="119"/>
              <w:jc w:val="left"/>
              <w:rPr>
                <w:rFonts w:ascii="宋体" w:hAnsi="宋体" w:cs="宋体" w:eastAsia="宋体" w:hint="default"/>
                <w:sz w:val="18"/>
                <w:szCs w:val="18"/>
              </w:rPr>
            </w:pPr>
            <w:r>
              <w:rPr>
                <w:rFonts w:ascii="宋体" w:hAnsi="宋体" w:cs="宋体" w:eastAsia="宋体" w:hint="default"/>
                <w:sz w:val="18"/>
                <w:szCs w:val="18"/>
              </w:rPr>
              <w:t>中山市古镇意造三维科技有限公 司</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148"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43,985.23</w:t>
            </w:r>
          </w:p>
        </w:tc>
      </w:tr>
      <w:tr>
        <w:trPr>
          <w:trHeight w:val="402"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玩偶一号（武汉）科技有限公司</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代理费用</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9,458.85</w:t>
            </w:r>
          </w:p>
        </w:tc>
        <w:tc>
          <w:tcPr>
            <w:tcW w:w="1511"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1"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9,643.90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58,787.01</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4"/>
        <w:gridCol w:w="1844"/>
        <w:gridCol w:w="2127"/>
        <w:gridCol w:w="2054"/>
      </w:tblGrid>
      <w:tr>
        <w:trPr>
          <w:trHeight w:val="402" w:hRule="exact"/>
        </w:trPr>
        <w:tc>
          <w:tcPr>
            <w:tcW w:w="354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5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发现定制网（武汉）科技股份有限公司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1,037,735.85</w:t>
            </w:r>
          </w:p>
        </w:tc>
      </w:tr>
      <w:tr>
        <w:trPr>
          <w:trHeight w:val="403" w:hRule="exact"/>
        </w:trPr>
        <w:tc>
          <w:tcPr>
            <w:tcW w:w="3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打印服务费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7,299.68</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434,107.83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558"/>
        <w:gridCol w:w="1844"/>
        <w:gridCol w:w="2127"/>
        <w:gridCol w:w="2054"/>
      </w:tblGrid>
      <w:tr>
        <w:trPr>
          <w:trHeight w:val="40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打印服务费</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66,891.53</w:t>
            </w:r>
          </w:p>
        </w:tc>
      </w:tr>
      <w:tr>
        <w:trPr>
          <w:trHeight w:val="40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意造（中山）三维科技有限公司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26,065.57</w:t>
            </w:r>
          </w:p>
        </w:tc>
      </w:tr>
      <w:tr>
        <w:trPr>
          <w:trHeight w:val="40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材料销售</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150,256.42</w:t>
            </w:r>
          </w:p>
        </w:tc>
      </w:tr>
      <w:tr>
        <w:trPr>
          <w:trHeight w:val="40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意造（中山）三维科技有限公司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材料销售</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11,273.51</w:t>
            </w:r>
          </w:p>
        </w:tc>
      </w:tr>
      <w:tr>
        <w:trPr>
          <w:trHeight w:val="40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扬州市金运环宇激光设备有限公司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材料销售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371,382.26</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1,417,090.55</w:t>
            </w:r>
          </w:p>
        </w:tc>
      </w:tr>
      <w:tr>
        <w:trPr>
          <w:trHeight w:val="40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处置固定资产</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5,698.06</w:t>
            </w:r>
          </w:p>
        </w:tc>
      </w:tr>
      <w:tr>
        <w:trPr>
          <w:trHeight w:val="714"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武汉高投金运激光产业投资基金合伙企业</w:t>
            </w:r>
          </w:p>
          <w:p>
            <w:pPr>
              <w:pStyle w:val="TableParagraph"/>
              <w:spacing w:line="240" w:lineRule="auto" w:before="77"/>
              <w:ind w:left="4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基金管理费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1,067,961.17</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1,478,175.73</w:t>
            </w:r>
          </w:p>
        </w:tc>
      </w:tr>
      <w:tr>
        <w:trPr>
          <w:trHeight w:val="40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玩偶一号（武汉）科技有限公司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891,121.64</w:t>
            </w:r>
          </w:p>
        </w:tc>
        <w:tc>
          <w:tcPr>
            <w:tcW w:w="205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2,337,764.75</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4,627,295.05</w:t>
            </w:r>
          </w:p>
        </w:tc>
      </w:tr>
    </w:tbl>
    <w:p>
      <w:pPr>
        <w:pStyle w:val="BodyText"/>
        <w:spacing w:line="240" w:lineRule="auto" w:before="51"/>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关联受托管理/承包及委托管理/出包情况" w:id="441"/>
      <w:bookmarkEnd w:id="441"/>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关联租赁情况" w:id="442"/>
      <w:bookmarkEnd w:id="442"/>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关联担保情况" w:id="443"/>
      <w:bookmarkEnd w:id="443"/>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关联方资金拆借" w:id="444"/>
      <w:bookmarkEnd w:id="444"/>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6）关联方资产转让、债务重组情况" w:id="445"/>
      <w:bookmarkEnd w:id="445"/>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7）关键管理人员报酬" w:id="446"/>
      <w:bookmarkEnd w:id="446"/>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1,217,122.00</w:t>
            </w:r>
          </w:p>
        </w:tc>
        <w:tc>
          <w:tcPr>
            <w:tcW w:w="31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942,716.00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其他关联交易" w:id="447"/>
      <w:bookmarkEnd w:id="447"/>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关联方应收应付款项" w:id="448"/>
      <w:bookmarkEnd w:id="44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449"/>
      <w:bookmarkEnd w:id="44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0"/>
        <w:gridCol w:w="2898"/>
        <w:gridCol w:w="1525"/>
        <w:gridCol w:w="1317"/>
        <w:gridCol w:w="1358"/>
        <w:gridCol w:w="1139"/>
      </w:tblGrid>
      <w:tr>
        <w:trPr>
          <w:trHeight w:val="402" w:hRule="exact"/>
        </w:trPr>
        <w:tc>
          <w:tcPr>
            <w:tcW w:w="1330"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97" w:type="dxa"/>
            <w:gridSpan w:val="2"/>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30" w:type="dxa"/>
            <w:vMerge/>
            <w:tcBorders>
              <w:left w:val="nil" w:sz="6" w:space="0" w:color="auto"/>
              <w:bottom w:val="single" w:sz="4" w:space="0" w:color="000000"/>
              <w:right w:val="single" w:sz="4" w:space="0" w:color="000000"/>
            </w:tcBorders>
            <w:shd w:val="clear" w:color="auto" w:fill="D2D2D2"/>
          </w:tcPr>
          <w:p>
            <w:pPr/>
          </w:p>
        </w:tc>
        <w:tc>
          <w:tcPr>
            <w:tcW w:w="2898"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9"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98"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330" w:type="dxa"/>
            <w:tcBorders>
              <w:top w:val="single" w:sz="4" w:space="0" w:color="000000"/>
              <w:left w:val="nil" w:sz="6" w:space="0" w:color="auto"/>
              <w:bottom w:val="single" w:sz="4" w:space="0" w:color="000000"/>
              <w:right w:val="single" w:sz="4" w:space="0" w:color="000000"/>
            </w:tcBorders>
          </w:tcPr>
          <w:p>
            <w:pP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1"/>
              <w:jc w:val="left"/>
              <w:rPr>
                <w:rFonts w:ascii="宋体" w:hAnsi="宋体" w:cs="宋体" w:eastAsia="宋体" w:hint="default"/>
                <w:sz w:val="18"/>
                <w:szCs w:val="18"/>
              </w:rPr>
            </w:pPr>
            <w:r>
              <w:rPr>
                <w:rFonts w:ascii="宋体" w:hAnsi="宋体" w:cs="宋体" w:eastAsia="宋体" w:hint="default"/>
                <w:spacing w:val="-3"/>
                <w:sz w:val="18"/>
                <w:szCs w:val="18"/>
              </w:rPr>
              <w:t>发现定制网（武汉）科技股份有限公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82" w:right="0"/>
              <w:jc w:val="left"/>
              <w:rPr>
                <w:rFonts w:ascii="Times New Roman" w:hAnsi="Times New Roman" w:cs="Times New Roman" w:eastAsia="Times New Roman" w:hint="default"/>
                <w:sz w:val="18"/>
                <w:szCs w:val="18"/>
              </w:rPr>
            </w:pPr>
            <w:r>
              <w:rPr>
                <w:rFonts w:ascii="Times New Roman"/>
                <w:sz w:val="18"/>
              </w:rPr>
              <w:t>954,242.00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143,136.30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4" w:right="0"/>
              <w:jc w:val="left"/>
              <w:rPr>
                <w:rFonts w:ascii="Times New Roman" w:hAnsi="Times New Roman" w:cs="Times New Roman" w:eastAsia="Times New Roman" w:hint="default"/>
                <w:sz w:val="18"/>
                <w:szCs w:val="18"/>
              </w:rPr>
            </w:pPr>
            <w:r>
              <w:rPr>
                <w:rFonts w:ascii="Times New Roman"/>
                <w:sz w:val="18"/>
              </w:rPr>
              <w:t>954,242.00</w:t>
            </w:r>
          </w:p>
        </w:tc>
        <w:tc>
          <w:tcPr>
            <w:tcW w:w="11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28,627.26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344"/>
        <w:gridCol w:w="2898"/>
        <w:gridCol w:w="1525"/>
        <w:gridCol w:w="1317"/>
        <w:gridCol w:w="1358"/>
        <w:gridCol w:w="1139"/>
      </w:tblGrid>
      <w:tr>
        <w:trPr>
          <w:trHeight w:val="402" w:hRule="exact"/>
        </w:trPr>
        <w:tc>
          <w:tcPr>
            <w:tcW w:w="1344" w:type="dxa"/>
            <w:tcBorders>
              <w:top w:val="single" w:sz="4" w:space="0" w:color="000000"/>
              <w:left w:val="nil" w:sz="6" w:space="0" w:color="auto"/>
              <w:bottom w:val="single" w:sz="4" w:space="0" w:color="000000"/>
              <w:right w:val="single" w:sz="4" w:space="0" w:color="000000"/>
            </w:tcBorders>
          </w:tcPr>
          <w:p>
            <w:pP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725,396.79</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725,396.79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721,194.95</w:t>
            </w:r>
          </w:p>
        </w:tc>
        <w:tc>
          <w:tcPr>
            <w:tcW w:w="11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721,194.95</w:t>
            </w:r>
          </w:p>
        </w:tc>
      </w:tr>
      <w:tr>
        <w:trPr>
          <w:trHeight w:val="402" w:hRule="exact"/>
        </w:trPr>
        <w:tc>
          <w:tcPr>
            <w:tcW w:w="1344" w:type="dxa"/>
            <w:tcBorders>
              <w:top w:val="single" w:sz="4" w:space="0" w:color="000000"/>
              <w:left w:val="nil" w:sz="6" w:space="0" w:color="auto"/>
              <w:bottom w:val="single" w:sz="4" w:space="0" w:color="000000"/>
              <w:right w:val="single" w:sz="4" w:space="0" w:color="000000"/>
            </w:tcBorders>
          </w:tcPr>
          <w:p>
            <w:pP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296,225.44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296,225.44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296,225.44</w:t>
            </w:r>
          </w:p>
        </w:tc>
        <w:tc>
          <w:tcPr>
            <w:tcW w:w="11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296,225.44</w:t>
            </w:r>
          </w:p>
        </w:tc>
      </w:tr>
      <w:tr>
        <w:trPr>
          <w:trHeight w:val="402" w:hRule="exact"/>
        </w:trPr>
        <w:tc>
          <w:tcPr>
            <w:tcW w:w="1344" w:type="dxa"/>
            <w:tcBorders>
              <w:top w:val="single" w:sz="4" w:space="0" w:color="000000"/>
              <w:left w:val="nil" w:sz="6" w:space="0" w:color="auto"/>
              <w:bottom w:val="single" w:sz="4" w:space="0" w:color="000000"/>
              <w:right w:val="single" w:sz="4" w:space="0" w:color="000000"/>
            </w:tcBorders>
          </w:tcPr>
          <w:p>
            <w:pP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扬州市金运环宇激光设备有限公司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735,127.60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64,681.14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994,827.60</w:t>
            </w:r>
          </w:p>
        </w:tc>
        <w:tc>
          <w:tcPr>
            <w:tcW w:w="11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29,844.83</w:t>
            </w:r>
          </w:p>
        </w:tc>
      </w:tr>
      <w:tr>
        <w:trPr>
          <w:trHeight w:val="402" w:hRule="exact"/>
        </w:trPr>
        <w:tc>
          <w:tcPr>
            <w:tcW w:w="1344" w:type="dxa"/>
            <w:tcBorders>
              <w:top w:val="single" w:sz="4" w:space="0" w:color="000000"/>
              <w:left w:val="nil" w:sz="6" w:space="0" w:color="auto"/>
              <w:bottom w:val="single" w:sz="4" w:space="0" w:color="000000"/>
              <w:right w:val="single" w:sz="4" w:space="0" w:color="000000"/>
            </w:tcBorders>
          </w:tcPr>
          <w:p>
            <w:pP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玩偶一号（武汉）科技有限公司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1,033,126.21</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30,993.79</w:t>
            </w:r>
          </w:p>
        </w:tc>
        <w:tc>
          <w:tcPr>
            <w:tcW w:w="1358"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98"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44" w:type="dxa"/>
            <w:tcBorders>
              <w:top w:val="single" w:sz="4" w:space="0" w:color="000000"/>
              <w:left w:val="nil" w:sz="6" w:space="0" w:color="auto"/>
              <w:bottom w:val="single" w:sz="4" w:space="0" w:color="000000"/>
              <w:right w:val="single" w:sz="4" w:space="0" w:color="000000"/>
            </w:tcBorders>
          </w:tcPr>
          <w:p>
            <w:pP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1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1344" w:type="dxa"/>
            <w:tcBorders>
              <w:top w:val="single" w:sz="4" w:space="0" w:color="000000"/>
              <w:left w:val="nil" w:sz="6" w:space="0" w:color="auto"/>
              <w:bottom w:val="single" w:sz="4" w:space="0" w:color="000000"/>
              <w:right w:val="single" w:sz="4" w:space="0" w:color="000000"/>
            </w:tcBorders>
          </w:tcPr>
          <w:p>
            <w:pP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4,361,169.40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4,361,169.40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4,361,169.40</w:t>
            </w:r>
          </w:p>
        </w:tc>
        <w:tc>
          <w:tcPr>
            <w:tcW w:w="11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4,361,169.40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项目" w:id="450"/>
      <w:bookmarkEnd w:id="45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728"/>
        <w:gridCol w:w="4538"/>
        <w:gridCol w:w="1702"/>
        <w:gridCol w:w="1727"/>
      </w:tblGrid>
      <w:tr>
        <w:trPr>
          <w:trHeight w:val="402" w:hRule="exact"/>
        </w:trPr>
        <w:tc>
          <w:tcPr>
            <w:tcW w:w="172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727"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53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28" w:type="dxa"/>
            <w:tcBorders>
              <w:top w:val="single" w:sz="4" w:space="0" w:color="000000"/>
              <w:left w:val="nil" w:sz="6" w:space="0" w:color="auto"/>
              <w:bottom w:val="single" w:sz="4" w:space="0" w:color="000000"/>
              <w:right w:val="single" w:sz="4" w:space="0" w:color="000000"/>
            </w:tcBorders>
          </w:tcPr>
          <w:p>
            <w:pP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56,362.27</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56,177.22</w:t>
            </w:r>
          </w:p>
        </w:tc>
      </w:tr>
      <w:tr>
        <w:trPr>
          <w:trHeight w:val="402"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3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728" w:type="dxa"/>
            <w:tcBorders>
              <w:top w:val="single" w:sz="4" w:space="0" w:color="000000"/>
              <w:left w:val="nil" w:sz="6" w:space="0" w:color="auto"/>
              <w:bottom w:val="single" w:sz="4" w:space="0" w:color="000000"/>
              <w:right w:val="single" w:sz="4" w:space="0" w:color="000000"/>
            </w:tcBorders>
          </w:tcPr>
          <w:p>
            <w:pP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武汉高投金运激光产业投资基金合伙企业（有限合伙）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1,449,315.00</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1,449,315.00</w:t>
            </w:r>
          </w:p>
        </w:tc>
      </w:tr>
      <w:tr>
        <w:trPr>
          <w:trHeight w:val="402" w:hRule="exact"/>
        </w:trPr>
        <w:tc>
          <w:tcPr>
            <w:tcW w:w="1728" w:type="dxa"/>
            <w:tcBorders>
              <w:top w:val="single" w:sz="4" w:space="0" w:color="000000"/>
              <w:left w:val="nil" w:sz="6" w:space="0" w:color="auto"/>
              <w:bottom w:val="single" w:sz="4" w:space="0" w:color="000000"/>
              <w:right w:val="single" w:sz="4" w:space="0" w:color="000000"/>
            </w:tcBorders>
          </w:tcPr>
          <w:p>
            <w:pPr/>
          </w:p>
        </w:tc>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玩偶一号（武汉）科技有限公司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9,458.85</w:t>
            </w:r>
          </w:p>
        </w:tc>
        <w:tc>
          <w:tcPr>
            <w:tcW w:w="1727"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7、关联方承诺" w:id="451"/>
      <w:bookmarkEnd w:id="45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52"/>
      <w:bookmarkEnd w:id="45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53"/>
      <w:bookmarkEnd w:id="453"/>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4"/>
      <w:bookmarkEnd w:id="45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以权益结算的股份支付情况" w:id="455"/>
      <w:bookmarkEnd w:id="45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以现金结算的股份支付情况" w:id="456"/>
      <w:bookmarkEnd w:id="45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4、股份支付的修改、终止情况" w:id="457"/>
      <w:bookmarkEnd w:id="457"/>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8022" w:firstLine="0"/>
        <w:jc w:val="left"/>
        <w:rPr>
          <w:rFonts w:ascii="宋体" w:hAnsi="宋体" w:cs="宋体" w:eastAsia="宋体" w:hint="default"/>
          <w:sz w:val="21"/>
          <w:szCs w:val="21"/>
        </w:rPr>
      </w:pPr>
      <w:bookmarkStart w:name="5、其他" w:id="458"/>
      <w:bookmarkEnd w:id="45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59"/>
      <w:bookmarkEnd w:id="45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60"/>
      <w:bookmarkEnd w:id="460"/>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8"/>
        <w:ind w:right="7512"/>
        <w:jc w:val="left"/>
      </w:pPr>
      <w:r>
        <w:rPr/>
        <w:t>资产负债表日存在的重要承诺 本公司不存在需要披露的重要承诺事项。</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或有事项" w:id="461"/>
      <w:bookmarkEnd w:id="46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462"/>
      <w:bookmarkEnd w:id="46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宋体" w:hAnsi="宋体" w:cs="宋体" w:eastAsia="宋体" w:hint="default"/>
        </w:rPr>
        <w:t>1.  </w:t>
      </w:r>
      <w:r>
        <w:rPr/>
        <w:t>未决诉讼或仲裁形成的或有事项及其财务影响</w:t>
      </w:r>
    </w:p>
    <w:p>
      <w:pPr>
        <w:spacing w:line="240" w:lineRule="auto" w:before="0"/>
        <w:rPr>
          <w:rFonts w:ascii="宋体" w:hAnsi="宋体" w:cs="宋体" w:eastAsia="宋体" w:hint="default"/>
          <w:sz w:val="5"/>
          <w:szCs w:val="5"/>
        </w:rPr>
      </w:pPr>
    </w:p>
    <w:tbl>
      <w:tblPr>
        <w:tblW w:w="0" w:type="auto"/>
        <w:jc w:val="left"/>
        <w:tblInd w:w="125" w:type="dxa"/>
        <w:tblLayout w:type="fixed"/>
        <w:tblCellMar>
          <w:top w:w="0" w:type="dxa"/>
          <w:left w:w="0" w:type="dxa"/>
          <w:bottom w:w="0" w:type="dxa"/>
          <w:right w:w="0" w:type="dxa"/>
        </w:tblCellMar>
        <w:tblLook w:val="01E0"/>
      </w:tblPr>
      <w:tblGrid>
        <w:gridCol w:w="1031"/>
        <w:gridCol w:w="1567"/>
        <w:gridCol w:w="1822"/>
        <w:gridCol w:w="2496"/>
        <w:gridCol w:w="1284"/>
        <w:gridCol w:w="1472"/>
      </w:tblGrid>
      <w:tr>
        <w:trPr>
          <w:trHeight w:val="342" w:hRule="exact"/>
        </w:trPr>
        <w:tc>
          <w:tcPr>
            <w:tcW w:w="1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7" w:right="0"/>
              <w:jc w:val="center"/>
              <w:rPr>
                <w:rFonts w:ascii="宋体" w:hAnsi="宋体" w:cs="宋体" w:eastAsia="宋体" w:hint="default"/>
                <w:sz w:val="18"/>
                <w:szCs w:val="18"/>
              </w:rPr>
            </w:pPr>
            <w:r>
              <w:rPr>
                <w:rFonts w:ascii="宋体" w:hAnsi="宋体" w:cs="宋体" w:eastAsia="宋体" w:hint="default"/>
                <w:sz w:val="18"/>
                <w:szCs w:val="18"/>
              </w:rPr>
              <w:t>原告</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8" w:right="0"/>
              <w:jc w:val="left"/>
              <w:rPr>
                <w:rFonts w:ascii="宋体" w:hAnsi="宋体" w:cs="宋体" w:eastAsia="宋体" w:hint="default"/>
                <w:sz w:val="18"/>
                <w:szCs w:val="18"/>
              </w:rPr>
            </w:pPr>
            <w:r>
              <w:rPr>
                <w:rFonts w:ascii="宋体" w:hAnsi="宋体" w:cs="宋体" w:eastAsia="宋体" w:hint="default"/>
                <w:sz w:val="18"/>
                <w:szCs w:val="18"/>
              </w:rPr>
              <w:t>被告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案由</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受理法院</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标的额</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案件进展情况</w:t>
            </w:r>
          </w:p>
        </w:tc>
      </w:tr>
      <w:tr>
        <w:trPr>
          <w:trHeight w:val="342" w:hRule="exact"/>
        </w:trPr>
        <w:tc>
          <w:tcPr>
            <w:tcW w:w="1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7"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合同纠纷</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广州番禺区人民法院</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153.40</w:t>
            </w:r>
            <w:r>
              <w:rPr>
                <w:rFonts w:ascii="宋体" w:hAnsi="宋体" w:cs="宋体" w:eastAsia="宋体" w:hint="default"/>
                <w:sz w:val="18"/>
                <w:szCs w:val="18"/>
              </w:rPr>
              <w:t>万元</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审理中</w:t>
            </w:r>
          </w:p>
        </w:tc>
      </w:tr>
      <w:tr>
        <w:trPr>
          <w:trHeight w:val="342" w:hRule="exact"/>
        </w:trPr>
        <w:tc>
          <w:tcPr>
            <w:tcW w:w="10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7"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合同纠纷</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武汉市东西湖区人民法院</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万元</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审理中</w:t>
            </w:r>
          </w:p>
        </w:tc>
      </w:tr>
    </w:tbl>
    <w:p>
      <w:pPr>
        <w:spacing w:line="240" w:lineRule="auto" w:before="8"/>
        <w:rPr>
          <w:rFonts w:ascii="宋体" w:hAnsi="宋体" w:cs="宋体" w:eastAsia="宋体" w:hint="default"/>
          <w:sz w:val="6"/>
          <w:szCs w:val="6"/>
        </w:rPr>
      </w:pPr>
    </w:p>
    <w:p>
      <w:pPr>
        <w:pStyle w:val="BodyText"/>
        <w:spacing w:line="240" w:lineRule="auto" w:before="44"/>
        <w:ind w:left="576" w:right="0"/>
        <w:jc w:val="left"/>
      </w:pPr>
      <w:r>
        <w:rPr/>
        <w:t>除存在上述或有事项外，截止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日，本公司无其他应披露未披露的重要或有事项。</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公司没有需要披露的重要或有事项，也应予以说明" w:id="463"/>
      <w:bookmarkEnd w:id="46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4" w:right="7602" w:firstLine="0"/>
        <w:jc w:val="left"/>
        <w:rPr>
          <w:rFonts w:ascii="宋体" w:hAnsi="宋体" w:cs="宋体" w:eastAsia="宋体" w:hint="default"/>
          <w:sz w:val="21"/>
          <w:szCs w:val="21"/>
        </w:rPr>
      </w:pPr>
      <w:bookmarkStart w:name="3、其他" w:id="464"/>
      <w:bookmarkEnd w:id="46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65"/>
      <w:bookmarkEnd w:id="46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66"/>
      <w:bookmarkEnd w:id="466"/>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4"/>
        <w:spacing w:line="240" w:lineRule="auto" w:before="83"/>
        <w:ind w:right="0"/>
        <w:jc w:val="left"/>
        <w:rPr>
          <w:b w:val="0"/>
          <w:bCs w:val="0"/>
        </w:rPr>
      </w:pPr>
      <w:bookmarkStart w:name="2、利润分配情况" w:id="467"/>
      <w:bookmarkEnd w:id="467"/>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756,000.00</w:t>
            </w:r>
          </w:p>
        </w:tc>
      </w:tr>
      <w:tr>
        <w:trPr>
          <w:trHeight w:val="402" w:hRule="exact"/>
        </w:trPr>
        <w:tc>
          <w:tcPr>
            <w:tcW w:w="49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756,000.00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销售退回" w:id="468"/>
      <w:bookmarkEnd w:id="468"/>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其他资产负债表日后事项说明" w:id="469"/>
      <w:bookmarkEnd w:id="469"/>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（一） 重要的非调整事项</w:t>
      </w:r>
    </w:p>
    <w:p>
      <w:pPr>
        <w:pStyle w:val="BodyText"/>
        <w:spacing w:line="240" w:lineRule="auto" w:before="117"/>
        <w:ind w:left="514"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重大承诺</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514" w:right="0"/>
        <w:jc w:val="left"/>
      </w:pPr>
      <w:r>
        <w:rPr/>
        <w:t>本公司于</w:t>
      </w:r>
      <w:r>
        <w:rPr>
          <w:spacing w:val="-46"/>
        </w:rPr>
        <w:t> </w:t>
      </w:r>
      <w:r>
        <w:rPr>
          <w:rFonts w:ascii="Times New Roman" w:hAnsi="Times New Roman" w:cs="Times New Roman" w:eastAsia="Times New Roman" w:hint="default"/>
        </w:rPr>
        <w:t>2019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r>
        <w:rPr>
          <w:spacing w:val="1"/>
        </w:rPr>
        <w:t>与</w:t>
      </w:r>
      <w:r>
        <w:rPr/>
        <w:t>武汉云智能网络有限公</w:t>
      </w:r>
      <w:r>
        <w:rPr>
          <w:spacing w:val="-33"/>
        </w:rPr>
        <w:t>司</w:t>
      </w:r>
      <w:r>
        <w:rPr/>
        <w:t>（以下简称</w:t>
      </w:r>
      <w:r>
        <w:rPr>
          <w:rFonts w:ascii="Times New Roman" w:hAnsi="Times New Roman" w:cs="Times New Roman" w:eastAsia="Times New Roman" w:hint="default"/>
          <w:spacing w:val="-1"/>
          <w:w w:val="100"/>
        </w:rPr>
        <w:t>“</w:t>
      </w:r>
      <w:r>
        <w:rPr/>
        <w:t>金运</w:t>
      </w:r>
      <w:r>
        <w:rPr>
          <w:spacing w:val="1"/>
        </w:rPr>
        <w:t>云</w:t>
      </w:r>
      <w:r>
        <w:rPr>
          <w:rFonts w:ascii="Times New Roman" w:hAnsi="Times New Roman" w:cs="Times New Roman" w:eastAsia="Times New Roman" w:hint="default"/>
          <w:w w:val="100"/>
        </w:rPr>
        <w:t>”</w:t>
      </w:r>
      <w:r>
        <w:rPr>
          <w:spacing w:val="-33"/>
        </w:rPr>
        <w:t>）</w:t>
      </w:r>
      <w:r>
        <w:rPr/>
        <w:t>签</w:t>
      </w:r>
      <w:r>
        <w:rPr>
          <w:spacing w:val="-33"/>
        </w:rPr>
        <w:t>订</w:t>
      </w:r>
      <w:r>
        <w:rPr/>
        <w:t>《合</w:t>
      </w:r>
      <w:r>
        <w:rPr>
          <w:spacing w:val="-2"/>
        </w:rPr>
        <w:t>作</w:t>
      </w:r>
      <w:r>
        <w:rPr/>
        <w:t>建房协议</w:t>
      </w:r>
      <w:r>
        <w:rPr>
          <w:spacing w:val="-123"/>
        </w:rPr>
        <w:t>》</w:t>
      </w:r>
      <w:r>
        <w:rPr/>
        <w:t>（以下简称</w:t>
      </w:r>
      <w:r>
        <w:rPr>
          <w:rFonts w:ascii="Times New Roman" w:hAnsi="Times New Roman" w:cs="Times New Roman" w:eastAsia="Times New Roman" w:hint="default"/>
          <w:spacing w:val="-1"/>
          <w:w w:val="100"/>
        </w:rPr>
        <w:t>“</w:t>
      </w:r>
      <w:r>
        <w:rPr/>
        <w:t>协议</w:t>
      </w:r>
      <w:r>
        <w:rPr>
          <w:rFonts w:ascii="Times New Roman" w:hAnsi="Times New Roman" w:cs="Times New Roman" w:eastAsia="Times New Roman" w:hint="default"/>
          <w:w w:val="100"/>
        </w:rPr>
        <w:t>”</w:t>
      </w:r>
      <w:r>
        <w:rPr>
          <w:spacing w:val="-90"/>
        </w:rPr>
        <w:t>），</w:t>
      </w:r>
      <w:r>
        <w:rPr/>
      </w:r>
    </w:p>
    <w:p>
      <w:pPr>
        <w:pStyle w:val="BodyText"/>
        <w:spacing w:line="338" w:lineRule="auto" w:before="64"/>
        <w:ind w:left="514" w:right="0" w:hanging="360"/>
        <w:jc w:val="left"/>
      </w:pPr>
      <w:r>
        <w:rPr/>
        <w:t>协议于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日由本公司履行了关联交易审批程序后正式生效。 </w:t>
      </w:r>
      <w:r>
        <w:rPr>
          <w:spacing w:val="-2"/>
        </w:rPr>
        <w:t>根据协议，双方在金运云拥有的位于黄陂区横店街川龙大道以西、后湖北路以北的一宗国有建设用地使用权的土地上合</w:t>
      </w:r>
    </w:p>
    <w:p>
      <w:pPr>
        <w:pStyle w:val="BodyText"/>
        <w:spacing w:line="309" w:lineRule="auto" w:before="2"/>
        <w:ind w:right="1132"/>
        <w:jc w:val="both"/>
      </w:pPr>
      <w:r>
        <w:rPr/>
        <w:t>作建房，用于建房的宗地面积为</w:t>
      </w:r>
      <w:r>
        <w:rPr>
          <w:spacing w:val="-60"/>
        </w:rPr>
        <w:t> </w:t>
      </w:r>
      <w:r>
        <w:rPr>
          <w:rFonts w:ascii="Times New Roman" w:hAnsi="Times New Roman" w:cs="Times New Roman" w:eastAsia="Times New Roman" w:hint="default"/>
        </w:rPr>
        <w:t>12,200.23</w:t>
      </w:r>
      <w:r>
        <w:rPr>
          <w:rFonts w:ascii="Times New Roman" w:hAnsi="Times New Roman" w:cs="Times New Roman" w:eastAsia="Times New Roman" w:hint="default"/>
          <w:spacing w:val="-15"/>
        </w:rPr>
        <w:t> </w:t>
      </w:r>
      <w:r>
        <w:rPr>
          <w:spacing w:val="-3"/>
        </w:rPr>
        <w:t>平方米，建筑面积为</w:t>
      </w:r>
      <w:r>
        <w:rPr>
          <w:spacing w:val="-60"/>
        </w:rPr>
        <w:t> </w:t>
      </w:r>
      <w:r>
        <w:rPr>
          <w:rFonts w:ascii="Times New Roman" w:hAnsi="Times New Roman" w:cs="Times New Roman" w:eastAsia="Times New Roman" w:hint="default"/>
        </w:rPr>
        <w:t>14,305.92</w:t>
      </w:r>
      <w:r>
        <w:rPr>
          <w:rFonts w:ascii="Times New Roman" w:hAnsi="Times New Roman" w:cs="Times New Roman" w:eastAsia="Times New Roman" w:hint="default"/>
          <w:spacing w:val="-15"/>
        </w:rPr>
        <w:t> </w:t>
      </w:r>
      <w:r>
        <w:rPr/>
        <w:t>平方米，由本公司负责建造，并承担建造房屋过程 </w:t>
      </w:r>
      <w:r>
        <w:rPr>
          <w:spacing w:val="-2"/>
        </w:rPr>
        <w:t>中的设计、施工、材料、垃圾清运费，建设、购买房屋附属设施的费用，办理消防（二次）等验收的政府规费、税费，办理</w:t>
      </w:r>
      <w:r>
        <w:rPr>
          <w:spacing w:val="-71"/>
        </w:rPr>
        <w:t> </w:t>
      </w:r>
      <w:r>
        <w:rPr>
          <w:spacing w:val="-71"/>
        </w:rPr>
      </w:r>
      <w:r>
        <w:rPr/>
        <w:t>前述手续过程中的人员工资、交通、伙食等，建造预算为</w:t>
      </w:r>
      <w:r>
        <w:rPr>
          <w:spacing w:val="-45"/>
        </w:rPr>
        <w:t> </w:t>
      </w:r>
      <w:r>
        <w:rPr>
          <w:rFonts w:ascii="Times New Roman" w:hAnsi="Times New Roman" w:cs="Times New Roman" w:eastAsia="Times New Roman" w:hint="default"/>
        </w:rPr>
        <w:t>1,200</w:t>
      </w:r>
      <w:r>
        <w:rPr>
          <w:rFonts w:ascii="Times New Roman" w:hAnsi="Times New Roman" w:cs="Times New Roman" w:eastAsia="Times New Roman" w:hint="default"/>
          <w:spacing w:val="-1"/>
        </w:rPr>
        <w:t> </w:t>
      </w:r>
      <w:r>
        <w:rPr/>
        <w:t>万元。</w:t>
      </w:r>
    </w:p>
    <w:p>
      <w:pPr>
        <w:pStyle w:val="BodyText"/>
        <w:spacing w:line="304" w:lineRule="auto" w:before="44"/>
        <w:ind w:right="1032" w:firstLine="360"/>
        <w:jc w:val="left"/>
      </w:pPr>
      <w:r>
        <w:rPr/>
        <w:t>标的厂房交付后</w:t>
      </w:r>
      <w:r>
        <w:rPr>
          <w:spacing w:val="-67"/>
        </w:rPr>
        <w:t> </w:t>
      </w:r>
      <w:r>
        <w:rPr>
          <w:rFonts w:ascii="Times New Roman" w:hAnsi="Times New Roman" w:cs="Times New Roman" w:eastAsia="Times New Roman" w:hint="default"/>
        </w:rPr>
        <w:t>120</w:t>
      </w:r>
      <w:r>
        <w:rPr>
          <w:rFonts w:ascii="Times New Roman" w:hAnsi="Times New Roman" w:cs="Times New Roman" w:eastAsia="Times New Roman" w:hint="default"/>
          <w:spacing w:val="-22"/>
        </w:rPr>
        <w:t> </w:t>
      </w:r>
      <w:r>
        <w:rPr/>
        <w:t>个月协议期满终止；在协议期满前，本公司占有并使用标的厂房，包括自用、控股或参股公司使用 等，金运云不得占用或者使用标的厂房，也不得单方面处置该房屋，包括不得单方面转让、设定抵押权等；在协议期满后， </w:t>
      </w:r>
      <w:r>
        <w:rPr>
          <w:spacing w:val="-4"/>
        </w:rPr>
        <w:t>经双方协商一致另行签订协定，通过以下两种方式之一终止协议：（</w:t>
      </w:r>
      <w:r>
        <w:rPr>
          <w:rFonts w:ascii="Times New Roman" w:hAnsi="Times New Roman" w:cs="Times New Roman" w:eastAsia="Times New Roman" w:hint="default"/>
          <w:spacing w:val="-4"/>
        </w:rPr>
        <w:t>1</w:t>
      </w:r>
      <w:r>
        <w:rPr>
          <w:spacing w:val="-4"/>
        </w:rPr>
        <w:t>）由本公司向金运云支付土地出让金、相关费用及财务</w:t>
      </w:r>
      <w:r>
        <w:rPr>
          <w:spacing w:val="-44"/>
        </w:rPr>
        <w:t> </w:t>
      </w:r>
      <w:r>
        <w:rPr>
          <w:spacing w:val="-44"/>
        </w:rPr>
      </w:r>
      <w:r>
        <w:rPr>
          <w:spacing w:val="-2"/>
        </w:rPr>
        <w:t>成本获取土地使用权；（</w:t>
      </w:r>
      <w:r>
        <w:rPr>
          <w:rFonts w:ascii="Times New Roman" w:hAnsi="Times New Roman" w:cs="Times New Roman" w:eastAsia="Times New Roman" w:hint="default"/>
          <w:spacing w:val="-2"/>
        </w:rPr>
        <w:t>2</w:t>
      </w:r>
      <w:r>
        <w:rPr>
          <w:spacing w:val="-2"/>
        </w:rPr>
        <w:t>）由本公司向金运云移交厂房，同时金运云支付原由本公司在建造厂房时承担的费用及财务成本，</w:t>
      </w:r>
      <w:r>
        <w:rPr>
          <w:spacing w:val="-70"/>
        </w:rPr>
        <w:t> </w:t>
      </w:r>
      <w:r>
        <w:rPr/>
        <w:t>可扣除自标的厂房竣工验收之日起计算至本公司实际交付之日止本公司应承担的房租（人民币 </w:t>
      </w:r>
      <w:r>
        <w:rPr>
          <w:rFonts w:ascii="Times New Roman" w:hAnsi="Times New Roman" w:cs="Times New Roman" w:eastAsia="Times New Roman" w:hint="default"/>
        </w:rPr>
        <w:t>15</w:t>
      </w:r>
      <w:r>
        <w:rPr>
          <w:rFonts w:ascii="Times New Roman" w:hAnsi="Times New Roman" w:cs="Times New Roman" w:eastAsia="Times New Roman" w:hint="default"/>
          <w:spacing w:val="41"/>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月）及未拆除 的房屋装修和设备的账面折旧。</w:t>
      </w:r>
    </w:p>
    <w:p>
      <w:pPr>
        <w:pStyle w:val="BodyText"/>
        <w:spacing w:line="240" w:lineRule="auto" w:before="67"/>
        <w:ind w:left="514" w:right="0"/>
        <w:jc w:val="left"/>
      </w:pPr>
      <w:r>
        <w:rPr/>
        <w:t>（二）利润分配情况</w:t>
      </w:r>
    </w:p>
    <w:p>
      <w:pPr>
        <w:spacing w:line="240" w:lineRule="auto" w:before="13"/>
        <w:rPr>
          <w:rFonts w:ascii="宋体" w:hAnsi="宋体" w:cs="宋体" w:eastAsia="宋体" w:hint="default"/>
          <w:sz w:val="7"/>
          <w:szCs w:val="7"/>
        </w:rPr>
      </w:pPr>
    </w:p>
    <w:tbl>
      <w:tblPr>
        <w:tblW w:w="0" w:type="auto"/>
        <w:jc w:val="left"/>
        <w:tblInd w:w="134" w:type="dxa"/>
        <w:tblLayout w:type="fixed"/>
        <w:tblCellMar>
          <w:top w:w="0" w:type="dxa"/>
          <w:left w:w="0" w:type="dxa"/>
          <w:bottom w:w="0" w:type="dxa"/>
          <w:right w:w="0" w:type="dxa"/>
        </w:tblCellMar>
        <w:tblLook w:val="01E0"/>
      </w:tblPr>
      <w:tblGrid>
        <w:gridCol w:w="4231"/>
        <w:gridCol w:w="4152"/>
      </w:tblGrid>
      <w:tr>
        <w:trPr>
          <w:trHeight w:val="422" w:hRule="exact"/>
        </w:trPr>
        <w:tc>
          <w:tcPr>
            <w:tcW w:w="4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384"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366" w:right="0"/>
              <w:jc w:val="left"/>
              <w:rPr>
                <w:rFonts w:ascii="Times New Roman" w:hAnsi="Times New Roman" w:cs="Times New Roman" w:eastAsia="Times New Roman" w:hint="default"/>
                <w:sz w:val="18"/>
                <w:szCs w:val="18"/>
              </w:rPr>
            </w:pPr>
            <w:r>
              <w:rPr>
                <w:rFonts w:ascii="Times New Roman"/>
                <w:sz w:val="18"/>
              </w:rPr>
              <w:t>756,000.00</w:t>
            </w:r>
          </w:p>
        </w:tc>
      </w:tr>
      <w:tr>
        <w:trPr>
          <w:trHeight w:val="422" w:hRule="exact"/>
        </w:trPr>
        <w:tc>
          <w:tcPr>
            <w:tcW w:w="4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384"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366" w:right="0"/>
              <w:jc w:val="left"/>
              <w:rPr>
                <w:rFonts w:ascii="Times New Roman" w:hAnsi="Times New Roman" w:cs="Times New Roman" w:eastAsia="Times New Roman" w:hint="default"/>
                <w:sz w:val="18"/>
                <w:szCs w:val="18"/>
              </w:rPr>
            </w:pPr>
            <w:r>
              <w:rPr>
                <w:rFonts w:ascii="Times New Roman"/>
                <w:sz w:val="18"/>
              </w:rPr>
              <w:t>756,000.00</w:t>
            </w:r>
          </w:p>
        </w:tc>
      </w:tr>
    </w:tbl>
    <w:p>
      <w:pPr>
        <w:pStyle w:val="BodyText"/>
        <w:spacing w:line="240" w:lineRule="auto" w:before="51"/>
        <w:ind w:left="0" w:right="1132"/>
        <w:jc w:val="right"/>
        <w:rPr>
          <w:rFonts w:ascii="Times New Roman" w:hAnsi="Times New Roman" w:cs="Times New Roman" w:eastAsia="Times New Roman" w:hint="default"/>
        </w:rPr>
      </w:pPr>
      <w:r>
        <w:rPr/>
        <w:t>本公司于</w:t>
      </w:r>
      <w:r>
        <w:rPr>
          <w:spacing w:val="-46"/>
        </w:rPr>
        <w:t> </w:t>
      </w:r>
      <w:r>
        <w:rPr>
          <w:rFonts w:ascii="Times New Roman" w:hAnsi="Times New Roman" w:cs="Times New Roman" w:eastAsia="Times New Roman" w:hint="default"/>
        </w:rPr>
        <w:t>2019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w:t>
      </w:r>
      <w:r>
        <w:rPr>
          <w:spacing w:val="1"/>
        </w:rPr>
        <w:t>召</w:t>
      </w:r>
      <w:r>
        <w:rPr/>
        <w:t>开第四届董事会第六次会议</w:t>
      </w:r>
      <w:r>
        <w:rPr>
          <w:spacing w:val="-87"/>
        </w:rPr>
        <w:t>，</w:t>
      </w:r>
      <w:r>
        <w:rPr/>
        <w:t>会议决议通过</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年度利润分配预案</w:t>
      </w:r>
      <w:r>
        <w:rPr>
          <w:spacing w:val="-87"/>
        </w:rPr>
        <w:t>：</w:t>
      </w:r>
      <w:r>
        <w:rPr/>
        <w:t>以现有总股本</w:t>
      </w:r>
      <w:r>
        <w:rPr>
          <w:spacing w:val="-46"/>
        </w:rPr>
        <w:t> </w:t>
      </w:r>
      <w:r>
        <w:rPr>
          <w:rFonts w:ascii="Times New Roman" w:hAnsi="Times New Roman" w:cs="Times New Roman" w:eastAsia="Times New Roman" w:hint="default"/>
        </w:rPr>
        <w:t>12,6</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40" w:lineRule="auto" w:before="63"/>
        <w:ind w:right="0"/>
        <w:jc w:val="left"/>
      </w:pPr>
      <w:r>
        <w:rPr/>
        <w:t>万股为基数，向全体股东每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46"/>
        </w:rPr>
        <w:t> </w:t>
      </w:r>
      <w:r>
        <w:rPr>
          <w:rFonts w:ascii="Times New Roman" w:hAnsi="Times New Roman" w:cs="Times New Roman" w:eastAsia="Times New Roman" w:hint="default"/>
        </w:rPr>
        <w:t>0.06 </w:t>
      </w:r>
      <w:r>
        <w:rPr/>
        <w:t>元（含税</w:t>
      </w:r>
      <w:r>
        <w:rPr>
          <w:spacing w:val="-90"/>
        </w:rPr>
        <w:t>）</w:t>
      </w:r>
      <w:r>
        <w:rPr/>
        <w:t>，合计派发现金红利人民币</w:t>
      </w:r>
      <w:r>
        <w:rPr>
          <w:spacing w:val="-46"/>
        </w:rPr>
        <w:t> </w:t>
      </w:r>
      <w:r>
        <w:rPr>
          <w:rFonts w:ascii="Times New Roman" w:hAnsi="Times New Roman" w:cs="Times New Roman" w:eastAsia="Times New Roman" w:hint="default"/>
        </w:rPr>
        <w:t>756,000.00</w:t>
      </w:r>
      <w:r>
        <w:rPr>
          <w:rFonts w:ascii="Times New Roman" w:hAnsi="Times New Roman" w:cs="Times New Roman" w:eastAsia="Times New Roman" w:hint="default"/>
          <w:spacing w:val="-1"/>
        </w:rPr>
        <w:t> </w:t>
      </w:r>
      <w:r>
        <w:rPr/>
        <w:t>元（含税</w:t>
      </w:r>
      <w:r>
        <w:rPr>
          <w:spacing w:val="-90"/>
        </w:rPr>
        <w:t>）</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left="514" w:right="0"/>
        <w:jc w:val="left"/>
      </w:pPr>
      <w:r>
        <w:rPr/>
        <w:t>（三）除上述事项外，本公司无其他需披露的重大资产负债表日后事项。</w:t>
      </w:r>
    </w:p>
    <w:p>
      <w:pPr>
        <w:spacing w:line="240" w:lineRule="auto" w:before="0"/>
        <w:rPr>
          <w:rFonts w:ascii="宋体" w:hAnsi="宋体" w:cs="宋体" w:eastAsia="宋体" w:hint="default"/>
          <w:sz w:val="25"/>
          <w:szCs w:val="25"/>
        </w:rPr>
      </w:pPr>
    </w:p>
    <w:p>
      <w:pPr>
        <w:pStyle w:val="Heading3"/>
        <w:spacing w:line="240" w:lineRule="auto"/>
        <w:ind w:right="0"/>
        <w:jc w:val="left"/>
        <w:rPr>
          <w:b w:val="0"/>
          <w:bCs w:val="0"/>
        </w:rPr>
      </w:pPr>
      <w:bookmarkStart w:name="十六、其他重要事项" w:id="470"/>
      <w:bookmarkEnd w:id="470"/>
      <w:r>
        <w:rPr>
          <w:b w:val="0"/>
          <w:bCs w:val="0"/>
        </w:rPr>
      </w:r>
      <w:r>
        <w:rPr/>
        <w:t>十六、其他重要事项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十七、母公司财务报表主要项目注释" w:id="471"/>
      <w:bookmarkEnd w:id="471"/>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及应收账款" w:id="472"/>
      <w:bookmarkEnd w:id="472"/>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322,400.00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42,325,622.24</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39,754,355.10</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42,367,622.24</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40,076,755.10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473"/>
      <w:bookmarkEnd w:id="473"/>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322,400.00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80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322,400.00</w:t>
            </w:r>
          </w:p>
        </w:tc>
      </w:tr>
    </w:tbl>
    <w:p>
      <w:pPr>
        <w:spacing w:line="240" w:lineRule="auto" w:before="2"/>
        <w:rPr>
          <w:rFonts w:ascii="宋体" w:hAnsi="宋体" w:cs="宋体" w:eastAsia="宋体" w:hint="default"/>
          <w:sz w:val="19"/>
          <w:szCs w:val="19"/>
        </w:rPr>
      </w:pPr>
    </w:p>
    <w:p>
      <w:pPr>
        <w:pStyle w:val="Heading4"/>
        <w:spacing w:line="240" w:lineRule="auto" w:before="35"/>
        <w:ind w:left="814" w:right="8328"/>
        <w:jc w:val="left"/>
        <w:rPr>
          <w:b w:val="0"/>
          <w:bCs w:val="0"/>
        </w:rPr>
      </w:pPr>
      <w:bookmarkStart w:name="（2）应收账款" w:id="474"/>
      <w:bookmarkEnd w:id="474"/>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814" w:right="8328"/>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251"/>
        <w:gridCol w:w="1146"/>
        <w:gridCol w:w="708"/>
        <w:gridCol w:w="1134"/>
        <w:gridCol w:w="710"/>
        <w:gridCol w:w="1220"/>
        <w:gridCol w:w="1190"/>
        <w:gridCol w:w="708"/>
        <w:gridCol w:w="1134"/>
        <w:gridCol w:w="708"/>
        <w:gridCol w:w="1121"/>
      </w:tblGrid>
      <w:tr>
        <w:trPr>
          <w:trHeight w:val="397" w:hRule="exact"/>
        </w:trPr>
        <w:tc>
          <w:tcPr>
            <w:tcW w:w="1251" w:type="dxa"/>
            <w:vMerge w:val="restart"/>
            <w:tcBorders>
              <w:top w:val="single" w:sz="4" w:space="0" w:color="000000"/>
              <w:left w:val="nil" w:sz="6" w:space="0" w:color="auto"/>
              <w:right w:val="single" w:sz="4" w:space="0" w:color="000000"/>
            </w:tcBorders>
            <w:shd w:val="clear" w:color="auto" w:fill="D2D2D2"/>
          </w:tcPr>
          <w:p>
            <w:pPr/>
          </w:p>
        </w:tc>
        <w:tc>
          <w:tcPr>
            <w:tcW w:w="49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61" w:type="dxa"/>
            <w:gridSpan w:val="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251" w:type="dxa"/>
            <w:vMerge/>
            <w:tcBorders>
              <w:left w:val="nil" w:sz="6" w:space="0" w:color="auto"/>
              <w:bottom w:val="nil" w:sz="6" w:space="0" w:color="auto"/>
              <w:right w:val="single" w:sz="4" w:space="0" w:color="000000"/>
            </w:tcBorders>
            <w:shd w:val="clear" w:color="auto" w:fill="D2D2D2"/>
          </w:tcPr>
          <w:p>
            <w:pPr/>
          </w:p>
        </w:tc>
        <w:tc>
          <w:tcPr>
            <w:tcW w:w="18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8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21" w:type="dxa"/>
            <w:vMerge w:val="restart"/>
            <w:tcBorders>
              <w:top w:val="single" w:sz="4" w:space="0" w:color="000000"/>
              <w:left w:val="single" w:sz="4" w:space="0" w:color="000000"/>
              <w:right w:val="nil" w:sz="6" w:space="0" w:color="auto"/>
            </w:tcBorders>
            <w:shd w:val="clear" w:color="auto" w:fill="D2D2D2"/>
          </w:tcPr>
          <w:p>
            <w:pPr/>
          </w:p>
        </w:tc>
      </w:tr>
      <w:tr>
        <w:trPr>
          <w:trHeight w:val="241" w:hRule="exact"/>
        </w:trPr>
        <w:tc>
          <w:tcPr>
            <w:tcW w:w="1251"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54" w:type="dxa"/>
            <w:gridSpan w:val="2"/>
            <w:vMerge/>
            <w:tcBorders>
              <w:left w:val="single" w:sz="4" w:space="0" w:color="000000"/>
              <w:bottom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899" w:type="dxa"/>
            <w:gridSpan w:val="2"/>
            <w:vMerge/>
            <w:tcBorders>
              <w:left w:val="single" w:sz="4" w:space="0" w:color="000000"/>
              <w:bottom w:val="single" w:sz="4" w:space="0" w:color="000000"/>
              <w:right w:val="single" w:sz="4" w:space="0" w:color="000000"/>
            </w:tcBorders>
            <w:shd w:val="clear" w:color="auto" w:fill="D2D2D2"/>
          </w:tcPr>
          <w:p>
            <w:pPr/>
          </w:p>
        </w:tc>
        <w:tc>
          <w:tcPr>
            <w:tcW w:w="1842" w:type="dxa"/>
            <w:gridSpan w:val="2"/>
            <w:vMerge/>
            <w:tcBorders>
              <w:left w:val="single" w:sz="4" w:space="0" w:color="000000"/>
              <w:bottom w:val="single" w:sz="4" w:space="0" w:color="000000"/>
              <w:right w:val="single" w:sz="4" w:space="0" w:color="000000"/>
            </w:tcBorders>
            <w:shd w:val="clear" w:color="auto" w:fill="D2D2D2"/>
          </w:tcPr>
          <w:p>
            <w:pPr/>
          </w:p>
        </w:tc>
        <w:tc>
          <w:tcPr>
            <w:tcW w:w="1121" w:type="dxa"/>
            <w:vMerge/>
            <w:tcBorders>
              <w:left w:val="single" w:sz="4" w:space="0" w:color="000000"/>
              <w:bottom w:val="nil" w:sz="6" w:space="0" w:color="auto"/>
              <w:right w:val="nil" w:sz="6" w:space="0" w:color="auto"/>
            </w:tcBorders>
            <w:shd w:val="clear" w:color="auto" w:fill="D2D2D2"/>
          </w:tcPr>
          <w:p>
            <w:pPr/>
          </w:p>
        </w:tc>
      </w:tr>
      <w:tr>
        <w:trPr>
          <w:trHeight w:val="161" w:hRule="exact"/>
        </w:trPr>
        <w:tc>
          <w:tcPr>
            <w:tcW w:w="1251" w:type="dxa"/>
            <w:vMerge/>
            <w:tcBorders>
              <w:left w:val="nil" w:sz="6" w:space="0" w:color="auto"/>
              <w:bottom w:val="nil" w:sz="6" w:space="0" w:color="auto"/>
              <w:right w:val="single" w:sz="4" w:space="0" w:color="000000"/>
            </w:tcBorders>
            <w:shd w:val="clear" w:color="auto" w:fill="D2D2D2"/>
          </w:tcPr>
          <w:p>
            <w:pPr/>
          </w:p>
        </w:tc>
        <w:tc>
          <w:tcPr>
            <w:tcW w:w="114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60" w:right="77"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4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59" w:right="7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21"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251" w:type="dxa"/>
            <w:vMerge w:val="restart"/>
            <w:tcBorders>
              <w:top w:val="nil" w:sz="6" w:space="0" w:color="auto"/>
              <w:left w:val="nil" w:sz="6" w:space="0" w:color="auto"/>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1121" w:type="dxa"/>
            <w:vMerge/>
            <w:tcBorders>
              <w:left w:val="single" w:sz="4" w:space="0" w:color="000000"/>
              <w:bottom w:val="nil" w:sz="6" w:space="0" w:color="auto"/>
              <w:right w:val="nil" w:sz="6" w:space="0" w:color="auto"/>
            </w:tcBorders>
            <w:shd w:val="clear" w:color="auto" w:fill="D2D2D2"/>
          </w:tcPr>
          <w:p>
            <w:pPr/>
          </w:p>
        </w:tc>
      </w:tr>
      <w:tr>
        <w:trPr>
          <w:trHeight w:val="200" w:hRule="exact"/>
        </w:trPr>
        <w:tc>
          <w:tcPr>
            <w:tcW w:w="1251" w:type="dxa"/>
            <w:vMerge/>
            <w:tcBorders>
              <w:left w:val="nil" w:sz="6" w:space="0" w:color="auto"/>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21"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251" w:type="dxa"/>
            <w:vMerge/>
            <w:tcBorders>
              <w:left w:val="nil" w:sz="6" w:space="0" w:color="auto"/>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21" w:type="dxa"/>
            <w:vMerge/>
            <w:tcBorders>
              <w:left w:val="single" w:sz="4" w:space="0" w:color="000000"/>
              <w:bottom w:val="single" w:sz="4" w:space="0" w:color="000000"/>
              <w:right w:val="nil" w:sz="6" w:space="0" w:color="auto"/>
            </w:tcBorders>
            <w:shd w:val="clear" w:color="auto" w:fill="D2D2D2"/>
          </w:tcPr>
          <w:p>
            <w:pPr/>
          </w:p>
        </w:tc>
      </w:tr>
      <w:tr>
        <w:trPr>
          <w:trHeight w:val="1338" w:hRule="exact"/>
        </w:trPr>
        <w:tc>
          <w:tcPr>
            <w:tcW w:w="12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50"/>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账准备的应收 账款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50,853,558.57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8,527,936.33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42,325,622.24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47,541,502.29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7,787,147.19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16.38%</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39,754,355.10</w:t>
            </w:r>
          </w:p>
        </w:tc>
      </w:tr>
      <w:tr>
        <w:trPr>
          <w:trHeight w:val="1338" w:hRule="exact"/>
        </w:trPr>
        <w:tc>
          <w:tcPr>
            <w:tcW w:w="12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50"/>
              <w:jc w:val="both"/>
              <w:rPr>
                <w:rFonts w:ascii="宋体" w:hAnsi="宋体" w:cs="宋体" w:eastAsia="宋体" w:hint="default"/>
                <w:sz w:val="18"/>
                <w:szCs w:val="18"/>
              </w:rPr>
            </w:pPr>
            <w:r>
              <w:rPr>
                <w:rFonts w:ascii="宋体" w:hAnsi="宋体" w:cs="宋体" w:eastAsia="宋体" w:hint="default"/>
                <w:sz w:val="18"/>
                <w:szCs w:val="18"/>
              </w:rPr>
              <w:t>单项金额不重 大但单独计提 坏账准备的应 收账款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596,442.23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596,442.23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592,240.39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592,240.39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2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25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51,450,000.80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9,124,378.56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42,325,622.24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48,133,742.68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8,379,387.58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17.41%</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39,754,355.10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320" w:right="0"/>
        </w:sectPr>
      </w:pPr>
    </w:p>
    <w:p>
      <w:pPr>
        <w:pStyle w:val="BodyText"/>
        <w:spacing w:line="240" w:lineRule="auto" w:before="51"/>
        <w:ind w:left="814" w:right="-20"/>
        <w:jc w:val="left"/>
      </w:pPr>
      <w:r>
        <w:rPr/>
        <w:t>期末单项金额重大并单项计提坏账准备的应收账款：</w:t>
      </w:r>
    </w:p>
    <w:p>
      <w:pPr>
        <w:pStyle w:val="BodyText"/>
        <w:spacing w:line="338" w:lineRule="auto" w:before="117"/>
        <w:ind w:left="814"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left="8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813" w:right="0"/>
        <w:jc w:val="left"/>
      </w:pPr>
      <w:r>
        <w:rPr/>
        <w:t>单位： 元</w:t>
      </w:r>
    </w:p>
    <w:p>
      <w:pPr>
        <w:spacing w:after="0" w:line="240" w:lineRule="auto"/>
        <w:jc w:val="left"/>
        <w:sectPr>
          <w:type w:val="continuous"/>
          <w:pgSz w:w="11910" w:h="16840"/>
          <w:pgMar w:top="1060" w:bottom="1160" w:left="320" w:right="0"/>
          <w:cols w:num="2" w:equalWidth="0">
            <w:col w:w="4955" w:space="3875"/>
            <w:col w:w="2760"/>
          </w:cols>
        </w:sectPr>
      </w:pPr>
    </w:p>
    <w:p>
      <w:pPr>
        <w:spacing w:line="240" w:lineRule="auto" w:before="0"/>
        <w:rPr>
          <w:rFonts w:ascii="宋体" w:hAnsi="宋体" w:cs="宋体" w:eastAsia="宋体" w:hint="default"/>
          <w:sz w:val="8"/>
          <w:szCs w:val="8"/>
        </w:rPr>
      </w:pPr>
    </w:p>
    <w:tbl>
      <w:tblPr>
        <w:tblW w:w="0" w:type="auto"/>
        <w:jc w:val="left"/>
        <w:tblInd w:w="823" w:type="dxa"/>
        <w:tblLayout w:type="fixed"/>
        <w:tblCellMar>
          <w:top w:w="0" w:type="dxa"/>
          <w:left w:w="0" w:type="dxa"/>
          <w:bottom w:w="0" w:type="dxa"/>
          <w:right w:w="0" w:type="dxa"/>
        </w:tblCellMar>
        <w:tblLook w:val="01E0"/>
      </w:tblPr>
      <w:tblGrid>
        <w:gridCol w:w="2474"/>
        <w:gridCol w:w="2301"/>
        <w:gridCol w:w="2390"/>
        <w:gridCol w:w="2376"/>
      </w:tblGrid>
      <w:tr>
        <w:trPr>
          <w:trHeight w:val="206" w:hRule="exact"/>
        </w:trPr>
        <w:tc>
          <w:tcPr>
            <w:tcW w:w="2474" w:type="dxa"/>
            <w:tcBorders>
              <w:top w:val="single" w:sz="4" w:space="0" w:color="000000"/>
              <w:left w:val="nil" w:sz="6" w:space="0" w:color="auto"/>
              <w:bottom w:val="nil" w:sz="6" w:space="0" w:color="auto"/>
              <w:right w:val="single" w:sz="4" w:space="0" w:color="000000"/>
            </w:tcBorders>
            <w:shd w:val="clear" w:color="auto" w:fill="D2D2D2"/>
          </w:tcPr>
          <w:p>
            <w:pPr/>
          </w:p>
        </w:tc>
        <w:tc>
          <w:tcPr>
            <w:tcW w:w="7067"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4"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067" w:type="dxa"/>
            <w:gridSpan w:val="3"/>
            <w:vMerge/>
            <w:tcBorders>
              <w:left w:val="single" w:sz="4" w:space="0" w:color="000000"/>
              <w:bottom w:val="single" w:sz="4" w:space="0" w:color="000000"/>
              <w:right w:val="nil" w:sz="6" w:space="0" w:color="auto"/>
            </w:tcBorders>
            <w:shd w:val="clear" w:color="auto" w:fill="D2D2D2"/>
          </w:tcPr>
          <w:p>
            <w:pPr/>
          </w:p>
        </w:tc>
      </w:tr>
      <w:tr>
        <w:trPr>
          <w:trHeight w:val="196" w:hRule="exact"/>
        </w:trPr>
        <w:tc>
          <w:tcPr>
            <w:tcW w:w="2474" w:type="dxa"/>
            <w:vMerge/>
            <w:tcBorders>
              <w:left w:val="nil" w:sz="6" w:space="0" w:color="auto"/>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6"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4" w:type="dxa"/>
            <w:tcBorders>
              <w:top w:val="nil" w:sz="6" w:space="0" w:color="auto"/>
              <w:left w:val="nil" w:sz="6" w:space="0" w:color="auto"/>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76" w:type="dxa"/>
            <w:vMerge/>
            <w:tcBorders>
              <w:left w:val="single" w:sz="4" w:space="0" w:color="000000"/>
              <w:bottom w:val="single" w:sz="4" w:space="0" w:color="000000"/>
              <w:right w:val="nil" w:sz="6" w:space="0" w:color="auto"/>
            </w:tcBorders>
            <w:shd w:val="clear" w:color="auto" w:fill="D2D2D2"/>
          </w:tcPr>
          <w:p>
            <w:pPr/>
          </w:p>
        </w:tc>
      </w:tr>
      <w:tr>
        <w:trPr>
          <w:trHeight w:val="396" w:hRule="exact"/>
        </w:trPr>
        <w:tc>
          <w:tcPr>
            <w:tcW w:w="9541" w:type="dxa"/>
            <w:gridSpan w:val="4"/>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9,567,466.82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287,024.01</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3,029,214.28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454,382.14</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4,144,455.18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2,072,227.59</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5,714,302.59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5,714,302.59</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7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22,455,438.87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8,527,936.33</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37.98%</w:t>
            </w:r>
          </w:p>
        </w:tc>
      </w:tr>
    </w:tbl>
    <w:p>
      <w:pPr>
        <w:pStyle w:val="BodyText"/>
        <w:spacing w:line="357" w:lineRule="auto" w:before="51"/>
        <w:ind w:left="814" w:right="6432"/>
        <w:jc w:val="left"/>
      </w:pPr>
      <w:r>
        <w:rPr/>
        <w:t>确定该组合依据的说明： 组合中，采用余额百分比法计提坏账准备的应收账款：</w:t>
      </w:r>
    </w:p>
    <w:p>
      <w:pPr>
        <w:pStyle w:val="BodyText"/>
        <w:spacing w:line="338" w:lineRule="auto" w:before="29"/>
        <w:ind w:left="814"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121"/>
        <w:ind w:left="814" w:right="0"/>
        <w:jc w:val="left"/>
      </w:pPr>
      <w:r>
        <w:rPr>
          <w:rFonts w:ascii="宋体" w:hAnsi="宋体" w:cs="宋体" w:eastAsia="宋体" w:hint="default"/>
        </w:rPr>
        <w:t>1.  </w:t>
      </w:r>
      <w:r>
        <w:rPr/>
        <w:t>组合中，采用无风险及关联方法计提坏账准备的应收账款</w:t>
      </w:r>
    </w:p>
    <w:p>
      <w:pPr>
        <w:spacing w:line="240" w:lineRule="auto" w:before="0"/>
        <w:rPr>
          <w:rFonts w:ascii="宋体" w:hAnsi="宋体" w:cs="宋体" w:eastAsia="宋体" w:hint="default"/>
          <w:sz w:val="5"/>
          <w:szCs w:val="5"/>
        </w:rPr>
      </w:pPr>
    </w:p>
    <w:tbl>
      <w:tblPr>
        <w:tblW w:w="0" w:type="auto"/>
        <w:jc w:val="left"/>
        <w:tblInd w:w="804" w:type="dxa"/>
        <w:tblLayout w:type="fixed"/>
        <w:tblCellMar>
          <w:top w:w="0" w:type="dxa"/>
          <w:left w:w="0" w:type="dxa"/>
          <w:bottom w:w="0" w:type="dxa"/>
          <w:right w:w="0" w:type="dxa"/>
        </w:tblCellMar>
        <w:tblLook w:val="01E0"/>
      </w:tblPr>
      <w:tblGrid>
        <w:gridCol w:w="2825"/>
        <w:gridCol w:w="6834"/>
      </w:tblGrid>
      <w:tr>
        <w:trPr>
          <w:trHeight w:val="342"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type w:val="continuous"/>
          <w:pgSz w:w="11910" w:h="16840"/>
          <w:pgMar w:top="1060" w:bottom="1160" w:left="320" w:right="0"/>
        </w:sectPr>
      </w:pPr>
    </w:p>
    <w:p>
      <w:pPr>
        <w:spacing w:line="240" w:lineRule="auto" w:before="6"/>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2840"/>
        <w:gridCol w:w="2225"/>
        <w:gridCol w:w="1429"/>
        <w:gridCol w:w="1271"/>
        <w:gridCol w:w="1908"/>
      </w:tblGrid>
      <w:tr>
        <w:trPr>
          <w:trHeight w:val="342" w:hRule="exact"/>
        </w:trPr>
        <w:tc>
          <w:tcPr>
            <w:tcW w:w="2840" w:type="dxa"/>
            <w:tcBorders>
              <w:top w:val="single" w:sz="4" w:space="0" w:color="000000"/>
              <w:left w:val="nil" w:sz="6" w:space="0" w:color="auto"/>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23,296,331.60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金运产业发展</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2,746,899.84</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1,217,028.00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上海金萃</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1,137,860.26</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28,398,119.70</w:t>
            </w:r>
            <w:r>
              <w:rPr>
                <w:rFonts w:ascii="Times New Roman"/>
                <w:spacing w:val="-1"/>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8"/>
        <w:rPr>
          <w:rFonts w:ascii="宋体" w:hAnsi="宋体" w:cs="宋体" w:eastAsia="宋体" w:hint="default"/>
          <w:sz w:val="6"/>
          <w:szCs w:val="6"/>
        </w:rPr>
      </w:pPr>
    </w:p>
    <w:p>
      <w:pPr>
        <w:pStyle w:val="BodyText"/>
        <w:spacing w:line="240" w:lineRule="auto" w:before="44"/>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期末单项金额虽不重大但单独计提坏账准备的应收账款</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3173"/>
        <w:gridCol w:w="1594"/>
        <w:gridCol w:w="1847"/>
        <w:gridCol w:w="894"/>
        <w:gridCol w:w="2150"/>
      </w:tblGrid>
      <w:tr>
        <w:trPr>
          <w:trHeight w:val="342" w:hRule="exact"/>
        </w:trPr>
        <w:tc>
          <w:tcPr>
            <w:tcW w:w="3173" w:type="dxa"/>
            <w:vMerge w:val="restart"/>
            <w:tcBorders>
              <w:top w:val="single" w:sz="4" w:space="0" w:color="000000"/>
              <w:left w:val="nil" w:sz="6" w:space="0" w:color="auto"/>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48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3173" w:type="dxa"/>
            <w:vMerge/>
            <w:tcBorders>
              <w:left w:val="nil" w:sz="6" w:space="0" w:color="auto"/>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落地创意（武汉）科技有限公司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300,216.79</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300,216.79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5" w:right="0"/>
              <w:jc w:val="left"/>
              <w:rPr>
                <w:rFonts w:ascii="Times New Roman" w:hAnsi="Times New Roman" w:cs="Times New Roman" w:eastAsia="Times New Roman" w:hint="default"/>
                <w:sz w:val="18"/>
                <w:szCs w:val="18"/>
              </w:rPr>
            </w:pPr>
            <w:r>
              <w:rPr>
                <w:rFonts w:ascii="Times New Roman"/>
                <w:sz w:val="18"/>
              </w:rPr>
              <w:t>100.00</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2"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武汉记梦馆三维科技有限公司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296,225.44</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296,225.44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5" w:right="0"/>
              <w:jc w:val="left"/>
              <w:rPr>
                <w:rFonts w:ascii="Times New Roman" w:hAnsi="Times New Roman" w:cs="Times New Roman" w:eastAsia="Times New Roman" w:hint="default"/>
                <w:sz w:val="18"/>
                <w:szCs w:val="18"/>
              </w:rPr>
            </w:pPr>
            <w:r>
              <w:rPr>
                <w:rFonts w:ascii="Times New Roman"/>
                <w:sz w:val="18"/>
              </w:rPr>
              <w:t>100.00</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3"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z w:val="18"/>
              </w:rPr>
              <w:t>596,442.23</w:t>
            </w:r>
            <w:r>
              <w:rPr>
                <w:rFonts w:ascii="Times New Roman"/>
                <w:sz w:val="18"/>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596,442.23</w:t>
            </w:r>
            <w:r>
              <w:rPr>
                <w:rFonts w:ascii="Times New Roman"/>
                <w:sz w:val="18"/>
              </w:rPr>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95"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pStyle w:val="BodyText"/>
        <w:spacing w:line="240" w:lineRule="auto" w:before="51"/>
        <w:ind w:right="0"/>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0"/>
        <w:jc w:val="left"/>
      </w:pPr>
      <w:r>
        <w:rPr/>
        <w:t>本期计提坏账准备金额</w:t>
      </w:r>
      <w:r>
        <w:rPr>
          <w:spacing w:val="-46"/>
        </w:rPr>
        <w:t> </w:t>
      </w:r>
      <w:r>
        <w:rPr>
          <w:rFonts w:ascii="Times New Roman" w:hAnsi="Times New Roman" w:cs="Times New Roman" w:eastAsia="Times New Roman" w:hint="default"/>
        </w:rPr>
        <w:t>744,990.98</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3855"/>
        <w:gridCol w:w="1777"/>
        <w:gridCol w:w="1776"/>
        <w:gridCol w:w="2264"/>
      </w:tblGrid>
      <w:tr>
        <w:trPr>
          <w:trHeight w:val="654" w:hRule="exact"/>
        </w:trPr>
        <w:tc>
          <w:tcPr>
            <w:tcW w:w="3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77" w:right="71" w:hanging="40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 的比例</w:t>
            </w:r>
            <w:r>
              <w:rPr>
                <w:rFonts w:ascii="Times New Roman" w:hAnsi="Times New Roman" w:cs="Times New Roman" w:eastAsia="Times New Roman" w:hint="default"/>
                <w:sz w:val="18"/>
                <w:szCs w:val="18"/>
              </w:rPr>
              <w:t>(%)</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497"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2" w:hRule="exact"/>
        </w:trPr>
        <w:tc>
          <w:tcPr>
            <w:tcW w:w="3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23,296,331.60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2"/>
              <w:jc w:val="right"/>
              <w:rPr>
                <w:rFonts w:ascii="Times New Roman" w:hAnsi="Times New Roman" w:cs="Times New Roman" w:eastAsia="Times New Roman" w:hint="default"/>
                <w:sz w:val="18"/>
                <w:szCs w:val="18"/>
              </w:rPr>
            </w:pPr>
            <w:r>
              <w:rPr>
                <w:rFonts w:ascii="Times New Roman"/>
                <w:sz w:val="18"/>
              </w:rPr>
              <w:t>45.28</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42" w:hRule="exact"/>
        </w:trPr>
        <w:tc>
          <w:tcPr>
            <w:tcW w:w="3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2,746,899.84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2"/>
              <w:jc w:val="right"/>
              <w:rPr>
                <w:rFonts w:ascii="Times New Roman" w:hAnsi="Times New Roman" w:cs="Times New Roman" w:eastAsia="Times New Roman" w:hint="default"/>
                <w:sz w:val="18"/>
                <w:szCs w:val="18"/>
              </w:rPr>
            </w:pPr>
            <w:r>
              <w:rPr>
                <w:rFonts w:ascii="Times New Roman"/>
                <w:sz w:val="18"/>
              </w:rPr>
              <w:t>5.34</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42" w:hRule="exact"/>
        </w:trPr>
        <w:tc>
          <w:tcPr>
            <w:tcW w:w="3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2,360,000.00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2"/>
              <w:jc w:val="right"/>
              <w:rPr>
                <w:rFonts w:ascii="Times New Roman" w:hAnsi="Times New Roman" w:cs="Times New Roman" w:eastAsia="Times New Roman" w:hint="default"/>
                <w:sz w:val="18"/>
                <w:szCs w:val="18"/>
              </w:rPr>
            </w:pPr>
            <w:r>
              <w:rPr>
                <w:rFonts w:ascii="Times New Roman"/>
                <w:sz w:val="18"/>
              </w:rPr>
              <w:t>4.59</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1,180,000.00</w:t>
            </w:r>
          </w:p>
        </w:tc>
      </w:tr>
      <w:tr>
        <w:trPr>
          <w:trHeight w:val="342" w:hRule="exact"/>
        </w:trPr>
        <w:tc>
          <w:tcPr>
            <w:tcW w:w="3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1,534,000.00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2"/>
              <w:jc w:val="right"/>
              <w:rPr>
                <w:rFonts w:ascii="Times New Roman" w:hAnsi="Times New Roman" w:cs="Times New Roman" w:eastAsia="Times New Roman" w:hint="default"/>
                <w:sz w:val="18"/>
                <w:szCs w:val="18"/>
              </w:rPr>
            </w:pPr>
            <w:r>
              <w:rPr>
                <w:rFonts w:ascii="Times New Roman"/>
                <w:sz w:val="18"/>
              </w:rPr>
              <w:t>2.98</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1,534,000.00</w:t>
            </w:r>
          </w:p>
        </w:tc>
      </w:tr>
      <w:tr>
        <w:trPr>
          <w:trHeight w:val="342" w:hRule="exact"/>
        </w:trPr>
        <w:tc>
          <w:tcPr>
            <w:tcW w:w="3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1,461,535.47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2"/>
              <w:jc w:val="right"/>
              <w:rPr>
                <w:rFonts w:ascii="Times New Roman" w:hAnsi="Times New Roman" w:cs="Times New Roman" w:eastAsia="Times New Roman" w:hint="default"/>
                <w:sz w:val="18"/>
                <w:szCs w:val="18"/>
              </w:rPr>
            </w:pPr>
            <w:r>
              <w:rPr>
                <w:rFonts w:ascii="Times New Roman"/>
                <w:sz w:val="18"/>
              </w:rPr>
              <w:t>2.84</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43,846.06</w:t>
            </w:r>
          </w:p>
        </w:tc>
      </w:tr>
      <w:tr>
        <w:trPr>
          <w:trHeight w:val="342" w:hRule="exact"/>
        </w:trPr>
        <w:tc>
          <w:tcPr>
            <w:tcW w:w="3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31,398,766.91</w:t>
            </w:r>
            <w:r>
              <w:rPr>
                <w:rFonts w:ascii="Times New Roman"/>
                <w:spacing w:val="-1"/>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22"/>
              <w:jc w:val="right"/>
              <w:rPr>
                <w:rFonts w:ascii="Times New Roman" w:hAnsi="Times New Roman" w:cs="Times New Roman" w:eastAsia="Times New Roman" w:hint="default"/>
                <w:sz w:val="18"/>
                <w:szCs w:val="18"/>
              </w:rPr>
            </w:pPr>
            <w:r>
              <w:rPr>
                <w:rFonts w:ascii="Times New Roman"/>
                <w:b/>
                <w:sz w:val="18"/>
              </w:rPr>
              <w:t>61.03</w:t>
            </w:r>
            <w:r>
              <w:rPr>
                <w:rFonts w:ascii="Times New Roman"/>
                <w:sz w:val="18"/>
              </w:rPr>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b/>
                <w:spacing w:val="-1"/>
                <w:sz w:val="18"/>
              </w:rPr>
              <w:t>2,757,846.06</w:t>
            </w:r>
            <w:r>
              <w:rPr>
                <w:rFonts w:ascii="Times New Roman"/>
                <w:spacing w:val="-1"/>
                <w:sz w:val="18"/>
              </w:rPr>
            </w: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其他应收款" w:id="475"/>
      <w:bookmarkEnd w:id="47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3" w:type="dxa"/>
        <w:tblLayout w:type="fixed"/>
        <w:tblCellMar>
          <w:top w:w="0" w:type="dxa"/>
          <w:left w:w="0" w:type="dxa"/>
          <w:bottom w:w="0" w:type="dxa"/>
          <w:right w:w="0" w:type="dxa"/>
        </w:tblCellMar>
        <w:tblLook w:val="01E0"/>
      </w:tblPr>
      <w:tblGrid>
        <w:gridCol w:w="3164"/>
        <w:gridCol w:w="3202"/>
        <w:gridCol w:w="3176"/>
      </w:tblGrid>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28,790,663.38</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25,211,613.03</w:t>
            </w:r>
          </w:p>
        </w:tc>
      </w:tr>
      <w:tr>
        <w:trPr>
          <w:trHeight w:val="402" w:hRule="exact"/>
        </w:trPr>
        <w:tc>
          <w:tcPr>
            <w:tcW w:w="316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28,790,663.38</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25,211,613.03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954" w:right="0"/>
        <w:jc w:val="left"/>
        <w:rPr>
          <w:b w:val="0"/>
          <w:bCs w:val="0"/>
        </w:rPr>
      </w:pPr>
      <w:bookmarkStart w:name="（1）应收利息" w:id="476"/>
      <w:bookmarkEnd w:id="47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954" w:right="0"/>
        <w:jc w:val="left"/>
        <w:rPr>
          <w:b w:val="0"/>
          <w:bCs w:val="0"/>
        </w:rPr>
      </w:pPr>
      <w:bookmarkStart w:name="（2）应收股利" w:id="477"/>
      <w:bookmarkEnd w:id="47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954" w:right="0"/>
        <w:jc w:val="left"/>
        <w:rPr>
          <w:b w:val="0"/>
          <w:bCs w:val="0"/>
        </w:rPr>
      </w:pPr>
      <w:bookmarkStart w:name="（3）其他应收款" w:id="478"/>
      <w:bookmarkEnd w:id="47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954"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1393"/>
        <w:gridCol w:w="1146"/>
        <w:gridCol w:w="708"/>
        <w:gridCol w:w="1134"/>
        <w:gridCol w:w="852"/>
        <w:gridCol w:w="1274"/>
        <w:gridCol w:w="1134"/>
        <w:gridCol w:w="710"/>
        <w:gridCol w:w="1134"/>
        <w:gridCol w:w="709"/>
        <w:gridCol w:w="1120"/>
      </w:tblGrid>
      <w:tr>
        <w:trPr>
          <w:trHeight w:val="397" w:hRule="exact"/>
        </w:trPr>
        <w:tc>
          <w:tcPr>
            <w:tcW w:w="1393" w:type="dxa"/>
            <w:vMerge w:val="restart"/>
            <w:tcBorders>
              <w:top w:val="single" w:sz="4" w:space="0" w:color="000000"/>
              <w:left w:val="nil" w:sz="6" w:space="0" w:color="auto"/>
              <w:right w:val="single" w:sz="4" w:space="0" w:color="000000"/>
            </w:tcBorders>
            <w:shd w:val="clear" w:color="auto" w:fill="D2D2D2"/>
          </w:tcPr>
          <w:p>
            <w:pPr/>
          </w:p>
        </w:tc>
        <w:tc>
          <w:tcPr>
            <w:tcW w:w="511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07" w:type="dxa"/>
            <w:gridSpan w:val="5"/>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393" w:type="dxa"/>
            <w:vMerge/>
            <w:tcBorders>
              <w:left w:val="nil" w:sz="6" w:space="0" w:color="auto"/>
              <w:bottom w:val="nil" w:sz="6" w:space="0" w:color="auto"/>
              <w:right w:val="single" w:sz="4" w:space="0" w:color="000000"/>
            </w:tcBorders>
            <w:shd w:val="clear" w:color="auto" w:fill="D2D2D2"/>
          </w:tcPr>
          <w:p>
            <w:pPr/>
          </w:p>
        </w:tc>
        <w:tc>
          <w:tcPr>
            <w:tcW w:w="18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20" w:type="dxa"/>
            <w:vMerge w:val="restart"/>
            <w:tcBorders>
              <w:top w:val="single" w:sz="4" w:space="0" w:color="000000"/>
              <w:left w:val="single" w:sz="4" w:space="0" w:color="000000"/>
              <w:right w:val="nil" w:sz="6" w:space="0" w:color="auto"/>
            </w:tcBorders>
            <w:shd w:val="clear" w:color="auto" w:fill="D2D2D2"/>
          </w:tcPr>
          <w:p>
            <w:pPr/>
          </w:p>
        </w:tc>
      </w:tr>
      <w:tr>
        <w:trPr>
          <w:trHeight w:val="241" w:hRule="exact"/>
        </w:trPr>
        <w:tc>
          <w:tcPr>
            <w:tcW w:w="1393"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54" w:type="dxa"/>
            <w:gridSpan w:val="2"/>
            <w:vMerge/>
            <w:tcBorders>
              <w:left w:val="single" w:sz="4" w:space="0" w:color="000000"/>
              <w:bottom w:val="single" w:sz="4" w:space="0" w:color="000000"/>
              <w:right w:val="single" w:sz="4" w:space="0" w:color="000000"/>
            </w:tcBorders>
            <w:shd w:val="clear" w:color="auto" w:fill="D2D2D2"/>
          </w:tcPr>
          <w:p>
            <w:pPr/>
          </w:p>
        </w:tc>
        <w:tc>
          <w:tcPr>
            <w:tcW w:w="1986" w:type="dxa"/>
            <w:gridSpan w:val="2"/>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843" w:type="dxa"/>
            <w:gridSpan w:val="2"/>
            <w:vMerge/>
            <w:tcBorders>
              <w:left w:val="single" w:sz="4" w:space="0" w:color="000000"/>
              <w:bottom w:val="single" w:sz="4" w:space="0" w:color="000000"/>
              <w:right w:val="single" w:sz="4" w:space="0" w:color="000000"/>
            </w:tcBorders>
            <w:shd w:val="clear" w:color="auto" w:fill="D2D2D2"/>
          </w:tcPr>
          <w:p>
            <w:pPr/>
          </w:p>
        </w:tc>
        <w:tc>
          <w:tcPr>
            <w:tcW w:w="1120" w:type="dxa"/>
            <w:vMerge/>
            <w:tcBorders>
              <w:left w:val="single" w:sz="4" w:space="0" w:color="000000"/>
              <w:bottom w:val="nil" w:sz="6" w:space="0" w:color="auto"/>
              <w:right w:val="nil" w:sz="6" w:space="0" w:color="auto"/>
            </w:tcBorders>
            <w:shd w:val="clear" w:color="auto" w:fill="D2D2D2"/>
          </w:tcPr>
          <w:p>
            <w:pPr/>
          </w:p>
        </w:tc>
      </w:tr>
      <w:tr>
        <w:trPr>
          <w:trHeight w:val="161" w:hRule="exact"/>
        </w:trPr>
        <w:tc>
          <w:tcPr>
            <w:tcW w:w="1393" w:type="dxa"/>
            <w:vMerge/>
            <w:tcBorders>
              <w:left w:val="nil" w:sz="6" w:space="0" w:color="auto"/>
              <w:bottom w:val="nil" w:sz="6" w:space="0" w:color="auto"/>
              <w:right w:val="single" w:sz="4" w:space="0" w:color="000000"/>
            </w:tcBorders>
            <w:shd w:val="clear" w:color="auto" w:fill="D2D2D2"/>
          </w:tcPr>
          <w:p>
            <w:pPr/>
          </w:p>
        </w:tc>
        <w:tc>
          <w:tcPr>
            <w:tcW w:w="114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20" w:type="dxa"/>
            <w:vMerge w:val="restart"/>
            <w:tcBorders>
              <w:top w:val="nil" w:sz="6" w:space="0" w:color="auto"/>
              <w:left w:val="single" w:sz="4" w:space="0" w:color="000000"/>
              <w:right w:val="nil" w:sz="6" w:space="0" w:color="auto"/>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393" w:type="dxa"/>
            <w:vMerge w:val="restart"/>
            <w:tcBorders>
              <w:top w:val="nil" w:sz="6" w:space="0" w:color="auto"/>
              <w:left w:val="nil" w:sz="6" w:space="0" w:color="auto"/>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74"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tcBorders>
              <w:left w:val="single" w:sz="4" w:space="0" w:color="000000"/>
              <w:right w:val="single" w:sz="4" w:space="0" w:color="000000"/>
            </w:tcBorders>
            <w:shd w:val="clear" w:color="auto" w:fill="D2D2D2"/>
          </w:tcPr>
          <w:p>
            <w:pPr/>
          </w:p>
        </w:tc>
        <w:tc>
          <w:tcPr>
            <w:tcW w:w="1120" w:type="dxa"/>
            <w:vMerge/>
            <w:tcBorders>
              <w:left w:val="single" w:sz="4" w:space="0" w:color="000000"/>
              <w:bottom w:val="nil" w:sz="6" w:space="0" w:color="auto"/>
              <w:right w:val="nil" w:sz="6" w:space="0" w:color="auto"/>
            </w:tcBorders>
            <w:shd w:val="clear" w:color="auto" w:fill="D2D2D2"/>
          </w:tcPr>
          <w:p>
            <w:pPr/>
          </w:p>
        </w:tc>
      </w:tr>
      <w:tr>
        <w:trPr>
          <w:trHeight w:val="202" w:hRule="exact"/>
        </w:trPr>
        <w:tc>
          <w:tcPr>
            <w:tcW w:w="1393" w:type="dxa"/>
            <w:vMerge/>
            <w:tcBorders>
              <w:left w:val="nil" w:sz="6" w:space="0" w:color="auto"/>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20" w:type="dxa"/>
            <w:vMerge w:val="restart"/>
            <w:tcBorders>
              <w:top w:val="nil" w:sz="6" w:space="0" w:color="auto"/>
              <w:left w:val="single" w:sz="4" w:space="0" w:color="000000"/>
              <w:right w:val="nil" w:sz="6" w:space="0" w:color="auto"/>
            </w:tcBorders>
            <w:shd w:val="clear" w:color="auto" w:fill="D2D2D2"/>
          </w:tcPr>
          <w:p>
            <w:pPr/>
          </w:p>
        </w:tc>
      </w:tr>
      <w:tr>
        <w:trPr>
          <w:trHeight w:val="161" w:hRule="exact"/>
        </w:trPr>
        <w:tc>
          <w:tcPr>
            <w:tcW w:w="1393" w:type="dxa"/>
            <w:vMerge/>
            <w:tcBorders>
              <w:left w:val="nil" w:sz="6" w:space="0" w:color="auto"/>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120" w:type="dxa"/>
            <w:vMerge/>
            <w:tcBorders>
              <w:left w:val="single" w:sz="4" w:space="0" w:color="000000"/>
              <w:bottom w:val="single" w:sz="4" w:space="0" w:color="000000"/>
              <w:right w:val="nil" w:sz="6" w:space="0" w:color="auto"/>
            </w:tcBorders>
            <w:shd w:val="clear" w:color="auto" w:fill="D2D2D2"/>
          </w:tcPr>
          <w:p>
            <w:pPr/>
          </w:p>
        </w:tc>
      </w:tr>
      <w:tr>
        <w:trPr>
          <w:trHeight w:val="1026" w:hRule="exact"/>
        </w:trPr>
        <w:tc>
          <w:tcPr>
            <w:tcW w:w="1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12"/>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备的其他应收款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4,111,169.40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4,111,169.40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4,111,169.40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4,111,169.40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20"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1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12"/>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32,779,621.39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3,988,958.01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28,790,663.38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29,225,330.73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4,013,717.70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13.73%</w:t>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25,211,613.03</w:t>
            </w:r>
          </w:p>
        </w:tc>
      </w:tr>
      <w:tr>
        <w:trPr>
          <w:trHeight w:val="1338" w:hRule="exact"/>
        </w:trPr>
        <w:tc>
          <w:tcPr>
            <w:tcW w:w="1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51"/>
              <w:ind w:left="13" w:right="112"/>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 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2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39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37,390,790.79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8,600,127.41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28,790,663.38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33,836,500.13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8,624,887.10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25.49%</w:t>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25,211,613.03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80" w:right="0"/>
        </w:sectPr>
      </w:pPr>
    </w:p>
    <w:p>
      <w:pPr>
        <w:pStyle w:val="BodyText"/>
        <w:spacing w:line="240" w:lineRule="auto" w:before="51"/>
        <w:ind w:left="954" w:right="-20"/>
        <w:jc w:val="left"/>
      </w:pPr>
      <w:r>
        <w:rPr/>
        <w:t>期末单项金额重大并单项计提坏账准备的其他应收款：</w:t>
      </w:r>
    </w:p>
    <w:p>
      <w:pPr>
        <w:pStyle w:val="BodyText"/>
        <w:spacing w:line="240" w:lineRule="auto" w:before="117"/>
        <w:ind w:left="9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953" w:right="0"/>
        <w:jc w:val="left"/>
      </w:pPr>
      <w:r>
        <w:rPr/>
        <w:t>单位： 元</w:t>
      </w:r>
    </w:p>
    <w:p>
      <w:pPr>
        <w:spacing w:after="0" w:line="240" w:lineRule="auto"/>
        <w:jc w:val="left"/>
        <w:sectPr>
          <w:type w:val="continuous"/>
          <w:pgSz w:w="11910" w:h="16840"/>
          <w:pgMar w:top="1060" w:bottom="1160" w:left="180" w:right="0"/>
          <w:cols w:num="2" w:equalWidth="0">
            <w:col w:w="5275" w:space="3555"/>
            <w:col w:w="2900"/>
          </w:cols>
        </w:sectPr>
      </w:pPr>
    </w:p>
    <w:p>
      <w:pPr>
        <w:spacing w:line="240" w:lineRule="auto" w:before="1"/>
        <w:rPr>
          <w:rFonts w:ascii="宋体" w:hAnsi="宋体" w:cs="宋体" w:eastAsia="宋体" w:hint="default"/>
          <w:sz w:val="8"/>
          <w:szCs w:val="8"/>
        </w:rPr>
      </w:pPr>
    </w:p>
    <w:tbl>
      <w:tblPr>
        <w:tblW w:w="0" w:type="auto"/>
        <w:jc w:val="left"/>
        <w:tblInd w:w="9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nil" w:sz="6" w:space="0" w:color="auto"/>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nil" w:sz="6" w:space="0" w:color="auto"/>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23"/>
              <w:jc w:val="left"/>
              <w:rPr>
                <w:rFonts w:ascii="宋体" w:hAnsi="宋体" w:cs="宋体" w:eastAsia="宋体" w:hint="default"/>
                <w:sz w:val="18"/>
                <w:szCs w:val="18"/>
              </w:rPr>
            </w:pPr>
            <w:r>
              <w:rPr>
                <w:rFonts w:ascii="宋体" w:hAnsi="宋体" w:cs="宋体" w:eastAsia="宋体" w:hint="default"/>
                <w:spacing w:val="-4"/>
                <w:sz w:val="18"/>
                <w:szCs w:val="18"/>
              </w:rPr>
              <w:t>落地创意（武汉）科技有</w:t>
            </w:r>
            <w:r>
              <w:rPr>
                <w:rFonts w:ascii="宋体" w:hAnsi="宋体" w:cs="宋体" w:eastAsia="宋体" w:hint="default"/>
                <w:sz w:val="18"/>
                <w:szCs w:val="18"/>
              </w:rPr>
              <w:t>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4,111,169.40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4,111,169.40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2" w:hRule="exact"/>
        </w:trPr>
        <w:tc>
          <w:tcPr>
            <w:tcW w:w="199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4,111,169.40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4,111,169.40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180" w:right="0"/>
        </w:sectPr>
      </w:pPr>
    </w:p>
    <w:p>
      <w:pPr>
        <w:pStyle w:val="BodyText"/>
        <w:spacing w:line="240" w:lineRule="auto" w:before="51"/>
        <w:ind w:left="954" w:right="-20"/>
        <w:jc w:val="left"/>
      </w:pPr>
      <w:r>
        <w:rPr/>
        <w:t>组合中，按账龄分析法计提坏账准备的其他应收款：</w:t>
      </w:r>
    </w:p>
    <w:p>
      <w:pPr>
        <w:pStyle w:val="BodyText"/>
        <w:spacing w:line="240" w:lineRule="auto" w:before="117"/>
        <w:ind w:left="9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953" w:right="0"/>
        <w:jc w:val="left"/>
      </w:pPr>
      <w:r>
        <w:rPr/>
        <w:t>单位： 元</w:t>
      </w:r>
    </w:p>
    <w:p>
      <w:pPr>
        <w:spacing w:after="0" w:line="240" w:lineRule="auto"/>
        <w:jc w:val="left"/>
        <w:sectPr>
          <w:type w:val="continuous"/>
          <w:pgSz w:w="11910" w:h="16840"/>
          <w:pgMar w:top="1060" w:bottom="1160" w:left="180" w:right="0"/>
          <w:cols w:num="2" w:equalWidth="0">
            <w:col w:w="5095" w:space="3735"/>
            <w:col w:w="2900"/>
          </w:cols>
        </w:sectPr>
      </w:pPr>
    </w:p>
    <w:p>
      <w:pPr>
        <w:spacing w:line="240" w:lineRule="auto" w:before="0"/>
        <w:rPr>
          <w:rFonts w:ascii="宋体" w:hAnsi="宋体" w:cs="宋体" w:eastAsia="宋体" w:hint="default"/>
          <w:sz w:val="8"/>
          <w:szCs w:val="8"/>
        </w:rPr>
      </w:pPr>
    </w:p>
    <w:tbl>
      <w:tblPr>
        <w:tblW w:w="0" w:type="auto"/>
        <w:jc w:val="left"/>
        <w:tblInd w:w="963" w:type="dxa"/>
        <w:tblLayout w:type="fixed"/>
        <w:tblCellMar>
          <w:top w:w="0" w:type="dxa"/>
          <w:left w:w="0" w:type="dxa"/>
          <w:bottom w:w="0" w:type="dxa"/>
          <w:right w:w="0" w:type="dxa"/>
        </w:tblCellMar>
        <w:tblLook w:val="01E0"/>
      </w:tblPr>
      <w:tblGrid>
        <w:gridCol w:w="2480"/>
        <w:gridCol w:w="2295"/>
        <w:gridCol w:w="2390"/>
        <w:gridCol w:w="2376"/>
      </w:tblGrid>
      <w:tr>
        <w:trPr>
          <w:trHeight w:val="206" w:hRule="exact"/>
        </w:trPr>
        <w:tc>
          <w:tcPr>
            <w:tcW w:w="2480" w:type="dxa"/>
            <w:tcBorders>
              <w:top w:val="single" w:sz="4" w:space="0" w:color="000000"/>
              <w:left w:val="nil" w:sz="6" w:space="0" w:color="auto"/>
              <w:bottom w:val="nil" w:sz="6" w:space="0" w:color="auto"/>
              <w:right w:val="single" w:sz="4" w:space="0" w:color="000000"/>
            </w:tcBorders>
            <w:shd w:val="clear" w:color="auto" w:fill="D2D2D2"/>
          </w:tcPr>
          <w:p>
            <w:pPr/>
          </w:p>
        </w:tc>
        <w:tc>
          <w:tcPr>
            <w:tcW w:w="7061"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0"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账龄</w:t>
            </w:r>
          </w:p>
        </w:tc>
        <w:tc>
          <w:tcPr>
            <w:tcW w:w="7061" w:type="dxa"/>
            <w:gridSpan w:val="3"/>
            <w:vMerge/>
            <w:tcBorders>
              <w:left w:val="single" w:sz="4" w:space="0" w:color="000000"/>
              <w:bottom w:val="single" w:sz="4" w:space="0" w:color="000000"/>
              <w:right w:val="nil" w:sz="6" w:space="0" w:color="auto"/>
            </w:tcBorders>
            <w:shd w:val="clear" w:color="auto" w:fill="D2D2D2"/>
          </w:tcPr>
          <w:p>
            <w:pPr/>
          </w:p>
        </w:tc>
      </w:tr>
      <w:tr>
        <w:trPr>
          <w:trHeight w:val="197" w:hRule="exact"/>
        </w:trPr>
        <w:tc>
          <w:tcPr>
            <w:tcW w:w="2480" w:type="dxa"/>
            <w:vMerge/>
            <w:tcBorders>
              <w:left w:val="nil" w:sz="6" w:space="0" w:color="auto"/>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6"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80" w:type="dxa"/>
            <w:tcBorders>
              <w:top w:val="nil" w:sz="6" w:space="0" w:color="auto"/>
              <w:left w:val="nil" w:sz="6" w:space="0" w:color="auto"/>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76" w:type="dxa"/>
            <w:vMerge/>
            <w:tcBorders>
              <w:left w:val="single" w:sz="4" w:space="0" w:color="000000"/>
              <w:bottom w:val="single" w:sz="4" w:space="0" w:color="000000"/>
              <w:right w:val="nil" w:sz="6" w:space="0" w:color="auto"/>
            </w:tcBorders>
            <w:shd w:val="clear" w:color="auto" w:fill="D2D2D2"/>
          </w:tcPr>
          <w:p>
            <w:pPr/>
          </w:p>
        </w:tc>
      </w:tr>
      <w:tr>
        <w:trPr>
          <w:trHeight w:val="397" w:hRule="exact"/>
        </w:trPr>
        <w:tc>
          <w:tcPr>
            <w:tcW w:w="9541" w:type="dxa"/>
            <w:gridSpan w:val="4"/>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06" w:right="0"/>
              <w:jc w:val="left"/>
              <w:rPr>
                <w:rFonts w:ascii="Times New Roman" w:hAnsi="Times New Roman" w:cs="Times New Roman" w:eastAsia="Times New Roman" w:hint="default"/>
                <w:sz w:val="18"/>
                <w:szCs w:val="18"/>
              </w:rPr>
            </w:pPr>
            <w:r>
              <w:rPr>
                <w:rFonts w:ascii="Times New Roman"/>
                <w:sz w:val="18"/>
              </w:rPr>
              <w:t>3,921,881.09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3" w:right="0"/>
              <w:jc w:val="left"/>
              <w:rPr>
                <w:rFonts w:ascii="Times New Roman" w:hAnsi="Times New Roman" w:cs="Times New Roman" w:eastAsia="Times New Roman" w:hint="default"/>
                <w:sz w:val="18"/>
                <w:szCs w:val="18"/>
              </w:rPr>
            </w:pPr>
            <w:r>
              <w:rPr>
                <w:rFonts w:ascii="Times New Roman"/>
                <w:sz w:val="18"/>
              </w:rPr>
              <w:t>117,656.43</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950,216.27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142,532.44</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88,236.82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44,118.41</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3,684,650.73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3,684,650.73</w:t>
            </w:r>
          </w:p>
        </w:tc>
        <w:tc>
          <w:tcPr>
            <w:tcW w:w="2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8,644,984.91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3,988,958.01</w:t>
            </w:r>
          </w:p>
        </w:tc>
        <w:tc>
          <w:tcPr>
            <w:tcW w:w="2389" w:type="dxa"/>
            <w:tcBorders>
              <w:top w:val="single" w:sz="4" w:space="0" w:color="000000"/>
              <w:left w:val="single" w:sz="4" w:space="0" w:color="000000"/>
              <w:bottom w:val="single" w:sz="4" w:space="0" w:color="000000"/>
              <w:right w:val="nil" w:sz="6" w:space="0" w:color="auto"/>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40" w:lineRule="auto" w:before="2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2852"/>
        <w:gridCol w:w="1766"/>
        <w:gridCol w:w="1606"/>
        <w:gridCol w:w="1445"/>
        <w:gridCol w:w="1991"/>
      </w:tblGrid>
      <w:tr>
        <w:trPr>
          <w:trHeight w:val="342" w:hRule="exact"/>
        </w:trPr>
        <w:tc>
          <w:tcPr>
            <w:tcW w:w="2852" w:type="dxa"/>
            <w:vMerge w:val="restart"/>
            <w:tcBorders>
              <w:top w:val="single" w:sz="4" w:space="0" w:color="000000"/>
              <w:left w:val="nil" w:sz="6" w:space="0" w:color="auto"/>
              <w:right w:val="single" w:sz="4"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80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2" w:hRule="exact"/>
        </w:trPr>
        <w:tc>
          <w:tcPr>
            <w:tcW w:w="2852" w:type="dxa"/>
            <w:vMerge/>
            <w:tcBorders>
              <w:left w:val="nil" w:sz="6" w:space="0" w:color="auto"/>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19,312,456.52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2,515,772.80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金运产业发展</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730,427.56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武汉金之运</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314,556.44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金运互动</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38,081.69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香港高汇</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14,286.00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合并范围内关联方</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1,037,098.41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收回无风险</w:t>
            </w:r>
          </w:p>
        </w:tc>
      </w:tr>
      <w:tr>
        <w:trPr>
          <w:trHeight w:val="342"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出口报关保证金</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171,957.06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收回无风险</w:t>
            </w:r>
          </w:p>
        </w:tc>
      </w:tr>
      <w:tr>
        <w:trPr>
          <w:trHeight w:val="344"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Times New Roman" w:hAnsi="Times New Roman" w:cs="Times New Roman" w:eastAsia="Times New Roman" w:hint="default"/>
                <w:sz w:val="18"/>
                <w:szCs w:val="18"/>
              </w:rPr>
            </w:pPr>
            <w:r>
              <w:rPr>
                <w:rFonts w:ascii="Times New Roman"/>
                <w:b/>
                <w:spacing w:val="-1"/>
                <w:sz w:val="18"/>
              </w:rPr>
              <w:t>24,134,636.48</w:t>
            </w:r>
            <w:r>
              <w:rPr>
                <w:rFonts w:ascii="Times New Roman"/>
                <w:spacing w:val="-1"/>
                <w:sz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5"/>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79" w:top="1100" w:bottom="1160" w:left="980" w:right="0"/>
        </w:sectPr>
      </w:pPr>
    </w:p>
    <w:p>
      <w:pPr>
        <w:pStyle w:val="BodyText"/>
        <w:spacing w:line="240" w:lineRule="auto" w:before="44"/>
        <w:ind w:right="-16"/>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16"/>
        <w:jc w:val="left"/>
      </w:pPr>
      <w:r>
        <w:rPr/>
        <w:t>本期计提坏账准备金额</w:t>
      </w:r>
      <w:r>
        <w:rPr>
          <w:spacing w:val="-46"/>
        </w:rPr>
        <w:t> </w:t>
      </w:r>
      <w:r>
        <w:rPr>
          <w:rFonts w:ascii="Times New Roman" w:hAnsi="Times New Roman" w:cs="Times New Roman" w:eastAsia="Times New Roman" w:hint="default"/>
        </w:rPr>
        <w:t>24,759.69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6"/>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60" w:left="980" w:right="0"/>
          <w:cols w:num="2" w:equalWidth="0">
            <w:col w:w="6230" w:space="2600"/>
            <w:col w:w="2100"/>
          </w:cols>
        </w:sectPr>
      </w:pP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22,925,581.01</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19,836,130.18</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非合并内关联方往来款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8,843,837.29</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7,648,086.29</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借支款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1,093,862.61</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1,213,821.78</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874,200.48</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1,654,258.42</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245,542.14</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387,998.49</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1,037,098.41</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988,803.62</w:t>
            </w:r>
          </w:p>
        </w:tc>
      </w:tr>
      <w:tr>
        <w:trPr>
          <w:trHeight w:val="402" w:hRule="exact"/>
        </w:trPr>
        <w:tc>
          <w:tcPr>
            <w:tcW w:w="33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2,370,668.85</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2,107,401.35</w:t>
            </w:r>
          </w:p>
        </w:tc>
      </w:tr>
      <w:tr>
        <w:trPr>
          <w:trHeight w:val="403" w:hRule="exact"/>
        </w:trPr>
        <w:tc>
          <w:tcPr>
            <w:tcW w:w="336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37,390,790.79</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33,836,500.13</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5"/>
        <w:gridCol w:w="1551"/>
        <w:gridCol w:w="1552"/>
        <w:gridCol w:w="1553"/>
        <w:gridCol w:w="1614"/>
        <w:gridCol w:w="1615"/>
      </w:tblGrid>
      <w:tr>
        <w:trPr>
          <w:trHeight w:val="402" w:hRule="exact"/>
        </w:trPr>
        <w:tc>
          <w:tcPr>
            <w:tcW w:w="168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1"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615"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nil" w:sz="6" w:space="0" w:color="auto"/>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81"/>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615" w:type="dxa"/>
            <w:tcBorders>
              <w:top w:val="single" w:sz="4" w:space="0" w:color="000000"/>
              <w:left w:val="single" w:sz="4" w:space="0" w:color="000000"/>
              <w:bottom w:val="single" w:sz="4" w:space="0" w:color="000000"/>
              <w:right w:val="nil" w:sz="6" w:space="0" w:color="auto"/>
            </w:tcBorders>
            <w:shd w:val="clear" w:color="auto" w:fill="D2D2D2"/>
          </w:tcPr>
          <w:p>
            <w:pPr/>
          </w:p>
        </w:tc>
      </w:tr>
      <w:tr>
        <w:trPr>
          <w:trHeight w:val="402"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19,312,456.52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51.65%</w:t>
            </w: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29"/>
              <w:jc w:val="left"/>
              <w:rPr>
                <w:rFonts w:ascii="宋体" w:hAnsi="宋体" w:cs="宋体" w:eastAsia="宋体" w:hint="default"/>
                <w:sz w:val="18"/>
                <w:szCs w:val="18"/>
              </w:rPr>
            </w:pPr>
            <w:r>
              <w:rPr>
                <w:rFonts w:ascii="宋体" w:hAnsi="宋体" w:cs="宋体" w:eastAsia="宋体" w:hint="default"/>
                <w:sz w:val="18"/>
                <w:szCs w:val="18"/>
              </w:rPr>
              <w:t>武汉金运加科技孵化 器有限公司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4,232,667.89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pacing w:val="-7"/>
                <w:sz w:val="18"/>
                <w:szCs w:val="18"/>
              </w:rPr>
              <w:t>年以内，</w:t>
            </w:r>
            <w:r>
              <w:rPr>
                <w:rFonts w:ascii="Times New Roman" w:hAnsi="Times New Roman" w:cs="Times New Roman" w:eastAsia="Times New Roman" w:hint="default"/>
                <w:spacing w:val="-7"/>
                <w:sz w:val="18"/>
                <w:szCs w:val="18"/>
              </w:rPr>
              <w:t>3</w:t>
            </w:r>
            <w:r>
              <w:rPr>
                <w:rFonts w:ascii="Times New Roman" w:hAnsi="Times New Roman" w:cs="Times New Roman" w:eastAsia="Times New Roman" w:hint="default"/>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11.32%</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371,850.31</w:t>
            </w:r>
          </w:p>
        </w:tc>
      </w:tr>
      <w:tr>
        <w:trPr>
          <w:trHeight w:val="714"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27" w:right="29"/>
              <w:jc w:val="left"/>
              <w:rPr>
                <w:rFonts w:ascii="宋体" w:hAnsi="宋体" w:cs="宋体" w:eastAsia="宋体" w:hint="default"/>
                <w:sz w:val="18"/>
                <w:szCs w:val="18"/>
              </w:rPr>
            </w:pPr>
            <w:r>
              <w:rPr>
                <w:rFonts w:ascii="宋体" w:hAnsi="宋体" w:cs="宋体" w:eastAsia="宋体" w:hint="default"/>
                <w:sz w:val="18"/>
                <w:szCs w:val="18"/>
              </w:rPr>
              <w:t>落地创意（武汉）科 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4,111,169.40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2"/>
                <w:sz w:val="18"/>
              </w:rPr>
              <w:t>4,111,169.40</w:t>
            </w:r>
          </w:p>
        </w:tc>
      </w:tr>
      <w:tr>
        <w:trPr>
          <w:trHeight w:val="402"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2,515,772.80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w:t>
            </w: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Vinwin Trading</w:t>
            </w:r>
            <w:r>
              <w:rPr>
                <w:rFonts w:ascii="Times New Roman"/>
                <w:spacing w:val="-26"/>
                <w:sz w:val="18"/>
              </w:rPr>
              <w:t> </w:t>
            </w:r>
            <w:r>
              <w:rPr>
                <w:rFonts w:ascii="Times New Roman"/>
                <w:sz w:val="18"/>
              </w:rPr>
              <w:t>FZE</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1,329,930.74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1,329,930.74</w:t>
            </w:r>
          </w:p>
        </w:tc>
      </w:tr>
      <w:tr>
        <w:trPr>
          <w:trHeight w:val="402" w:hRule="exact"/>
        </w:trPr>
        <w:tc>
          <w:tcPr>
            <w:tcW w:w="168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31,501,997.35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84.26%</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5,812,950.45</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2"/>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长期股权投资" w:id="479"/>
      <w:bookmarkEnd w:id="47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355"/>
        <w:gridCol w:w="1368"/>
        <w:gridCol w:w="1367"/>
        <w:gridCol w:w="1367"/>
        <w:gridCol w:w="1368"/>
        <w:gridCol w:w="1367"/>
        <w:gridCol w:w="1367"/>
      </w:tblGrid>
      <w:tr>
        <w:trPr>
          <w:trHeight w:val="206" w:hRule="exact"/>
        </w:trPr>
        <w:tc>
          <w:tcPr>
            <w:tcW w:w="1355" w:type="dxa"/>
            <w:tcBorders>
              <w:top w:val="single" w:sz="4" w:space="0" w:color="000000"/>
              <w:left w:val="nil" w:sz="6" w:space="0" w:color="auto"/>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5"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1355" w:type="dxa"/>
            <w:vMerge/>
            <w:tcBorders>
              <w:left w:val="nil" w:sz="6" w:space="0" w:color="auto"/>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5" w:type="dxa"/>
            <w:tcBorders>
              <w:top w:val="nil" w:sz="6" w:space="0" w:color="auto"/>
              <w:left w:val="nil" w:sz="6" w:space="0" w:color="auto"/>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3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37,509,076.57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13,768,033.25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23,741,043.32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37,769,076.57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13,768,033.25</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24,001,043.32</w:t>
            </w:r>
          </w:p>
        </w:tc>
      </w:tr>
      <w:tr>
        <w:trPr>
          <w:trHeight w:val="402" w:hRule="exact"/>
        </w:trPr>
        <w:tc>
          <w:tcPr>
            <w:tcW w:w="13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37,509,076.57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13,768,033.25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23,741,043.32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37,769,076.57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13,768,033.25</w:t>
            </w:r>
          </w:p>
        </w:tc>
        <w:tc>
          <w:tcPr>
            <w:tcW w:w="13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24,001,043.32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480"/>
      <w:bookmarkEnd w:id="48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316" w:lineRule="auto" w:before="52"/>
              <w:ind w:left="598" w:right="65"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武汉唯拓</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1,065,727.00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1,065,727.00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东莞汇研</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武汉金之运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上海金萃</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高投金运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香港高汇</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8,668,033.25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8,668,033.25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8,668,033.25</w:t>
            </w: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金运数字</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9,725,316.32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9,725,316.32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金运互动</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产业发展</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4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37,769,076.57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37,509,076.57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13,768,033.25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2）对联营、合营企业投资" w:id="481"/>
      <w:bookmarkEnd w:id="48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其他说明" w:id="482"/>
      <w:bookmarkEnd w:id="48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营业收入和营业成本" w:id="483"/>
      <w:bookmarkEnd w:id="48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1981"/>
        <w:gridCol w:w="1838"/>
        <w:gridCol w:w="1913"/>
        <w:gridCol w:w="1913"/>
        <w:gridCol w:w="1899"/>
      </w:tblGrid>
      <w:tr>
        <w:trPr>
          <w:trHeight w:val="205" w:hRule="exact"/>
        </w:trPr>
        <w:tc>
          <w:tcPr>
            <w:tcW w:w="1981" w:type="dxa"/>
            <w:tcBorders>
              <w:top w:val="single" w:sz="4" w:space="0" w:color="000000"/>
              <w:left w:val="nil" w:sz="6" w:space="0" w:color="auto"/>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2"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1"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12" w:type="dxa"/>
            <w:gridSpan w:val="2"/>
            <w:vMerge/>
            <w:tcBorders>
              <w:left w:val="single" w:sz="4" w:space="0" w:color="000000"/>
              <w:bottom w:val="single" w:sz="4" w:space="0" w:color="000000"/>
              <w:right w:val="nil" w:sz="6" w:space="0" w:color="auto"/>
            </w:tcBorders>
            <w:shd w:val="clear" w:color="auto" w:fill="D2D2D2"/>
          </w:tcPr>
          <w:p>
            <w:pPr/>
          </w:p>
        </w:tc>
      </w:tr>
      <w:tr>
        <w:trPr>
          <w:trHeight w:val="200" w:hRule="exact"/>
        </w:trPr>
        <w:tc>
          <w:tcPr>
            <w:tcW w:w="1981" w:type="dxa"/>
            <w:vMerge/>
            <w:tcBorders>
              <w:left w:val="nil" w:sz="6" w:space="0" w:color="auto"/>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99"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1" w:type="dxa"/>
            <w:tcBorders>
              <w:top w:val="nil" w:sz="6" w:space="0" w:color="auto"/>
              <w:left w:val="nil" w:sz="6" w:space="0" w:color="auto"/>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899"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1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121,737,349.07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76,100,748.15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106,711,806.39</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73,307,308.20</w:t>
            </w:r>
          </w:p>
        </w:tc>
      </w:tr>
      <w:tr>
        <w:trPr>
          <w:trHeight w:val="402" w:hRule="exact"/>
        </w:trPr>
        <w:tc>
          <w:tcPr>
            <w:tcW w:w="1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15,453,875.71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10,339,134.43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17,402,862.27</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11,871,422.13</w:t>
            </w:r>
          </w:p>
        </w:tc>
      </w:tr>
      <w:tr>
        <w:trPr>
          <w:trHeight w:val="402" w:hRule="exact"/>
        </w:trPr>
        <w:tc>
          <w:tcPr>
            <w:tcW w:w="198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137,191,224.78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86,439,882.58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124,114,668.66</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85,178,730.33</w:t>
            </w:r>
          </w:p>
        </w:tc>
      </w:tr>
    </w:tbl>
    <w:p>
      <w:pPr>
        <w:spacing w:line="240" w:lineRule="auto" w:before="5"/>
        <w:rPr>
          <w:rFonts w:ascii="宋体" w:hAnsi="宋体" w:cs="宋体" w:eastAsia="宋体" w:hint="default"/>
          <w:sz w:val="5"/>
          <w:szCs w:val="5"/>
        </w:rPr>
      </w:pPr>
    </w:p>
    <w:p>
      <w:pPr>
        <w:pStyle w:val="Heading4"/>
        <w:spacing w:line="240" w:lineRule="auto" w:before="35"/>
        <w:ind w:left="503" w:right="0"/>
        <w:jc w:val="left"/>
        <w:rPr>
          <w:b w:val="0"/>
          <w:bCs w:val="0"/>
        </w:rPr>
      </w:pPr>
      <w:r>
        <w:rPr>
          <w:rFonts w:ascii="宋体" w:hAnsi="宋体" w:cs="宋体" w:eastAsia="宋体" w:hint="default"/>
        </w:rPr>
        <w:t>1.</w:t>
      </w:r>
      <w:r>
        <w:rPr>
          <w:rFonts w:ascii="宋体" w:hAnsi="宋体" w:cs="宋体" w:eastAsia="宋体" w:hint="default"/>
          <w:spacing w:val="39"/>
        </w:rPr>
        <w:t> </w:t>
      </w:r>
      <w:r>
        <w:rPr/>
        <w:t>主营业务（分产品）</w:t>
      </w:r>
      <w:r>
        <w:rPr>
          <w:b w:val="0"/>
          <w:bCs w:val="0"/>
        </w:rPr>
      </w:r>
    </w:p>
    <w:p>
      <w:pPr>
        <w:spacing w:line="240" w:lineRule="auto" w:before="13"/>
        <w:rPr>
          <w:rFonts w:ascii="宋体" w:hAnsi="宋体" w:cs="宋体" w:eastAsia="宋体" w:hint="default"/>
          <w:b/>
          <w:bCs/>
          <w:sz w:val="3"/>
          <w:szCs w:val="3"/>
        </w:rPr>
      </w:pPr>
    </w:p>
    <w:tbl>
      <w:tblPr>
        <w:tblW w:w="0" w:type="auto"/>
        <w:jc w:val="left"/>
        <w:tblInd w:w="139" w:type="dxa"/>
        <w:tblLayout w:type="fixed"/>
        <w:tblCellMar>
          <w:top w:w="0" w:type="dxa"/>
          <w:left w:w="0" w:type="dxa"/>
          <w:bottom w:w="0" w:type="dxa"/>
          <w:right w:w="0" w:type="dxa"/>
        </w:tblCellMar>
        <w:tblLook w:val="01E0"/>
      </w:tblPr>
      <w:tblGrid>
        <w:gridCol w:w="1931"/>
        <w:gridCol w:w="1931"/>
        <w:gridCol w:w="1932"/>
        <w:gridCol w:w="1932"/>
        <w:gridCol w:w="1932"/>
      </w:tblGrid>
      <w:tr>
        <w:trPr>
          <w:trHeight w:val="342" w:hRule="exact"/>
        </w:trPr>
        <w:tc>
          <w:tcPr>
            <w:tcW w:w="1931" w:type="dxa"/>
            <w:vMerge w:val="restart"/>
            <w:tcBorders>
              <w:top w:val="single" w:sz="4" w:space="0" w:color="000000"/>
              <w:left w:val="nil" w:sz="6" w:space="0" w:color="auto"/>
              <w:right w:val="single" w:sz="4"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6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2" w:hRule="exact"/>
        </w:trPr>
        <w:tc>
          <w:tcPr>
            <w:tcW w:w="1931" w:type="dxa"/>
            <w:vMerge/>
            <w:tcBorders>
              <w:left w:val="nil" w:sz="6" w:space="0" w:color="auto"/>
              <w:bottom w:val="single" w:sz="4" w:space="0" w:color="000000"/>
              <w:right w:val="single" w:sz="4" w:space="0" w:color="000000"/>
            </w:tcBorders>
          </w:tcPr>
          <w:p>
            <w:pP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X-Y</w:t>
            </w:r>
            <w:r>
              <w:rPr>
                <w:rFonts w:ascii="宋体" w:hAnsi="宋体" w:cs="宋体" w:eastAsia="宋体" w:hint="default"/>
                <w:sz w:val="18"/>
                <w:szCs w:val="18"/>
              </w:rPr>
              <w:t>轴系列</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18,274,235.21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12,049,419.43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36,879,336.35</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25,835,199.48</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振镜系列</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14,713,644.99</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9,666,016.98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4,347,356.89</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2,953,149.36</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裁床系列</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26,160,735.54</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14,863,246.22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20,361,624.26</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9,718,929.42</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固体激光产品系列</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60,837,799.00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38,472,907.12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42,497,469.20</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32,551,573.41</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宋体" w:hAnsi="宋体" w:cs="宋体" w:eastAsia="宋体" w:hint="default"/>
                <w:sz w:val="18"/>
                <w:szCs w:val="18"/>
              </w:rPr>
              <w:t>及其他</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1,750,934.33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1,049,158.40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2,626,019.69</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2,248,456.53</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121,737,349.07</w:t>
            </w:r>
            <w:r>
              <w:rPr>
                <w:rFonts w:ascii="Times New Roman"/>
                <w:spacing w:val="-1"/>
                <w:sz w:val="18"/>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76,100,748.15</w:t>
            </w:r>
            <w:r>
              <w:rPr>
                <w:rFonts w:ascii="Times New Roman"/>
                <w:spacing w:val="-1"/>
                <w:sz w:val="18"/>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106,711,806.39</w:t>
            </w:r>
            <w:r>
              <w:rPr>
                <w:rFonts w:ascii="Times New Roman"/>
                <w:spacing w:val="-1"/>
                <w:sz w:val="18"/>
              </w:rPr>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b/>
                <w:spacing w:val="-1"/>
                <w:sz w:val="18"/>
              </w:rPr>
              <w:t>73,307,308.20</w:t>
            </w:r>
            <w:r>
              <w:rPr>
                <w:rFonts w:ascii="Times New Roman"/>
                <w:spacing w:val="-1"/>
                <w:sz w:val="18"/>
              </w:rPr>
            </w:r>
          </w:p>
        </w:tc>
      </w:tr>
    </w:tbl>
    <w:p>
      <w:pPr>
        <w:spacing w:line="240" w:lineRule="auto" w:before="5"/>
        <w:rPr>
          <w:rFonts w:ascii="宋体" w:hAnsi="宋体" w:cs="宋体" w:eastAsia="宋体" w:hint="default"/>
          <w:b/>
          <w:bCs/>
          <w:sz w:val="5"/>
          <w:szCs w:val="5"/>
        </w:rPr>
      </w:pPr>
    </w:p>
    <w:p>
      <w:pPr>
        <w:pStyle w:val="Heading4"/>
        <w:spacing w:line="240" w:lineRule="auto" w:before="35"/>
        <w:ind w:left="512" w:right="0"/>
        <w:jc w:val="left"/>
        <w:rPr>
          <w:b w:val="0"/>
          <w:bCs w:val="0"/>
        </w:rPr>
      </w:pPr>
      <w:r>
        <w:rPr>
          <w:rFonts w:ascii="Times New Roman" w:hAnsi="Times New Roman" w:cs="Times New Roman" w:eastAsia="Times New Roman" w:hint="default"/>
        </w:rPr>
        <w:t>2.</w:t>
      </w:r>
      <w:r>
        <w:rPr/>
        <w:t>主营业务（分地区）</w:t>
      </w:r>
      <w:r>
        <w:rPr>
          <w:b w:val="0"/>
          <w:bCs w:val="0"/>
        </w:rPr>
      </w:r>
    </w:p>
    <w:p>
      <w:pPr>
        <w:spacing w:line="240" w:lineRule="auto" w:before="10"/>
        <w:rPr>
          <w:rFonts w:ascii="宋体" w:hAnsi="宋体" w:cs="宋体" w:eastAsia="宋体" w:hint="default"/>
          <w:b/>
          <w:bCs/>
          <w:sz w:val="2"/>
          <w:szCs w:val="2"/>
        </w:rPr>
      </w:pPr>
    </w:p>
    <w:tbl>
      <w:tblPr>
        <w:tblW w:w="0" w:type="auto"/>
        <w:jc w:val="left"/>
        <w:tblInd w:w="139" w:type="dxa"/>
        <w:tblLayout w:type="fixed"/>
        <w:tblCellMar>
          <w:top w:w="0" w:type="dxa"/>
          <w:left w:w="0" w:type="dxa"/>
          <w:bottom w:w="0" w:type="dxa"/>
          <w:right w:w="0" w:type="dxa"/>
        </w:tblCellMar>
        <w:tblLook w:val="01E0"/>
      </w:tblPr>
      <w:tblGrid>
        <w:gridCol w:w="1931"/>
        <w:gridCol w:w="1931"/>
        <w:gridCol w:w="1932"/>
        <w:gridCol w:w="1932"/>
        <w:gridCol w:w="1932"/>
      </w:tblGrid>
      <w:tr>
        <w:trPr>
          <w:trHeight w:val="342" w:hRule="exact"/>
        </w:trPr>
        <w:tc>
          <w:tcPr>
            <w:tcW w:w="1931" w:type="dxa"/>
            <w:vMerge w:val="restart"/>
            <w:tcBorders>
              <w:top w:val="single" w:sz="4" w:space="0" w:color="000000"/>
              <w:left w:val="nil" w:sz="6" w:space="0" w:color="auto"/>
              <w:right w:val="single" w:sz="4"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6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2" w:hRule="exact"/>
        </w:trPr>
        <w:tc>
          <w:tcPr>
            <w:tcW w:w="1931" w:type="dxa"/>
            <w:vMerge/>
            <w:tcBorders>
              <w:left w:val="nil" w:sz="6" w:space="0" w:color="auto"/>
              <w:bottom w:val="single" w:sz="4" w:space="0" w:color="000000"/>
              <w:right w:val="single" w:sz="4" w:space="0" w:color="000000"/>
            </w:tcBorders>
          </w:tcPr>
          <w:p>
            <w:pP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6,163,409.06</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4,779,363.49</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12,585,427.33</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10,391,834.04</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3,063,218.53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1,838,886.91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896,721.46</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918,947.62</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4,674,612.56</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3,415,807.57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2,288,468.87</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1,542,553.78</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90,517.24</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64,229.31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89,316.23</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54,259.47</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2,005,172.44</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1,604,137.91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1,818,803.44</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1,631,807.52</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102,586.21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73,185.62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806,148.84</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491,241.92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836,752.13</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640,068.79</w:t>
            </w:r>
          </w:p>
        </w:tc>
      </w:tr>
      <w:tr>
        <w:trPr>
          <w:trHeight w:val="342"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104,831,684.19</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63,833,895.42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88,196,316.93</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58,127,836.98</w:t>
            </w:r>
          </w:p>
        </w:tc>
      </w:tr>
      <w:tr>
        <w:trPr>
          <w:trHeight w:val="343" w:hRule="exact"/>
        </w:trPr>
        <w:tc>
          <w:tcPr>
            <w:tcW w:w="1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121,737,349.07</w:t>
            </w:r>
            <w:r>
              <w:rPr>
                <w:rFonts w:ascii="Times New Roman"/>
                <w:spacing w:val="-1"/>
                <w:sz w:val="18"/>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76,100,748.15</w:t>
            </w:r>
            <w:r>
              <w:rPr>
                <w:rFonts w:ascii="Times New Roman"/>
                <w:spacing w:val="-1"/>
                <w:sz w:val="18"/>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106,711,806.39</w:t>
            </w:r>
            <w:r>
              <w:rPr>
                <w:rFonts w:ascii="Times New Roman"/>
                <w:spacing w:val="-1"/>
                <w:sz w:val="18"/>
              </w:rPr>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b/>
                <w:spacing w:val="-1"/>
                <w:sz w:val="18"/>
              </w:rPr>
              <w:t>73,307,308.20</w:t>
            </w:r>
            <w:r>
              <w:rPr>
                <w:rFonts w:ascii="Times New Roman"/>
                <w:spacing w:val="-1"/>
                <w:sz w:val="18"/>
              </w:rPr>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5、投资收益" w:id="484"/>
      <w:bookmarkEnd w:id="48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299"/>
        <w:gridCol w:w="3071"/>
        <w:gridCol w:w="3173"/>
      </w:tblGrid>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-444,222.40</w:t>
            </w:r>
            <w:r>
              <w:rPr>
                <w:rFonts w:ascii="Times New Roman"/>
                <w:sz w:val="18"/>
              </w:rPr>
            </w:r>
          </w:p>
        </w:tc>
        <w:tc>
          <w:tcPr>
            <w:tcW w:w="3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15,771,071.01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w:t>
            </w:r>
          </w:p>
        </w:tc>
        <w:tc>
          <w:tcPr>
            <w:tcW w:w="318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17,998.99</w:t>
            </w:r>
          </w:p>
        </w:tc>
        <w:tc>
          <w:tcPr>
            <w:tcW w:w="3186"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32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-336,223.41</w:t>
            </w:r>
            <w:r>
              <w:rPr>
                <w:rFonts w:ascii="Times New Roman"/>
                <w:sz w:val="18"/>
              </w:rPr>
            </w:r>
          </w:p>
        </w:tc>
        <w:tc>
          <w:tcPr>
            <w:tcW w:w="3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118" w:right="0"/>
              <w:jc w:val="left"/>
              <w:rPr>
                <w:rFonts w:ascii="Times New Roman" w:hAnsi="Times New Roman" w:cs="Times New Roman" w:eastAsia="Times New Roman" w:hint="default"/>
                <w:sz w:val="18"/>
                <w:szCs w:val="18"/>
              </w:rPr>
            </w:pPr>
            <w:r>
              <w:rPr>
                <w:rFonts w:ascii="Times New Roman"/>
                <w:sz w:val="18"/>
              </w:rPr>
              <w:t>15,771,071.01</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6、其他" w:id="485"/>
      <w:bookmarkEnd w:id="485"/>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left"/>
        <w:rPr>
          <w:b w:val="0"/>
          <w:bCs w:val="0"/>
        </w:rPr>
      </w:pPr>
      <w:bookmarkStart w:name="十八、补充资料" w:id="486"/>
      <w:bookmarkEnd w:id="486"/>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487"/>
      <w:bookmarkEnd w:id="48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3299"/>
        <w:gridCol w:w="3071"/>
        <w:gridCol w:w="3173"/>
      </w:tblGrid>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-43,698.16</w:t>
            </w:r>
            <w:r>
              <w:rPr>
                <w:rFonts w:ascii="Times New Roman"/>
                <w:sz w:val="18"/>
              </w:rPr>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1,904,831.31</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17,998.99</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180,188.58</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-50,000.00</w:t>
            </w:r>
            <w:r>
              <w:rPr>
                <w:rFonts w:ascii="Times New Roman"/>
                <w:sz w:val="18"/>
              </w:rPr>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315,423.76</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533.97</w:t>
            </w:r>
          </w:p>
        </w:tc>
        <w:tc>
          <w:tcPr>
            <w:tcW w:w="3173"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329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1,693,362.99</w:t>
            </w:r>
          </w:p>
        </w:tc>
        <w:tc>
          <w:tcPr>
            <w:tcW w:w="3173"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488"/>
      <w:bookmarkEnd w:id="48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3" w:type="dxa"/>
        <w:tblLayout w:type="fixed"/>
        <w:tblCellMar>
          <w:top w:w="0" w:type="dxa"/>
          <w:left w:w="0" w:type="dxa"/>
          <w:bottom w:w="0" w:type="dxa"/>
          <w:right w:w="0" w:type="dxa"/>
        </w:tblCellMar>
        <w:tblLook w:val="01E0"/>
      </w:tblPr>
      <w:tblGrid>
        <w:gridCol w:w="2648"/>
        <w:gridCol w:w="3081"/>
        <w:gridCol w:w="1913"/>
        <w:gridCol w:w="1899"/>
      </w:tblGrid>
      <w:tr>
        <w:trPr>
          <w:trHeight w:val="206" w:hRule="exact"/>
        </w:trPr>
        <w:tc>
          <w:tcPr>
            <w:tcW w:w="2648" w:type="dxa"/>
            <w:tcBorders>
              <w:top w:val="single" w:sz="4" w:space="0" w:color="000000"/>
              <w:left w:val="nil" w:sz="6" w:space="0" w:color="auto"/>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2"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48" w:type="dxa"/>
            <w:vMerge w:val="restart"/>
            <w:tcBorders>
              <w:top w:val="nil" w:sz="6" w:space="0" w:color="auto"/>
              <w:left w:val="nil" w:sz="6" w:space="0" w:color="auto"/>
              <w:right w:val="single" w:sz="4" w:space="0" w:color="000000"/>
            </w:tcBorders>
            <w:shd w:val="clear" w:color="auto" w:fill="D2D2D2"/>
          </w:tcPr>
          <w:p>
            <w:pPr>
              <w:pStyle w:val="TableParagraph"/>
              <w:spacing w:line="240" w:lineRule="auto" w:before="51"/>
              <w:ind w:left="86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12" w:type="dxa"/>
            <w:gridSpan w:val="2"/>
            <w:vMerge/>
            <w:tcBorders>
              <w:left w:val="single" w:sz="4" w:space="0" w:color="000000"/>
              <w:bottom w:val="single" w:sz="4" w:space="0" w:color="000000"/>
              <w:right w:val="nil" w:sz="6" w:space="0" w:color="auto"/>
            </w:tcBorders>
            <w:shd w:val="clear" w:color="auto" w:fill="D2D2D2"/>
          </w:tcPr>
          <w:p>
            <w:pPr/>
          </w:p>
        </w:tc>
      </w:tr>
      <w:tr>
        <w:trPr>
          <w:trHeight w:val="202" w:hRule="exact"/>
        </w:trPr>
        <w:tc>
          <w:tcPr>
            <w:tcW w:w="2648" w:type="dxa"/>
            <w:vMerge/>
            <w:tcBorders>
              <w:left w:val="nil" w:sz="6" w:space="0" w:color="auto"/>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899" w:type="dxa"/>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48" w:type="dxa"/>
            <w:tcBorders>
              <w:top w:val="nil" w:sz="6" w:space="0" w:color="auto"/>
              <w:left w:val="nil" w:sz="6" w:space="0" w:color="auto"/>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899" w:type="dxa"/>
            <w:vMerge/>
            <w:tcBorders>
              <w:left w:val="single" w:sz="4" w:space="0" w:color="000000"/>
              <w:bottom w:val="single" w:sz="4" w:space="0" w:color="000000"/>
              <w:right w:val="nil" w:sz="6" w:space="0" w:color="auto"/>
            </w:tcBorders>
            <w:shd w:val="clear" w:color="auto" w:fill="D2D2D2"/>
          </w:tcPr>
          <w:p>
            <w:pPr/>
          </w:p>
        </w:tc>
      </w:tr>
      <w:tr>
        <w:trPr>
          <w:trHeight w:val="402" w:hRule="exact"/>
        </w:trPr>
        <w:tc>
          <w:tcPr>
            <w:tcW w:w="26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0.06</w:t>
            </w:r>
          </w:p>
        </w:tc>
      </w:tr>
      <w:tr>
        <w:trPr>
          <w:trHeight w:val="715" w:hRule="exact"/>
        </w:trPr>
        <w:tc>
          <w:tcPr>
            <w:tcW w:w="264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3"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b/>
          <w:bCs/>
          <w:sz w:val="20"/>
          <w:szCs w:val="20"/>
        </w:rPr>
      </w:pPr>
    </w:p>
    <w:p>
      <w:pPr>
        <w:pStyle w:val="Heading4"/>
        <w:spacing w:line="240" w:lineRule="auto" w:before="35"/>
        <w:ind w:right="0"/>
        <w:jc w:val="left"/>
        <w:rPr>
          <w:b w:val="0"/>
          <w:bCs w:val="0"/>
        </w:rPr>
      </w:pPr>
      <w:bookmarkStart w:name="3、境内外会计准则下会计数据差异" w:id="489"/>
      <w:bookmarkEnd w:id="48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490"/>
      <w:bookmarkEnd w:id="49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491"/>
      <w:bookmarkEnd w:id="49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492"/>
      <w:bookmarkEnd w:id="49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 w:id="493"/>
      <w:bookmarkEnd w:id="493"/>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3286" w:right="0"/>
        <w:jc w:val="left"/>
        <w:rPr>
          <w:b w:val="0"/>
          <w:bCs w:val="0"/>
        </w:rPr>
      </w:pPr>
      <w:bookmarkStart w:name="第十二节 备查文件目录" w:id="494"/>
      <w:bookmarkEnd w:id="494"/>
      <w:r>
        <w:rPr>
          <w:b w:val="0"/>
          <w:bCs w:val="0"/>
        </w:rPr>
      </w:r>
      <w:bookmarkStart w:name="_bookmark11" w:id="495"/>
      <w:bookmarkEnd w:id="495"/>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7"/>
          <w:szCs w:val="47"/>
        </w:rPr>
      </w:pPr>
    </w:p>
    <w:p>
      <w:pPr>
        <w:pStyle w:val="Heading5"/>
        <w:spacing w:line="350" w:lineRule="auto"/>
        <w:ind w:right="2352"/>
        <w:jc w:val="left"/>
      </w:pPr>
      <w:r>
        <w:rPr/>
        <w:t>一、载有公司法定代表人、主管会计工作负责人、会计机构负责人签名并盖章的财务报表。 二、载有会计师事务所盖章、注册会计师签名并盖章的审计报告原件。 三、报告期内在中国证监会指定网站上公开披露过的所有公司文件的正本及公告的原稿。 四、其他相关文件。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5"/>
        <w:spacing w:line="350" w:lineRule="auto"/>
        <w:ind w:left="7798" w:right="1113" w:hanging="525"/>
        <w:jc w:val="left"/>
      </w:pPr>
      <w:r>
        <w:rPr/>
        <w:t>武汉金运激光股份有限公司 法定代表人：梁萍</w:t>
      </w:r>
    </w:p>
    <w:p>
      <w:pPr>
        <w:pStyle w:val="Heading5"/>
        <w:spacing w:line="240" w:lineRule="auto" w:before="28"/>
        <w:ind w:left="0" w:right="1550"/>
        <w:jc w:val="righ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26</w:t>
      </w:r>
      <w:r>
        <w:rPr>
          <w:spacing w:val="-1"/>
        </w:rPr>
        <w:t>日</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33984" type="#_x0000_t75" stroked="false">
          <v:imagedata r:id="rId1" o:title=""/>
        </v:shape>
      </w:pict>
    </w:r>
    <w:r>
      <w:rPr/>
      <w:pict>
        <v:shape style="position:absolute;margin-left:533.179993pt;margin-top:795.517944pt;width:6.5pt;height:11pt;mso-position-horizontal-relative:page;mso-position-vertical-relative:page;z-index:-7339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33936" type="#_x0000_t75" stroked="false">
          <v:imagedata r:id="rId1" o:title=""/>
        </v:shape>
      </w:pict>
    </w:r>
    <w:r>
      <w:rPr/>
      <w:pict>
        <v:shape style="position:absolute;margin-left:527.679993pt;margin-top:781.957947pt;width:13pt;height:11pt;mso-position-horizontal-relative:page;mso-position-vertical-relative:page;z-index:-733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733864" type="#_x0000_t75" stroked="false">
          <v:imagedata r:id="rId1" o:title=""/>
        </v:shape>
      </w:pict>
    </w:r>
    <w:r>
      <w:rPr/>
      <w:pict>
        <v:shape style="position:absolute;margin-left:758.97998pt;margin-top:535.357971pt;width:13pt;height:11pt;mso-position-horizontal-relative:page;mso-position-vertical-relative:page;z-index:-733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33768" type="#_x0000_t75" stroked="false">
          <v:imagedata r:id="rId1" o:title=""/>
        </v:shape>
      </w:pict>
    </w:r>
    <w:r>
      <w:rPr/>
      <w:pict>
        <v:shape style="position:absolute;margin-left:527.679993pt;margin-top:781.957947pt;width:13pt;height:11pt;mso-position-horizontal-relative:page;mso-position-vertical-relative:page;z-index:-733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33720" type="#_x0000_t75" stroked="false">
          <v:imagedata r:id="rId1" o:title=""/>
        </v:shape>
      </w:pict>
    </w:r>
    <w:r>
      <w:rPr/>
      <w:pict>
        <v:shape style="position:absolute;margin-left:524.179993pt;margin-top:781.957947pt;width:15.5pt;height:11pt;mso-position-horizontal-relative:page;mso-position-vertical-relative:page;z-index:-7336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33672" type="#_x0000_t75" stroked="false">
          <v:imagedata r:id="rId1" o:title=""/>
        </v:shape>
      </w:pict>
    </w:r>
    <w:r>
      <w:rPr/>
      <w:pict>
        <v:shape style="position:absolute;margin-left:523.179993pt;margin-top:781.957947pt;width:17.5pt;height:11pt;mso-position-horizontal-relative:page;mso-position-vertical-relative:page;z-index:-733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734008" type="#_x0000_t202" filled="false" stroked="false">
          <v:textbox inset="0,0,0,0">
            <w:txbxContent>
              <w:p>
                <w:pPr>
                  <w:pStyle w:val="BodyText"/>
                  <w:spacing w:line="214" w:lineRule="exact"/>
                  <w:ind w:left="20" w:right="0"/>
                  <w:jc w:val="left"/>
                </w:pPr>
                <w:r>
                  <w:rPr/>
                  <w:t>武汉金运激光股份有限公司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733888" type="#_x0000_t202" filled="false" stroked="false">
          <v:textbox inset="0,0,0,0">
            <w:txbxContent>
              <w:p>
                <w:pPr>
                  <w:pStyle w:val="BodyText"/>
                  <w:spacing w:line="214" w:lineRule="exact"/>
                  <w:ind w:left="20" w:right="0"/>
                  <w:jc w:val="left"/>
                </w:pPr>
                <w:r>
                  <w:rPr/>
                  <w:t>武汉金运激光股份有限公司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3381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733792" type="#_x0000_t202" filled="false" stroked="false">
          <v:textbox inset="0,0,0,0">
            <w:txbxContent>
              <w:p>
                <w:pPr>
                  <w:pStyle w:val="BodyText"/>
                  <w:spacing w:line="214" w:lineRule="exact"/>
                  <w:ind w:left="20" w:right="0"/>
                  <w:jc w:val="left"/>
                </w:pPr>
                <w:r>
                  <w:rPr/>
                  <w:t>武汉金运激光股份有限公司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4"/>
    </w:pPr>
    <w:rPr>
      <w:rFonts w:ascii="宋体" w:hAnsi="宋体" w:eastAsia="宋体"/>
      <w:b/>
      <w:bCs/>
      <w:sz w:val="28"/>
      <w:szCs w:val="2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78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8"/>
      <w:szCs w:val="28"/>
    </w:rPr>
  </w:style>
  <w:style w:styleId="Heading3" w:type="paragraph">
    <w:name w:val="Heading 3"/>
    <w:basedOn w:val="Normal"/>
    <w:uiPriority w:val="1"/>
    <w:qFormat/>
    <w:pPr>
      <w:ind w:left="154"/>
      <w:outlineLvl w:val="3"/>
    </w:pPr>
    <w:rPr>
      <w:rFonts w:ascii="宋体" w:hAnsi="宋体" w:eastAsia="宋体"/>
      <w:b/>
      <w:bCs/>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ind w:left="154"/>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goldenlaser.cn/" TargetMode="External"/><Relationship Id="rId10" Type="http://schemas.openxmlformats.org/officeDocument/2006/relationships/hyperlink" Target="mailto:whjydm2015@163.com" TargetMode="External"/><Relationship Id="rId11" Type="http://schemas.openxmlformats.org/officeDocument/2006/relationships/hyperlink" Target="mailto:smh1399@163.com" TargetMode="External"/><Relationship Id="rId12" Type="http://schemas.openxmlformats.org/officeDocument/2006/relationships/hyperlink" Target="http://www.cninfo.com.cn/" TargetMode="External"/><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武汉金运激光股份有限公司</dc:creator>
  <dc:title>武汉金运激光股份有限公司2018年年度报告全文</dc:title>
  <dcterms:created xsi:type="dcterms:W3CDTF">2020-05-04T18:27:39Z</dcterms:created>
  <dcterms:modified xsi:type="dcterms:W3CDTF">2020-05-04T18:27:39Z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2019-02-27T00:00:00Z</vt:filetime>
  </property>
  <property fmtid="{D5CDD505-2E9C-101B-9397-08002B2CF9AE}" pid="3" name="Creator">
    <vt:lpwstr>Microsoft® Office Word 2007</vt:lpwstr>
  </property>
  <property fmtid="{D5CDD505-2E9C-101B-9397-08002B2CF9AE}" pid="4" name="LastSaved">
    <vt:filetime>2020-05-04T00:00:00Z</vt:filetime>
  </property>
</Properties>
</file>