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3042" w:lineRule="exact"/>
        <w:ind w:left="32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0"/>
          <w:sz w:val="20"/>
          <w:szCs w:val="20"/>
        </w:rPr>
        <w:drawing>
          <wp:inline distT="0" distB="0" distL="0" distR="0">
            <wp:extent cx="2184951" cy="193167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84951" cy="1931670"/>
                    </a:xfrm>
                    <a:prstGeom prst="rect">
                      <a:avLst/>
                    </a:prstGeom>
                  </pic:spPr>
                </pic:pic>
              </a:graphicData>
            </a:graphic>
          </wp:inline>
        </w:drawing>
      </w:r>
      <w:r>
        <w:rPr>
          <w:rFonts w:ascii="Times New Roman" w:hAnsi="Times New Roman" w:cs="Times New Roman" w:eastAsia="Times New Roman" w:hint="default"/>
          <w:position w:val="-6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460" w:lineRule="exact" w:before="0"/>
        <w:ind w:left="2784" w:right="3765" w:firstLine="0"/>
        <w:jc w:val="center"/>
        <w:rPr>
          <w:rFonts w:ascii="宋体" w:hAnsi="宋体" w:cs="宋体" w:eastAsia="宋体" w:hint="default"/>
          <w:sz w:val="36"/>
          <w:szCs w:val="36"/>
        </w:rPr>
      </w:pPr>
      <w:r>
        <w:rPr>
          <w:rFonts w:ascii="宋体" w:hAnsi="宋体" w:cs="宋体" w:eastAsia="宋体" w:hint="default"/>
          <w:b/>
          <w:bCs/>
          <w:sz w:val="36"/>
          <w:szCs w:val="36"/>
        </w:rPr>
        <w:t>武汉金运激光股份有限公司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4" w:right="376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right="3764"/>
        <w:jc w:val="center"/>
        <w:rPr>
          <w:b w:val="0"/>
          <w:bCs w:val="0"/>
        </w:rPr>
      </w:pPr>
      <w:bookmarkStart w:name="_bookmark0" w:id="1"/>
      <w:bookmarkEnd w:id="1"/>
      <w:r>
        <w:rPr>
          <w:b w:val="0"/>
          <w:bCs w:val="0"/>
        </w:rPr>
      </w:r>
      <w:r>
        <w:rPr/>
        <w:t>第一节重要提示、目录和释义</w:t>
      </w:r>
      <w:r>
        <w:rPr>
          <w:b w:val="0"/>
          <w:bCs w:val="0"/>
        </w:rPr>
      </w:r>
    </w:p>
    <w:p>
      <w:pPr>
        <w:spacing w:line="240" w:lineRule="auto" w:before="6"/>
        <w:rPr>
          <w:rFonts w:ascii="宋体" w:hAnsi="宋体" w:cs="宋体" w:eastAsia="宋体" w:hint="default"/>
          <w:b/>
          <w:bCs/>
          <w:sz w:val="42"/>
          <w:szCs w:val="42"/>
        </w:rPr>
      </w:pPr>
    </w:p>
    <w:p>
      <w:pPr>
        <w:pStyle w:val="Heading2"/>
        <w:spacing w:line="273" w:lineRule="auto"/>
        <w:ind w:right="1116" w:firstLine="482"/>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259" w:lineRule="auto" w:before="115"/>
        <w:ind w:right="1119" w:firstLine="482"/>
        <w:jc w:val="left"/>
        <w:rPr>
          <w:b w:val="0"/>
          <w:bCs w:val="0"/>
        </w:rPr>
      </w:pPr>
      <w:r>
        <w:rPr>
          <w:spacing w:val="2"/>
        </w:rPr>
        <w:t>公司负责人梁萍、主管会计工作负责人廖琨及会计机构负责人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吴学林声</w:t>
      </w:r>
      <w:r>
        <w:rPr>
          <w:w w:val="99"/>
        </w:rPr>
        <w:t> </w:t>
      </w:r>
      <w:r>
        <w:rPr/>
        <w:t>明：保证年度报告中财务报告的真实、准确、完整。</w:t>
      </w:r>
      <w:r>
        <w:rPr>
          <w:b w:val="0"/>
          <w:bCs w:val="0"/>
        </w:rPr>
      </w:r>
    </w:p>
    <w:p>
      <w:pPr>
        <w:pStyle w:val="Heading2"/>
        <w:spacing w:line="240" w:lineRule="auto" w:before="127"/>
        <w:ind w:left="635" w:right="1116"/>
        <w:jc w:val="left"/>
        <w:rPr>
          <w:b w:val="0"/>
          <w:bCs w:val="0"/>
        </w:rPr>
      </w:pPr>
      <w:r>
        <w:rPr/>
        <w:t>所有董事均已出席了审议本报告的董事会会议。</w:t>
      </w:r>
      <w:r>
        <w:rPr>
          <w:b w:val="0"/>
          <w:bCs w:val="0"/>
        </w:rPr>
      </w:r>
    </w:p>
    <w:p>
      <w:pPr>
        <w:pStyle w:val="Heading2"/>
        <w:spacing w:line="266" w:lineRule="auto" w:before="147"/>
        <w:ind w:right="1134" w:firstLine="482"/>
        <w:jc w:val="both"/>
        <w:rPr>
          <w:b w:val="0"/>
          <w:bCs w:val="0"/>
        </w:rPr>
      </w:pPr>
      <w:r>
        <w:rPr>
          <w:rFonts w:ascii="Times New Roman" w:hAnsi="Times New Roman" w:cs="Times New Roman" w:eastAsia="Times New Roman" w:hint="default"/>
          <w:spacing w:val="-3"/>
        </w:rPr>
        <w:t>1</w:t>
      </w:r>
      <w:r>
        <w:rPr>
          <w:spacing w:val="-3"/>
        </w:rPr>
        <w:t>、宏观经济的不确定性</w:t>
      </w:r>
      <w:r>
        <w:rPr>
          <w:rFonts w:ascii="Times New Roman" w:hAnsi="Times New Roman" w:cs="Times New Roman" w:eastAsia="Times New Roman" w:hint="default"/>
          <w:spacing w:val="-3"/>
        </w:rPr>
        <w:t>——</w:t>
      </w:r>
      <w:r>
        <w:rPr>
          <w:spacing w:val="-3"/>
        </w:rPr>
        <w:t>国内外经济不确定因素增多、贸易及金融政策波动频繁；新</w:t>
      </w:r>
      <w:r>
        <w:rPr>
          <w:w w:val="99"/>
        </w:rPr>
        <w:t> </w:t>
      </w:r>
      <w:r>
        <w:rPr/>
        <w:t>冠病毒疫情对经济造成短期不利冲击，中长期持续影响不确定，使得市场景气度的预期大幅</w:t>
      </w:r>
      <w:r>
        <w:rPr>
          <w:w w:val="99"/>
        </w:rPr>
        <w:t> </w:t>
      </w:r>
      <w:r>
        <w:rPr/>
        <w:t>下降，投资意愿减弱，公司业务存在着订单下降、退货的风险以及研发投入风险。</w:t>
      </w:r>
      <w:r>
        <w:rPr>
          <w:b w:val="0"/>
          <w:bCs w:val="0"/>
        </w:rPr>
      </w:r>
    </w:p>
    <w:p>
      <w:pPr>
        <w:pStyle w:val="Heading2"/>
        <w:spacing w:line="266" w:lineRule="auto" w:before="122"/>
        <w:ind w:right="998" w:firstLine="482"/>
        <w:jc w:val="left"/>
        <w:rPr>
          <w:b w:val="0"/>
          <w:bCs w:val="0"/>
        </w:rPr>
      </w:pPr>
      <w:r>
        <w:rPr>
          <w:rFonts w:ascii="Times New Roman" w:hAnsi="Times New Roman" w:cs="Times New Roman" w:eastAsia="Times New Roman" w:hint="default"/>
          <w:spacing w:val="-3"/>
        </w:rPr>
        <w:t>2</w:t>
      </w:r>
      <w:r>
        <w:rPr>
          <w:spacing w:val="-3"/>
        </w:rPr>
        <w:t>、高端数字激光装备制造业务进展的不确定性</w:t>
      </w:r>
      <w:r>
        <w:rPr>
          <w:rFonts w:ascii="Times New Roman" w:hAnsi="Times New Roman" w:cs="Times New Roman" w:eastAsia="Times New Roman" w:hint="default"/>
          <w:spacing w:val="-3"/>
        </w:rPr>
        <w:t>——</w:t>
      </w:r>
      <w:r>
        <w:rPr>
          <w:spacing w:val="-3"/>
        </w:rPr>
        <w:t>为应对国际贸易环境变化、为满足客</w:t>
      </w:r>
      <w:r>
        <w:rPr>
          <w:w w:val="99"/>
        </w:rPr>
        <w:t> </w:t>
      </w:r>
      <w:r>
        <w:rPr>
          <w:spacing w:val="-3"/>
        </w:rPr>
        <w:t>户对产业提档升级的需求，公司一方面调整销售策略，一方面继续加大激光产品的研发力度，</w:t>
      </w:r>
      <w:r>
        <w:rPr>
          <w:w w:val="99"/>
        </w:rPr>
        <w:t> </w:t>
      </w:r>
      <w:r>
        <w:rPr/>
        <w:t>但由于市场不确定性的存在，可能出现意外情况或进展不如计划理想等情况。</w:t>
      </w:r>
      <w:r>
        <w:rPr>
          <w:b w:val="0"/>
          <w:bCs w:val="0"/>
        </w:rPr>
      </w:r>
    </w:p>
    <w:p>
      <w:pPr>
        <w:pStyle w:val="Heading2"/>
        <w:spacing w:line="333" w:lineRule="auto" w:before="120"/>
        <w:ind w:left="635" w:right="1115"/>
        <w:jc w:val="left"/>
        <w:rPr>
          <w:b w:val="0"/>
          <w:bCs w:val="0"/>
        </w:rPr>
      </w:pPr>
      <w:r>
        <w:rPr>
          <w:rFonts w:ascii="Times New Roman" w:hAnsi="Times New Roman" w:cs="Times New Roman" w:eastAsia="Times New Roman" w:hint="default"/>
        </w:rPr>
        <w:t>3</w:t>
      </w:r>
      <w:r>
        <w:rPr/>
        <w:t>、商业智能业务应用于</w:t>
      </w:r>
      <w:r>
        <w:rPr>
          <w:spacing w:val="-59"/>
        </w:rPr>
        <w:t> </w:t>
      </w:r>
      <w:r>
        <w:rPr>
          <w:rFonts w:ascii="Times New Roman" w:hAnsi="Times New Roman" w:cs="Times New Roman" w:eastAsia="Times New Roman" w:hint="default"/>
        </w:rPr>
        <w:t>IP</w:t>
      </w:r>
      <w:r>
        <w:rPr>
          <w:rFonts w:ascii="Times New Roman" w:hAnsi="Times New Roman" w:cs="Times New Roman" w:eastAsia="Times New Roman" w:hint="default"/>
          <w:spacing w:val="-4"/>
        </w:rPr>
        <w:t> </w:t>
      </w:r>
      <w:r>
        <w:rPr/>
        <w:t>衍生品运营行业的新商业模式存在探索验证的不确定性。</w:t>
      </w:r>
      <w:r>
        <w:rPr>
          <w:w w:val="99"/>
        </w:rPr>
        <w:t> </w:t>
      </w:r>
      <w:r>
        <w:rPr/>
        <w:t>公司密切关注外部经济环境变化，在已确立的战略框架下，保持经营的稳健，制定谨慎</w:t>
      </w:r>
      <w:r>
        <w:rPr>
          <w:b w:val="0"/>
          <w:bCs w:val="0"/>
        </w:rPr>
      </w:r>
    </w:p>
    <w:p>
      <w:pPr>
        <w:pStyle w:val="Heading2"/>
        <w:spacing w:line="264" w:lineRule="exact"/>
        <w:ind w:right="1116"/>
        <w:jc w:val="left"/>
        <w:rPr>
          <w:b w:val="0"/>
          <w:bCs w:val="0"/>
        </w:rPr>
      </w:pPr>
      <w:r>
        <w:rPr/>
        <w:t>的应急措施及预案，最大限度做好风险防控。</w:t>
      </w:r>
      <w:r>
        <w:rPr>
          <w:b w:val="0"/>
          <w:bCs w:val="0"/>
        </w:rPr>
      </w:r>
    </w:p>
    <w:p>
      <w:pPr>
        <w:pStyle w:val="Heading2"/>
        <w:spacing w:line="240" w:lineRule="auto" w:before="149"/>
        <w:ind w:left="635" w:right="998"/>
        <w:jc w:val="left"/>
        <w:rPr>
          <w:b w:val="0"/>
          <w:bCs w:val="0"/>
        </w:rPr>
      </w:pPr>
      <w:r>
        <w:rPr/>
        <w:t>公司经本次董事会审议通过的利润分配预案为：以 </w:t>
      </w:r>
      <w:r>
        <w:rPr>
          <w:rFonts w:ascii="Times New Roman" w:hAnsi="Times New Roman" w:cs="Times New Roman" w:eastAsia="Times New Roman" w:hint="default"/>
        </w:rPr>
        <w:t>126,000,000 </w:t>
      </w:r>
      <w:r>
        <w:rPr>
          <w:rFonts w:ascii="Times New Roman" w:hAnsi="Times New Roman" w:cs="Times New Roman" w:eastAsia="Times New Roman" w:hint="default"/>
          <w:spacing w:val="4"/>
        </w:rPr>
        <w:t> </w:t>
      </w:r>
      <w:r>
        <w:rPr/>
        <w:t>为基数，向全体股东每</w:t>
      </w:r>
      <w:r>
        <w:rPr>
          <w:b w:val="0"/>
          <w:bCs w:val="0"/>
        </w:rPr>
      </w:r>
    </w:p>
    <w:p>
      <w:pPr>
        <w:pStyle w:val="Heading2"/>
        <w:spacing w:line="240" w:lineRule="auto" w:before="27"/>
        <w:ind w:right="998"/>
        <w:jc w:val="left"/>
        <w:rPr>
          <w:b w:val="0"/>
          <w:bCs w:val="0"/>
        </w:rPr>
      </w:pPr>
      <w:r>
        <w:rPr>
          <w:rFonts w:ascii="Times New Roman" w:hAnsi="Times New Roman" w:cs="Times New Roman" w:eastAsia="Times New Roman" w:hint="default"/>
        </w:rPr>
        <w:t>10 </w:t>
      </w:r>
      <w:r>
        <w:rPr>
          <w:spacing w:val="2"/>
          <w:w w:val="99"/>
        </w:rPr>
        <w:t>股派</w:t>
      </w:r>
      <w:r>
        <w:rPr>
          <w:w w:val="99"/>
        </w:rPr>
        <w:t>发现</w:t>
      </w:r>
      <w:r>
        <w:rPr>
          <w:spacing w:val="2"/>
          <w:w w:val="99"/>
        </w:rPr>
        <w:t>金红</w:t>
      </w:r>
      <w:r>
        <w:rPr>
          <w:w w:val="99"/>
        </w:rPr>
        <w:t>利</w:t>
      </w:r>
      <w:r>
        <w:rPr>
          <w:spacing w:val="-58"/>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1</w:t>
      </w:r>
      <w:r>
        <w:rPr>
          <w:rFonts w:ascii="Times New Roman" w:hAnsi="Times New Roman" w:cs="Times New Roman" w:eastAsia="Times New Roman" w:hint="default"/>
        </w:rPr>
        <w:t>3 </w:t>
      </w:r>
      <w:r>
        <w:rPr>
          <w:spacing w:val="2"/>
          <w:w w:val="99"/>
        </w:rPr>
        <w:t>元（</w:t>
      </w:r>
      <w:r>
        <w:rPr>
          <w:w w:val="99"/>
        </w:rPr>
        <w:t>含税</w:t>
      </w:r>
      <w:r>
        <w:rPr>
          <w:spacing w:val="-118"/>
          <w:w w:val="99"/>
        </w:rPr>
        <w:t>）</w:t>
      </w:r>
      <w:r>
        <w:rPr>
          <w:w w:val="99"/>
        </w:rPr>
        <w:t>，送</w:t>
      </w:r>
      <w:r>
        <w:rPr>
          <w:spacing w:val="2"/>
          <w:w w:val="99"/>
        </w:rPr>
        <w:t>红</w:t>
      </w:r>
      <w:r>
        <w:rPr>
          <w:w w:val="99"/>
        </w:rPr>
        <w:t>股</w:t>
      </w:r>
      <w:r>
        <w:rPr>
          <w:spacing w:val="-60"/>
        </w:rPr>
        <w:t> </w:t>
      </w:r>
      <w:r>
        <w:rPr>
          <w:rFonts w:ascii="Times New Roman" w:hAnsi="Times New Roman" w:cs="Times New Roman" w:eastAsia="Times New Roman" w:hint="default"/>
        </w:rPr>
        <w:t>0 </w:t>
      </w:r>
      <w:r>
        <w:rPr>
          <w:spacing w:val="2"/>
          <w:w w:val="99"/>
        </w:rPr>
        <w:t>股（</w:t>
      </w:r>
      <w:r>
        <w:rPr>
          <w:w w:val="99"/>
        </w:rPr>
        <w:t>含税</w:t>
      </w:r>
      <w:r>
        <w:rPr>
          <w:spacing w:val="-118"/>
          <w:w w:val="99"/>
        </w:rPr>
        <w:t>）</w:t>
      </w:r>
      <w:r>
        <w:rPr>
          <w:w w:val="99"/>
        </w:rPr>
        <w:t>，以</w:t>
      </w:r>
      <w:r>
        <w:rPr>
          <w:spacing w:val="2"/>
          <w:w w:val="99"/>
        </w:rPr>
        <w:t>资</w:t>
      </w:r>
      <w:r>
        <w:rPr>
          <w:w w:val="99"/>
        </w:rPr>
        <w:t>本</w:t>
      </w:r>
      <w:r>
        <w:rPr>
          <w:spacing w:val="2"/>
          <w:w w:val="99"/>
        </w:rPr>
        <w:t>公</w:t>
      </w:r>
      <w:r>
        <w:rPr>
          <w:w w:val="99"/>
        </w:rPr>
        <w:t>积</w:t>
      </w:r>
      <w:r>
        <w:rPr>
          <w:spacing w:val="2"/>
          <w:w w:val="99"/>
        </w:rPr>
        <w:t>金</w:t>
      </w:r>
      <w:r>
        <w:rPr>
          <w:w w:val="99"/>
        </w:rPr>
        <w:t>向全</w:t>
      </w:r>
      <w:r>
        <w:rPr>
          <w:spacing w:val="2"/>
          <w:w w:val="99"/>
        </w:rPr>
        <w:t>体</w:t>
      </w:r>
      <w:r>
        <w:rPr>
          <w:w w:val="99"/>
        </w:rPr>
        <w:t>股</w:t>
      </w:r>
      <w:r>
        <w:rPr>
          <w:spacing w:val="2"/>
          <w:w w:val="99"/>
        </w:rPr>
        <w:t>东</w:t>
      </w:r>
      <w:r>
        <w:rPr>
          <w:w w:val="99"/>
        </w:rPr>
        <w:t>每</w:t>
      </w:r>
      <w:r>
        <w:rPr>
          <w:spacing w:val="-56"/>
        </w:rPr>
        <w:t> </w:t>
      </w:r>
      <w:r>
        <w:rPr>
          <w:rFonts w:ascii="Times New Roman" w:hAnsi="Times New Roman" w:cs="Times New Roman" w:eastAsia="Times New Roman" w:hint="default"/>
          <w:spacing w:val="-3"/>
        </w:rPr>
        <w:t>1</w:t>
      </w:r>
      <w:r>
        <w:rPr>
          <w:rFonts w:ascii="Times New Roman" w:hAnsi="Times New Roman" w:cs="Times New Roman" w:eastAsia="Times New Roman" w:hint="default"/>
        </w:rPr>
        <w:t>0 </w:t>
      </w:r>
      <w:r>
        <w:rPr>
          <w:w w:val="99"/>
        </w:rPr>
        <w:t>股</w:t>
      </w:r>
      <w:r>
        <w:rPr>
          <w:b w:val="0"/>
          <w:bCs w:val="0"/>
        </w:rPr>
      </w:r>
    </w:p>
    <w:p>
      <w:pPr>
        <w:pStyle w:val="Heading2"/>
        <w:spacing w:line="240" w:lineRule="auto" w:before="25"/>
        <w:ind w:right="1116"/>
        <w:jc w:val="left"/>
        <w:rPr>
          <w:b w:val="0"/>
          <w:bCs w:val="0"/>
        </w:rPr>
      </w:pPr>
      <w:r>
        <w:rPr/>
        <w:t>转增</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w:t>
      </w:r>
      <w:r>
        <w:rPr>
          <w:b w:val="0"/>
          <w:bCs w:val="0"/>
        </w:rPr>
      </w:r>
    </w:p>
    <w:p>
      <w:pPr>
        <w:spacing w:after="0" w:line="240" w:lineRule="auto"/>
        <w:jc w:val="left"/>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78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784"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8"/>
          <w:szCs w:val="18"/>
        </w:rPr>
      </w:pPr>
    </w:p>
    <w:p>
      <w:pPr>
        <w:spacing w:before="0"/>
        <w:ind w:left="0" w:right="1139" w:firstLine="0"/>
        <w:jc w:val="right"/>
        <w:rPr>
          <w:rFonts w:ascii="宋体" w:hAnsi="宋体" w:cs="宋体" w:eastAsia="宋体" w:hint="default"/>
          <w:sz w:val="18"/>
          <w:szCs w:val="18"/>
        </w:rPr>
      </w:pPr>
      <w:r>
        <w:rPr/>
        <w:pict>
          <v:shape style="position:absolute;margin-left:57.119999pt;margin-top:-346.538269pt;width:477.95pt;height:364.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611"/>
                    <w:gridCol w:w="5424"/>
                  </w:tblGrid>
                  <w:tr>
                    <w:trPr>
                      <w:trHeight w:val="403" w:hRule="exact"/>
                    </w:trPr>
                    <w:tc>
                      <w:tcPr>
                        <w:tcW w:w="35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金运激光</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3"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1" w:hRule="exact"/>
                    </w:trPr>
                    <w:tc>
                      <w:tcPr>
                        <w:tcW w:w="3510"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《武汉金运激光股份有限公司章程》</w:t>
                        </w:r>
                      </w:p>
                    </w:tc>
                  </w:tr>
                  <w:tr>
                    <w:trPr>
                      <w:trHeight w:val="473"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激光切割</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nil" w:sz="6" w:space="0" w:color="auto"/>
                        </w:tcBorders>
                      </w:tcPr>
                      <w:p>
                        <w:pPr>
                          <w:pStyle w:val="TableParagraph"/>
                          <w:spacing w:line="316" w:lineRule="auto" w:before="49"/>
                          <w:ind w:left="28" w:right="13"/>
                          <w:jc w:val="both"/>
                          <w:rPr>
                            <w:rFonts w:ascii="宋体" w:hAnsi="宋体" w:cs="宋体" w:eastAsia="宋体" w:hint="default"/>
                            <w:sz w:val="18"/>
                            <w:szCs w:val="18"/>
                          </w:rPr>
                        </w:pPr>
                        <w:r>
                          <w:rPr>
                            <w:rFonts w:ascii="宋体" w:hAnsi="宋体" w:cs="宋体" w:eastAsia="宋体" w:hint="default"/>
                            <w:spacing w:val="-2"/>
                            <w:sz w:val="18"/>
                            <w:szCs w:val="18"/>
                          </w:rPr>
                          <w:t>激光切割是指将高功率密度的激光束聚焦后照射到被切割工件上，在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极短时间内将材料加热到极高温度，使材料熔化或气化，再用高压气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体将熔化或气化物质从切缝中吹走，以达到切割材料目的的一种激光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加工方式。</w:t>
                        </w:r>
                      </w:p>
                    </w:tc>
                  </w:tr>
                  <w:tr>
                    <w:trPr>
                      <w:trHeight w:val="394" w:hRule="exact"/>
                    </w:trPr>
                    <w:tc>
                      <w:tcPr>
                        <w:tcW w:w="3510" w:type="dxa"/>
                        <w:vMerge/>
                        <w:tcBorders>
                          <w:left w:val="nil" w:sz="6" w:space="0" w:color="auto"/>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nil" w:sz="6" w:space="0" w:color="auto"/>
                        </w:tcBorders>
                      </w:tcPr>
                      <w:p>
                        <w:pPr/>
                      </w:p>
                    </w:tc>
                  </w:tr>
                  <w:tr>
                    <w:trPr>
                      <w:trHeight w:val="473" w:hRule="exact"/>
                    </w:trPr>
                    <w:tc>
                      <w:tcPr>
                        <w:tcW w:w="3510" w:type="dxa"/>
                        <w:vMerge/>
                        <w:tcBorders>
                          <w:left w:val="nil" w:sz="6" w:space="0" w:color="auto"/>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nil" w:sz="6" w:space="0" w:color="auto"/>
                        </w:tcBorders>
                      </w:tcPr>
                      <w:p>
                        <w:pPr/>
                      </w:p>
                    </w:tc>
                  </w:tr>
                  <w:tr>
                    <w:trPr>
                      <w:trHeight w:val="785"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打印</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nil" w:sz="6" w:space="0" w:color="auto"/>
                        </w:tcBorders>
                      </w:tcPr>
                      <w:p>
                        <w:pPr>
                          <w:pStyle w:val="TableParagraph"/>
                          <w:spacing w:line="304" w:lineRule="auto" w:before="49"/>
                          <w:ind w:left="28"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打印技术亦被称为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增材制造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Additive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Manufacturing),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是在现代</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CAD/CAM</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技术、激光技术、计算机数控技术、精密伺服驱动技术以 </w:t>
                        </w:r>
                        <w:r>
                          <w:rPr>
                            <w:rFonts w:ascii="宋体" w:hAnsi="宋体" w:cs="宋体" w:eastAsia="宋体" w:hint="default"/>
                            <w:spacing w:val="-2"/>
                            <w:sz w:val="18"/>
                            <w:szCs w:val="18"/>
                          </w:rPr>
                          <w:t>及新材料等技术的基础上集成发展起来的一项数字化制造技术，其采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分层制造，逐层叠加</w:t>
                        </w:r>
                        <w:r>
                          <w:rPr>
                            <w:rFonts w:ascii="Times New Roman" w:hAnsi="Times New Roman" w:cs="Times New Roman" w:eastAsia="Times New Roman" w:hint="default"/>
                            <w:sz w:val="18"/>
                            <w:szCs w:val="18"/>
                          </w:rPr>
                          <w:t>"</w:t>
                        </w:r>
                        <w:r>
                          <w:rPr>
                            <w:rFonts w:ascii="宋体" w:hAnsi="宋体" w:cs="宋体" w:eastAsia="宋体" w:hint="default"/>
                            <w:sz w:val="18"/>
                            <w:szCs w:val="18"/>
                          </w:rPr>
                          <w:t>的原理直接将设计模型转化为三维实体，由 传统制造的</w:t>
                        </w:r>
                        <w:r>
                          <w:rPr>
                            <w:rFonts w:ascii="Times New Roman" w:hAnsi="Times New Roman" w:cs="Times New Roman" w:eastAsia="Times New Roman" w:hint="default"/>
                            <w:sz w:val="18"/>
                            <w:szCs w:val="18"/>
                          </w:rPr>
                          <w:t>"</w:t>
                        </w:r>
                        <w:r>
                          <w:rPr>
                            <w:rFonts w:ascii="宋体" w:hAnsi="宋体" w:cs="宋体" w:eastAsia="宋体" w:hint="default"/>
                            <w:sz w:val="18"/>
                            <w:szCs w:val="18"/>
                          </w:rPr>
                          <w:t>去除法</w:t>
                        </w:r>
                        <w:r>
                          <w:rPr>
                            <w:rFonts w:ascii="Times New Roman" w:hAnsi="Times New Roman" w:cs="Times New Roman" w:eastAsia="Times New Roman" w:hint="default"/>
                            <w:sz w:val="18"/>
                            <w:szCs w:val="18"/>
                          </w:rPr>
                          <w:t>"</w:t>
                        </w:r>
                        <w:r>
                          <w:rPr>
                            <w:rFonts w:ascii="宋体" w:hAnsi="宋体" w:cs="宋体" w:eastAsia="宋体" w:hint="default"/>
                            <w:sz w:val="18"/>
                            <w:szCs w:val="18"/>
                          </w:rPr>
                          <w:t>转变为</w:t>
                        </w:r>
                        <w:r>
                          <w:rPr>
                            <w:rFonts w:ascii="Times New Roman" w:hAnsi="Times New Roman" w:cs="Times New Roman" w:eastAsia="Times New Roman" w:hint="default"/>
                            <w:sz w:val="18"/>
                            <w:szCs w:val="18"/>
                          </w:rPr>
                          <w:t>"</w:t>
                        </w:r>
                        <w:r>
                          <w:rPr>
                            <w:rFonts w:ascii="宋体" w:hAnsi="宋体" w:cs="宋体" w:eastAsia="宋体" w:hint="default"/>
                            <w:sz w:val="18"/>
                            <w:szCs w:val="18"/>
                          </w:rPr>
                          <w:t>增长法</w:t>
                        </w:r>
                        <w:r>
                          <w:rPr>
                            <w:rFonts w:ascii="Times New Roman" w:hAnsi="Times New Roman" w:cs="Times New Roman" w:eastAsia="Times New Roman" w:hint="default"/>
                            <w:sz w:val="18"/>
                            <w:szCs w:val="18"/>
                          </w:rPr>
                          <w:t>"</w:t>
                        </w:r>
                        <w:r>
                          <w:rPr>
                            <w:rFonts w:ascii="宋体" w:hAnsi="宋体" w:cs="宋体" w:eastAsia="宋体" w:hint="default"/>
                            <w:sz w:val="18"/>
                            <w:szCs w:val="18"/>
                          </w:rPr>
                          <w:t>，使产品设计、制造的周期大大 缩短，产品开发的成本大大降低，给制造业带来了颠覆性的变化。</w:t>
                        </w:r>
                      </w:p>
                    </w:tc>
                  </w:tr>
                  <w:tr>
                    <w:trPr>
                      <w:trHeight w:val="391" w:hRule="exact"/>
                    </w:trPr>
                    <w:tc>
                      <w:tcPr>
                        <w:tcW w:w="3510" w:type="dxa"/>
                        <w:vMerge/>
                        <w:tcBorders>
                          <w:left w:val="nil" w:sz="6" w:space="0" w:color="auto"/>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nil" w:sz="6" w:space="0" w:color="auto"/>
                        </w:tcBorders>
                      </w:tcPr>
                      <w:p>
                        <w:pPr/>
                      </w:p>
                    </w:tc>
                  </w:tr>
                  <w:tr>
                    <w:trPr>
                      <w:trHeight w:val="785" w:hRule="exact"/>
                    </w:trPr>
                    <w:tc>
                      <w:tcPr>
                        <w:tcW w:w="3510" w:type="dxa"/>
                        <w:vMerge/>
                        <w:tcBorders>
                          <w:left w:val="nil" w:sz="6" w:space="0" w:color="auto"/>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nil" w:sz="6" w:space="0" w:color="auto"/>
                        </w:tcBorders>
                      </w:tcPr>
                      <w:p>
                        <w:pPr/>
                      </w:p>
                    </w:tc>
                  </w:tr>
                  <w:tr>
                    <w:trPr>
                      <w:trHeight w:val="629"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SaaS</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nil" w:sz="6" w:space="0" w:color="auto"/>
                        </w:tcBorders>
                      </w:tcPr>
                      <w:p>
                        <w:pPr>
                          <w:pStyle w:val="TableParagraph"/>
                          <w:spacing w:line="314"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（软件即服务）的简称，是一种通过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Internet </w:t>
                        </w:r>
                        <w:r>
                          <w:rPr>
                            <w:rFonts w:ascii="宋体" w:hAnsi="宋体" w:cs="宋体" w:eastAsia="宋体" w:hint="default"/>
                            <w:spacing w:val="-2"/>
                            <w:sz w:val="18"/>
                            <w:szCs w:val="18"/>
                          </w:rPr>
                          <w:t>提供软件的模式，厂商将应用软件统一部署在自己的服务器上，客户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可以根据自己实际需求，通过互联网向厂商定购所需的应用软件服 </w:t>
                        </w:r>
                        <w:r>
                          <w:rPr>
                            <w:rFonts w:ascii="宋体" w:hAnsi="宋体" w:cs="宋体" w:eastAsia="宋体" w:hint="default"/>
                            <w:spacing w:val="-2"/>
                            <w:sz w:val="18"/>
                            <w:szCs w:val="18"/>
                          </w:rPr>
                          <w:t>务，按定购的服务多少和时间长短向厂商支付费用，并通过互联网获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得厂商提供的服务。</w:t>
                        </w:r>
                      </w:p>
                    </w:tc>
                  </w:tr>
                  <w:tr>
                    <w:trPr>
                      <w:trHeight w:val="394" w:hRule="exact"/>
                    </w:trPr>
                    <w:tc>
                      <w:tcPr>
                        <w:tcW w:w="3510" w:type="dxa"/>
                        <w:vMerge/>
                        <w:tcBorders>
                          <w:left w:val="nil" w:sz="6" w:space="0" w:color="auto"/>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nil" w:sz="6" w:space="0" w:color="auto"/>
                        </w:tcBorders>
                      </w:tcPr>
                      <w:p>
                        <w:pPr/>
                      </w:p>
                    </w:tc>
                  </w:tr>
                  <w:tr>
                    <w:trPr>
                      <w:trHeight w:val="629" w:hRule="exact"/>
                    </w:trPr>
                    <w:tc>
                      <w:tcPr>
                        <w:tcW w:w="3510" w:type="dxa"/>
                        <w:vMerge/>
                        <w:tcBorders>
                          <w:left w:val="nil" w:sz="6" w:space="0" w:color="auto"/>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nil" w:sz="6" w:space="0" w:color="auto"/>
                        </w:tcBorders>
                      </w:tcPr>
                      <w:p>
                        <w:pPr/>
                      </w:p>
                    </w:tc>
                  </w:tr>
                  <w:tr>
                    <w:trPr>
                      <w:trHeight w:val="161" w:hRule="exact"/>
                    </w:trPr>
                    <w:tc>
                      <w:tcPr>
                        <w:tcW w:w="3510" w:type="dxa"/>
                        <w:vMerge w:val="restart"/>
                        <w:tcBorders>
                          <w:top w:val="single" w:sz="4" w:space="0" w:color="000000"/>
                          <w:left w:val="nil" w:sz="6" w:space="0" w:color="auto"/>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IP</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nil" w:sz="6" w:space="0" w:color="auto"/>
                        </w:tcBorders>
                      </w:tcPr>
                      <w:p>
                        <w:pPr>
                          <w:pStyle w:val="TableParagraph"/>
                          <w:spacing w:line="300" w:lineRule="auto" w:before="49"/>
                          <w:ind w:left="28" w:right="37"/>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w w:val="99"/>
                            <w:sz w:val="18"/>
                            <w:szCs w:val="18"/>
                          </w:rPr>
                          <w:t>ll</w:t>
                        </w:r>
                        <w:r>
                          <w:rPr>
                            <w:rFonts w:ascii="Times New Roman" w:hAnsi="Times New Roman" w:cs="Times New Roman" w:eastAsia="Times New Roman" w:hint="default"/>
                            <w:spacing w:val="-1"/>
                            <w:w w:val="99"/>
                            <w:sz w:val="18"/>
                            <w:szCs w:val="18"/>
                          </w:rPr>
                          <w:t>ec</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l</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2"/>
                            <w:w w:val="99"/>
                            <w:sz w:val="18"/>
                            <w:szCs w:val="18"/>
                          </w:rPr>
                          <w:t>P</w:t>
                        </w:r>
                        <w:r>
                          <w:rPr>
                            <w:rFonts w:ascii="Times New Roman" w:hAnsi="Times New Roman" w:cs="Times New Roman" w:eastAsia="Times New Roman" w:hint="default"/>
                            <w:spacing w:val="-3"/>
                            <w:w w:val="99"/>
                            <w:sz w:val="18"/>
                            <w:szCs w:val="18"/>
                          </w:rPr>
                          <w:t>r</w:t>
                        </w:r>
                        <w:r>
                          <w:rPr>
                            <w:rFonts w:ascii="Times New Roman" w:hAnsi="Times New Roman" w:cs="Times New Roman" w:eastAsia="Times New Roman" w:hint="default"/>
                            <w:spacing w:val="1"/>
                            <w:w w:val="99"/>
                            <w:sz w:val="18"/>
                            <w:szCs w:val="18"/>
                          </w:rPr>
                          <w:t>op</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w w:val="99"/>
                            <w:sz w:val="18"/>
                            <w:szCs w:val="18"/>
                          </w:rPr>
                          <w:t>rt</w:t>
                        </w:r>
                        <w:r>
                          <w:rPr>
                            <w:rFonts w:ascii="Times New Roman" w:hAnsi="Times New Roman" w:cs="Times New Roman" w:eastAsia="Times New Roman" w:hint="default"/>
                            <w:spacing w:val="-2"/>
                            <w:w w:val="99"/>
                            <w:sz w:val="18"/>
                            <w:szCs w:val="18"/>
                          </w:rPr>
                          <w:t>y</w:t>
                        </w:r>
                        <w:r>
                          <w:rPr>
                            <w:rFonts w:ascii="宋体" w:hAnsi="宋体" w:cs="宋体" w:eastAsia="宋体" w:hint="default"/>
                            <w:w w:val="99"/>
                            <w:sz w:val="18"/>
                            <w:szCs w:val="18"/>
                          </w:rPr>
                          <w:t>（知识产权</w:t>
                        </w:r>
                        <w:r>
                          <w:rPr>
                            <w:rFonts w:ascii="宋体" w:hAnsi="宋体" w:cs="宋体" w:eastAsia="宋体" w:hint="default"/>
                            <w:spacing w:val="-92"/>
                            <w:w w:val="99"/>
                            <w:sz w:val="18"/>
                            <w:szCs w:val="18"/>
                          </w:rPr>
                          <w:t>）</w:t>
                        </w:r>
                        <w:r>
                          <w:rPr>
                            <w:rFonts w:ascii="宋体" w:hAnsi="宋体" w:cs="宋体" w:eastAsia="宋体" w:hint="default"/>
                            <w:w w:val="99"/>
                            <w:sz w:val="18"/>
                            <w:szCs w:val="18"/>
                          </w:rPr>
                          <w:t>，系用户情感的承载介质，</w:t>
                        </w:r>
                        <w:r>
                          <w:rPr>
                            <w:rFonts w:ascii="宋体" w:hAnsi="宋体" w:cs="宋体" w:eastAsia="宋体" w:hint="default"/>
                            <w:spacing w:val="2"/>
                            <w:w w:val="99"/>
                            <w:sz w:val="18"/>
                            <w:szCs w:val="18"/>
                          </w:rPr>
                          <w:t>它</w:t>
                        </w:r>
                        <w:r>
                          <w:rPr>
                            <w:rFonts w:ascii="宋体" w:hAnsi="宋体" w:cs="宋体" w:eastAsia="宋体" w:hint="default"/>
                            <w:w w:val="99"/>
                            <w:sz w:val="18"/>
                            <w:szCs w:val="18"/>
                          </w:rPr>
                          <w:t>可以是</w:t>
                        </w:r>
                        <w:r>
                          <w:rPr>
                            <w:rFonts w:ascii="宋体" w:hAnsi="宋体" w:cs="宋体" w:eastAsia="宋体" w:hint="default"/>
                            <w:w w:val="99"/>
                            <w:sz w:val="18"/>
                            <w:szCs w:val="18"/>
                          </w:rPr>
                          <w:t> 文学</w:t>
                        </w:r>
                        <w:r>
                          <w:rPr>
                            <w:rFonts w:ascii="宋体" w:hAnsi="宋体" w:cs="宋体" w:eastAsia="宋体" w:hint="default"/>
                            <w:spacing w:val="-5"/>
                            <w:w w:val="99"/>
                            <w:sz w:val="18"/>
                            <w:szCs w:val="18"/>
                          </w:rPr>
                          <w:t>、</w:t>
                        </w:r>
                        <w:r>
                          <w:rPr>
                            <w:rFonts w:ascii="宋体" w:hAnsi="宋体" w:cs="宋体" w:eastAsia="宋体" w:hint="default"/>
                            <w:w w:val="99"/>
                            <w:sz w:val="18"/>
                            <w:szCs w:val="18"/>
                          </w:rPr>
                          <w:t>音乐</w:t>
                        </w:r>
                        <w:r>
                          <w:rPr>
                            <w:rFonts w:ascii="宋体" w:hAnsi="宋体" w:cs="宋体" w:eastAsia="宋体" w:hint="default"/>
                            <w:spacing w:val="-5"/>
                            <w:w w:val="99"/>
                            <w:sz w:val="18"/>
                            <w:szCs w:val="18"/>
                          </w:rPr>
                          <w:t>、</w:t>
                        </w:r>
                        <w:r>
                          <w:rPr>
                            <w:rFonts w:ascii="宋体" w:hAnsi="宋体" w:cs="宋体" w:eastAsia="宋体" w:hint="default"/>
                            <w:w w:val="99"/>
                            <w:sz w:val="18"/>
                            <w:szCs w:val="18"/>
                          </w:rPr>
                          <w:t>动漫</w:t>
                        </w:r>
                        <w:r>
                          <w:rPr>
                            <w:rFonts w:ascii="宋体" w:hAnsi="宋体" w:cs="宋体" w:eastAsia="宋体" w:hint="default"/>
                            <w:spacing w:val="-5"/>
                            <w:w w:val="99"/>
                            <w:sz w:val="18"/>
                            <w:szCs w:val="18"/>
                          </w:rPr>
                          <w:t>、</w:t>
                        </w:r>
                        <w:r>
                          <w:rPr>
                            <w:rFonts w:ascii="宋体" w:hAnsi="宋体" w:cs="宋体" w:eastAsia="宋体" w:hint="default"/>
                            <w:w w:val="99"/>
                            <w:sz w:val="18"/>
                            <w:szCs w:val="18"/>
                          </w:rPr>
                          <w:t>网剧</w:t>
                        </w:r>
                        <w:r>
                          <w:rPr>
                            <w:rFonts w:ascii="宋体" w:hAnsi="宋体" w:cs="宋体" w:eastAsia="宋体" w:hint="default"/>
                            <w:spacing w:val="-5"/>
                            <w:w w:val="99"/>
                            <w:sz w:val="18"/>
                            <w:szCs w:val="18"/>
                          </w:rPr>
                          <w:t>、</w:t>
                        </w:r>
                        <w:r>
                          <w:rPr>
                            <w:rFonts w:ascii="宋体" w:hAnsi="宋体" w:cs="宋体" w:eastAsia="宋体" w:hint="default"/>
                            <w:spacing w:val="-3"/>
                            <w:w w:val="99"/>
                            <w:sz w:val="18"/>
                            <w:szCs w:val="18"/>
                          </w:rPr>
                          <w:t>影</w:t>
                        </w:r>
                        <w:r>
                          <w:rPr>
                            <w:rFonts w:ascii="宋体" w:hAnsi="宋体" w:cs="宋体" w:eastAsia="宋体" w:hint="default"/>
                            <w:w w:val="99"/>
                            <w:sz w:val="18"/>
                            <w:szCs w:val="18"/>
                          </w:rPr>
                          <w:t>视</w:t>
                        </w:r>
                        <w:r>
                          <w:rPr>
                            <w:rFonts w:ascii="宋体" w:hAnsi="宋体" w:cs="宋体" w:eastAsia="宋体" w:hint="default"/>
                            <w:spacing w:val="-5"/>
                            <w:w w:val="99"/>
                            <w:sz w:val="18"/>
                            <w:szCs w:val="18"/>
                          </w:rPr>
                          <w:t>、</w:t>
                        </w:r>
                        <w:r>
                          <w:rPr>
                            <w:rFonts w:ascii="宋体" w:hAnsi="宋体" w:cs="宋体" w:eastAsia="宋体" w:hint="default"/>
                            <w:w w:val="99"/>
                            <w:sz w:val="18"/>
                            <w:szCs w:val="18"/>
                          </w:rPr>
                          <w:t>游戏等领域的内</w:t>
                        </w:r>
                        <w:r>
                          <w:rPr>
                            <w:rFonts w:ascii="宋体" w:hAnsi="宋体" w:cs="宋体" w:eastAsia="宋体" w:hint="default"/>
                            <w:spacing w:val="-5"/>
                            <w:w w:val="99"/>
                            <w:sz w:val="18"/>
                            <w:szCs w:val="18"/>
                          </w:rPr>
                          <w:t>容</w:t>
                        </w:r>
                        <w:r>
                          <w:rPr>
                            <w:rFonts w:ascii="宋体" w:hAnsi="宋体" w:cs="宋体" w:eastAsia="宋体" w:hint="default"/>
                            <w:w w:val="99"/>
                            <w:sz w:val="18"/>
                            <w:szCs w:val="18"/>
                          </w:rPr>
                          <w:t>（或者叫产品</w:t>
                        </w:r>
                        <w:r>
                          <w:rPr>
                            <w:rFonts w:ascii="宋体" w:hAnsi="宋体" w:cs="宋体" w:eastAsia="宋体" w:hint="default"/>
                            <w:spacing w:val="-92"/>
                            <w:w w:val="99"/>
                            <w:sz w:val="18"/>
                            <w:szCs w:val="18"/>
                          </w:rPr>
                          <w:t>）</w:t>
                        </w:r>
                        <w:r>
                          <w:rPr>
                            <w:rFonts w:ascii="宋体" w:hAnsi="宋体" w:cs="宋体" w:eastAsia="宋体" w:hint="default"/>
                            <w:sz w:val="18"/>
                            <w:szCs w:val="18"/>
                          </w:rPr>
                        </w:r>
                      </w:p>
                    </w:tc>
                  </w:tr>
                  <w:tr>
                    <w:trPr>
                      <w:trHeight w:val="391" w:hRule="exact"/>
                    </w:trPr>
                    <w:tc>
                      <w:tcPr>
                        <w:tcW w:w="3510" w:type="dxa"/>
                        <w:vMerge/>
                        <w:tcBorders>
                          <w:left w:val="nil" w:sz="6" w:space="0" w:color="auto"/>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nil" w:sz="6" w:space="0" w:color="auto"/>
                        </w:tcBorders>
                      </w:tcPr>
                      <w:p>
                        <w:pPr/>
                      </w:p>
                    </w:tc>
                  </w:tr>
                  <w:tr>
                    <w:trPr>
                      <w:trHeight w:val="161" w:hRule="exact"/>
                    </w:trPr>
                    <w:tc>
                      <w:tcPr>
                        <w:tcW w:w="3510" w:type="dxa"/>
                        <w:vMerge/>
                        <w:tcBorders>
                          <w:left w:val="nil" w:sz="6" w:space="0" w:color="auto"/>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16"/>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6"/>
        <w:jc w:val="left"/>
        <w:rPr>
          <w:b w:val="0"/>
          <w:bCs w:val="0"/>
        </w:rPr>
      </w:pPr>
      <w:r>
        <w:rPr/>
        <w:pict>
          <v:group style="position:absolute;margin-left:172.339996pt;margin-top:114.705597pt;width:361.55pt;height:19.7pt;mso-position-horizontal-relative:page;mso-position-vertical-relative:paragraph;z-index:-795688"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2273"/>
        <w:gridCol w:w="2966"/>
        <w:gridCol w:w="2154"/>
        <w:gridCol w:w="2177"/>
      </w:tblGrid>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300220</w:t>
            </w:r>
          </w:p>
        </w:tc>
      </w:tr>
      <w:tr>
        <w:trPr>
          <w:trHeight w:val="401"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r>
      <w:tr>
        <w:trPr>
          <w:trHeight w:val="401"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Wuhan Golden Laser Co.,</w:t>
            </w:r>
            <w:r>
              <w:rPr>
                <w:rFonts w:ascii="Times New Roman"/>
                <w:spacing w:val="-17"/>
                <w:sz w:val="18"/>
              </w:rPr>
              <w:t> </w:t>
            </w:r>
            <w:r>
              <w:rPr>
                <w:rFonts w:ascii="Times New Roman"/>
                <w:sz w:val="18"/>
              </w:rPr>
              <w:t>Ltd</w:t>
            </w:r>
          </w:p>
        </w:tc>
      </w:tr>
      <w:tr>
        <w:trPr>
          <w:trHeight w:val="403" w:hRule="exact"/>
        </w:trPr>
        <w:tc>
          <w:tcPr>
            <w:tcW w:w="2273"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49"/>
              <w:ind w:left="28"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nil" w:sz="6" w:space="0" w:color="auto"/>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Golden</w:t>
            </w:r>
            <w:r>
              <w:rPr>
                <w:rFonts w:ascii="Times New Roman"/>
                <w:spacing w:val="-7"/>
                <w:sz w:val="18"/>
              </w:rPr>
              <w:t> </w:t>
            </w:r>
            <w:r>
              <w:rPr>
                <w:rFonts w:ascii="Times New Roman"/>
                <w:sz w:val="18"/>
              </w:rPr>
              <w:t>Laser</w:t>
            </w:r>
          </w:p>
        </w:tc>
      </w:tr>
      <w:tr>
        <w:trPr>
          <w:trHeight w:val="401"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1"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栋金运激光大厦</w:t>
            </w:r>
          </w:p>
        </w:tc>
      </w:tr>
      <w:tr>
        <w:trPr>
          <w:trHeight w:val="401"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http://www.goldenlaser.cn</w:t>
              </w:r>
            </w:hyperlink>
          </w:p>
        </w:tc>
      </w:tr>
      <w:tr>
        <w:trPr>
          <w:trHeight w:val="401"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6"/>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石慧</w:t>
            </w:r>
          </w:p>
        </w:tc>
      </w:tr>
      <w:tr>
        <w:trPr>
          <w:trHeight w:val="161" w:hRule="exact"/>
        </w:trPr>
        <w:tc>
          <w:tcPr>
            <w:tcW w:w="3165" w:type="dxa"/>
            <w:tcBorders>
              <w:top w:val="single" w:sz="4" w:space="0" w:color="000000"/>
              <w:left w:val="nil" w:sz="6" w:space="0" w:color="auto"/>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1"/>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金运激光大厦</w:t>
            </w:r>
          </w:p>
        </w:tc>
        <w:tc>
          <w:tcPr>
            <w:tcW w:w="3178" w:type="dxa"/>
            <w:vMerge w:val="restart"/>
            <w:tcBorders>
              <w:top w:val="single" w:sz="4" w:space="0" w:color="000000"/>
              <w:left w:val="single" w:sz="4" w:space="0" w:color="000000"/>
              <w:right w:val="nil" w:sz="6" w:space="0" w:color="auto"/>
            </w:tcBorders>
          </w:tcPr>
          <w:p>
            <w:pPr>
              <w:pStyle w:val="TableParagraph"/>
              <w:spacing w:line="300"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金运激光大厦</w:t>
            </w:r>
          </w:p>
        </w:tc>
      </w:tr>
      <w:tr>
        <w:trPr>
          <w:trHeight w:val="391" w:hRule="exact"/>
        </w:trPr>
        <w:tc>
          <w:tcPr>
            <w:tcW w:w="3165"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78" w:type="dxa"/>
            <w:vMerge/>
            <w:tcBorders>
              <w:left w:val="single" w:sz="4" w:space="0" w:color="000000"/>
              <w:right w:val="nil" w:sz="6" w:space="0" w:color="auto"/>
            </w:tcBorders>
          </w:tcPr>
          <w:p>
            <w:pPr/>
          </w:p>
        </w:tc>
      </w:tr>
      <w:tr>
        <w:trPr>
          <w:trHeight w:val="161" w:hRule="exact"/>
        </w:trPr>
        <w:tc>
          <w:tcPr>
            <w:tcW w:w="3165" w:type="dxa"/>
            <w:tcBorders>
              <w:top w:val="nil" w:sz="6" w:space="0" w:color="auto"/>
              <w:left w:val="nil" w:sz="6" w:space="0" w:color="auto"/>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78" w:type="dxa"/>
            <w:vMerge/>
            <w:tcBorders>
              <w:left w:val="single" w:sz="4" w:space="0" w:color="000000"/>
              <w:bottom w:val="single" w:sz="4" w:space="0" w:color="000000"/>
              <w:right w:val="nil" w:sz="6" w:space="0" w:color="auto"/>
            </w:tcBorders>
          </w:tcPr>
          <w:p>
            <w:pP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smh1399@163.com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92"/>
        <w:gridCol w:w="5579"/>
      </w:tblGrid>
      <w:tr>
        <w:trPr>
          <w:trHeight w:val="401" w:hRule="exact"/>
        </w:trPr>
        <w:tc>
          <w:tcPr>
            <w:tcW w:w="39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9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9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16"/>
        <w:jc w:val="left"/>
        <w:rPr>
          <w:b w:val="0"/>
          <w:bCs w:val="0"/>
        </w:rPr>
      </w:pPr>
      <w:r>
        <w:rPr/>
        <w:t>四、其他有关资料</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楼</w:t>
            </w:r>
          </w:p>
        </w:tc>
      </w:tr>
      <w:tr>
        <w:trPr>
          <w:trHeight w:val="403"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方建新、邓清平</w:t>
            </w:r>
          </w:p>
        </w:tc>
      </w:tr>
    </w:tbl>
    <w:p>
      <w:pPr>
        <w:pStyle w:val="BodyText"/>
        <w:spacing w:line="240" w:lineRule="auto" w:before="28"/>
        <w:ind w:right="1116"/>
        <w:jc w:val="left"/>
      </w:pPr>
      <w:r>
        <w:rPr/>
        <w:t>公司聘请的报告期内履行持续督导职责的保荐机构</w:t>
      </w:r>
    </w:p>
    <w:p>
      <w:pPr>
        <w:pStyle w:val="BodyText"/>
        <w:spacing w:line="290" w:lineRule="auto" w:before="75"/>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公司聘请的报告期内履行持续督导职责的财务顾问</w:t>
      </w:r>
    </w:p>
    <w:p>
      <w:pPr>
        <w:pStyle w:val="BodyText"/>
        <w:spacing w:line="240" w:lineRule="auto" w:before="31"/>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116"/>
        <w:jc w:val="left"/>
        <w:rPr>
          <w:b w:val="0"/>
          <w:bCs w:val="0"/>
        </w:rPr>
      </w:pPr>
      <w:r>
        <w:rPr/>
        <w:t>五、主要会计数据和财务指标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公司是否需追溯调整或重述以前年度会计数据</w:t>
      </w:r>
    </w:p>
    <w:p>
      <w:pPr>
        <w:pStyle w:val="BodyText"/>
        <w:spacing w:line="240" w:lineRule="auto" w:before="78"/>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2596"/>
        <w:gridCol w:w="1749"/>
        <w:gridCol w:w="1738"/>
        <w:gridCol w:w="1738"/>
        <w:gridCol w:w="1738"/>
      </w:tblGrid>
      <w:tr>
        <w:trPr>
          <w:trHeight w:val="40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219,301,161.94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212,787,605.82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184,949,471.36</w:t>
            </w:r>
          </w:p>
        </w:tc>
      </w:tr>
      <w:tr>
        <w:trPr>
          <w:trHeight w:val="715"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15,132,240.66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7,142,042.20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111.88%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-42,345,109.04</w:t>
            </w:r>
          </w:p>
        </w:tc>
      </w:tr>
      <w:tr>
        <w:trPr>
          <w:trHeight w:val="71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13,031,627.21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5,448,679.21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139.17%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-58,826,776.99</w:t>
            </w:r>
          </w:p>
        </w:tc>
      </w:tr>
      <w:tr>
        <w:trPr>
          <w:trHeight w:val="716"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25,096,155.13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29,702,997.01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385,421.82</w:t>
            </w:r>
          </w:p>
        </w:tc>
      </w:tr>
      <w:tr>
        <w:trPr>
          <w:trHeight w:val="401"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2.98%</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-16.02%</w:t>
            </w:r>
          </w:p>
        </w:tc>
      </w:tr>
      <w:tr>
        <w:trPr>
          <w:trHeight w:val="40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382,652,369.80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355,306,950.77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351,232,710.55</w:t>
            </w:r>
          </w:p>
        </w:tc>
      </w:tr>
      <w:tr>
        <w:trPr>
          <w:trHeight w:val="715"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264,986,788.00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250,605,441.91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5.74%</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243,458,965.51</w:t>
            </w:r>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596"/>
        <w:gridCol w:w="1751"/>
        <w:gridCol w:w="1740"/>
        <w:gridCol w:w="1738"/>
        <w:gridCol w:w="1733"/>
      </w:tblGrid>
      <w:tr>
        <w:trPr>
          <w:trHeight w:val="40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39,959,053.42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64,353,541.63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56,559,511.80</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58,429,055.09</w:t>
            </w:r>
          </w:p>
        </w:tc>
      </w:tr>
      <w:tr>
        <w:trPr>
          <w:trHeight w:val="40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3,327,864.52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8,965,931.28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3,797,403.22</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-958,958.36</w:t>
            </w:r>
          </w:p>
        </w:tc>
      </w:tr>
      <w:tr>
        <w:trPr>
          <w:trHeight w:val="713"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3,134,660.46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8,641,629.74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3,169,246.56</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-1,913,909.55</w:t>
            </w:r>
          </w:p>
        </w:tc>
      </w:tr>
      <w:tr>
        <w:trPr>
          <w:trHeight w:val="40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534,290.14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2,267,895.29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1,432,153.31</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20,861,816.39</w:t>
            </w:r>
          </w:p>
        </w:tc>
      </w:tr>
    </w:tbl>
    <w:p>
      <w:pPr>
        <w:pStyle w:val="BodyText"/>
        <w:spacing w:line="240" w:lineRule="auto" w:before="28"/>
        <w:ind w:right="1116"/>
        <w:jc w:val="left"/>
      </w:pPr>
      <w:r>
        <w:rPr/>
        <w:t>上述财务指标或其加总数是否与公司已披露季度报告、半年度报告相关财务指标存在重大差异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2"/>
        <w:spacing w:line="240" w:lineRule="auto"/>
        <w:ind w:right="1116"/>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22"/>
          <w:szCs w:val="22"/>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2"/>
        <w:spacing w:line="240" w:lineRule="auto"/>
        <w:ind w:right="1116"/>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156"/>
            <w:col w:w="2010"/>
          </w:cols>
        </w:sectPr>
      </w:pP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71"/>
        <w:gridCol w:w="1532"/>
        <w:gridCol w:w="1520"/>
        <w:gridCol w:w="1522"/>
        <w:gridCol w:w="1711"/>
      </w:tblGrid>
      <w:tr>
        <w:trPr>
          <w:trHeight w:val="401"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-11,768.52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-43,698.16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17,665,610.73</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2,174,874.13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1,904,831.31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1,515,779.32</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58,795.87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17,998.99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392,443.27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180,188.58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211,256.19</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347,193.96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315,423.76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2,908,893.15</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136,537.34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2,085.14</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2,100,613.45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1,693,362.99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16,481,667.95</w:t>
            </w:r>
          </w:p>
        </w:tc>
        <w:tc>
          <w:tcPr>
            <w:tcW w:w="171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left="573" w:right="998"/>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256" w:lineRule="auto" w:before="21"/>
        <w:ind w:right="1119"/>
        <w:jc w:val="left"/>
      </w:pPr>
      <w:r>
        <w:rPr/>
        <w:t>性损益项目，以及把《公开发行证券的公司信息披露解释性公告第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w:t>
      </w:r>
      <w:r>
        <w:rPr>
          <w:w w:val="100"/>
        </w:rPr>
        <w:t> </w:t>
      </w:r>
      <w:r>
        <w:rPr/>
        <w:t>常性损益项目界定为经常性损益的项目，应说明原因</w:t>
      </w:r>
    </w:p>
    <w:p>
      <w:pPr>
        <w:pStyle w:val="BodyText"/>
        <w:spacing w:line="240" w:lineRule="auto" w:before="63"/>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56" w:lineRule="auto" w:before="59"/>
        <w:ind w:right="998" w:firstLine="42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7"/>
        </w:rPr>
        <w:t>号</w:t>
      </w:r>
      <w:r>
        <w:rPr>
          <w:rFonts w:ascii="Times New Roman" w:hAnsi="Times New Roman" w:cs="Times New Roman" w:eastAsia="Times New Roman" w:hint="default"/>
          <w:spacing w:val="-7"/>
        </w:rPr>
        <w:t>——</w:t>
      </w:r>
      <w:r>
        <w:rPr>
          <w:spacing w:val="-7"/>
        </w:rPr>
        <w:t>非经常性损益》定义、</w:t>
      </w:r>
      <w:r>
        <w:rPr>
          <w:w w:val="100"/>
        </w:rPr>
        <w:t> </w:t>
      </w:r>
      <w:r>
        <w:rPr/>
        <w:t>列举的非经常性损益项目界定为经常性损益的项目的情形。</w:t>
      </w:r>
    </w:p>
    <w:p>
      <w:pPr>
        <w:spacing w:after="0" w:line="256"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16"/>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6"/>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本公司属计算机、通信和其他电子设备制造行业。公司在既定的数字技术商业化大战略规划下，将业</w:t>
      </w:r>
      <w:r>
        <w:rPr>
          <w:w w:val="100"/>
        </w:rPr>
        <w:t> </w:t>
      </w:r>
      <w:r>
        <w:rPr>
          <w:spacing w:val="-2"/>
        </w:rPr>
        <w:t>务分为两大板块展开，一是工业智能应用板块，其业务具体为高端数字激光装备制造；二是商业智能应用</w:t>
      </w:r>
      <w:r>
        <w:rPr>
          <w:spacing w:val="-45"/>
        </w:rPr>
        <w:t> </w:t>
      </w:r>
      <w:r>
        <w:rPr>
          <w:spacing w:val="-45"/>
        </w:rPr>
      </w:r>
      <w:r>
        <w:rPr/>
        <w:t>板块，其业务具体为</w:t>
      </w:r>
      <w:r>
        <w:rPr>
          <w:rFonts w:ascii="Times New Roman" w:hAnsi="Times New Roman" w:cs="Times New Roman" w:eastAsia="Times New Roman" w:hint="default"/>
        </w:rPr>
        <w:t>IP</w:t>
      </w:r>
      <w:r>
        <w:rPr/>
        <w:t>衍生品运营。报告期内两个板块的主要工作为：</w:t>
      </w:r>
    </w:p>
    <w:p>
      <w:pPr>
        <w:pStyle w:val="BodyText"/>
        <w:spacing w:line="261" w:lineRule="auto"/>
        <w:ind w:right="998" w:firstLine="420"/>
        <w:jc w:val="left"/>
      </w:pPr>
      <w:r>
        <w:rPr>
          <w:spacing w:val="-2"/>
        </w:rPr>
        <w:t>工业智能应用方面，根据行业竞争格局变化、下游客户需求变化以及产品发展趋势分析，公司立足于</w:t>
      </w:r>
      <w:r>
        <w:rPr>
          <w:w w:val="100"/>
        </w:rPr>
        <w:t> </w:t>
      </w:r>
      <w:r>
        <w:rPr>
          <w:spacing w:val="-2"/>
        </w:rPr>
        <w:t>自主创新，并从加快研发、夯实拳头产品、调整销售策略、加强再培训、优化管理模式等诸多方面推进工</w:t>
      </w:r>
      <w:r>
        <w:rPr>
          <w:spacing w:val="-43"/>
        </w:rPr>
        <w:t> </w:t>
      </w:r>
      <w:r>
        <w:rPr>
          <w:spacing w:val="-43"/>
        </w:rPr>
      </w:r>
      <w:r>
        <w:rPr/>
        <w:t>作，正面应对市场挑战。原有的优势产品通过智能化技术改造进一步突出了</w:t>
      </w:r>
      <w:r>
        <w:rPr>
          <w:rFonts w:ascii="Times New Roman" w:hAnsi="Times New Roman" w:cs="Times New Roman" w:eastAsia="Times New Roman" w:hint="default"/>
        </w:rPr>
        <w:t>“</w:t>
      </w:r>
      <w:r>
        <w:rPr/>
        <w:t>专精特</w:t>
      </w:r>
      <w:r>
        <w:rPr>
          <w:rFonts w:ascii="Times New Roman" w:hAnsi="Times New Roman" w:cs="Times New Roman" w:eastAsia="Times New Roman" w:hint="default"/>
        </w:rPr>
        <w:t>”</w:t>
      </w:r>
      <w:r>
        <w:rPr/>
        <w:t>的特点，与此同时，</w:t>
      </w:r>
      <w:r>
        <w:rPr>
          <w:w w:val="100"/>
        </w:rPr>
        <w:t> </w:t>
      </w:r>
      <w:r>
        <w:rPr>
          <w:spacing w:val="-4"/>
        </w:rPr>
        <w:t>快速开发新产品迎合市场需求。其中，金属激光板块在行业竞争日渐白热化的压力下，实现了主推机型</w:t>
      </w:r>
      <w:r>
        <w:rPr>
          <w:rFonts w:ascii="Times New Roman" w:hAnsi="Times New Roman" w:cs="Times New Roman" w:eastAsia="Times New Roman" w:hint="default"/>
          <w:spacing w:val="-4"/>
        </w:rPr>
        <w:t>“</w:t>
      </w:r>
      <w:r>
        <w:rPr>
          <w:spacing w:val="-4"/>
        </w:rPr>
        <w:t>智</w:t>
      </w:r>
      <w:r>
        <w:rPr>
          <w:spacing w:val="-42"/>
        </w:rPr>
        <w:t> </w:t>
      </w:r>
      <w:r>
        <w:rPr>
          <w:spacing w:val="-5"/>
          <w:w w:val="100"/>
        </w:rPr>
        <w:t>能光纤激光切管机</w:t>
      </w:r>
      <w:r>
        <w:rPr>
          <w:rFonts w:ascii="Times New Roman" w:hAnsi="Times New Roman" w:cs="Times New Roman" w:eastAsia="Times New Roman" w:hint="default"/>
          <w:spacing w:val="-5"/>
          <w:w w:val="100"/>
        </w:rPr>
        <w:t>”</w:t>
      </w:r>
      <w:r>
        <w:rPr>
          <w:spacing w:val="-5"/>
          <w:w w:val="100"/>
        </w:rPr>
        <w:t>的第五次更新迭代，且推出</w:t>
      </w:r>
      <w:r>
        <w:rPr>
          <w:rFonts w:ascii="Times New Roman" w:hAnsi="Times New Roman" w:cs="Times New Roman" w:eastAsia="Times New Roman" w:hint="default"/>
          <w:spacing w:val="-5"/>
          <w:w w:val="100"/>
        </w:rPr>
        <w:t>“</w:t>
      </w:r>
      <w:r>
        <w:rPr>
          <w:spacing w:val="-5"/>
          <w:w w:val="100"/>
        </w:rPr>
        <w:t>圆管简易截断自动化切管机</w:t>
      </w:r>
      <w:r>
        <w:rPr>
          <w:rFonts w:ascii="Times New Roman" w:hAnsi="Times New Roman" w:cs="Times New Roman" w:eastAsia="Times New Roman" w:hint="default"/>
          <w:spacing w:val="-5"/>
          <w:w w:val="100"/>
        </w:rPr>
        <w:t>”</w:t>
      </w:r>
      <w:r>
        <w:rPr>
          <w:spacing w:val="-5"/>
          <w:w w:val="100"/>
        </w:rPr>
        <w:t>、</w:t>
      </w:r>
      <w:r>
        <w:rPr>
          <w:rFonts w:ascii="Times New Roman" w:hAnsi="Times New Roman" w:cs="Times New Roman" w:eastAsia="Times New Roman" w:hint="default"/>
          <w:spacing w:val="-5"/>
          <w:w w:val="100"/>
        </w:rPr>
        <w:t>“</w:t>
      </w:r>
      <w:r>
        <w:rPr>
          <w:spacing w:val="-5"/>
          <w:w w:val="100"/>
        </w:rPr>
        <w:t>重载型激光切管机</w:t>
      </w:r>
      <w:r>
        <w:rPr>
          <w:rFonts w:ascii="Times New Roman" w:hAnsi="Times New Roman" w:cs="Times New Roman" w:eastAsia="Times New Roman" w:hint="default"/>
          <w:spacing w:val="-5"/>
          <w:w w:val="100"/>
        </w:rPr>
        <w:t>”</w:t>
      </w:r>
      <w:r>
        <w:rPr>
          <w:spacing w:val="-5"/>
          <w:w w:val="100"/>
        </w:rPr>
        <w:t>等新品，</w:t>
      </w:r>
      <w:r>
        <w:rPr>
          <w:spacing w:val="-103"/>
          <w:w w:val="100"/>
        </w:rPr>
        <w:t> </w:t>
      </w:r>
      <w:r>
        <w:rPr>
          <w:spacing w:val="-103"/>
          <w:w w:val="100"/>
        </w:rPr>
      </w:r>
      <w:r>
        <w:rPr>
          <w:spacing w:val="-4"/>
          <w:w w:val="100"/>
        </w:rPr>
        <w:t>为实现</w:t>
      </w:r>
      <w:r>
        <w:rPr>
          <w:rFonts w:ascii="Times New Roman" w:hAnsi="Times New Roman" w:cs="Times New Roman" w:eastAsia="Times New Roman" w:hint="default"/>
          <w:spacing w:val="-4"/>
          <w:w w:val="100"/>
        </w:rPr>
        <w:t>“</w:t>
      </w:r>
      <w:r>
        <w:rPr>
          <w:spacing w:val="-4"/>
          <w:w w:val="100"/>
        </w:rPr>
        <w:t>从传统钣金行业及加工户市场转到专用市场，从基础的板材切割转移到管材切割</w:t>
      </w:r>
      <w:r>
        <w:rPr>
          <w:rFonts w:ascii="Times New Roman" w:hAnsi="Times New Roman" w:cs="Times New Roman" w:eastAsia="Times New Roman" w:hint="default"/>
          <w:spacing w:val="-4"/>
          <w:w w:val="100"/>
        </w:rPr>
        <w:t>”</w:t>
      </w:r>
      <w:r>
        <w:rPr>
          <w:spacing w:val="-4"/>
          <w:w w:val="100"/>
        </w:rPr>
        <w:t>目标又进了一步。</w:t>
      </w:r>
      <w:r>
        <w:rPr>
          <w:spacing w:val="-86"/>
          <w:w w:val="100"/>
        </w:rPr>
        <w:t> </w:t>
      </w:r>
      <w:r>
        <w:rPr>
          <w:spacing w:val="-86"/>
          <w:w w:val="100"/>
        </w:rPr>
      </w:r>
      <w:r>
        <w:rPr/>
        <w:t>柔性非金属激光板块，重点对</w:t>
      </w:r>
      <w:r>
        <w:rPr>
          <w:rFonts w:ascii="Times New Roman" w:hAnsi="Times New Roman" w:cs="Times New Roman" w:eastAsia="Times New Roman" w:hint="default"/>
        </w:rPr>
        <w:t>“</w:t>
      </w:r>
      <w:r>
        <w:rPr/>
        <w:t>裁床</w:t>
      </w:r>
      <w:r>
        <w:rPr>
          <w:rFonts w:ascii="Times New Roman" w:hAnsi="Times New Roman" w:cs="Times New Roman" w:eastAsia="Times New Roman" w:hint="default"/>
        </w:rPr>
        <w:t>”</w:t>
      </w:r>
      <w:r>
        <w:rPr/>
        <w:t>产品进行工艺改良，使得无论是双驱裁床还是数码视觉裁床的产品机</w:t>
      </w:r>
      <w:r>
        <w:rPr>
          <w:w w:val="100"/>
        </w:rPr>
        <w:t> </w:t>
      </w:r>
      <w:r>
        <w:rPr/>
        <w:t>型在技术升级后较好地提升了性能，保障了市场占有率，也保障了产品的利润水平。</w:t>
      </w:r>
    </w:p>
    <w:p>
      <w:pPr>
        <w:pStyle w:val="BodyText"/>
        <w:spacing w:line="264" w:lineRule="auto" w:before="18"/>
        <w:ind w:right="1126" w:firstLine="420"/>
        <w:jc w:val="both"/>
      </w:pPr>
      <w:r>
        <w:rPr>
          <w:spacing w:val="-2"/>
        </w:rPr>
        <w:t>商业智能应用方面，公司对智能零售终端设备经历多次创新迭代后，形成了模块化的标准产品，并已</w:t>
      </w:r>
      <w:r>
        <w:rPr>
          <w:w w:val="100"/>
        </w:rPr>
        <w:t> </w:t>
      </w:r>
      <w:r>
        <w:rPr>
          <w:spacing w:val="-2"/>
        </w:rPr>
        <w:t>实现了产品的交付，逐步探索到商业智能设备的开发规律，并建立起规模化生产流程和团队，为后期的大</w:t>
      </w:r>
      <w:r>
        <w:rPr>
          <w:spacing w:val="-43"/>
        </w:rPr>
        <w:t> </w:t>
      </w:r>
      <w:r>
        <w:rPr>
          <w:spacing w:val="-43"/>
        </w:rPr>
      </w:r>
      <w:r>
        <w:rPr>
          <w:spacing w:val="-2"/>
        </w:rPr>
        <w:t>批量大规模开发生产积累了较为丰富的经验。由于金运是一个凭借数字技术应用优势而切入到</w:t>
      </w:r>
      <w:r>
        <w:rPr>
          <w:rFonts w:ascii="Times New Roman" w:hAnsi="Times New Roman" w:cs="Times New Roman" w:eastAsia="Times New Roman" w:hint="default"/>
          <w:spacing w:val="-2"/>
        </w:rPr>
        <w:t>IP</w:t>
      </w:r>
      <w:r>
        <w:rPr>
          <w:spacing w:val="-2"/>
        </w:rPr>
        <w:t>衍生品运</w:t>
      </w:r>
      <w:r>
        <w:rPr>
          <w:spacing w:val="-17"/>
        </w:rPr>
        <w:t> </w:t>
      </w:r>
      <w:r>
        <w:rPr>
          <w:spacing w:val="-17"/>
        </w:rPr>
      </w:r>
      <w:r>
        <w:rPr>
          <w:spacing w:val="-1"/>
        </w:rPr>
        <w:t>营行业的公司，则在围绕智能零售终端的前端、后端、</w:t>
      </w:r>
      <w:r>
        <w:rPr>
          <w:rFonts w:ascii="Times New Roman" w:hAnsi="Times New Roman" w:cs="Times New Roman" w:eastAsia="Times New Roman" w:hint="default"/>
          <w:spacing w:val="-1"/>
        </w:rPr>
        <w:t>Saas</w:t>
      </w:r>
      <w:r>
        <w:rPr>
          <w:spacing w:val="-1"/>
        </w:rPr>
        <w:t>软件、管理分析软件以及配套的区块链记帐器</w:t>
      </w:r>
      <w:r>
        <w:rPr>
          <w:spacing w:val="-50"/>
        </w:rPr>
        <w:t> </w:t>
      </w:r>
      <w:r>
        <w:rPr>
          <w:spacing w:val="-50"/>
        </w:rPr>
      </w:r>
      <w:r>
        <w:rPr>
          <w:spacing w:val="-2"/>
        </w:rPr>
        <w:t>等工作能持续稳定推进后，公司就开始构建往</w:t>
      </w:r>
      <w:r>
        <w:rPr>
          <w:rFonts w:ascii="Times New Roman" w:hAnsi="Times New Roman" w:cs="Times New Roman" w:eastAsia="Times New Roman" w:hint="default"/>
          <w:spacing w:val="-2"/>
        </w:rPr>
        <w:t>IP</w:t>
      </w:r>
      <w:r>
        <w:rPr>
          <w:spacing w:val="-2"/>
        </w:rPr>
        <w:t>上游渗透的运营能力，打造数字技术改造传统行业所必须</w:t>
      </w:r>
      <w:r>
        <w:rPr>
          <w:spacing w:val="-17"/>
        </w:rPr>
        <w:t> </w:t>
      </w:r>
      <w:r>
        <w:rPr>
          <w:spacing w:val="-17"/>
        </w:rPr>
      </w:r>
      <w:r>
        <w:rPr>
          <w:spacing w:val="-2"/>
        </w:rPr>
        <w:t>具备的延展及融合能力。报告期内，公司已逐步以全资子公司为落实主体搭建运营团队，并启动了前期的</w:t>
      </w:r>
      <w:r>
        <w:rPr>
          <w:spacing w:val="-43"/>
        </w:rPr>
        <w:t> </w:t>
      </w:r>
      <w:r>
        <w:rPr>
          <w:spacing w:val="-43"/>
        </w:rPr>
      </w:r>
      <w:r>
        <w:rPr/>
        <w:t>商务合作工作。</w:t>
      </w:r>
    </w:p>
    <w:p>
      <w:pPr>
        <w:spacing w:line="240" w:lineRule="auto" w:before="3"/>
        <w:rPr>
          <w:rFonts w:ascii="宋体" w:hAnsi="宋体" w:cs="宋体" w:eastAsia="宋体" w:hint="default"/>
          <w:sz w:val="22"/>
          <w:szCs w:val="22"/>
        </w:rPr>
      </w:pPr>
    </w:p>
    <w:p>
      <w:pPr>
        <w:pStyle w:val="Heading2"/>
        <w:spacing w:line="240" w:lineRule="auto"/>
        <w:ind w:right="1116"/>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037"/>
        <w:gridCol w:w="6505"/>
      </w:tblGrid>
      <w:tr>
        <w:trPr>
          <w:trHeight w:val="187" w:hRule="exact"/>
        </w:trPr>
        <w:tc>
          <w:tcPr>
            <w:tcW w:w="3037" w:type="dxa"/>
            <w:tcBorders>
              <w:top w:val="single" w:sz="4" w:space="0" w:color="000000"/>
              <w:left w:val="nil" w:sz="6" w:space="0" w:color="auto"/>
              <w:bottom w:val="nil" w:sz="6" w:space="0" w:color="auto"/>
              <w:right w:val="single" w:sz="4" w:space="0" w:color="000000"/>
            </w:tcBorders>
            <w:shd w:val="clear" w:color="auto" w:fill="D2D2D2"/>
          </w:tcPr>
          <w:p>
            <w:pPr/>
          </w:p>
        </w:tc>
        <w:tc>
          <w:tcPr>
            <w:tcW w:w="6505"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3037"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05"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7" w:type="dxa"/>
            <w:tcBorders>
              <w:top w:val="nil" w:sz="6" w:space="0" w:color="auto"/>
              <w:left w:val="nil" w:sz="6" w:space="0" w:color="auto"/>
              <w:bottom w:val="single" w:sz="4" w:space="0" w:color="000000"/>
              <w:right w:val="single" w:sz="4" w:space="0" w:color="000000"/>
            </w:tcBorders>
            <w:shd w:val="clear" w:color="auto" w:fill="D2D2D2"/>
          </w:tcPr>
          <w:p>
            <w:pPr/>
          </w:p>
        </w:tc>
        <w:tc>
          <w:tcPr>
            <w:tcW w:w="6505"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1" w:hRule="exact"/>
        </w:trPr>
        <w:tc>
          <w:tcPr>
            <w:tcW w:w="30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0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报告期处置股权资产导致期末长期股权投资金额减少。</w:t>
            </w:r>
          </w:p>
        </w:tc>
      </w:tr>
      <w:tr>
        <w:trPr>
          <w:trHeight w:val="403" w:hRule="exact"/>
        </w:trPr>
        <w:tc>
          <w:tcPr>
            <w:tcW w:w="30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0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报告期内固定资产计提折旧导致期末固定资产金额减少。</w:t>
            </w:r>
          </w:p>
        </w:tc>
      </w:tr>
      <w:tr>
        <w:trPr>
          <w:trHeight w:val="401" w:hRule="exact"/>
        </w:trPr>
        <w:tc>
          <w:tcPr>
            <w:tcW w:w="30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0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报告期研发支出资本化以及无形资产摊销综合因素导致期末无形资产金额减少。</w:t>
            </w:r>
          </w:p>
        </w:tc>
      </w:tr>
      <w:tr>
        <w:trPr>
          <w:trHeight w:val="403" w:hRule="exact"/>
        </w:trPr>
        <w:tc>
          <w:tcPr>
            <w:tcW w:w="30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0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报告期在建工程转固定资产导致期末在建工程金额减少。</w:t>
            </w:r>
          </w:p>
        </w:tc>
      </w:tr>
      <w:tr>
        <w:trPr>
          <w:trHeight w:val="401"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报告期销售商品产生的应收账款增加。</w:t>
            </w:r>
          </w:p>
        </w:tc>
      </w:tr>
      <w:tr>
        <w:trPr>
          <w:trHeight w:val="403"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报告期公司投资的合伙企业分红导致其他非流动金融资产减少。</w:t>
            </w:r>
          </w:p>
        </w:tc>
      </w:tr>
      <w:tr>
        <w:trPr>
          <w:trHeight w:val="401"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报告期合作建房及其他长期资产开支导致其他非流动资产增加。</w:t>
            </w:r>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6"/>
        <w:jc w:val="left"/>
        <w:rPr>
          <w:b w:val="0"/>
          <w:bCs w:val="0"/>
        </w:rPr>
      </w:pPr>
      <w:r>
        <w:rPr/>
        <w:t>三、核心竞争力分析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126" w:firstLine="420"/>
        <w:jc w:val="both"/>
      </w:pPr>
      <w:r>
        <w:rPr>
          <w:spacing w:val="-2"/>
        </w:rPr>
        <w:t>报告期内，公司新申请专利</w:t>
      </w:r>
      <w:r>
        <w:rPr>
          <w:rFonts w:ascii="Times New Roman" w:hAnsi="Times New Roman" w:cs="Times New Roman" w:eastAsia="Times New Roman" w:hint="default"/>
          <w:spacing w:val="-2"/>
        </w:rPr>
        <w:t>35</w:t>
      </w:r>
      <w:r>
        <w:rPr>
          <w:spacing w:val="-2"/>
        </w:rPr>
        <w:t>件，软著</w:t>
      </w:r>
      <w:r>
        <w:rPr>
          <w:rFonts w:ascii="Times New Roman" w:hAnsi="Times New Roman" w:cs="Times New Roman" w:eastAsia="Times New Roman" w:hint="default"/>
          <w:spacing w:val="-2"/>
        </w:rPr>
        <w:t>16</w:t>
      </w:r>
      <w:r>
        <w:rPr>
          <w:spacing w:val="-2"/>
        </w:rPr>
        <w:t>件；新获授权专利</w:t>
      </w:r>
      <w:r>
        <w:rPr>
          <w:rFonts w:ascii="Times New Roman" w:hAnsi="Times New Roman" w:cs="Times New Roman" w:eastAsia="Times New Roman" w:hint="default"/>
          <w:spacing w:val="-2"/>
        </w:rPr>
        <w:t>8</w:t>
      </w:r>
      <w:r>
        <w:rPr>
          <w:spacing w:val="-2"/>
        </w:rPr>
        <w:t>件，软著</w:t>
      </w:r>
      <w:r>
        <w:rPr>
          <w:rFonts w:ascii="Times New Roman" w:hAnsi="Times New Roman" w:cs="Times New Roman" w:eastAsia="Times New Roman" w:hint="default"/>
          <w:spacing w:val="-2"/>
        </w:rPr>
        <w:t>7</w:t>
      </w:r>
      <w:r>
        <w:rPr>
          <w:spacing w:val="-2"/>
        </w:rPr>
        <w:t>件。截至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w:t>
      </w:r>
      <w:r>
        <w:rPr>
          <w:w w:val="100"/>
        </w:rPr>
        <w:t> </w:t>
      </w:r>
      <w:r>
        <w:rPr/>
        <w:t>司及其全资子公司共拥有授权专利的总数为</w:t>
      </w:r>
      <w:r>
        <w:rPr>
          <w:rFonts w:ascii="Times New Roman" w:hAnsi="Times New Roman" w:cs="Times New Roman" w:eastAsia="Times New Roman" w:hint="default"/>
        </w:rPr>
        <w:t>106</w:t>
      </w:r>
      <w:r>
        <w:rPr/>
        <w:t>件，其中发明</w:t>
      </w:r>
      <w:r>
        <w:rPr>
          <w:rFonts w:ascii="Times New Roman" w:hAnsi="Times New Roman" w:cs="Times New Roman" w:eastAsia="Times New Roman" w:hint="default"/>
        </w:rPr>
        <w:t>13</w:t>
      </w:r>
      <w:r>
        <w:rPr/>
        <w:t>件，实用新型</w:t>
      </w:r>
      <w:r>
        <w:rPr>
          <w:rFonts w:ascii="Times New Roman" w:hAnsi="Times New Roman" w:cs="Times New Roman" w:eastAsia="Times New Roman" w:hint="default"/>
        </w:rPr>
        <w:t>62</w:t>
      </w:r>
      <w:r>
        <w:rPr/>
        <w:t>件，外观设计</w:t>
      </w:r>
      <w:r>
        <w:rPr>
          <w:rFonts w:ascii="Times New Roman" w:hAnsi="Times New Roman" w:cs="Times New Roman" w:eastAsia="Times New Roman" w:hint="default"/>
        </w:rPr>
        <w:t>31</w:t>
      </w:r>
      <w:r>
        <w:rPr/>
        <w:t>件；正在</w:t>
      </w:r>
      <w:r>
        <w:rPr>
          <w:spacing w:val="-24"/>
        </w:rPr>
        <w:t> </w:t>
      </w:r>
      <w:r>
        <w:rPr>
          <w:spacing w:val="-24"/>
        </w:rPr>
      </w:r>
      <w:r>
        <w:rPr/>
        <w:t>申请的专利数量为</w:t>
      </w:r>
      <w:r>
        <w:rPr>
          <w:rFonts w:ascii="Times New Roman" w:hAnsi="Times New Roman" w:cs="Times New Roman" w:eastAsia="Times New Roman" w:hint="default"/>
        </w:rPr>
        <w:t>62</w:t>
      </w:r>
      <w:r>
        <w:rPr/>
        <w:t>件，其中发明</w:t>
      </w:r>
      <w:r>
        <w:rPr>
          <w:rFonts w:ascii="Times New Roman" w:hAnsi="Times New Roman" w:cs="Times New Roman" w:eastAsia="Times New Roman" w:hint="default"/>
        </w:rPr>
        <w:t>32</w:t>
      </w:r>
      <w:r>
        <w:rPr/>
        <w:t>项，实用新型</w:t>
      </w:r>
      <w:r>
        <w:rPr>
          <w:rFonts w:ascii="Times New Roman" w:hAnsi="Times New Roman" w:cs="Times New Roman" w:eastAsia="Times New Roman" w:hint="default"/>
        </w:rPr>
        <w:t>13</w:t>
      </w:r>
      <w:r>
        <w:rPr/>
        <w:t>项，外观设计</w:t>
      </w:r>
      <w:r>
        <w:rPr>
          <w:rFonts w:ascii="Times New Roman" w:hAnsi="Times New Roman" w:cs="Times New Roman" w:eastAsia="Times New Roman" w:hint="default"/>
        </w:rPr>
        <w:t>17</w:t>
      </w:r>
      <w:r>
        <w:rPr/>
        <w:t>项。拥有注册商标</w:t>
      </w:r>
      <w:r>
        <w:rPr>
          <w:rFonts w:ascii="Times New Roman" w:hAnsi="Times New Roman" w:cs="Times New Roman" w:eastAsia="Times New Roman" w:hint="default"/>
        </w:rPr>
        <w:t>105</w:t>
      </w:r>
      <w:r>
        <w:rPr/>
        <w:t>件，其中国内</w:t>
      </w:r>
      <w:r>
        <w:rPr>
          <w:spacing w:val="-24"/>
        </w:rPr>
        <w:t> </w:t>
      </w:r>
      <w:r>
        <w:rPr>
          <w:spacing w:val="-24"/>
        </w:rPr>
      </w:r>
      <w:r>
        <w:rPr/>
        <w:t>商标</w:t>
      </w:r>
      <w:r>
        <w:rPr>
          <w:rFonts w:ascii="Times New Roman" w:hAnsi="Times New Roman" w:cs="Times New Roman" w:eastAsia="Times New Roman" w:hint="default"/>
        </w:rPr>
        <w:t>99</w:t>
      </w:r>
      <w:r>
        <w:rPr/>
        <w:t>件，国外商标</w:t>
      </w:r>
      <w:r>
        <w:rPr>
          <w:rFonts w:ascii="Times New Roman" w:hAnsi="Times New Roman" w:cs="Times New Roman" w:eastAsia="Times New Roman" w:hint="default"/>
        </w:rPr>
        <w:t>6</w:t>
      </w:r>
      <w:r>
        <w:rPr/>
        <w:t>件；拥有软件著作权</w:t>
      </w:r>
      <w:r>
        <w:rPr>
          <w:rFonts w:ascii="Times New Roman" w:hAnsi="Times New Roman" w:cs="Times New Roman" w:eastAsia="Times New Roman" w:hint="default"/>
        </w:rPr>
        <w:t>73</w:t>
      </w:r>
      <w:r>
        <w:rPr/>
        <w:t>件。</w:t>
      </w:r>
    </w:p>
    <w:p>
      <w:pPr>
        <w:pStyle w:val="BodyText"/>
        <w:spacing w:line="240" w:lineRule="auto" w:before="5"/>
        <w:ind w:left="573" w:right="1116"/>
        <w:jc w:val="left"/>
      </w:pPr>
      <w:r>
        <w:rPr/>
        <w:t>一、专利</w:t>
      </w:r>
    </w:p>
    <w:p>
      <w:pPr>
        <w:pStyle w:val="BodyText"/>
        <w:spacing w:line="256" w:lineRule="auto" w:before="37"/>
        <w:ind w:left="573" w:right="1116"/>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日，公司及其全资子公司专利情况如下：</w:t>
      </w:r>
      <w:r>
        <w:rPr>
          <w:w w:val="100"/>
        </w:rPr>
        <w:t> </w:t>
      </w:r>
      <w:r>
        <w:rPr>
          <w:rFonts w:ascii="Times New Roman" w:hAnsi="Times New Roman" w:cs="Times New Roman" w:eastAsia="Times New Roman" w:hint="default"/>
          <w:spacing w:val="-2"/>
        </w:rPr>
        <w:t>a</w:t>
      </w:r>
      <w:r>
        <w:rPr>
          <w:spacing w:val="-2"/>
        </w:rPr>
        <w:t>、拥有授权专利的总数为</w:t>
      </w:r>
      <w:r>
        <w:rPr>
          <w:rFonts w:ascii="Times New Roman" w:hAnsi="Times New Roman" w:cs="Times New Roman" w:eastAsia="Times New Roman" w:hint="default"/>
          <w:spacing w:val="-2"/>
        </w:rPr>
        <w:t>106</w:t>
      </w:r>
      <w:r>
        <w:rPr>
          <w:spacing w:val="-2"/>
        </w:rPr>
        <w:t>件，其中发明</w:t>
      </w:r>
      <w:r>
        <w:rPr>
          <w:rFonts w:ascii="Times New Roman" w:hAnsi="Times New Roman" w:cs="Times New Roman" w:eastAsia="Times New Roman" w:hint="default"/>
          <w:spacing w:val="-2"/>
        </w:rPr>
        <w:t>13</w:t>
      </w:r>
      <w:r>
        <w:rPr>
          <w:spacing w:val="-2"/>
        </w:rPr>
        <w:t>件，实用新型</w:t>
      </w:r>
      <w:r>
        <w:rPr>
          <w:rFonts w:ascii="Times New Roman" w:hAnsi="Times New Roman" w:cs="Times New Roman" w:eastAsia="Times New Roman" w:hint="default"/>
          <w:spacing w:val="-2"/>
        </w:rPr>
        <w:t>62</w:t>
      </w:r>
      <w:r>
        <w:rPr>
          <w:spacing w:val="-2"/>
        </w:rPr>
        <w:t>件，外观设计</w:t>
      </w:r>
      <w:r>
        <w:rPr>
          <w:rFonts w:ascii="Times New Roman" w:hAnsi="Times New Roman" w:cs="Times New Roman" w:eastAsia="Times New Roman" w:hint="default"/>
          <w:spacing w:val="-2"/>
        </w:rPr>
        <w:t>31</w:t>
      </w:r>
      <w:r>
        <w:rPr>
          <w:spacing w:val="-2"/>
        </w:rPr>
        <w:t>件；</w:t>
      </w:r>
      <w:r>
        <w:rPr>
          <w:spacing w:val="-34"/>
        </w:rPr>
        <w:t> </w:t>
      </w:r>
      <w:r>
        <w:rPr>
          <w:rFonts w:ascii="Times New Roman" w:hAnsi="Times New Roman" w:cs="Times New Roman" w:eastAsia="Times New Roman" w:hint="default"/>
        </w:rPr>
        <w:t>b</w:t>
      </w:r>
      <w:r>
        <w:rPr/>
        <w:t>、正在申请的专利数量为</w:t>
      </w:r>
      <w:r>
        <w:rPr>
          <w:rFonts w:ascii="Times New Roman" w:hAnsi="Times New Roman" w:cs="Times New Roman" w:eastAsia="Times New Roman" w:hint="default"/>
        </w:rPr>
        <w:t>62</w:t>
      </w:r>
      <w:r>
        <w:rPr/>
        <w:t>件，其中发明</w:t>
      </w:r>
      <w:r>
        <w:rPr>
          <w:rFonts w:ascii="Times New Roman" w:hAnsi="Times New Roman" w:cs="Times New Roman" w:eastAsia="Times New Roman" w:hint="default"/>
        </w:rPr>
        <w:t>32</w:t>
      </w:r>
      <w:r>
        <w:rPr/>
        <w:t>项，实用新型</w:t>
      </w:r>
      <w:r>
        <w:rPr>
          <w:rFonts w:ascii="Times New Roman" w:hAnsi="Times New Roman" w:cs="Times New Roman" w:eastAsia="Times New Roman" w:hint="default"/>
        </w:rPr>
        <w:t>13</w:t>
      </w:r>
      <w:r>
        <w:rPr/>
        <w:t>项，外观设计</w:t>
      </w:r>
      <w:r>
        <w:rPr>
          <w:rFonts w:ascii="Times New Roman" w:hAnsi="Times New Roman" w:cs="Times New Roman" w:eastAsia="Times New Roman" w:hint="default"/>
        </w:rPr>
        <w:t>17</w:t>
      </w:r>
      <w:r>
        <w:rPr/>
        <w:t>项。</w:t>
      </w:r>
    </w:p>
    <w:tbl>
      <w:tblPr>
        <w:tblW w:w="0" w:type="auto"/>
        <w:jc w:val="left"/>
        <w:tblInd w:w="123" w:type="dxa"/>
        <w:tblLayout w:type="fixed"/>
        <w:tblCellMar>
          <w:top w:w="0" w:type="dxa"/>
          <w:left w:w="0" w:type="dxa"/>
          <w:bottom w:w="0" w:type="dxa"/>
          <w:right w:w="0" w:type="dxa"/>
        </w:tblCellMar>
        <w:tblLook w:val="01E0"/>
      </w:tblPr>
      <w:tblGrid>
        <w:gridCol w:w="4146"/>
        <w:gridCol w:w="1344"/>
        <w:gridCol w:w="1562"/>
        <w:gridCol w:w="1042"/>
        <w:gridCol w:w="1579"/>
      </w:tblGrid>
      <w:tr>
        <w:trPr>
          <w:trHeight w:val="341" w:hRule="exact"/>
        </w:trPr>
        <w:tc>
          <w:tcPr>
            <w:tcW w:w="4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状态</w:t>
            </w:r>
            <w:r>
              <w:rPr>
                <w:rFonts w:ascii="宋体" w:hAnsi="宋体" w:cs="宋体" w:eastAsia="宋体" w:hint="default"/>
                <w:sz w:val="18"/>
                <w:szCs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r>
      <w:tr>
        <w:trPr>
          <w:trHeight w:val="344" w:hRule="exact"/>
        </w:trPr>
        <w:tc>
          <w:tcPr>
            <w:tcW w:w="41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4" w:right="0"/>
              <w:jc w:val="left"/>
              <w:rPr>
                <w:rFonts w:ascii="宋体" w:hAnsi="宋体" w:cs="宋体" w:eastAsia="宋体" w:hint="default"/>
                <w:sz w:val="18"/>
                <w:szCs w:val="18"/>
              </w:rPr>
            </w:pPr>
            <w:r>
              <w:rPr>
                <w:rFonts w:ascii="宋体" w:hAnsi="宋体" w:cs="宋体" w:eastAsia="宋体" w:hint="default"/>
                <w:b/>
                <w:bCs/>
                <w:sz w:val="18"/>
                <w:szCs w:val="18"/>
              </w:rPr>
              <w:t>武汉金运激光股份有限公司</w:t>
            </w:r>
            <w:r>
              <w:rPr>
                <w:rFonts w:ascii="宋体" w:hAnsi="宋体" w:cs="宋体" w:eastAsia="宋体" w:hint="default"/>
                <w:sz w:val="18"/>
                <w:szCs w:val="18"/>
              </w:rPr>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8"/>
              <w:ind w:left="396" w:right="0"/>
              <w:jc w:val="left"/>
              <w:rPr>
                <w:rFonts w:ascii="宋体" w:hAnsi="宋体" w:cs="宋体" w:eastAsia="宋体" w:hint="default"/>
                <w:sz w:val="18"/>
                <w:szCs w:val="18"/>
              </w:rPr>
            </w:pPr>
            <w:r>
              <w:rPr>
                <w:rFonts w:ascii="宋体" w:hAnsi="宋体" w:cs="宋体" w:eastAsia="宋体" w:hint="default"/>
                <w:sz w:val="18"/>
                <w:szCs w:val="18"/>
              </w:rPr>
              <w:t>已授权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91</w:t>
            </w:r>
          </w:p>
        </w:tc>
      </w:tr>
      <w:tr>
        <w:trPr>
          <w:trHeight w:val="341" w:hRule="exact"/>
        </w:trPr>
        <w:tc>
          <w:tcPr>
            <w:tcW w:w="4146"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53</w:t>
            </w:r>
          </w:p>
        </w:tc>
        <w:tc>
          <w:tcPr>
            <w:tcW w:w="1579" w:type="dxa"/>
            <w:vMerge/>
            <w:tcBorders>
              <w:left w:val="single" w:sz="4" w:space="0" w:color="000000"/>
              <w:right w:val="nil" w:sz="6" w:space="0" w:color="auto"/>
            </w:tcBorders>
          </w:tcPr>
          <w:p>
            <w:pPr/>
          </w:p>
        </w:tc>
      </w:tr>
      <w:tr>
        <w:trPr>
          <w:trHeight w:val="343" w:hRule="exact"/>
        </w:trPr>
        <w:tc>
          <w:tcPr>
            <w:tcW w:w="4146" w:type="dxa"/>
            <w:vMerge/>
            <w:tcBorders>
              <w:left w:val="nil" w:sz="6" w:space="0" w:color="auto"/>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w:t>
            </w:r>
          </w:p>
        </w:tc>
        <w:tc>
          <w:tcPr>
            <w:tcW w:w="1579" w:type="dxa"/>
            <w:vMerge/>
            <w:tcBorders>
              <w:left w:val="single" w:sz="4" w:space="0" w:color="000000"/>
              <w:bottom w:val="single" w:sz="4" w:space="0" w:color="000000"/>
              <w:right w:val="nil" w:sz="6" w:space="0" w:color="auto"/>
            </w:tcBorders>
          </w:tcPr>
          <w:p>
            <w:pPr/>
          </w:p>
        </w:tc>
      </w:tr>
      <w:tr>
        <w:trPr>
          <w:trHeight w:val="341" w:hRule="exact"/>
        </w:trPr>
        <w:tc>
          <w:tcPr>
            <w:tcW w:w="4146" w:type="dxa"/>
            <w:vMerge/>
            <w:tcBorders>
              <w:left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21</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28</w:t>
            </w:r>
          </w:p>
        </w:tc>
      </w:tr>
      <w:tr>
        <w:trPr>
          <w:trHeight w:val="343" w:hRule="exact"/>
        </w:trPr>
        <w:tc>
          <w:tcPr>
            <w:tcW w:w="4146"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1579" w:type="dxa"/>
            <w:vMerge/>
            <w:tcBorders>
              <w:left w:val="single" w:sz="4" w:space="0" w:color="000000"/>
              <w:right w:val="nil" w:sz="6" w:space="0" w:color="auto"/>
            </w:tcBorders>
          </w:tcPr>
          <w:p>
            <w:pPr/>
          </w:p>
        </w:tc>
      </w:tr>
      <w:tr>
        <w:trPr>
          <w:trHeight w:val="341" w:hRule="exact"/>
        </w:trPr>
        <w:tc>
          <w:tcPr>
            <w:tcW w:w="4146"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579" w:type="dxa"/>
            <w:vMerge/>
            <w:tcBorders>
              <w:left w:val="single" w:sz="4" w:space="0" w:color="000000"/>
              <w:bottom w:val="single" w:sz="4" w:space="0" w:color="000000"/>
              <w:right w:val="nil" w:sz="6" w:space="0" w:color="auto"/>
            </w:tcBorders>
          </w:tcPr>
          <w:p>
            <w:pPr/>
          </w:p>
        </w:tc>
      </w:tr>
      <w:tr>
        <w:trPr>
          <w:trHeight w:val="343" w:hRule="exact"/>
        </w:trPr>
        <w:tc>
          <w:tcPr>
            <w:tcW w:w="41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4" w:right="0"/>
              <w:jc w:val="left"/>
              <w:rPr>
                <w:rFonts w:ascii="宋体" w:hAnsi="宋体" w:cs="宋体" w:eastAsia="宋体" w:hint="default"/>
                <w:sz w:val="18"/>
                <w:szCs w:val="18"/>
              </w:rPr>
            </w:pPr>
            <w:r>
              <w:rPr>
                <w:rFonts w:ascii="宋体" w:hAnsi="宋体" w:cs="宋体" w:eastAsia="宋体" w:hint="default"/>
                <w:b/>
                <w:bCs/>
                <w:sz w:val="18"/>
                <w:szCs w:val="18"/>
              </w:rPr>
              <w:t>武汉金运激光产业发展有限公司</w:t>
            </w:r>
            <w:r>
              <w:rPr>
                <w:rFonts w:ascii="宋体" w:hAnsi="宋体" w:cs="宋体" w:eastAsia="宋体" w:hint="default"/>
                <w:sz w:val="18"/>
                <w:szCs w:val="18"/>
              </w:rPr>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已授权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6</w:t>
            </w:r>
          </w:p>
        </w:tc>
      </w:tr>
      <w:tr>
        <w:trPr>
          <w:trHeight w:val="341" w:hRule="exact"/>
        </w:trPr>
        <w:tc>
          <w:tcPr>
            <w:tcW w:w="4146"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1579" w:type="dxa"/>
            <w:vMerge/>
            <w:tcBorders>
              <w:left w:val="single" w:sz="4" w:space="0" w:color="000000"/>
              <w:right w:val="nil" w:sz="6" w:space="0" w:color="auto"/>
            </w:tcBorders>
          </w:tcPr>
          <w:p>
            <w:pPr/>
          </w:p>
        </w:tc>
      </w:tr>
      <w:tr>
        <w:trPr>
          <w:trHeight w:val="343" w:hRule="exact"/>
        </w:trPr>
        <w:tc>
          <w:tcPr>
            <w:tcW w:w="4146" w:type="dxa"/>
            <w:vMerge/>
            <w:tcBorders>
              <w:left w:val="nil" w:sz="6" w:space="0" w:color="auto"/>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579" w:type="dxa"/>
            <w:vMerge/>
            <w:tcBorders>
              <w:left w:val="single" w:sz="4" w:space="0" w:color="000000"/>
              <w:bottom w:val="single" w:sz="4" w:space="0" w:color="000000"/>
              <w:right w:val="nil" w:sz="6" w:space="0" w:color="auto"/>
            </w:tcBorders>
          </w:tcPr>
          <w:p>
            <w:pPr/>
          </w:p>
        </w:tc>
      </w:tr>
      <w:tr>
        <w:trPr>
          <w:trHeight w:val="341" w:hRule="exact"/>
        </w:trPr>
        <w:tc>
          <w:tcPr>
            <w:tcW w:w="4146" w:type="dxa"/>
            <w:vMerge/>
            <w:tcBorders>
              <w:left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8"/>
              <w:ind w:left="396"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5</w:t>
            </w:r>
          </w:p>
        </w:tc>
      </w:tr>
      <w:tr>
        <w:trPr>
          <w:trHeight w:val="343" w:hRule="exact"/>
        </w:trPr>
        <w:tc>
          <w:tcPr>
            <w:tcW w:w="4146"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579" w:type="dxa"/>
            <w:vMerge/>
            <w:tcBorders>
              <w:left w:val="single" w:sz="4" w:space="0" w:color="000000"/>
              <w:right w:val="nil" w:sz="6" w:space="0" w:color="auto"/>
            </w:tcBorders>
          </w:tcPr>
          <w:p>
            <w:pPr/>
          </w:p>
        </w:tc>
      </w:tr>
      <w:tr>
        <w:trPr>
          <w:trHeight w:val="341" w:hRule="exact"/>
        </w:trPr>
        <w:tc>
          <w:tcPr>
            <w:tcW w:w="4146"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579" w:type="dxa"/>
            <w:vMerge/>
            <w:tcBorders>
              <w:left w:val="single" w:sz="4" w:space="0" w:color="000000"/>
              <w:bottom w:val="single" w:sz="4" w:space="0" w:color="000000"/>
              <w:right w:val="nil" w:sz="6" w:space="0" w:color="auto"/>
            </w:tcBorders>
          </w:tcPr>
          <w:p>
            <w:pPr/>
          </w:p>
        </w:tc>
      </w:tr>
      <w:tr>
        <w:trPr>
          <w:trHeight w:val="343" w:hRule="exact"/>
        </w:trPr>
        <w:tc>
          <w:tcPr>
            <w:tcW w:w="41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4" w:right="0"/>
              <w:jc w:val="left"/>
              <w:rPr>
                <w:rFonts w:ascii="宋体" w:hAnsi="宋体" w:cs="宋体" w:eastAsia="宋体" w:hint="default"/>
                <w:sz w:val="18"/>
                <w:szCs w:val="18"/>
              </w:rPr>
            </w:pPr>
            <w:r>
              <w:rPr>
                <w:rFonts w:ascii="宋体" w:hAnsi="宋体" w:cs="宋体" w:eastAsia="宋体" w:hint="default"/>
                <w:b/>
                <w:bCs/>
                <w:sz w:val="18"/>
                <w:szCs w:val="18"/>
              </w:rPr>
              <w:t>武汉唯拓光纤激光工程有限公司</w:t>
            </w:r>
            <w:r>
              <w:rPr>
                <w:rFonts w:ascii="宋体" w:hAnsi="宋体" w:cs="宋体" w:eastAsia="宋体" w:hint="default"/>
                <w:sz w:val="18"/>
                <w:szCs w:val="18"/>
              </w:rPr>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已授权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9</w:t>
            </w:r>
          </w:p>
        </w:tc>
      </w:tr>
      <w:tr>
        <w:trPr>
          <w:trHeight w:val="341" w:hRule="exact"/>
        </w:trPr>
        <w:tc>
          <w:tcPr>
            <w:tcW w:w="4146"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579" w:type="dxa"/>
            <w:vMerge/>
            <w:tcBorders>
              <w:left w:val="single" w:sz="4" w:space="0" w:color="000000"/>
              <w:right w:val="nil" w:sz="6" w:space="0" w:color="auto"/>
            </w:tcBorders>
          </w:tcPr>
          <w:p>
            <w:pPr/>
          </w:p>
        </w:tc>
      </w:tr>
      <w:tr>
        <w:trPr>
          <w:trHeight w:val="343" w:hRule="exact"/>
        </w:trPr>
        <w:tc>
          <w:tcPr>
            <w:tcW w:w="4146" w:type="dxa"/>
            <w:vMerge/>
            <w:tcBorders>
              <w:left w:val="nil" w:sz="6" w:space="0" w:color="auto"/>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1579" w:type="dxa"/>
            <w:vMerge/>
            <w:tcBorders>
              <w:left w:val="single" w:sz="4" w:space="0" w:color="000000"/>
              <w:bottom w:val="single" w:sz="4" w:space="0" w:color="000000"/>
              <w:right w:val="nil" w:sz="6" w:space="0" w:color="auto"/>
            </w:tcBorders>
          </w:tcPr>
          <w:p>
            <w:pPr/>
          </w:p>
        </w:tc>
      </w:tr>
      <w:tr>
        <w:trPr>
          <w:trHeight w:val="341" w:hRule="exact"/>
        </w:trPr>
        <w:tc>
          <w:tcPr>
            <w:tcW w:w="4146" w:type="dxa"/>
            <w:vMerge/>
            <w:tcBorders>
              <w:left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申请中</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22</w:t>
            </w:r>
          </w:p>
        </w:tc>
      </w:tr>
      <w:tr>
        <w:trPr>
          <w:trHeight w:val="343" w:hRule="exact"/>
        </w:trPr>
        <w:tc>
          <w:tcPr>
            <w:tcW w:w="4146"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1579" w:type="dxa"/>
            <w:vMerge/>
            <w:tcBorders>
              <w:left w:val="single" w:sz="4" w:space="0" w:color="000000"/>
              <w:right w:val="nil" w:sz="6" w:space="0" w:color="auto"/>
            </w:tcBorders>
          </w:tcPr>
          <w:p>
            <w:pPr/>
          </w:p>
        </w:tc>
      </w:tr>
      <w:tr>
        <w:trPr>
          <w:trHeight w:val="341" w:hRule="exact"/>
        </w:trPr>
        <w:tc>
          <w:tcPr>
            <w:tcW w:w="4146"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1579" w:type="dxa"/>
            <w:vMerge/>
            <w:tcBorders>
              <w:left w:val="single" w:sz="4" w:space="0" w:color="000000"/>
              <w:bottom w:val="single" w:sz="4" w:space="0" w:color="000000"/>
              <w:right w:val="nil" w:sz="6" w:space="0" w:color="auto"/>
            </w:tcBorders>
          </w:tcPr>
          <w:p>
            <w:pPr/>
          </w:p>
        </w:tc>
      </w:tr>
      <w:tr>
        <w:trPr>
          <w:trHeight w:val="343" w:hRule="exact"/>
        </w:trPr>
        <w:tc>
          <w:tcPr>
            <w:tcW w:w="4146"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武汉金运互动传媒有限公司</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7</w:t>
            </w:r>
          </w:p>
        </w:tc>
      </w:tr>
    </w:tbl>
    <w:p>
      <w:pPr>
        <w:pStyle w:val="BodyText"/>
        <w:spacing w:line="256" w:lineRule="auto" w:before="5"/>
        <w:ind w:left="573" w:right="11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全年，公司及其全资子公司专利情况如下：</w:t>
      </w:r>
      <w:r>
        <w:rPr>
          <w:w w:val="100"/>
        </w:rPr>
        <w:t>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2019</w:t>
      </w:r>
      <w:r>
        <w:rPr/>
        <w:t>全年获授权专利数量总数为</w:t>
      </w:r>
      <w:r>
        <w:rPr>
          <w:rFonts w:ascii="Times New Roman" w:hAnsi="Times New Roman" w:cs="Times New Roman" w:eastAsia="Times New Roman" w:hint="default"/>
        </w:rPr>
        <w:t>8</w:t>
      </w:r>
      <w:r>
        <w:rPr/>
        <w:t>件：发明</w:t>
      </w:r>
      <w:r>
        <w:rPr>
          <w:rFonts w:ascii="Times New Roman" w:hAnsi="Times New Roman" w:cs="Times New Roman" w:eastAsia="Times New Roman" w:hint="default"/>
        </w:rPr>
        <w:t>1</w:t>
      </w:r>
      <w:r>
        <w:rPr/>
        <w:t>件、实用新型</w:t>
      </w:r>
      <w:r>
        <w:rPr>
          <w:rFonts w:ascii="Times New Roman" w:hAnsi="Times New Roman" w:cs="Times New Roman" w:eastAsia="Times New Roman" w:hint="default"/>
        </w:rPr>
        <w:t>6</w:t>
      </w:r>
      <w:r>
        <w:rPr/>
        <w:t>件、外观专利</w:t>
      </w:r>
      <w:r>
        <w:rPr>
          <w:rFonts w:ascii="Times New Roman" w:hAnsi="Times New Roman" w:cs="Times New Roman" w:eastAsia="Times New Roman" w:hint="default"/>
        </w:rPr>
        <w:t>1</w:t>
      </w:r>
      <w:r>
        <w:rPr/>
        <w:t>件；</w:t>
      </w:r>
      <w:r>
        <w:rPr>
          <w:w w:val="100"/>
        </w:rPr>
        <w:t> </w:t>
      </w:r>
      <w:r>
        <w:rPr>
          <w:rFonts w:ascii="Times New Roman" w:hAnsi="Times New Roman" w:cs="Times New Roman" w:eastAsia="Times New Roman" w:hint="default"/>
          <w:spacing w:val="-2"/>
        </w:rPr>
        <w:t>b</w:t>
      </w:r>
      <w:r>
        <w:rPr>
          <w:spacing w:val="-2"/>
        </w:rPr>
        <w:t>、</w:t>
      </w:r>
      <w:r>
        <w:rPr>
          <w:rFonts w:ascii="Times New Roman" w:hAnsi="Times New Roman" w:cs="Times New Roman" w:eastAsia="Times New Roman" w:hint="default"/>
          <w:spacing w:val="-2"/>
        </w:rPr>
        <w:t>2019</w:t>
      </w:r>
      <w:r>
        <w:rPr>
          <w:spacing w:val="-2"/>
        </w:rPr>
        <w:t>全年申请专利数量总数为</w:t>
      </w:r>
      <w:r>
        <w:rPr>
          <w:rFonts w:ascii="Times New Roman" w:hAnsi="Times New Roman" w:cs="Times New Roman" w:eastAsia="Times New Roman" w:hint="default"/>
          <w:spacing w:val="-2"/>
        </w:rPr>
        <w:t>35</w:t>
      </w:r>
      <w:r>
        <w:rPr>
          <w:spacing w:val="-2"/>
        </w:rPr>
        <w:t>件：发明</w:t>
      </w:r>
      <w:r>
        <w:rPr>
          <w:rFonts w:ascii="Times New Roman" w:hAnsi="Times New Roman" w:cs="Times New Roman" w:eastAsia="Times New Roman" w:hint="default"/>
          <w:spacing w:val="-2"/>
        </w:rPr>
        <w:t>10</w:t>
      </w:r>
      <w:r>
        <w:rPr>
          <w:spacing w:val="-2"/>
        </w:rPr>
        <w:t>件，实用新型</w:t>
      </w:r>
      <w:r>
        <w:rPr>
          <w:rFonts w:ascii="Times New Roman" w:hAnsi="Times New Roman" w:cs="Times New Roman" w:eastAsia="Times New Roman" w:hint="default"/>
          <w:spacing w:val="-2"/>
        </w:rPr>
        <w:t>9</w:t>
      </w:r>
      <w:r>
        <w:rPr>
          <w:spacing w:val="-2"/>
        </w:rPr>
        <w:t>件，外观专利</w:t>
      </w:r>
      <w:r>
        <w:rPr>
          <w:rFonts w:ascii="Times New Roman" w:hAnsi="Times New Roman" w:cs="Times New Roman" w:eastAsia="Times New Roman" w:hint="default"/>
          <w:spacing w:val="-2"/>
        </w:rPr>
        <w:t>16</w:t>
      </w:r>
      <w:r>
        <w:rPr>
          <w:spacing w:val="-2"/>
        </w:rPr>
        <w:t>件。</w:t>
      </w:r>
    </w:p>
    <w:tbl>
      <w:tblPr>
        <w:tblW w:w="0" w:type="auto"/>
        <w:jc w:val="left"/>
        <w:tblInd w:w="135" w:type="dxa"/>
        <w:tblLayout w:type="fixed"/>
        <w:tblCellMar>
          <w:top w:w="0" w:type="dxa"/>
          <w:left w:w="0" w:type="dxa"/>
          <w:bottom w:w="0" w:type="dxa"/>
          <w:right w:w="0" w:type="dxa"/>
        </w:tblCellMar>
        <w:tblLook w:val="01E0"/>
      </w:tblPr>
      <w:tblGrid>
        <w:gridCol w:w="4069"/>
        <w:gridCol w:w="1371"/>
        <w:gridCol w:w="1538"/>
        <w:gridCol w:w="1028"/>
        <w:gridCol w:w="1654"/>
      </w:tblGrid>
      <w:tr>
        <w:trPr>
          <w:trHeight w:val="346" w:hRule="exact"/>
        </w:trPr>
        <w:tc>
          <w:tcPr>
            <w:tcW w:w="4069"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状态</w:t>
            </w:r>
            <w:r>
              <w:rPr>
                <w:rFonts w:ascii="宋体" w:hAnsi="宋体" w:cs="宋体" w:eastAsia="宋体" w:hint="default"/>
                <w:sz w:val="21"/>
                <w:szCs w:val="21"/>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总计</w:t>
            </w:r>
            <w:r>
              <w:rPr>
                <w:rFonts w:ascii="宋体" w:hAnsi="宋体" w:cs="宋体" w:eastAsia="宋体" w:hint="default"/>
                <w:sz w:val="21"/>
                <w:szCs w:val="21"/>
              </w:rPr>
            </w:r>
          </w:p>
        </w:tc>
      </w:tr>
      <w:tr>
        <w:trPr>
          <w:trHeight w:val="348" w:hRule="exact"/>
        </w:trPr>
        <w:tc>
          <w:tcPr>
            <w:tcW w:w="406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768" w:right="0"/>
              <w:jc w:val="left"/>
              <w:rPr>
                <w:rFonts w:ascii="宋体" w:hAnsi="宋体" w:cs="宋体" w:eastAsia="宋体" w:hint="default"/>
                <w:sz w:val="21"/>
                <w:szCs w:val="21"/>
              </w:rPr>
            </w:pPr>
            <w:r>
              <w:rPr>
                <w:rFonts w:ascii="宋体" w:hAnsi="宋体" w:cs="宋体" w:eastAsia="宋体" w:hint="default"/>
                <w:b/>
                <w:bCs/>
                <w:sz w:val="21"/>
                <w:szCs w:val="21"/>
              </w:rPr>
              <w:t>武汉金运激光股份有限公司</w:t>
            </w:r>
            <w:r>
              <w:rPr>
                <w:rFonts w:ascii="宋体" w:hAnsi="宋体" w:cs="宋体" w:eastAsia="宋体" w:hint="default"/>
                <w:sz w:val="21"/>
                <w:szCs w:val="21"/>
              </w:rPr>
            </w:r>
          </w:p>
        </w:tc>
        <w:tc>
          <w:tcPr>
            <w:tcW w:w="1371" w:type="dxa"/>
            <w:vMerge w:val="restart"/>
            <w:tcBorders>
              <w:top w:val="single" w:sz="6" w:space="0" w:color="000000"/>
              <w:left w:val="single" w:sz="6" w:space="0" w:color="000000"/>
              <w:right w:val="single" w:sz="6" w:space="0" w:color="000000"/>
            </w:tcBorders>
          </w:tcPr>
          <w:p>
            <w:pPr>
              <w:pStyle w:val="TableParagraph"/>
              <w:spacing w:line="240" w:lineRule="auto" w:before="172"/>
              <w:ind w:left="362"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654"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r>
      <w:tr>
        <w:trPr>
          <w:trHeight w:val="346" w:hRule="exact"/>
        </w:trPr>
        <w:tc>
          <w:tcPr>
            <w:tcW w:w="4069" w:type="dxa"/>
            <w:vMerge/>
            <w:tcBorders>
              <w:left w:val="nil" w:sz="6" w:space="0" w:color="auto"/>
              <w:right w:val="single" w:sz="6" w:space="0" w:color="000000"/>
            </w:tcBorders>
          </w:tcPr>
          <w:p>
            <w:pPr/>
          </w:p>
        </w:tc>
        <w:tc>
          <w:tcPr>
            <w:tcW w:w="1371" w:type="dxa"/>
            <w:vMerge/>
            <w:tcBorders>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1654" w:type="dxa"/>
            <w:vMerge/>
            <w:tcBorders>
              <w:left w:val="single" w:sz="6" w:space="0" w:color="000000"/>
              <w:bottom w:val="single" w:sz="6" w:space="0" w:color="000000"/>
              <w:right w:val="nil" w:sz="6" w:space="0" w:color="auto"/>
            </w:tcBorders>
          </w:tcPr>
          <w:p>
            <w:pPr/>
          </w:p>
        </w:tc>
      </w:tr>
      <w:tr>
        <w:trPr>
          <w:trHeight w:val="348" w:hRule="exact"/>
        </w:trPr>
        <w:tc>
          <w:tcPr>
            <w:tcW w:w="4069" w:type="dxa"/>
            <w:vMerge/>
            <w:tcBorders>
              <w:left w:val="nil" w:sz="6" w:space="0" w:color="auto"/>
              <w:right w:val="single" w:sz="6" w:space="0" w:color="000000"/>
            </w:tcBorders>
          </w:tcPr>
          <w:p>
            <w:pPr/>
          </w:p>
        </w:tc>
        <w:tc>
          <w:tcPr>
            <w:tcW w:w="137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申请</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1654" w:type="dxa"/>
            <w:vMerge w:val="restart"/>
            <w:tcBorders>
              <w:top w:val="single" w:sz="6" w:space="0" w:color="000000"/>
              <w:left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15</w:t>
            </w:r>
          </w:p>
        </w:tc>
      </w:tr>
      <w:tr>
        <w:trPr>
          <w:trHeight w:val="348" w:hRule="exact"/>
        </w:trPr>
        <w:tc>
          <w:tcPr>
            <w:tcW w:w="4069" w:type="dxa"/>
            <w:vMerge/>
            <w:tcBorders>
              <w:left w:val="nil" w:sz="6" w:space="0" w:color="auto"/>
              <w:right w:val="single" w:sz="6" w:space="0" w:color="000000"/>
            </w:tcBorders>
          </w:tcPr>
          <w:p>
            <w:pPr/>
          </w:p>
        </w:tc>
        <w:tc>
          <w:tcPr>
            <w:tcW w:w="1371" w:type="dxa"/>
            <w:vMerge/>
            <w:tcBorders>
              <w:left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1654" w:type="dxa"/>
            <w:vMerge/>
            <w:tcBorders>
              <w:left w:val="single" w:sz="6" w:space="0" w:color="000000"/>
              <w:right w:val="nil" w:sz="6" w:space="0" w:color="auto"/>
            </w:tcBorders>
          </w:tcPr>
          <w:p>
            <w:pPr/>
          </w:p>
        </w:tc>
      </w:tr>
      <w:tr>
        <w:trPr>
          <w:trHeight w:val="346" w:hRule="exact"/>
        </w:trPr>
        <w:tc>
          <w:tcPr>
            <w:tcW w:w="4069" w:type="dxa"/>
            <w:vMerge/>
            <w:tcBorders>
              <w:left w:val="nil" w:sz="6" w:space="0" w:color="auto"/>
              <w:bottom w:val="single" w:sz="6" w:space="0" w:color="000000"/>
              <w:right w:val="single" w:sz="6" w:space="0" w:color="000000"/>
            </w:tcBorders>
          </w:tcPr>
          <w:p>
            <w:pPr/>
          </w:p>
        </w:tc>
        <w:tc>
          <w:tcPr>
            <w:tcW w:w="1371" w:type="dxa"/>
            <w:vMerge/>
            <w:tcBorders>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1654" w:type="dxa"/>
            <w:vMerge/>
            <w:tcBorders>
              <w:left w:val="single" w:sz="6" w:space="0" w:color="000000"/>
              <w:bottom w:val="single" w:sz="6" w:space="0" w:color="000000"/>
              <w:right w:val="nil" w:sz="6" w:space="0" w:color="auto"/>
            </w:tcBorders>
          </w:tcPr>
          <w:p>
            <w:pPr/>
          </w:p>
        </w:tc>
      </w:tr>
      <w:tr>
        <w:trPr>
          <w:trHeight w:val="348" w:hRule="exact"/>
        </w:trPr>
        <w:tc>
          <w:tcPr>
            <w:tcW w:w="4069" w:type="dxa"/>
            <w:vMerge w:val="restart"/>
            <w:tcBorders>
              <w:top w:val="single" w:sz="6" w:space="0" w:color="000000"/>
              <w:left w:val="nil" w:sz="6" w:space="0" w:color="auto"/>
              <w:right w:val="single" w:sz="6" w:space="0" w:color="000000"/>
            </w:tcBorders>
          </w:tcPr>
          <w:p>
            <w:pPr>
              <w:pStyle w:val="TableParagraph"/>
              <w:spacing w:line="240" w:lineRule="auto" w:before="172"/>
              <w:ind w:left="557" w:right="0"/>
              <w:jc w:val="left"/>
              <w:rPr>
                <w:rFonts w:ascii="宋体" w:hAnsi="宋体" w:cs="宋体" w:eastAsia="宋体" w:hint="default"/>
                <w:sz w:val="21"/>
                <w:szCs w:val="21"/>
              </w:rPr>
            </w:pPr>
            <w:r>
              <w:rPr>
                <w:rFonts w:ascii="宋体" w:hAnsi="宋体" w:cs="宋体" w:eastAsia="宋体" w:hint="default"/>
                <w:b/>
                <w:bCs/>
                <w:sz w:val="21"/>
                <w:szCs w:val="21"/>
              </w:rPr>
              <w:t>武汉唯拓光纤激光工程有限公司</w:t>
            </w:r>
            <w:r>
              <w:rPr>
                <w:rFonts w:ascii="宋体" w:hAnsi="宋体" w:cs="宋体" w:eastAsia="宋体" w:hint="default"/>
                <w:sz w:val="21"/>
                <w:szCs w:val="21"/>
              </w:rPr>
            </w:r>
          </w:p>
        </w:tc>
        <w:tc>
          <w:tcPr>
            <w:tcW w:w="1371" w:type="dxa"/>
            <w:vMerge w:val="restart"/>
            <w:tcBorders>
              <w:top w:val="single" w:sz="6" w:space="0" w:color="000000"/>
              <w:left w:val="single" w:sz="6" w:space="0" w:color="000000"/>
              <w:right w:val="single" w:sz="6" w:space="0" w:color="000000"/>
            </w:tcBorders>
          </w:tcPr>
          <w:p>
            <w:pPr>
              <w:pStyle w:val="TableParagraph"/>
              <w:spacing w:line="240" w:lineRule="auto" w:before="172"/>
              <w:ind w:left="362"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1654"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r>
      <w:tr>
        <w:trPr>
          <w:trHeight w:val="348" w:hRule="exact"/>
        </w:trPr>
        <w:tc>
          <w:tcPr>
            <w:tcW w:w="4069" w:type="dxa"/>
            <w:vMerge/>
            <w:tcBorders>
              <w:left w:val="nil" w:sz="6" w:space="0" w:color="auto"/>
              <w:bottom w:val="single" w:sz="6" w:space="0" w:color="000000"/>
              <w:right w:val="single" w:sz="6" w:space="0" w:color="000000"/>
            </w:tcBorders>
          </w:tcPr>
          <w:p>
            <w:pPr/>
          </w:p>
        </w:tc>
        <w:tc>
          <w:tcPr>
            <w:tcW w:w="1371" w:type="dxa"/>
            <w:vMerge/>
            <w:tcBorders>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654" w:type="dxa"/>
            <w:vMerge/>
            <w:tcBorders>
              <w:left w:val="single" w:sz="6" w:space="0" w:color="000000"/>
              <w:bottom w:val="single" w:sz="6"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083"/>
        <w:gridCol w:w="1371"/>
        <w:gridCol w:w="1538"/>
        <w:gridCol w:w="1028"/>
        <w:gridCol w:w="1654"/>
      </w:tblGrid>
      <w:tr>
        <w:trPr>
          <w:trHeight w:val="348" w:hRule="exact"/>
        </w:trPr>
        <w:tc>
          <w:tcPr>
            <w:tcW w:w="4083" w:type="dxa"/>
            <w:vMerge w:val="restart"/>
            <w:tcBorders>
              <w:top w:val="single" w:sz="6" w:space="0" w:color="000000"/>
              <w:left w:val="nil" w:sz="6" w:space="0" w:color="auto"/>
              <w:right w:val="single" w:sz="6" w:space="0" w:color="000000"/>
            </w:tcBorders>
          </w:tcPr>
          <w:p>
            <w:pPr/>
          </w:p>
        </w:tc>
        <w:tc>
          <w:tcPr>
            <w:tcW w:w="137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申请</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1654" w:type="dxa"/>
            <w:vMerge w:val="restart"/>
            <w:tcBorders>
              <w:top w:val="single" w:sz="6" w:space="0" w:color="000000"/>
              <w:left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12</w:t>
            </w:r>
          </w:p>
        </w:tc>
      </w:tr>
      <w:tr>
        <w:trPr>
          <w:trHeight w:val="346" w:hRule="exact"/>
        </w:trPr>
        <w:tc>
          <w:tcPr>
            <w:tcW w:w="4083" w:type="dxa"/>
            <w:vMerge/>
            <w:tcBorders>
              <w:left w:val="nil" w:sz="6" w:space="0" w:color="auto"/>
              <w:right w:val="single" w:sz="6" w:space="0" w:color="000000"/>
            </w:tcBorders>
          </w:tcPr>
          <w:p>
            <w:pPr/>
          </w:p>
        </w:tc>
        <w:tc>
          <w:tcPr>
            <w:tcW w:w="1371" w:type="dxa"/>
            <w:vMerge/>
            <w:tcBorders>
              <w:left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1654" w:type="dxa"/>
            <w:vMerge/>
            <w:tcBorders>
              <w:left w:val="single" w:sz="6" w:space="0" w:color="000000"/>
              <w:right w:val="nil" w:sz="6" w:space="0" w:color="auto"/>
            </w:tcBorders>
          </w:tcPr>
          <w:p>
            <w:pPr/>
          </w:p>
        </w:tc>
      </w:tr>
      <w:tr>
        <w:trPr>
          <w:trHeight w:val="348" w:hRule="exact"/>
        </w:trPr>
        <w:tc>
          <w:tcPr>
            <w:tcW w:w="4083" w:type="dxa"/>
            <w:vMerge/>
            <w:tcBorders>
              <w:left w:val="nil" w:sz="6" w:space="0" w:color="auto"/>
              <w:bottom w:val="single" w:sz="6" w:space="0" w:color="000000"/>
              <w:right w:val="single" w:sz="6" w:space="0" w:color="000000"/>
            </w:tcBorders>
          </w:tcPr>
          <w:p>
            <w:pPr/>
          </w:p>
        </w:tc>
        <w:tc>
          <w:tcPr>
            <w:tcW w:w="1371" w:type="dxa"/>
            <w:vMerge/>
            <w:tcBorders>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1654" w:type="dxa"/>
            <w:vMerge/>
            <w:tcBorders>
              <w:left w:val="single" w:sz="6" w:space="0" w:color="000000"/>
              <w:bottom w:val="single" w:sz="6" w:space="0" w:color="000000"/>
              <w:right w:val="nil" w:sz="6" w:space="0" w:color="auto"/>
            </w:tcBorders>
          </w:tcPr>
          <w:p>
            <w:pPr/>
          </w:p>
        </w:tc>
      </w:tr>
      <w:tr>
        <w:trPr>
          <w:trHeight w:val="346" w:hRule="exact"/>
        </w:trPr>
        <w:tc>
          <w:tcPr>
            <w:tcW w:w="4083" w:type="dxa"/>
            <w:vMerge w:val="restart"/>
            <w:tcBorders>
              <w:top w:val="single" w:sz="6" w:space="0" w:color="000000"/>
              <w:left w:val="nil" w:sz="6" w:space="0" w:color="auto"/>
              <w:right w:val="single" w:sz="6" w:space="0" w:color="000000"/>
            </w:tcBorders>
          </w:tcPr>
          <w:p>
            <w:pPr>
              <w:pStyle w:val="TableParagraph"/>
              <w:spacing w:line="240" w:lineRule="auto" w:before="170"/>
              <w:ind w:left="571" w:right="0"/>
              <w:jc w:val="left"/>
              <w:rPr>
                <w:rFonts w:ascii="宋体" w:hAnsi="宋体" w:cs="宋体" w:eastAsia="宋体" w:hint="default"/>
                <w:sz w:val="21"/>
                <w:szCs w:val="21"/>
              </w:rPr>
            </w:pPr>
            <w:r>
              <w:rPr>
                <w:rFonts w:ascii="宋体" w:hAnsi="宋体" w:cs="宋体" w:eastAsia="宋体" w:hint="default"/>
                <w:b/>
                <w:bCs/>
                <w:sz w:val="21"/>
                <w:szCs w:val="21"/>
              </w:rPr>
              <w:t>武汉金运激光产业发展有限公司</w:t>
            </w:r>
            <w:r>
              <w:rPr>
                <w:rFonts w:ascii="宋体" w:hAnsi="宋体" w:cs="宋体" w:eastAsia="宋体" w:hint="default"/>
                <w:sz w:val="21"/>
                <w:szCs w:val="21"/>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已授权</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2</w:t>
            </w:r>
          </w:p>
        </w:tc>
      </w:tr>
      <w:tr>
        <w:trPr>
          <w:trHeight w:val="348" w:hRule="exact"/>
        </w:trPr>
        <w:tc>
          <w:tcPr>
            <w:tcW w:w="4083" w:type="dxa"/>
            <w:vMerge/>
            <w:tcBorders>
              <w:left w:val="nil" w:sz="6" w:space="0" w:color="auto"/>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申请</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w w:val="100"/>
                <w:sz w:val="21"/>
              </w:rPr>
              <w:t>1</w:t>
            </w:r>
          </w:p>
        </w:tc>
      </w:tr>
      <w:tr>
        <w:trPr>
          <w:trHeight w:val="348" w:hRule="exact"/>
        </w:trPr>
        <w:tc>
          <w:tcPr>
            <w:tcW w:w="4083"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782" w:right="0"/>
              <w:jc w:val="left"/>
              <w:rPr>
                <w:rFonts w:ascii="宋体" w:hAnsi="宋体" w:cs="宋体" w:eastAsia="宋体" w:hint="default"/>
                <w:sz w:val="21"/>
                <w:szCs w:val="21"/>
              </w:rPr>
            </w:pPr>
            <w:r>
              <w:rPr>
                <w:rFonts w:ascii="宋体" w:hAnsi="宋体" w:cs="宋体" w:eastAsia="宋体" w:hint="default"/>
                <w:b/>
                <w:bCs/>
                <w:sz w:val="21"/>
                <w:szCs w:val="21"/>
              </w:rPr>
              <w:t>武汉金运互动传媒有限公司</w:t>
            </w:r>
            <w:r>
              <w:rPr>
                <w:rFonts w:ascii="宋体" w:hAnsi="宋体" w:cs="宋体" w:eastAsia="宋体" w:hint="default"/>
                <w:sz w:val="21"/>
                <w:szCs w:val="21"/>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申请</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7</w:t>
            </w: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7</w:t>
            </w:r>
          </w:p>
        </w:tc>
      </w:tr>
    </w:tbl>
    <w:p>
      <w:pPr>
        <w:spacing w:line="240" w:lineRule="auto" w:before="2"/>
        <w:rPr>
          <w:rFonts w:ascii="宋体" w:hAnsi="宋体" w:cs="宋体" w:eastAsia="宋体" w:hint="default"/>
          <w:sz w:val="20"/>
          <w:szCs w:val="20"/>
        </w:rPr>
      </w:pPr>
    </w:p>
    <w:p>
      <w:pPr>
        <w:pStyle w:val="BodyText"/>
        <w:spacing w:line="240" w:lineRule="auto" w:before="36"/>
        <w:ind w:right="1116"/>
        <w:jc w:val="left"/>
      </w:pPr>
      <w:r>
        <w:rPr/>
        <w:t>二、商标</w:t>
      </w:r>
    </w:p>
    <w:p>
      <w:pPr>
        <w:pStyle w:val="BodyText"/>
        <w:spacing w:line="256" w:lineRule="auto" w:before="37"/>
        <w:ind w:left="789" w:right="1116" w:hanging="216"/>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日，公司及其全资子公司商标情况如下：</w:t>
      </w:r>
      <w:r>
        <w:rPr>
          <w:w w:val="100"/>
        </w:rPr>
        <w:t> </w:t>
      </w:r>
      <w:r>
        <w:rPr>
          <w:spacing w:val="-2"/>
        </w:rPr>
        <w:t>拥有注册商标的总数为</w:t>
      </w:r>
      <w:r>
        <w:rPr>
          <w:rFonts w:ascii="Times New Roman" w:hAnsi="Times New Roman" w:cs="Times New Roman" w:eastAsia="Times New Roman" w:hint="default"/>
          <w:spacing w:val="-2"/>
        </w:rPr>
        <w:t>105</w:t>
      </w:r>
      <w:r>
        <w:rPr>
          <w:spacing w:val="-2"/>
        </w:rPr>
        <w:t>件，其中国内商标</w:t>
      </w:r>
      <w:r>
        <w:rPr>
          <w:rFonts w:ascii="Times New Roman" w:hAnsi="Times New Roman" w:cs="Times New Roman" w:eastAsia="Times New Roman" w:hint="default"/>
          <w:spacing w:val="-2"/>
        </w:rPr>
        <w:t>99</w:t>
      </w:r>
      <w:r>
        <w:rPr>
          <w:spacing w:val="-2"/>
        </w:rPr>
        <w:t>件，国外商标</w:t>
      </w:r>
      <w:r>
        <w:rPr>
          <w:rFonts w:ascii="Times New Roman" w:hAnsi="Times New Roman" w:cs="Times New Roman" w:eastAsia="Times New Roman" w:hint="default"/>
          <w:spacing w:val="-2"/>
        </w:rPr>
        <w:t>6</w:t>
      </w:r>
      <w:r>
        <w:rPr>
          <w:spacing w:val="-2"/>
        </w:rPr>
        <w:t>件；</w:t>
      </w:r>
    </w:p>
    <w:tbl>
      <w:tblPr>
        <w:tblW w:w="0" w:type="auto"/>
        <w:jc w:val="left"/>
        <w:tblInd w:w="123" w:type="dxa"/>
        <w:tblLayout w:type="fixed"/>
        <w:tblCellMar>
          <w:top w:w="0" w:type="dxa"/>
          <w:left w:w="0" w:type="dxa"/>
          <w:bottom w:w="0" w:type="dxa"/>
          <w:right w:w="0" w:type="dxa"/>
        </w:tblCellMar>
        <w:tblLook w:val="01E0"/>
      </w:tblPr>
      <w:tblGrid>
        <w:gridCol w:w="4059"/>
        <w:gridCol w:w="1529"/>
        <w:gridCol w:w="2042"/>
        <w:gridCol w:w="2043"/>
      </w:tblGrid>
      <w:tr>
        <w:trPr>
          <w:trHeight w:val="341" w:hRule="exact"/>
        </w:trPr>
        <w:tc>
          <w:tcPr>
            <w:tcW w:w="4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8"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状态</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r>
      <w:tr>
        <w:trPr>
          <w:trHeight w:val="343" w:hRule="exact"/>
        </w:trPr>
        <w:tc>
          <w:tcPr>
            <w:tcW w:w="4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5" w:right="0"/>
              <w:jc w:val="center"/>
              <w:rPr>
                <w:rFonts w:ascii="宋体" w:hAnsi="宋体" w:cs="宋体" w:eastAsia="宋体" w:hint="default"/>
                <w:sz w:val="18"/>
                <w:szCs w:val="18"/>
              </w:rPr>
            </w:pPr>
            <w:r>
              <w:rPr>
                <w:rFonts w:ascii="宋体" w:hAnsi="宋体" w:cs="宋体" w:eastAsia="宋体" w:hint="default"/>
                <w:b/>
                <w:bCs/>
                <w:sz w:val="18"/>
                <w:szCs w:val="18"/>
              </w:rPr>
              <w:t>武汉金运激光股份有限公司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已注册</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102</w:t>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102</w:t>
            </w:r>
          </w:p>
        </w:tc>
      </w:tr>
      <w:tr>
        <w:trPr>
          <w:trHeight w:val="341" w:hRule="exact"/>
        </w:trPr>
        <w:tc>
          <w:tcPr>
            <w:tcW w:w="4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5" w:right="0"/>
              <w:jc w:val="center"/>
              <w:rPr>
                <w:rFonts w:ascii="宋体" w:hAnsi="宋体" w:cs="宋体" w:eastAsia="宋体" w:hint="default"/>
                <w:sz w:val="18"/>
                <w:szCs w:val="18"/>
              </w:rPr>
            </w:pPr>
            <w:r>
              <w:rPr>
                <w:rFonts w:ascii="宋体" w:hAnsi="宋体" w:cs="宋体" w:eastAsia="宋体" w:hint="default"/>
                <w:b/>
                <w:bCs/>
                <w:sz w:val="18"/>
                <w:szCs w:val="18"/>
              </w:rPr>
              <w:t>武汉唯拓光纤激光工程有限公司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已注册</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
        <w:ind w:left="513" w:right="11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年全年，公司及其全资子公司无申请商标事项。</w:t>
      </w:r>
    </w:p>
    <w:p>
      <w:pPr>
        <w:spacing w:line="240" w:lineRule="auto" w:before="6"/>
        <w:rPr>
          <w:rFonts w:ascii="宋体" w:hAnsi="宋体" w:cs="宋体" w:eastAsia="宋体" w:hint="default"/>
          <w:sz w:val="25"/>
          <w:szCs w:val="25"/>
        </w:rPr>
      </w:pPr>
    </w:p>
    <w:p>
      <w:pPr>
        <w:pStyle w:val="BodyText"/>
        <w:spacing w:line="240" w:lineRule="auto"/>
        <w:ind w:right="1116"/>
        <w:jc w:val="left"/>
      </w:pPr>
      <w:r>
        <w:rPr/>
        <w:t>三、软件著作权</w:t>
      </w:r>
    </w:p>
    <w:p>
      <w:pPr>
        <w:pStyle w:val="BodyText"/>
        <w:spacing w:line="240" w:lineRule="auto" w:before="37"/>
        <w:ind w:left="573" w:right="1116"/>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日，公司及其全资子公司拥有软件著作权的总数为</w:t>
      </w:r>
      <w:r>
        <w:rPr>
          <w:rFonts w:ascii="Times New Roman" w:hAnsi="Times New Roman" w:cs="Times New Roman" w:eastAsia="Times New Roman" w:hint="default"/>
        </w:rPr>
        <w:t>73</w:t>
      </w:r>
      <w:r>
        <w:rPr/>
        <w:t>件。</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045"/>
        <w:gridCol w:w="1529"/>
        <w:gridCol w:w="2042"/>
        <w:gridCol w:w="2043"/>
      </w:tblGrid>
      <w:tr>
        <w:trPr>
          <w:trHeight w:val="343"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状态</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r>
      <w:tr>
        <w:trPr>
          <w:trHeight w:val="341"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武汉金运激光股份有限公司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50</w:t>
            </w:r>
          </w:p>
        </w:tc>
        <w:tc>
          <w:tcPr>
            <w:tcW w:w="204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w:t>
            </w:r>
          </w:p>
        </w:tc>
      </w:tr>
      <w:tr>
        <w:trPr>
          <w:trHeight w:val="343"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金运数字技术（武汉）有限公司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12</w:t>
            </w:r>
          </w:p>
        </w:tc>
        <w:tc>
          <w:tcPr>
            <w:tcW w:w="2043" w:type="dxa"/>
            <w:vMerge/>
            <w:tcBorders>
              <w:left w:val="single" w:sz="4" w:space="0" w:color="000000"/>
              <w:right w:val="nil" w:sz="6" w:space="0" w:color="auto"/>
            </w:tcBorders>
          </w:tcPr>
          <w:p>
            <w:pPr/>
          </w:p>
        </w:tc>
      </w:tr>
      <w:tr>
        <w:trPr>
          <w:trHeight w:val="341"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武汉金运激光产业发展有限公司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2043" w:type="dxa"/>
            <w:vMerge/>
            <w:tcBorders>
              <w:left w:val="single" w:sz="4" w:space="0" w:color="000000"/>
              <w:right w:val="nil" w:sz="6" w:space="0" w:color="auto"/>
            </w:tcBorders>
          </w:tcPr>
          <w:p>
            <w:pPr/>
          </w:p>
        </w:tc>
      </w:tr>
      <w:tr>
        <w:trPr>
          <w:trHeight w:val="343"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武汉金运互动传媒有限公司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2043" w:type="dxa"/>
            <w:vMerge/>
            <w:tcBorders>
              <w:left w:val="single" w:sz="4" w:space="0" w:color="000000"/>
              <w:bottom w:val="single" w:sz="4" w:space="0" w:color="000000"/>
              <w:right w:val="nil" w:sz="6" w:space="0" w:color="auto"/>
            </w:tcBorders>
          </w:tcPr>
          <w:p>
            <w:pPr/>
          </w:p>
        </w:tc>
      </w:tr>
    </w:tbl>
    <w:p>
      <w:pPr>
        <w:pStyle w:val="BodyText"/>
        <w:spacing w:line="278" w:lineRule="exact"/>
        <w:ind w:left="573" w:right="11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年全年，公司及其全资子公司已登记软件著作权的总数为</w:t>
      </w:r>
      <w:r>
        <w:rPr>
          <w:rFonts w:ascii="Times New Roman" w:hAnsi="Times New Roman" w:cs="Times New Roman" w:eastAsia="Times New Roman" w:hint="default"/>
        </w:rPr>
        <w:t>7</w:t>
      </w:r>
      <w:r>
        <w:rPr/>
        <w:t>件，申请中为</w:t>
      </w:r>
      <w:r>
        <w:rPr>
          <w:rFonts w:ascii="Times New Roman" w:hAnsi="Times New Roman" w:cs="Times New Roman" w:eastAsia="Times New Roman" w:hint="default"/>
        </w:rPr>
        <w:t>9</w:t>
      </w:r>
      <w:r>
        <w:rPr/>
        <w:t>件，情况如下：</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59"/>
        <w:gridCol w:w="1529"/>
        <w:gridCol w:w="2042"/>
        <w:gridCol w:w="2043"/>
      </w:tblGrid>
      <w:tr>
        <w:trPr>
          <w:trHeight w:val="343" w:hRule="exact"/>
        </w:trPr>
        <w:tc>
          <w:tcPr>
            <w:tcW w:w="4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状态</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r>
      <w:tr>
        <w:trPr>
          <w:trHeight w:val="341" w:hRule="exact"/>
        </w:trPr>
        <w:tc>
          <w:tcPr>
            <w:tcW w:w="405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b/>
                <w:bCs/>
                <w:sz w:val="18"/>
                <w:szCs w:val="18"/>
              </w:rPr>
              <w:t>武汉金运激光股份有限公司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r>
      <w:tr>
        <w:trPr>
          <w:trHeight w:val="343" w:hRule="exact"/>
        </w:trPr>
        <w:tc>
          <w:tcPr>
            <w:tcW w:w="4059"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r>
      <w:tr>
        <w:trPr>
          <w:trHeight w:val="341" w:hRule="exact"/>
        </w:trPr>
        <w:tc>
          <w:tcPr>
            <w:tcW w:w="4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7" w:right="0"/>
              <w:jc w:val="center"/>
              <w:rPr>
                <w:rFonts w:ascii="宋体" w:hAnsi="宋体" w:cs="宋体" w:eastAsia="宋体" w:hint="default"/>
                <w:sz w:val="18"/>
                <w:szCs w:val="18"/>
              </w:rPr>
            </w:pPr>
            <w:r>
              <w:rPr>
                <w:rFonts w:ascii="宋体" w:hAnsi="宋体" w:cs="宋体" w:eastAsia="宋体" w:hint="default"/>
                <w:b/>
                <w:bCs/>
                <w:sz w:val="18"/>
                <w:szCs w:val="18"/>
              </w:rPr>
              <w:t>武汉金运激光产业发展有限公司</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申请中</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20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16"/>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6"/>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107" w:firstLine="588"/>
        <w:jc w:val="both"/>
      </w:pPr>
      <w:r>
        <w:rPr>
          <w:spacing w:val="-4"/>
        </w:rPr>
        <w:t>报告期内，根据宏、微观经济形势，公司在经营上主要发力于：（</w:t>
      </w:r>
      <w:r>
        <w:rPr>
          <w:rFonts w:ascii="Times New Roman" w:hAnsi="Times New Roman" w:cs="Times New Roman" w:eastAsia="Times New Roman" w:hint="default"/>
          <w:spacing w:val="-4"/>
        </w:rPr>
        <w:t>1</w:t>
      </w:r>
      <w:r>
        <w:rPr>
          <w:spacing w:val="-4"/>
        </w:rPr>
        <w:t>）研判行业升级的产品需求，调</w:t>
      </w:r>
      <w:r>
        <w:rPr>
          <w:w w:val="100"/>
        </w:rPr>
        <w:t> </w:t>
      </w:r>
      <w:r>
        <w:rPr>
          <w:spacing w:val="-2"/>
        </w:rPr>
        <w:t>整下游应用领域；（</w:t>
      </w:r>
      <w:r>
        <w:rPr>
          <w:rFonts w:ascii="Times New Roman" w:hAnsi="Times New Roman" w:cs="Times New Roman" w:eastAsia="Times New Roman" w:hint="default"/>
          <w:spacing w:val="-2"/>
        </w:rPr>
        <w:t>2</w:t>
      </w:r>
      <w:r>
        <w:rPr>
          <w:spacing w:val="-2"/>
        </w:rPr>
        <w:t>）坚持自主创新，加大加快研发；（</w:t>
      </w:r>
      <w:r>
        <w:rPr>
          <w:rFonts w:ascii="Times New Roman" w:hAnsi="Times New Roman" w:cs="Times New Roman" w:eastAsia="Times New Roman" w:hint="default"/>
          <w:spacing w:val="-2"/>
        </w:rPr>
        <w:t>3</w:t>
      </w:r>
      <w:r>
        <w:rPr>
          <w:spacing w:val="-2"/>
        </w:rPr>
        <w:t>）做强主打产品，强化解决方案的提供能力；</w:t>
      </w:r>
    </w:p>
    <w:p>
      <w:pPr>
        <w:pStyle w:val="BodyText"/>
        <w:spacing w:line="240" w:lineRule="auto" w:before="5"/>
        <w:ind w:right="1116"/>
        <w:jc w:val="left"/>
      </w:pPr>
      <w:r>
        <w:rPr/>
        <w:t>（</w:t>
      </w:r>
      <w:r>
        <w:rPr>
          <w:rFonts w:ascii="Times New Roman" w:hAnsi="Times New Roman" w:cs="Times New Roman" w:eastAsia="Times New Roman" w:hint="default"/>
        </w:rPr>
        <w:t>4</w:t>
      </w:r>
      <w:r>
        <w:rPr/>
        <w:t>）加强团队建设，灵活制定管理模式；（</w:t>
      </w:r>
      <w:r>
        <w:rPr>
          <w:rFonts w:ascii="Times New Roman" w:hAnsi="Times New Roman" w:cs="Times New Roman" w:eastAsia="Times New Roman" w:hint="default"/>
        </w:rPr>
        <w:t>5</w:t>
      </w:r>
      <w:r>
        <w:rPr/>
        <w:t>）重视细分行业营销，将技术支持融入营销策略。</w:t>
      </w:r>
    </w:p>
    <w:p>
      <w:pPr>
        <w:pStyle w:val="BodyText"/>
        <w:spacing w:line="261" w:lineRule="auto" w:before="21"/>
        <w:ind w:right="998" w:firstLine="588"/>
        <w:jc w:val="left"/>
      </w:pPr>
      <w:r>
        <w:rPr>
          <w:rFonts w:ascii="Times New Roman" w:hAnsi="Times New Roman" w:cs="Times New Roman" w:eastAsia="Times New Roman" w:hint="default"/>
        </w:rPr>
        <w:t>2019</w:t>
      </w:r>
      <w:r>
        <w:rPr/>
        <w:t>年，受全球经济增长趋缓、国内经济增速下降、中美经贸关系不确定等影响，公司对美出口增</w:t>
      </w:r>
      <w:r>
        <w:rPr>
          <w:w w:val="100"/>
        </w:rPr>
        <w:t> </w:t>
      </w:r>
      <w:r>
        <w:rPr>
          <w:spacing w:val="-5"/>
        </w:rPr>
        <w:t>速放缓。公司工业智能激光业务侧重加强了对国内市场的运营管理，既通过积极的营销来提高品牌影响力，</w:t>
      </w:r>
      <w:r>
        <w:rPr>
          <w:spacing w:val="-4"/>
        </w:rPr>
        <w:t> </w:t>
      </w:r>
      <w:r>
        <w:rPr>
          <w:spacing w:val="-4"/>
        </w:rPr>
      </w:r>
      <w:r>
        <w:rPr/>
        <w:t>又通过对产品的技术革新，以更高的技术附加值去争取市场。商业智能业务确定的应用领域系</w:t>
      </w:r>
      <w:r>
        <w:rPr>
          <w:rFonts w:ascii="Times New Roman" w:hAnsi="Times New Roman" w:cs="Times New Roman" w:eastAsia="Times New Roman" w:hint="default"/>
        </w:rPr>
        <w:t>IP</w:t>
      </w:r>
      <w:r>
        <w:rPr/>
        <w:t>衍生品运</w:t>
      </w:r>
      <w:r>
        <w:rPr>
          <w:w w:val="100"/>
        </w:rPr>
        <w:t> </w:t>
      </w:r>
      <w:r>
        <w:rPr/>
        <w:t>营，且聚焦在</w:t>
      </w:r>
      <w:r>
        <w:rPr>
          <w:rFonts w:ascii="Times New Roman" w:hAnsi="Times New Roman" w:cs="Times New Roman" w:eastAsia="Times New Roman" w:hint="default"/>
        </w:rPr>
        <w:t>“</w:t>
      </w:r>
      <w:r>
        <w:rPr/>
        <w:t>潮文化</w:t>
      </w:r>
      <w:r>
        <w:rPr>
          <w:rFonts w:ascii="Times New Roman" w:hAnsi="Times New Roman" w:cs="Times New Roman" w:eastAsia="Times New Roman" w:hint="default"/>
        </w:rPr>
        <w:t>”</w:t>
      </w:r>
      <w:r>
        <w:rPr/>
        <w:t>的</w:t>
      </w:r>
      <w:r>
        <w:rPr>
          <w:rFonts w:ascii="Times New Roman" w:hAnsi="Times New Roman" w:cs="Times New Roman" w:eastAsia="Times New Roman" w:hint="default"/>
        </w:rPr>
        <w:t>IP</w:t>
      </w:r>
      <w:r>
        <w:rPr/>
        <w:t>衍生品细分。报告期内，公司在加快完善终端产品的软硬件服务体系后，随即</w:t>
      </w:r>
      <w:r>
        <w:rPr>
          <w:spacing w:val="-86"/>
        </w:rPr>
        <w:t> </w:t>
      </w:r>
      <w:r>
        <w:rPr>
          <w:spacing w:val="-86"/>
        </w:rPr>
      </w:r>
      <w:r>
        <w:rPr/>
        <w:t>构建运营能力，为下一步粉丝线上运营、新零售销售模式的供应链管理打基础。</w:t>
      </w:r>
    </w:p>
    <w:p>
      <w:pPr>
        <w:pStyle w:val="BodyText"/>
        <w:spacing w:line="256" w:lineRule="auto" w:before="18"/>
        <w:ind w:right="1071" w:firstLine="588"/>
        <w:jc w:val="both"/>
      </w:pPr>
      <w:r>
        <w:rPr/>
        <w:t>报告期营业收入</w:t>
      </w:r>
      <w:r>
        <w:rPr>
          <w:rFonts w:ascii="Times New Roman" w:hAnsi="Times New Roman" w:cs="Times New Roman" w:eastAsia="Times New Roman" w:hint="default"/>
        </w:rPr>
        <w:t>21,930.12</w:t>
      </w:r>
      <w:r>
        <w:rPr/>
        <w:t>万元，较上年同期增加</w:t>
      </w:r>
      <w:r>
        <w:rPr>
          <w:rFonts w:ascii="Times New Roman" w:hAnsi="Times New Roman" w:cs="Times New Roman" w:eastAsia="Times New Roman" w:hint="default"/>
        </w:rPr>
        <w:t>3.06%</w:t>
      </w:r>
      <w:r>
        <w:rPr/>
        <w:t>；营业成本</w:t>
      </w:r>
      <w:r>
        <w:rPr>
          <w:rFonts w:ascii="Times New Roman" w:hAnsi="Times New Roman" w:cs="Times New Roman" w:eastAsia="Times New Roman" w:hint="default"/>
        </w:rPr>
        <w:t>13,606.98</w:t>
      </w:r>
      <w:r>
        <w:rPr/>
        <w:t>万元，较上年同期减少</w:t>
      </w:r>
      <w:r>
        <w:rPr>
          <w:w w:val="100"/>
        </w:rPr>
        <w:t> </w:t>
      </w:r>
      <w:r>
        <w:rPr>
          <w:rFonts w:ascii="Times New Roman" w:hAnsi="Times New Roman" w:cs="Times New Roman" w:eastAsia="Times New Roman" w:hint="default"/>
        </w:rPr>
        <w:t>3.95%</w:t>
      </w:r>
      <w:r>
        <w:rPr/>
        <w:t>；归属于母公司所有者的净利润</w:t>
      </w:r>
      <w:r>
        <w:rPr>
          <w:rFonts w:ascii="Times New Roman" w:hAnsi="Times New Roman" w:cs="Times New Roman" w:eastAsia="Times New Roman" w:hint="default"/>
        </w:rPr>
        <w:t>1,513.22</w:t>
      </w:r>
      <w:r>
        <w:rPr/>
        <w:t>万元；较上年同期增加</w:t>
      </w:r>
      <w:r>
        <w:rPr>
          <w:rFonts w:ascii="Times New Roman" w:hAnsi="Times New Roman" w:cs="Times New Roman" w:eastAsia="Times New Roman" w:hint="default"/>
        </w:rPr>
        <w:t>111.88%</w:t>
      </w:r>
      <w:r>
        <w:rPr/>
        <w:t>。经营活动产生的现金流量</w:t>
      </w:r>
      <w:r>
        <w:rPr>
          <w:spacing w:val="-60"/>
        </w:rPr>
        <w:t> </w:t>
      </w:r>
      <w:r>
        <w:rPr>
          <w:spacing w:val="-60"/>
        </w:rPr>
      </w:r>
      <w:r>
        <w:rPr/>
        <w:t>净额</w:t>
      </w:r>
      <w:r>
        <w:rPr>
          <w:rFonts w:ascii="Times New Roman" w:hAnsi="Times New Roman" w:cs="Times New Roman" w:eastAsia="Times New Roman" w:hint="default"/>
        </w:rPr>
        <w:t>2,509.62</w:t>
      </w:r>
      <w:r>
        <w:rPr/>
        <w:t>万元，较上年同期减少</w:t>
      </w:r>
      <w:r>
        <w:rPr>
          <w:rFonts w:ascii="Times New Roman" w:hAnsi="Times New Roman" w:cs="Times New Roman" w:eastAsia="Times New Roman" w:hint="default"/>
        </w:rPr>
        <w:t>15.51%</w:t>
      </w:r>
      <w:r>
        <w:rPr/>
        <w:t>；销售费用</w:t>
      </w:r>
      <w:r>
        <w:rPr>
          <w:rFonts w:ascii="Times New Roman" w:hAnsi="Times New Roman" w:cs="Times New Roman" w:eastAsia="Times New Roman" w:hint="default"/>
        </w:rPr>
        <w:t>3,186.21</w:t>
      </w:r>
      <w:r>
        <w:rPr/>
        <w:t>万元，较上年同期增加</w:t>
      </w:r>
      <w:r>
        <w:rPr>
          <w:rFonts w:ascii="Times New Roman" w:hAnsi="Times New Roman" w:cs="Times New Roman" w:eastAsia="Times New Roman" w:hint="default"/>
        </w:rPr>
        <w:t>10.41%</w:t>
      </w:r>
      <w:r>
        <w:rPr/>
        <w:t>；管理费用</w:t>
      </w:r>
      <w:r>
        <w:rPr>
          <w:spacing w:val="35"/>
        </w:rPr>
        <w:t> </w:t>
      </w:r>
      <w:r>
        <w:rPr>
          <w:spacing w:val="35"/>
        </w:rPr>
      </w:r>
      <w:r>
        <w:rPr>
          <w:rFonts w:ascii="Times New Roman" w:hAnsi="Times New Roman" w:cs="Times New Roman" w:eastAsia="Times New Roman" w:hint="default"/>
          <w:spacing w:val="-2"/>
        </w:rPr>
        <w:t>1,861.05</w:t>
      </w:r>
      <w:r>
        <w:rPr>
          <w:spacing w:val="-2"/>
        </w:rPr>
        <w:t>万元，较上年同期增加</w:t>
      </w:r>
      <w:r>
        <w:rPr>
          <w:rFonts w:ascii="Times New Roman" w:hAnsi="Times New Roman" w:cs="Times New Roman" w:eastAsia="Times New Roman" w:hint="default"/>
          <w:spacing w:val="-2"/>
        </w:rPr>
        <w:t>6.65%</w:t>
      </w:r>
      <w:r>
        <w:rPr>
          <w:spacing w:val="-2"/>
        </w:rPr>
        <w:t>；财务费用</w:t>
      </w:r>
      <w:r>
        <w:rPr>
          <w:rFonts w:ascii="Times New Roman" w:hAnsi="Times New Roman" w:cs="Times New Roman" w:eastAsia="Times New Roman" w:hint="default"/>
          <w:spacing w:val="-2"/>
        </w:rPr>
        <w:t>-169.84</w:t>
      </w:r>
      <w:r>
        <w:rPr>
          <w:spacing w:val="-2"/>
        </w:rPr>
        <w:t>万元。截止报告期末，公司总资产</w:t>
      </w:r>
      <w:r>
        <w:rPr>
          <w:rFonts w:ascii="Times New Roman" w:hAnsi="Times New Roman" w:cs="Times New Roman" w:eastAsia="Times New Roman" w:hint="default"/>
          <w:spacing w:val="-2"/>
        </w:rPr>
        <w:t>38,265.24</w:t>
      </w:r>
      <w:r>
        <w:rPr>
          <w:spacing w:val="-2"/>
        </w:rPr>
        <w:t>万元，</w:t>
      </w:r>
      <w:r>
        <w:rPr>
          <w:spacing w:val="8"/>
        </w:rPr>
        <w:t> </w:t>
      </w:r>
      <w:r>
        <w:rPr>
          <w:spacing w:val="8"/>
        </w:rPr>
      </w:r>
      <w:r>
        <w:rPr/>
        <w:t>负债</w:t>
      </w:r>
      <w:r>
        <w:rPr>
          <w:rFonts w:ascii="Times New Roman" w:hAnsi="Times New Roman" w:cs="Times New Roman" w:eastAsia="Times New Roman" w:hint="default"/>
        </w:rPr>
        <w:t>10,995.86</w:t>
      </w:r>
      <w:r>
        <w:rPr/>
        <w:t>万元，归属于母公司股东权益</w:t>
      </w:r>
      <w:r>
        <w:rPr>
          <w:rFonts w:ascii="Times New Roman" w:hAnsi="Times New Roman" w:cs="Times New Roman" w:eastAsia="Times New Roman" w:hint="default"/>
        </w:rPr>
        <w:t>26,498.68</w:t>
      </w:r>
      <w:r>
        <w:rPr/>
        <w:t>万元，资产负债率为</w:t>
      </w:r>
      <w:r>
        <w:rPr>
          <w:rFonts w:ascii="Times New Roman" w:hAnsi="Times New Roman" w:cs="Times New Roman" w:eastAsia="Times New Roman" w:hint="default"/>
        </w:rPr>
        <w:t>28.74%</w:t>
      </w:r>
      <w:r>
        <w:rPr/>
        <w:t>。</w:t>
      </w:r>
    </w:p>
    <w:p>
      <w:pPr>
        <w:pStyle w:val="BodyText"/>
        <w:spacing w:line="240" w:lineRule="auto" w:before="5"/>
        <w:ind w:left="741" w:right="1116"/>
        <w:jc w:val="left"/>
      </w:pPr>
      <w:r>
        <w:rPr>
          <w:rFonts w:ascii="Times New Roman" w:hAnsi="Times New Roman" w:cs="Times New Roman" w:eastAsia="Times New Roman" w:hint="default"/>
        </w:rPr>
        <w:t>1</w:t>
      </w:r>
      <w:r>
        <w:rPr/>
        <w:t>、主营业务介绍</w:t>
      </w:r>
    </w:p>
    <w:p>
      <w:pPr>
        <w:pStyle w:val="BodyText"/>
        <w:spacing w:line="256" w:lineRule="auto" w:before="21"/>
        <w:ind w:left="741" w:right="998"/>
        <w:jc w:val="left"/>
      </w:pPr>
      <w:r>
        <w:rPr/>
        <w:t>（</w:t>
      </w:r>
      <w:r>
        <w:rPr>
          <w:rFonts w:ascii="Times New Roman" w:hAnsi="Times New Roman" w:cs="Times New Roman" w:eastAsia="Times New Roman" w:hint="default"/>
        </w:rPr>
        <w:t>1</w:t>
      </w:r>
      <w:r>
        <w:rPr/>
        <w:t>）工业智能应用</w:t>
      </w:r>
      <w:r>
        <w:rPr>
          <w:rFonts w:ascii="Times New Roman" w:hAnsi="Times New Roman" w:cs="Times New Roman" w:eastAsia="Times New Roman" w:hint="default"/>
        </w:rPr>
        <w:t>——</w:t>
      </w:r>
      <w:r>
        <w:rPr/>
        <w:t>高端数字激光装备制造业务板块</w:t>
      </w:r>
      <w:r>
        <w:rPr>
          <w:w w:val="100"/>
        </w:rPr>
        <w:t> </w:t>
      </w:r>
      <w:r>
        <w:rPr>
          <w:spacing w:val="-4"/>
        </w:rPr>
        <w:t>报告期内，激光板块两个应用领域团队在市场环境变化、行业需求变化带来竞争格局变化的情况下，</w:t>
      </w:r>
    </w:p>
    <w:p>
      <w:pPr>
        <w:pStyle w:val="BodyText"/>
        <w:spacing w:line="273" w:lineRule="auto" w:before="22"/>
        <w:ind w:right="1116"/>
        <w:jc w:val="left"/>
      </w:pPr>
      <w:r>
        <w:rPr>
          <w:spacing w:val="-2"/>
        </w:rPr>
        <w:t>均立足于自主创新，分别根据自身业务特点，针对性地在加快研发、夯实拳头产品、调整销售策略、加强</w:t>
      </w:r>
      <w:r>
        <w:rPr>
          <w:spacing w:val="-43"/>
        </w:rPr>
        <w:t> </w:t>
      </w:r>
      <w:r>
        <w:rPr>
          <w:spacing w:val="-43"/>
        </w:rPr>
      </w:r>
      <w:r>
        <w:rPr/>
        <w:t>再培训、优化管理模式等方面开展了诸多工作，积级应对市场挑战。</w:t>
      </w:r>
    </w:p>
    <w:p>
      <w:pPr>
        <w:pStyle w:val="BodyText"/>
        <w:spacing w:line="240" w:lineRule="auto" w:before="7"/>
        <w:ind w:left="741" w:right="1116"/>
        <w:jc w:val="left"/>
      </w:pPr>
      <w:r>
        <w:rPr>
          <w:rFonts w:ascii="Times New Roman" w:hAnsi="Times New Roman" w:cs="Times New Roman" w:eastAsia="Times New Roman" w:hint="default"/>
        </w:rPr>
        <w:t>A</w:t>
      </w:r>
      <w:r>
        <w:rPr/>
        <w:t>、金属材料方面</w:t>
      </w:r>
    </w:p>
    <w:p>
      <w:pPr>
        <w:pStyle w:val="BodyText"/>
        <w:spacing w:line="266" w:lineRule="auto" w:before="21"/>
        <w:ind w:right="1105" w:firstLine="588"/>
        <w:jc w:val="both"/>
      </w:pPr>
      <w:r>
        <w:rPr>
          <w:spacing w:val="-1"/>
        </w:rPr>
        <w:t>①有关产品设备：主推机型为智能光纤激光切管机。为了进一步提升主推机型的市场竞争力，持续</w:t>
      </w:r>
      <w:r>
        <w:rPr>
          <w:w w:val="100"/>
        </w:rPr>
        <w:t> </w:t>
      </w:r>
      <w:r>
        <w:rPr>
          <w:spacing w:val="-2"/>
        </w:rPr>
        <w:t>占领市场销售主导地位，报告期内加大了研发投入，继续对该类产品进行重磅升级：从产品外形、配置、</w:t>
      </w:r>
      <w:r>
        <w:rPr>
          <w:spacing w:val="-21"/>
        </w:rPr>
        <w:t> </w:t>
      </w:r>
      <w:r>
        <w:rPr>
          <w:spacing w:val="-21"/>
        </w:rPr>
      </w:r>
      <w:r>
        <w:rPr>
          <w:spacing w:val="-2"/>
        </w:rPr>
        <w:t>性能和应用能力等方面持续改进，形成了第五代产品。第五代光纤激光切管机汇集了智能化、数字化、自</w:t>
      </w:r>
      <w:r>
        <w:rPr>
          <w:spacing w:val="-47"/>
        </w:rPr>
        <w:t> </w:t>
      </w:r>
      <w:r>
        <w:rPr>
          <w:spacing w:val="-47"/>
        </w:rPr>
      </w:r>
      <w:r>
        <w:rPr>
          <w:spacing w:val="-2"/>
        </w:rPr>
        <w:t>动化性能，可满足用户对高端产品的需求，能助力用户打造智能化制造工厂。除了将主推机型做强之外，</w:t>
      </w:r>
      <w:r>
        <w:rPr>
          <w:spacing w:val="-21"/>
        </w:rPr>
        <w:t> </w:t>
      </w:r>
      <w:r>
        <w:rPr>
          <w:spacing w:val="-21"/>
        </w:rPr>
      </w:r>
      <w:r>
        <w:rPr>
          <w:rFonts w:ascii="Times New Roman" w:hAnsi="Times New Roman" w:cs="Times New Roman" w:eastAsia="Times New Roman" w:hint="default"/>
          <w:spacing w:val="-4"/>
        </w:rPr>
        <w:t>a</w:t>
      </w:r>
      <w:r>
        <w:rPr>
          <w:spacing w:val="-4"/>
        </w:rPr>
        <w:t>、在激光设备逐步成为一种</w:t>
      </w:r>
      <w:r>
        <w:rPr>
          <w:rFonts w:ascii="Times New Roman" w:hAnsi="Times New Roman" w:cs="Times New Roman" w:eastAsia="Times New Roman" w:hint="default"/>
          <w:spacing w:val="-4"/>
        </w:rPr>
        <w:t>“</w:t>
      </w:r>
      <w:r>
        <w:rPr>
          <w:spacing w:val="-4"/>
        </w:rPr>
        <w:t>金属材料的下料工具机</w:t>
      </w:r>
      <w:r>
        <w:rPr>
          <w:rFonts w:ascii="Times New Roman" w:hAnsi="Times New Roman" w:cs="Times New Roman" w:eastAsia="Times New Roman" w:hint="default"/>
          <w:spacing w:val="-4"/>
        </w:rPr>
        <w:t>”</w:t>
      </w:r>
      <w:r>
        <w:rPr>
          <w:spacing w:val="-4"/>
        </w:rPr>
        <w:t>的发展趋势带动下，公司在管材各个细分领域开发了</w:t>
      </w:r>
      <w:r>
        <w:rPr>
          <w:spacing w:val="-23"/>
        </w:rPr>
        <w:t> </w:t>
      </w:r>
      <w:r>
        <w:rPr>
          <w:spacing w:val="-23"/>
        </w:rPr>
      </w:r>
      <w:r>
        <w:rPr>
          <w:spacing w:val="-2"/>
        </w:rPr>
        <w:t>一系列专用设备，推出</w:t>
      </w:r>
      <w:r>
        <w:rPr>
          <w:rFonts w:ascii="Times New Roman" w:hAnsi="Times New Roman" w:cs="Times New Roman" w:eastAsia="Times New Roman" w:hint="default"/>
          <w:spacing w:val="-2"/>
        </w:rPr>
        <w:t>“</w:t>
      </w:r>
      <w:r>
        <w:rPr>
          <w:spacing w:val="-2"/>
        </w:rPr>
        <w:t>圆管简易截断自动化切管机</w:t>
      </w:r>
      <w:r>
        <w:rPr>
          <w:rFonts w:ascii="Times New Roman" w:hAnsi="Times New Roman" w:cs="Times New Roman" w:eastAsia="Times New Roman" w:hint="default"/>
          <w:spacing w:val="-2"/>
        </w:rPr>
        <w:t>”</w:t>
      </w:r>
      <w:r>
        <w:rPr>
          <w:spacing w:val="-2"/>
        </w:rPr>
        <w:t>，该系列产品具有高效率、高质量、高稳定性和环保</w:t>
      </w:r>
      <w:r>
        <w:rPr>
          <w:spacing w:val="-20"/>
        </w:rPr>
        <w:t> </w:t>
      </w:r>
      <w:r>
        <w:rPr>
          <w:spacing w:val="-20"/>
        </w:rPr>
      </w:r>
      <w:r>
        <w:rPr/>
        <w:t>的管材加工能力，完全替代了锯床等传统管材下料工具，成为新的管材下料工具机。</w:t>
      </w:r>
      <w:r>
        <w:rPr>
          <w:rFonts w:ascii="Times New Roman" w:hAnsi="Times New Roman" w:cs="Times New Roman" w:eastAsia="Times New Roman" w:hint="default"/>
        </w:rPr>
        <w:t>b</w:t>
      </w:r>
      <w:r>
        <w:rPr/>
        <w:t>、由于重型管材的</w:t>
      </w:r>
      <w:r>
        <w:rPr>
          <w:spacing w:val="-20"/>
        </w:rPr>
        <w:t> </w:t>
      </w:r>
      <w:r>
        <w:rPr>
          <w:spacing w:val="-20"/>
        </w:rPr>
      </w:r>
      <w:r>
        <w:rPr>
          <w:spacing w:val="-2"/>
        </w:rPr>
        <w:t>加工需求一直是传统激光切管设备的软肋，公司对应开发了重载型激光切管产品，全面提升了重型管材的</w:t>
      </w:r>
      <w:r>
        <w:rPr>
          <w:spacing w:val="-43"/>
        </w:rPr>
        <w:t> </w:t>
      </w:r>
      <w:r>
        <w:rPr>
          <w:spacing w:val="-43"/>
        </w:rPr>
      </w:r>
      <w:r>
        <w:rPr>
          <w:spacing w:val="-2"/>
        </w:rPr>
        <w:t>切割性能和自动化加工能力，彻底解决了客户以往加工效率低、加工工序分散、人工上下料安全无保障等</w:t>
      </w:r>
      <w:r>
        <w:rPr>
          <w:spacing w:val="-42"/>
        </w:rPr>
        <w:t> </w:t>
      </w:r>
      <w:r>
        <w:rPr>
          <w:spacing w:val="-42"/>
        </w:rPr>
      </w:r>
      <w:r>
        <w:rPr/>
        <w:t>痛点。自推广以来，这类切管产品广泛应用于大型工程机械、钢制建筑行业。</w:t>
      </w:r>
    </w:p>
    <w:p>
      <w:pPr>
        <w:pStyle w:val="BodyText"/>
        <w:spacing w:line="261" w:lineRule="auto" w:before="14"/>
        <w:ind w:right="1126" w:firstLine="588"/>
        <w:jc w:val="both"/>
      </w:pPr>
      <w:r>
        <w:rPr>
          <w:spacing w:val="-4"/>
        </w:rPr>
        <w:t>②有关解决方案：</w:t>
      </w:r>
      <w:r>
        <w:rPr>
          <w:rFonts w:ascii="Times New Roman" w:hAnsi="Times New Roman" w:cs="Times New Roman" w:eastAsia="Times New Roman" w:hint="default"/>
          <w:spacing w:val="-4"/>
        </w:rPr>
        <w:t>a</w:t>
      </w:r>
      <w:r>
        <w:rPr>
          <w:spacing w:val="-4"/>
        </w:rPr>
        <w:t>、公司能为管材自动化上下料方面提供相应的解决方案。在原来半自动上料系统</w:t>
      </w:r>
      <w:r>
        <w:rPr>
          <w:w w:val="100"/>
        </w:rPr>
        <w:t> </w:t>
      </w:r>
      <w:r>
        <w:rPr>
          <w:spacing w:val="-2"/>
        </w:rPr>
        <w:t>和通用型自动上料系统产品系列基础上，团队再次细分并推出了</w:t>
      </w:r>
      <w:r>
        <w:rPr>
          <w:rFonts w:ascii="Times New Roman" w:hAnsi="Times New Roman" w:cs="Times New Roman" w:eastAsia="Times New Roman" w:hint="default"/>
          <w:spacing w:val="-2"/>
        </w:rPr>
        <w:t>“</w:t>
      </w:r>
      <w:r>
        <w:rPr>
          <w:spacing w:val="-2"/>
        </w:rPr>
        <w:t>小管的自动上料系统</w:t>
      </w:r>
      <w:r>
        <w:rPr>
          <w:rFonts w:ascii="Times New Roman" w:hAnsi="Times New Roman" w:cs="Times New Roman" w:eastAsia="Times New Roman" w:hint="default"/>
          <w:spacing w:val="-2"/>
        </w:rPr>
        <w:t>”</w:t>
      </w:r>
      <w:r>
        <w:rPr>
          <w:spacing w:val="-2"/>
        </w:rPr>
        <w:t>。这种上料系统不</w:t>
      </w:r>
      <w:r>
        <w:rPr>
          <w:spacing w:val="-20"/>
        </w:rPr>
        <w:t> </w:t>
      </w:r>
      <w:r>
        <w:rPr>
          <w:spacing w:val="-20"/>
        </w:rPr>
      </w:r>
      <w:r>
        <w:rPr/>
        <w:t>仅具备性价比优势，还可以完全解决直径</w:t>
      </w:r>
      <w:r>
        <w:rPr>
          <w:rFonts w:ascii="Times New Roman" w:hAnsi="Times New Roman" w:cs="Times New Roman" w:eastAsia="Times New Roman" w:hint="default"/>
        </w:rPr>
        <w:t>20mm</w:t>
      </w:r>
      <w:r>
        <w:rPr/>
        <w:t>内的小管一次性上料数量多且密集度高的上料难题。设备</w:t>
      </w:r>
      <w:r>
        <w:rPr>
          <w:spacing w:val="-36"/>
        </w:rPr>
        <w:t> </w:t>
      </w:r>
      <w:r>
        <w:rPr>
          <w:spacing w:val="-36"/>
        </w:rPr>
      </w:r>
      <w:r>
        <w:rPr>
          <w:spacing w:val="-2"/>
        </w:rPr>
        <w:t>周边还可增加机器人装置，进行自动抓取加工完成的工件并堆垛入库，完全解决了客户对于下料端的全程</w:t>
      </w:r>
      <w:r>
        <w:rPr>
          <w:spacing w:val="-43"/>
        </w:rPr>
        <w:t> </w:t>
      </w:r>
      <w:r>
        <w:rPr>
          <w:spacing w:val="-43"/>
        </w:rPr>
      </w:r>
      <w:r>
        <w:rPr/>
        <w:t>自动化生产要求。</w:t>
      </w:r>
      <w:r>
        <w:rPr>
          <w:rFonts w:ascii="Times New Roman" w:hAnsi="Times New Roman" w:cs="Times New Roman" w:eastAsia="Times New Roman" w:hint="default"/>
        </w:rPr>
        <w:t>b</w:t>
      </w:r>
      <w:r>
        <w:rPr/>
        <w:t>、完成了德国某大型印刷包装行业管材产品加工的整套解决方案。为客户专门打造了</w:t>
      </w:r>
      <w:r>
        <w:rPr>
          <w:spacing w:val="-25"/>
        </w:rPr>
        <w:t> </w:t>
      </w:r>
      <w:r>
        <w:rPr>
          <w:spacing w:val="-25"/>
        </w:rPr>
      </w:r>
      <w:r>
        <w:rPr>
          <w:spacing w:val="-2"/>
        </w:rPr>
        <w:t>一条光纤激光切管自动柔性生产线，实现了管材成捆上料、自动送料、自动切割、履带收分料、机器人自</w:t>
      </w:r>
      <w:r>
        <w:rPr>
          <w:spacing w:val="-43"/>
        </w:rPr>
        <w:t> </w:t>
      </w:r>
      <w:r>
        <w:rPr>
          <w:spacing w:val="-43"/>
        </w:rPr>
      </w:r>
      <w:r>
        <w:rPr/>
        <w:t>动清洗、机器人自动堆垛的全自动化生产流程。</w:t>
      </w:r>
    </w:p>
    <w:p>
      <w:pPr>
        <w:pStyle w:val="BodyText"/>
        <w:spacing w:line="273" w:lineRule="auto" w:before="18"/>
        <w:ind w:right="1127" w:firstLine="588"/>
        <w:jc w:val="both"/>
      </w:pPr>
      <w:r>
        <w:rPr>
          <w:spacing w:val="-1"/>
        </w:rPr>
        <w:t>③有关管理：坚持利润与人效同步增长的管理策略。加大人员的利用率，实施定岗不定工作内容的</w:t>
      </w:r>
      <w:r>
        <w:rPr>
          <w:w w:val="100"/>
        </w:rPr>
        <w:t> </w:t>
      </w:r>
      <w:r>
        <w:rPr>
          <w:spacing w:val="-2"/>
        </w:rPr>
        <w:t>管理模式。团队建立了以</w:t>
      </w:r>
      <w:r>
        <w:rPr>
          <w:rFonts w:ascii="Times New Roman" w:hAnsi="Times New Roman" w:cs="Times New Roman" w:eastAsia="Times New Roman" w:hint="default"/>
          <w:spacing w:val="-2"/>
        </w:rPr>
        <w:t>“</w:t>
      </w:r>
      <w:r>
        <w:rPr>
          <w:spacing w:val="-2"/>
        </w:rPr>
        <w:t>技术支持</w:t>
      </w:r>
      <w:r>
        <w:rPr>
          <w:rFonts w:ascii="Times New Roman" w:hAnsi="Times New Roman" w:cs="Times New Roman" w:eastAsia="Times New Roman" w:hint="default"/>
          <w:spacing w:val="-2"/>
        </w:rPr>
        <w:t>+</w:t>
      </w:r>
      <w:r>
        <w:rPr>
          <w:spacing w:val="-2"/>
        </w:rPr>
        <w:t>推广</w:t>
      </w:r>
      <w:r>
        <w:rPr>
          <w:rFonts w:ascii="Times New Roman" w:hAnsi="Times New Roman" w:cs="Times New Roman" w:eastAsia="Times New Roman" w:hint="default"/>
          <w:spacing w:val="-2"/>
        </w:rPr>
        <w:t>+</w:t>
      </w:r>
      <w:r>
        <w:rPr>
          <w:spacing w:val="-2"/>
        </w:rPr>
        <w:t>销售</w:t>
      </w:r>
      <w:r>
        <w:rPr>
          <w:rFonts w:ascii="Times New Roman" w:hAnsi="Times New Roman" w:cs="Times New Roman" w:eastAsia="Times New Roman" w:hint="default"/>
          <w:spacing w:val="-2"/>
        </w:rPr>
        <w:t>”</w:t>
      </w:r>
      <w:r>
        <w:rPr>
          <w:spacing w:val="-2"/>
        </w:rPr>
        <w:t>为一体的销售小组营销模式。技术支持人员来源于售后服</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务团队，既可以完成常规产品售后维护工作，同时也参与到售前、售中的技术咨询工作中来，使人数不变</w:t>
      </w:r>
      <w:r>
        <w:rPr>
          <w:spacing w:val="-50"/>
        </w:rPr>
        <w:t> </w:t>
      </w:r>
      <w:r>
        <w:rPr>
          <w:spacing w:val="-50"/>
        </w:rPr>
      </w:r>
      <w:r>
        <w:rPr>
          <w:spacing w:val="-2"/>
        </w:rPr>
        <w:t>情况下增长了工作空间。人员在不同工作平台的工作内容实时转移的管理模式，不仅解决了人力资源紧张</w:t>
      </w:r>
      <w:r>
        <w:rPr>
          <w:spacing w:val="-43"/>
        </w:rPr>
        <w:t> </w:t>
      </w:r>
      <w:r>
        <w:rPr>
          <w:spacing w:val="-43"/>
        </w:rPr>
      </w:r>
      <w:r>
        <w:rPr/>
        <w:t>的问题，同时可以降低管理成本，提高人均效益。</w:t>
      </w:r>
    </w:p>
    <w:p>
      <w:pPr>
        <w:pStyle w:val="BodyText"/>
        <w:spacing w:line="264" w:lineRule="auto" w:before="7"/>
        <w:ind w:right="998" w:firstLine="588"/>
        <w:jc w:val="left"/>
      </w:pPr>
      <w:r>
        <w:rPr>
          <w:spacing w:val="-4"/>
        </w:rPr>
        <w:t>④有关营销：</w:t>
      </w:r>
      <w:r>
        <w:rPr>
          <w:rFonts w:ascii="Times New Roman" w:hAnsi="Times New Roman" w:cs="Times New Roman" w:eastAsia="Times New Roman" w:hint="default"/>
          <w:spacing w:val="-4"/>
        </w:rPr>
        <w:t>a</w:t>
      </w:r>
      <w:r>
        <w:rPr>
          <w:spacing w:val="-4"/>
        </w:rPr>
        <w:t>、增值销售策略：将服务价值融入到产品价值中去。公司在产品销售基础上，为用户</w:t>
      </w:r>
      <w:r>
        <w:rPr>
          <w:w w:val="100"/>
        </w:rPr>
        <w:t> </w:t>
      </w:r>
      <w:r>
        <w:rPr/>
        <w:t>制定超长期维护保养计划、设计实施新的产品工艺路线、规划智能制造工厂方案等。</w:t>
      </w:r>
      <w:r>
        <w:rPr>
          <w:rFonts w:ascii="Times New Roman" w:hAnsi="Times New Roman" w:cs="Times New Roman" w:eastAsia="Times New Roman" w:hint="default"/>
        </w:rPr>
        <w:t>b</w:t>
      </w:r>
      <w:r>
        <w:rPr/>
        <w:t>、国内销售注重从</w:t>
      </w:r>
      <w:r>
        <w:rPr>
          <w:spacing w:val="-20"/>
        </w:rPr>
        <w:t> </w:t>
      </w:r>
      <w:r>
        <w:rPr>
          <w:spacing w:val="-20"/>
        </w:rPr>
      </w:r>
      <w:r>
        <w:rPr>
          <w:spacing w:val="-2"/>
        </w:rPr>
        <w:t>传统钣金行业及加工户市场转到专用市场，从基础的板材切割转移到管材切割；国外则加强品牌宣传和渠</w:t>
      </w:r>
      <w:r>
        <w:rPr>
          <w:spacing w:val="-44"/>
        </w:rPr>
        <w:t> </w:t>
      </w:r>
      <w:r>
        <w:rPr>
          <w:spacing w:val="-44"/>
        </w:rPr>
      </w:r>
      <w:r>
        <w:rPr>
          <w:spacing w:val="-5"/>
        </w:rPr>
        <w:t>道建设。公司在已建立的市场代理渠道基础上，新增英国、法国、比利时、南非、墨西哥激光标准化展厅。</w:t>
      </w:r>
      <w:r>
        <w:rPr>
          <w:spacing w:val="-6"/>
        </w:rPr>
        <w:t> </w:t>
      </w:r>
      <w:r>
        <w:rPr>
          <w:spacing w:val="-6"/>
        </w:rPr>
      </w:r>
      <w:r>
        <w:rPr/>
        <w:t>报告期内，金属激光业务的海外市场销售业绩同往年相比有了较大幅度提升。</w:t>
      </w:r>
    </w:p>
    <w:p>
      <w:pPr>
        <w:pStyle w:val="BodyText"/>
        <w:spacing w:line="240" w:lineRule="auto" w:before="16"/>
        <w:ind w:left="741" w:right="1116"/>
        <w:jc w:val="left"/>
      </w:pPr>
      <w:r>
        <w:rPr>
          <w:rFonts w:ascii="Times New Roman" w:hAnsi="Times New Roman" w:cs="Times New Roman" w:eastAsia="Times New Roman" w:hint="default"/>
        </w:rPr>
        <w:t>B</w:t>
      </w:r>
      <w:r>
        <w:rPr/>
        <w:t>、工业柔性材料方面</w:t>
      </w:r>
    </w:p>
    <w:p>
      <w:pPr>
        <w:pStyle w:val="BodyText"/>
        <w:spacing w:line="264" w:lineRule="auto" w:before="21"/>
        <w:ind w:right="1126" w:firstLine="588"/>
        <w:jc w:val="both"/>
      </w:pPr>
      <w:r>
        <w:rPr/>
        <w:t>①有关设备产品：全力打造明星产品</w:t>
      </w:r>
      <w:r>
        <w:rPr>
          <w:rFonts w:ascii="Times New Roman" w:hAnsi="Times New Roman" w:cs="Times New Roman" w:eastAsia="Times New Roman" w:hint="default"/>
        </w:rPr>
        <w:t>“</w:t>
      </w:r>
      <w:r>
        <w:rPr/>
        <w:t>裁床</w:t>
      </w:r>
      <w:r>
        <w:rPr>
          <w:rFonts w:ascii="Times New Roman" w:hAnsi="Times New Roman" w:cs="Times New Roman" w:eastAsia="Times New Roman" w:hint="default"/>
        </w:rPr>
        <w:t>”</w:t>
      </w:r>
      <w:r>
        <w:rPr/>
        <w:t>。双驱裁床方面：优化重载型双驱裁床的结构、提升性</w:t>
      </w:r>
      <w:r>
        <w:rPr>
          <w:w w:val="100"/>
        </w:rPr>
        <w:t> </w:t>
      </w:r>
      <w:r>
        <w:rPr>
          <w:spacing w:val="-3"/>
        </w:rPr>
        <w:t>能，成功研发并批量交付了</w:t>
      </w:r>
      <w:r>
        <w:rPr>
          <w:rFonts w:ascii="Times New Roman" w:hAnsi="Times New Roman" w:cs="Times New Roman" w:eastAsia="Times New Roman" w:hint="default"/>
          <w:spacing w:val="-3"/>
        </w:rPr>
        <w:t>3.5</w:t>
      </w:r>
      <w:r>
        <w:rPr>
          <w:spacing w:val="-3"/>
        </w:rPr>
        <w:t>米超大幅宽激光裁床；完成了轻型双驱裁床的结构模块化设计，在运动速度</w:t>
      </w:r>
      <w:r>
        <w:rPr>
          <w:spacing w:val="-50"/>
        </w:rPr>
        <w:t> </w:t>
      </w:r>
      <w:r>
        <w:rPr>
          <w:spacing w:val="-50"/>
        </w:rPr>
      </w:r>
      <w:r>
        <w:rPr>
          <w:spacing w:val="-2"/>
        </w:rPr>
        <w:t>和运行精度上有明显提升；数码视觉裁床方面：对硬件结构进行优化升级，自主开发视觉定位系统，成功</w:t>
      </w:r>
      <w:r>
        <w:rPr>
          <w:spacing w:val="-47"/>
        </w:rPr>
        <w:t> </w:t>
      </w:r>
      <w:r>
        <w:rPr>
          <w:spacing w:val="-47"/>
        </w:rPr>
      </w:r>
      <w:r>
        <w:rPr>
          <w:spacing w:val="-3"/>
        </w:rPr>
        <w:t>研发并交付</w:t>
      </w:r>
      <w:r>
        <w:rPr>
          <w:rFonts w:ascii="Times New Roman" w:hAnsi="Times New Roman" w:cs="Times New Roman" w:eastAsia="Times New Roman" w:hint="default"/>
          <w:spacing w:val="-3"/>
        </w:rPr>
        <w:t>3.2</w:t>
      </w:r>
      <w:r>
        <w:rPr>
          <w:spacing w:val="-3"/>
        </w:rPr>
        <w:t>米</w:t>
      </w:r>
      <w:r>
        <w:rPr>
          <w:rFonts w:ascii="Times New Roman" w:hAnsi="Times New Roman" w:cs="Times New Roman" w:eastAsia="Times New Roman" w:hint="default"/>
          <w:spacing w:val="-3"/>
        </w:rPr>
        <w:t>*4</w:t>
      </w:r>
      <w:r>
        <w:rPr>
          <w:spacing w:val="-3"/>
        </w:rPr>
        <w:t>米、配备</w:t>
      </w:r>
      <w:r>
        <w:rPr>
          <w:rFonts w:ascii="Times New Roman" w:hAnsi="Times New Roman" w:cs="Times New Roman" w:eastAsia="Times New Roman" w:hint="default"/>
          <w:spacing w:val="-3"/>
        </w:rPr>
        <w:t>MARK</w:t>
      </w:r>
      <w:r>
        <w:rPr>
          <w:spacing w:val="-3"/>
        </w:rPr>
        <w:t>点高精度视觉定位的高速激光裁床。报告期内，裁床产品的毛利率得到</w:t>
      </w:r>
      <w:r>
        <w:rPr>
          <w:spacing w:val="-42"/>
        </w:rPr>
        <w:t> </w:t>
      </w:r>
      <w:r>
        <w:rPr>
          <w:spacing w:val="-42"/>
        </w:rPr>
      </w:r>
      <w:r>
        <w:rPr>
          <w:spacing w:val="-2"/>
        </w:rPr>
        <w:t>了一定的提升。此外，大幅面振镜应用方面：自主研发大幅面智能识别定位系统，实现高速准确切割；多</w:t>
      </w:r>
      <w:r>
        <w:rPr>
          <w:spacing w:val="-42"/>
        </w:rPr>
        <w:t> </w:t>
      </w:r>
      <w:r>
        <w:rPr>
          <w:spacing w:val="-42"/>
        </w:rPr>
      </w:r>
      <w:r>
        <w:rPr>
          <w:spacing w:val="-2"/>
        </w:rPr>
        <w:t>工位切割系列产品方面：完成了结构设计和软件开发，相较于单工位效率提升</w:t>
      </w:r>
      <w:r>
        <w:rPr>
          <w:rFonts w:ascii="Times New Roman" w:hAnsi="Times New Roman" w:cs="Times New Roman" w:eastAsia="Times New Roman" w:hint="default"/>
          <w:spacing w:val="-2"/>
        </w:rPr>
        <w:t>30%</w:t>
      </w:r>
      <w:r>
        <w:rPr>
          <w:spacing w:val="-2"/>
        </w:rPr>
        <w:t>以上，并有效提升了安</w:t>
      </w:r>
      <w:r>
        <w:rPr>
          <w:spacing w:val="-5"/>
        </w:rPr>
        <w:t> </w:t>
      </w:r>
      <w:r>
        <w:rPr>
          <w:spacing w:val="-5"/>
        </w:rPr>
      </w:r>
      <w:r>
        <w:rPr>
          <w:spacing w:val="-2"/>
        </w:rPr>
        <w:t>全防护；多功能一体机方面：进行了技术升级和外观升级，提升了产品附加值。针对小幅面注塑类产品的</w:t>
      </w:r>
      <w:r>
        <w:rPr>
          <w:spacing w:val="-50"/>
        </w:rPr>
        <w:t> </w:t>
      </w:r>
      <w:r>
        <w:rPr>
          <w:spacing w:val="-50"/>
        </w:rPr>
      </w:r>
      <w:r>
        <w:rPr>
          <w:spacing w:val="-2"/>
        </w:rPr>
        <w:t>开孔、修边等激光工艺需求，公司还特推出了多工位多轴精密加工系统，可搭载不同的视觉模块，配合机</w:t>
      </w:r>
      <w:r>
        <w:rPr>
          <w:spacing w:val="-50"/>
        </w:rPr>
        <w:t> </w:t>
      </w:r>
      <w:r>
        <w:rPr>
          <w:spacing w:val="-50"/>
        </w:rPr>
      </w:r>
      <w:r>
        <w:rPr/>
        <w:t>器手臂，可实现全自动上</w:t>
      </w:r>
      <w:r>
        <w:rPr>
          <w:rFonts w:ascii="Times New Roman" w:hAnsi="Times New Roman" w:cs="Times New Roman" w:eastAsia="Times New Roman" w:hint="default"/>
        </w:rPr>
        <w:t>/</w:t>
      </w:r>
      <w:r>
        <w:rPr/>
        <w:t>下料的激光多工位精密加工，为用户提升精度和效率。</w:t>
      </w:r>
    </w:p>
    <w:p>
      <w:pPr>
        <w:pStyle w:val="BodyText"/>
        <w:spacing w:line="264" w:lineRule="auto"/>
        <w:ind w:right="1104" w:firstLine="588"/>
        <w:jc w:val="both"/>
      </w:pPr>
      <w:r>
        <w:rPr>
          <w:spacing w:val="-3"/>
        </w:rPr>
        <w:t>报告期内，通过不断完善模块化设计和生产</w:t>
      </w:r>
      <w:r>
        <w:rPr>
          <w:rFonts w:ascii="Times New Roman" w:hAnsi="Times New Roman" w:cs="Times New Roman" w:eastAsia="Times New Roman" w:hint="default"/>
          <w:spacing w:val="-3"/>
        </w:rPr>
        <w:t>,</w:t>
      </w:r>
      <w:r>
        <w:rPr>
          <w:spacing w:val="-3"/>
        </w:rPr>
        <w:t>进一步扩展激光应用范围，工业柔性材料方面的激光产</w:t>
      </w:r>
      <w:r>
        <w:rPr>
          <w:w w:val="100"/>
        </w:rPr>
        <w:t> </w:t>
      </w:r>
      <w:r>
        <w:rPr>
          <w:spacing w:val="-2"/>
        </w:rPr>
        <w:t>品能满足包括工业过滤、防护材料、航空航天、汽车游艇、电子标签等工业领域用户对于高速、高精度、</w:t>
      </w:r>
      <w:r>
        <w:rPr>
          <w:spacing w:val="-21"/>
        </w:rPr>
        <w:t> </w:t>
      </w:r>
      <w:r>
        <w:rPr>
          <w:spacing w:val="-21"/>
        </w:rPr>
      </w:r>
      <w:r>
        <w:rPr/>
        <w:t>大幅面激光切割、穿孔、标记、雕刻以及定位和喷墨等工艺的全套需求。</w:t>
      </w:r>
    </w:p>
    <w:p>
      <w:pPr>
        <w:pStyle w:val="BodyText"/>
        <w:spacing w:line="264" w:lineRule="auto" w:before="16"/>
        <w:ind w:right="1127" w:firstLine="588"/>
        <w:jc w:val="both"/>
      </w:pPr>
      <w:r>
        <w:rPr>
          <w:spacing w:val="-1"/>
        </w:rPr>
        <w:t>②有关管理：成立链长制管理小组。开展链长每周轮流值日，建立生产质量管理看板、安全生产管</w:t>
      </w:r>
      <w:r>
        <w:rPr>
          <w:w w:val="100"/>
        </w:rPr>
        <w:t> </w:t>
      </w:r>
      <w:r>
        <w:rPr>
          <w:spacing w:val="-3"/>
        </w:rPr>
        <w:t>理看板、工艺作业规范看板及现场</w:t>
      </w:r>
      <w:r>
        <w:rPr>
          <w:rFonts w:ascii="Times New Roman" w:hAnsi="Times New Roman" w:cs="Times New Roman" w:eastAsia="Times New Roman" w:hint="default"/>
          <w:spacing w:val="-3"/>
        </w:rPr>
        <w:t>5S</w:t>
      </w:r>
      <w:r>
        <w:rPr>
          <w:spacing w:val="-3"/>
        </w:rPr>
        <w:t>管理看板等管理制度。组织员工学习作业规范，做到标准化生产。加</w:t>
      </w:r>
      <w:r>
        <w:rPr>
          <w:spacing w:val="-12"/>
        </w:rPr>
        <w:t> </w:t>
      </w:r>
      <w:r>
        <w:rPr>
          <w:spacing w:val="-12"/>
        </w:rPr>
      </w:r>
      <w:r>
        <w:rPr/>
        <w:t>强质量检验，关键零部件精度严格把控，作业过程可控、可追溯。</w:t>
      </w:r>
    </w:p>
    <w:p>
      <w:pPr>
        <w:pStyle w:val="BodyText"/>
        <w:spacing w:line="240" w:lineRule="auto" w:before="16"/>
        <w:ind w:left="741" w:right="998"/>
        <w:jc w:val="left"/>
      </w:pPr>
      <w:r>
        <w:rPr/>
        <w:t>③有关营销：积极参与国内外优质展会，拓展销售渠道。报告期内参加了西班牙纺织与技术机械展</w:t>
      </w:r>
    </w:p>
    <w:p>
      <w:pPr>
        <w:pStyle w:val="BodyText"/>
        <w:spacing w:line="240" w:lineRule="auto" w:before="37"/>
        <w:ind w:right="0"/>
        <w:jc w:val="both"/>
      </w:pPr>
      <w:r>
        <w:rPr>
          <w:rFonts w:ascii="Times New Roman" w:hAnsi="Times New Roman" w:cs="Times New Roman" w:eastAsia="Times New Roman" w:hint="default"/>
        </w:rPr>
        <w:t>(ITMA)</w:t>
      </w:r>
      <w:r>
        <w:rPr/>
        <w:t>、上海缝制设备展（</w:t>
      </w:r>
      <w:r>
        <w:rPr>
          <w:rFonts w:ascii="Times New Roman" w:hAnsi="Times New Roman" w:cs="Times New Roman" w:eastAsia="Times New Roman" w:hint="default"/>
        </w:rPr>
        <w:t>CISMA2019)</w:t>
      </w:r>
      <w:r>
        <w:rPr/>
        <w:t>、比利时标签印刷包装展（</w:t>
      </w:r>
      <w:r>
        <w:rPr>
          <w:rFonts w:ascii="Times New Roman" w:hAnsi="Times New Roman" w:cs="Times New Roman" w:eastAsia="Times New Roman" w:hint="default"/>
        </w:rPr>
        <w:t>Labelexpo </w:t>
      </w:r>
      <w:r>
        <w:rPr>
          <w:rFonts w:ascii="Times New Roman" w:hAnsi="Times New Roman" w:cs="Times New Roman" w:eastAsia="Times New Roman" w:hint="default"/>
          <w:spacing w:val="42"/>
        </w:rPr>
        <w:t> </w:t>
      </w:r>
      <w:r>
        <w:rPr>
          <w:rFonts w:ascii="Times New Roman" w:hAnsi="Times New Roman" w:cs="Times New Roman" w:eastAsia="Times New Roman" w:hint="default"/>
        </w:rPr>
        <w:t>Europe)</w:t>
      </w:r>
      <w:r>
        <w:rPr/>
        <w:t>、美国印刷广告展</w:t>
      </w:r>
    </w:p>
    <w:p>
      <w:pPr>
        <w:pStyle w:val="BodyText"/>
        <w:spacing w:line="256" w:lineRule="auto" w:before="21"/>
        <w:ind w:right="1128"/>
        <w:jc w:val="both"/>
      </w:pPr>
      <w:r>
        <w:rPr/>
        <w:t>（</w:t>
      </w:r>
      <w:r>
        <w:rPr>
          <w:rFonts w:ascii="Times New Roman" w:hAnsi="Times New Roman" w:cs="Times New Roman" w:eastAsia="Times New Roman" w:hint="default"/>
        </w:rPr>
        <w:t>SGIA2019</w:t>
      </w:r>
      <w:r>
        <w:rPr/>
        <w:t>）、美国运动服饰印花展（</w:t>
      </w:r>
      <w:r>
        <w:rPr>
          <w:rFonts w:ascii="Times New Roman" w:hAnsi="Times New Roman" w:cs="Times New Roman" w:eastAsia="Times New Roman" w:hint="default"/>
        </w:rPr>
        <w:t>ISS2019</w:t>
      </w:r>
      <w:r>
        <w:rPr/>
        <w:t>）、意大利米兰国际广告礼品促销贸易展（</w:t>
      </w:r>
      <w:r>
        <w:rPr>
          <w:rFonts w:ascii="Times New Roman" w:hAnsi="Times New Roman" w:cs="Times New Roman" w:eastAsia="Times New Roman" w:hint="default"/>
        </w:rPr>
        <w:t>PTE2019</w:t>
      </w:r>
      <w:r>
        <w:rPr/>
        <w:t>）以</w:t>
      </w:r>
      <w:r>
        <w:rPr>
          <w:spacing w:val="-42"/>
        </w:rPr>
        <w:t> </w:t>
      </w:r>
      <w:r>
        <w:rPr/>
        <w:t>及意大利视觉传播与广告标识展等专业的行业内展会。</w:t>
      </w:r>
    </w:p>
    <w:p>
      <w:pPr>
        <w:pStyle w:val="BodyText"/>
        <w:spacing w:line="256" w:lineRule="auto" w:before="22"/>
        <w:ind w:left="741" w:right="1116"/>
        <w:jc w:val="left"/>
      </w:pPr>
      <w:r>
        <w:rPr/>
        <w:t>（</w:t>
      </w:r>
      <w:r>
        <w:rPr>
          <w:rFonts w:ascii="Times New Roman" w:hAnsi="Times New Roman" w:cs="Times New Roman" w:eastAsia="Times New Roman" w:hint="default"/>
        </w:rPr>
        <w:t>2</w:t>
      </w:r>
      <w:r>
        <w:rPr/>
        <w:t>）商业智能应用</w:t>
      </w:r>
      <w:r>
        <w:rPr>
          <w:rFonts w:ascii="Times New Roman" w:hAnsi="Times New Roman" w:cs="Times New Roman" w:eastAsia="Times New Roman" w:hint="default"/>
        </w:rPr>
        <w:t>——</w:t>
      </w:r>
      <w:r>
        <w:rPr/>
        <w:t>智能零售终端软硬件业务板块</w:t>
      </w:r>
      <w:r>
        <w:rPr>
          <w:w w:val="100"/>
        </w:rPr>
        <w:t> </w:t>
      </w:r>
      <w:r>
        <w:rPr/>
        <w:t>近两年，公司大力推动商业智能板块在</w:t>
      </w:r>
      <w:r>
        <w:rPr>
          <w:rFonts w:ascii="Times New Roman" w:hAnsi="Times New Roman" w:cs="Times New Roman" w:eastAsia="Times New Roman" w:hint="default"/>
        </w:rPr>
        <w:t>IP</w:t>
      </w:r>
      <w:r>
        <w:rPr/>
        <w:t>衍生品运营行业的应用，主要聚焦在</w:t>
      </w:r>
      <w:r>
        <w:rPr>
          <w:rFonts w:ascii="Times New Roman" w:hAnsi="Times New Roman" w:cs="Times New Roman" w:eastAsia="Times New Roman" w:hint="default"/>
        </w:rPr>
        <w:t>“</w:t>
      </w:r>
      <w:r>
        <w:rPr/>
        <w:t>潮文化</w:t>
      </w:r>
      <w:r>
        <w:rPr>
          <w:rFonts w:ascii="Times New Roman" w:hAnsi="Times New Roman" w:cs="Times New Roman" w:eastAsia="Times New Roman" w:hint="default"/>
        </w:rPr>
        <w:t>”</w:t>
      </w:r>
      <w:r>
        <w:rPr/>
        <w:t>类</w:t>
      </w:r>
      <w:r>
        <w:rPr>
          <w:rFonts w:ascii="Times New Roman" w:hAnsi="Times New Roman" w:cs="Times New Roman" w:eastAsia="Times New Roman" w:hint="default"/>
        </w:rPr>
        <w:t>IP</w:t>
      </w:r>
      <w:r>
        <w:rPr/>
        <w:t>衍生品</w:t>
      </w:r>
    </w:p>
    <w:p>
      <w:pPr>
        <w:pStyle w:val="BodyText"/>
        <w:spacing w:line="256" w:lineRule="auto" w:before="5"/>
        <w:ind w:right="1128"/>
        <w:jc w:val="both"/>
      </w:pPr>
      <w:r>
        <w:rPr>
          <w:spacing w:val="-3"/>
        </w:rPr>
        <w:t>运营服务。公司通过为新零售销售方式的</w:t>
      </w:r>
      <w:r>
        <w:rPr>
          <w:rFonts w:ascii="Times New Roman" w:hAnsi="Times New Roman" w:cs="Times New Roman" w:eastAsia="Times New Roman" w:hint="default"/>
          <w:spacing w:val="-3"/>
        </w:rPr>
        <w:t>P</w:t>
      </w:r>
      <w:r>
        <w:rPr>
          <w:spacing w:val="-3"/>
        </w:rPr>
        <w:t>衍生品渠道商提供：</w:t>
      </w:r>
      <w:r>
        <w:rPr>
          <w:rFonts w:ascii="Times New Roman" w:hAnsi="Times New Roman" w:cs="Times New Roman" w:eastAsia="Times New Roman" w:hint="default"/>
          <w:spacing w:val="-3"/>
        </w:rPr>
        <w:t>1</w:t>
      </w:r>
      <w:r>
        <w:rPr>
          <w:spacing w:val="-3"/>
        </w:rPr>
        <w:t>、智能零售终端、区块链记帐器等硬件设</w:t>
      </w:r>
      <w:r>
        <w:rPr>
          <w:spacing w:val="-12"/>
        </w:rPr>
        <w:t> </w:t>
      </w:r>
      <w:r>
        <w:rPr>
          <w:spacing w:val="-12"/>
        </w:rPr>
      </w:r>
      <w:r>
        <w:rPr>
          <w:spacing w:val="-4"/>
        </w:rPr>
        <w:t>备，</w:t>
      </w:r>
      <w:r>
        <w:rPr>
          <w:rFonts w:ascii="Times New Roman" w:hAnsi="Times New Roman" w:cs="Times New Roman" w:eastAsia="Times New Roman" w:hint="default"/>
          <w:spacing w:val="-4"/>
        </w:rPr>
        <w:t>2</w:t>
      </w:r>
      <w:r>
        <w:rPr>
          <w:spacing w:val="-4"/>
        </w:rPr>
        <w:t>、围绕智能零售终端服务的前端、后端、</w:t>
      </w:r>
      <w:r>
        <w:rPr>
          <w:rFonts w:ascii="Times New Roman" w:hAnsi="Times New Roman" w:cs="Times New Roman" w:eastAsia="Times New Roman" w:hint="default"/>
          <w:spacing w:val="-4"/>
        </w:rPr>
        <w:t>Saas</w:t>
      </w:r>
      <w:r>
        <w:rPr>
          <w:spacing w:val="-4"/>
        </w:rPr>
        <w:t>软件、管理分析系统等软件产品，打造以设备制造和相</w:t>
      </w:r>
      <w:r>
        <w:rPr>
          <w:spacing w:val="-12"/>
        </w:rPr>
        <w:t> </w:t>
      </w:r>
      <w:r>
        <w:rPr>
          <w:spacing w:val="-12"/>
        </w:rPr>
      </w:r>
      <w:r>
        <w:rPr/>
        <w:t>关软件开发为基础的</w:t>
      </w:r>
      <w:r>
        <w:rPr>
          <w:rFonts w:ascii="Times New Roman" w:hAnsi="Times New Roman" w:cs="Times New Roman" w:eastAsia="Times New Roman" w:hint="default"/>
        </w:rPr>
        <w:t>IP</w:t>
      </w:r>
      <w:r>
        <w:rPr/>
        <w:t>运营板块。</w:t>
      </w:r>
    </w:p>
    <w:p>
      <w:pPr>
        <w:pStyle w:val="BodyText"/>
        <w:spacing w:line="264" w:lineRule="auto" w:before="5"/>
        <w:ind w:right="1126" w:firstLine="588"/>
        <w:jc w:val="both"/>
      </w:pPr>
      <w:r>
        <w:rPr>
          <w:spacing w:val="-1"/>
        </w:rPr>
        <w:t>报告期内，公司完成了首批智能无人零售终端的交付，并同运营方一起以市场为立足点从硬件、软</w:t>
      </w:r>
      <w:r>
        <w:rPr>
          <w:w w:val="100"/>
        </w:rPr>
        <w:t> </w:t>
      </w:r>
      <w:r>
        <w:rPr>
          <w:spacing w:val="-2"/>
        </w:rPr>
        <w:t>件、内容等方面完成多次迭代。公司在硬件方面，可以以定型的模块化产品为基础，为不同场景、不同</w:t>
      </w:r>
      <w:r>
        <w:rPr>
          <w:rFonts w:ascii="Times New Roman" w:hAnsi="Times New Roman" w:cs="Times New Roman" w:eastAsia="Times New Roman" w:hint="default"/>
          <w:spacing w:val="-2"/>
        </w:rPr>
        <w:t>IP</w:t>
      </w:r>
      <w:r>
        <w:rPr>
          <w:rFonts w:ascii="Times New Roman" w:hAnsi="Times New Roman" w:cs="Times New Roman" w:eastAsia="Times New Roman" w:hint="default"/>
          <w:spacing w:val="28"/>
        </w:rPr>
        <w:t> </w:t>
      </w:r>
      <w:r>
        <w:rPr>
          <w:spacing w:val="-2"/>
        </w:rPr>
        <w:t>内容定制主题机型；在软件方面，以人工智能为技术手段，正不断促使软件进化，使人货场得以精准的匹</w:t>
      </w:r>
      <w:r>
        <w:rPr>
          <w:spacing w:val="-50"/>
        </w:rPr>
        <w:t> </w:t>
      </w:r>
      <w:r>
        <w:rPr>
          <w:spacing w:val="-50"/>
        </w:rPr>
      </w:r>
      <w:r>
        <w:rPr>
          <w:spacing w:val="-2"/>
        </w:rPr>
        <w:t>配，充分发挥数据作用，引导用户线上消费。公司通过对</w:t>
      </w:r>
      <w:r>
        <w:rPr>
          <w:rFonts w:ascii="Times New Roman" w:hAnsi="Times New Roman" w:cs="Times New Roman" w:eastAsia="Times New Roman" w:hint="default"/>
          <w:spacing w:val="-2"/>
        </w:rPr>
        <w:t>IP</w:t>
      </w:r>
      <w:r>
        <w:rPr>
          <w:spacing w:val="-2"/>
        </w:rPr>
        <w:t>衍生品盲盒主题机售卖中收集的数据分析，逐</w:t>
      </w:r>
      <w:r>
        <w:rPr>
          <w:spacing w:val="-17"/>
        </w:rPr>
        <w:t> </w:t>
      </w:r>
      <w:r>
        <w:rPr>
          <w:spacing w:val="-17"/>
        </w:rPr>
      </w:r>
      <w:r>
        <w:rPr>
          <w:spacing w:val="-2"/>
        </w:rPr>
        <w:t>步了解和掌握了用户的消费画像，有利于我们下一步向</w:t>
      </w:r>
      <w:r>
        <w:rPr>
          <w:rFonts w:ascii="Times New Roman" w:hAnsi="Times New Roman" w:cs="Times New Roman" w:eastAsia="Times New Roman" w:hint="default"/>
          <w:spacing w:val="-2"/>
        </w:rPr>
        <w:t>IP</w:t>
      </w:r>
      <w:r>
        <w:rPr>
          <w:spacing w:val="-2"/>
        </w:rPr>
        <w:t>衍生品开发方向拓展业务，丰富内容和供应链，</w:t>
      </w:r>
      <w:r>
        <w:rPr>
          <w:spacing w:val="-17"/>
        </w:rPr>
        <w:t> </w:t>
      </w:r>
      <w:r>
        <w:rPr>
          <w:spacing w:val="-17"/>
        </w:rPr>
      </w:r>
      <w:r>
        <w:rPr/>
        <w:t>强化综合运营能力，为上下游用户提供连接，实现</w:t>
      </w:r>
      <w:r>
        <w:rPr>
          <w:rFonts w:ascii="Times New Roman" w:hAnsi="Times New Roman" w:cs="Times New Roman" w:eastAsia="Times New Roman" w:hint="default"/>
        </w:rPr>
        <w:t>IP</w:t>
      </w:r>
      <w:r>
        <w:rPr/>
        <w:t>的变现。</w:t>
      </w:r>
    </w:p>
    <w:p>
      <w:pPr>
        <w:pStyle w:val="BodyText"/>
        <w:spacing w:line="261" w:lineRule="auto"/>
        <w:ind w:right="1126" w:firstLine="588"/>
        <w:jc w:val="both"/>
        <w:rPr>
          <w:rFonts w:ascii="Times New Roman" w:hAnsi="Times New Roman" w:cs="Times New Roman" w:eastAsia="Times New Roman" w:hint="default"/>
        </w:rPr>
      </w:pPr>
      <w:r>
        <w:rPr/>
        <w:t>公司结合软件开发和设备制造两方面的优势切入到了</w:t>
      </w:r>
      <w:r>
        <w:rPr>
          <w:rFonts w:ascii="Times New Roman" w:hAnsi="Times New Roman" w:cs="Times New Roman" w:eastAsia="Times New Roman" w:hint="default"/>
        </w:rPr>
        <w:t>IP</w:t>
      </w:r>
      <w:r>
        <w:rPr/>
        <w:t>衍生品运营行业，属于利用数字技术改造传</w:t>
      </w:r>
      <w:r>
        <w:rPr>
          <w:w w:val="100"/>
        </w:rPr>
        <w:t> </w:t>
      </w:r>
      <w:r>
        <w:rPr>
          <w:spacing w:val="-2"/>
        </w:rPr>
        <w:t>统行业的典型案例。报告期内，公司在形成了为下游销售渠道商提供软硬件产品能力后，开始筹划往</w:t>
      </w:r>
      <w:r>
        <w:rPr>
          <w:rFonts w:ascii="Times New Roman" w:hAnsi="Times New Roman" w:cs="Times New Roman" w:eastAsia="Times New Roman" w:hint="default"/>
          <w:spacing w:val="-2"/>
        </w:rPr>
        <w:t>IP</w:t>
      </w:r>
      <w:r>
        <w:rPr>
          <w:spacing w:val="-2"/>
        </w:rPr>
        <w:t>上</w:t>
      </w:r>
      <w:r>
        <w:rPr>
          <w:spacing w:val="-17"/>
        </w:rPr>
        <w:t> </w:t>
      </w:r>
      <w:r>
        <w:rPr/>
        <w:t>游渗透，拟通过广泛进行</w:t>
      </w:r>
      <w:r>
        <w:rPr>
          <w:rFonts w:ascii="Times New Roman" w:hAnsi="Times New Roman" w:cs="Times New Roman" w:eastAsia="Times New Roman" w:hint="default"/>
        </w:rPr>
        <w:t>IP</w:t>
      </w:r>
      <w:r>
        <w:rPr/>
        <w:t>联盟或合作新媒体的方式，逐渐构建</w:t>
      </w:r>
      <w:r>
        <w:rPr>
          <w:rFonts w:ascii="Times New Roman" w:hAnsi="Times New Roman" w:cs="Times New Roman" w:eastAsia="Times New Roman" w:hint="default"/>
        </w:rPr>
        <w:t>IP</w:t>
      </w:r>
      <w:r>
        <w:rPr/>
        <w:t>内容、线上运营、供应链、</w:t>
      </w:r>
      <w:r>
        <w:rPr>
          <w:rFonts w:ascii="Times New Roman" w:hAnsi="Times New Roman" w:cs="Times New Roman" w:eastAsia="Times New Roman" w:hint="default"/>
        </w:rPr>
        <w:t>IP</w:t>
      </w:r>
      <w:r>
        <w:rPr/>
        <w:t>防伪溯源</w:t>
      </w:r>
      <w:r>
        <w:rPr>
          <w:spacing w:val="-60"/>
        </w:rPr>
        <w:t> </w:t>
      </w:r>
      <w:r>
        <w:rPr>
          <w:spacing w:val="-60"/>
        </w:rPr>
      </w:r>
      <w:r>
        <w:rPr>
          <w:spacing w:val="-2"/>
        </w:rPr>
        <w:t>等方面的能力，为线上线下运营提供强有力的支撑。公司全资子公司金运互动传媒为落实主体，初步搭建</w:t>
      </w:r>
      <w:r>
        <w:rPr>
          <w:spacing w:val="-44"/>
        </w:rPr>
        <w:t> </w:t>
      </w:r>
      <w:r>
        <w:rPr>
          <w:spacing w:val="-44"/>
        </w:rPr>
      </w:r>
      <w:r>
        <w:rPr>
          <w:spacing w:val="-1"/>
        </w:rPr>
        <w:t>了</w:t>
      </w:r>
      <w:r>
        <w:rPr>
          <w:rFonts w:ascii="Times New Roman" w:hAnsi="Times New Roman" w:cs="Times New Roman" w:eastAsia="Times New Roman" w:hint="default"/>
          <w:spacing w:val="-1"/>
        </w:rPr>
        <w:t>IP</w:t>
      </w:r>
      <w:r>
        <w:rPr>
          <w:spacing w:val="-1"/>
        </w:rPr>
        <w:t>运营团队，引进和培养了包括原创、设计、策划、商务及供应链管理方面的人才，也启动了前期的</w:t>
      </w:r>
      <w:r>
        <w:rPr>
          <w:rFonts w:ascii="Times New Roman" w:hAnsi="Times New Roman" w:cs="Times New Roman" w:eastAsia="Times New Roman" w:hint="default"/>
          <w:spacing w:val="-1"/>
        </w:rPr>
        <w:t>IP</w:t>
      </w:r>
      <w:r>
        <w:rPr>
          <w:rFonts w:ascii="Times New Roman" w:hAnsi="Times New Roman" w:cs="Times New Roman" w:eastAsia="Times New Roman" w:hint="default"/>
        </w:rPr>
      </w:r>
    </w:p>
    <w:p>
      <w:pPr>
        <w:spacing w:after="0" w:line="261"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BodyText"/>
        <w:spacing w:line="256" w:lineRule="auto" w:before="36"/>
        <w:ind w:right="998"/>
        <w:jc w:val="left"/>
      </w:pPr>
      <w:r>
        <w:rPr>
          <w:spacing w:val="-9"/>
        </w:rPr>
        <w:t>联合商务拓展。至目前，金运互动传媒的战略合作</w:t>
      </w:r>
      <w:r>
        <w:rPr>
          <w:rFonts w:ascii="Times New Roman" w:hAnsi="Times New Roman" w:cs="Times New Roman" w:eastAsia="Times New Roman" w:hint="default"/>
          <w:spacing w:val="-9"/>
        </w:rPr>
        <w:t>IP</w:t>
      </w:r>
      <w:r>
        <w:rPr>
          <w:spacing w:val="-9"/>
        </w:rPr>
        <w:t>有：腾讯（</w:t>
      </w:r>
      <w:r>
        <w:rPr>
          <w:rFonts w:ascii="Times New Roman" w:hAnsi="Times New Roman" w:cs="Times New Roman" w:eastAsia="Times New Roman" w:hint="default"/>
          <w:spacing w:val="-9"/>
        </w:rPr>
        <w:t>QQ </w:t>
      </w:r>
      <w:r>
        <w:rPr>
          <w:rFonts w:ascii="Times New Roman" w:hAnsi="Times New Roman" w:cs="Times New Roman" w:eastAsia="Times New Roman" w:hint="default"/>
          <w:spacing w:val="-11"/>
        </w:rPr>
        <w:t>Family</w:t>
      </w:r>
      <w:r>
        <w:rPr>
          <w:spacing w:val="-11"/>
        </w:rPr>
        <w:t>）、多丽梦（</w:t>
      </w:r>
      <w:r>
        <w:rPr>
          <w:rFonts w:ascii="Times New Roman" w:hAnsi="Times New Roman" w:cs="Times New Roman" w:eastAsia="Times New Roman" w:hint="default"/>
          <w:spacing w:val="-11"/>
        </w:rPr>
        <w:t>Sonny </w:t>
      </w:r>
      <w:r>
        <w:rPr>
          <w:rFonts w:ascii="Times New Roman" w:hAnsi="Times New Roman" w:cs="Times New Roman" w:eastAsia="Times New Roman" w:hint="default"/>
          <w:spacing w:val="-5"/>
        </w:rPr>
        <w:t>Angel</w:t>
      </w:r>
      <w:r>
        <w:rPr>
          <w:spacing w:val="-5"/>
        </w:rPr>
        <w:t>，</w:t>
      </w:r>
      <w:r>
        <w:rPr>
          <w:rFonts w:ascii="Times New Roman" w:hAnsi="Times New Roman" w:cs="Times New Roman" w:eastAsia="Times New Roman" w:hint="default"/>
          <w:spacing w:val="-5"/>
        </w:rPr>
        <w:t>Smiski</w:t>
      </w:r>
      <w:r>
        <w:rPr>
          <w:spacing w:val="-5"/>
        </w:rPr>
        <w:t>，</w:t>
      </w:r>
      <w:r>
        <w:rPr>
          <w:spacing w:val="-88"/>
        </w:rPr>
        <w:t> </w:t>
      </w:r>
      <w:r>
        <w:rPr>
          <w:rFonts w:ascii="Times New Roman" w:hAnsi="Times New Roman" w:cs="Times New Roman" w:eastAsia="Times New Roman" w:hint="default"/>
          <w:spacing w:val="-1"/>
        </w:rPr>
        <w:t>Fancy</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2"/>
        </w:rPr>
        <w:t>Pets</w:t>
      </w:r>
      <w:r>
        <w:rPr>
          <w:spacing w:val="-2"/>
        </w:rPr>
        <w:t>）、创科（变色龙，墨儿）、小熊维尼系列、原创</w:t>
      </w:r>
      <w:r>
        <w:rPr>
          <w:rFonts w:ascii="Times New Roman" w:hAnsi="Times New Roman" w:cs="Times New Roman" w:eastAsia="Times New Roman" w:hint="default"/>
          <w:spacing w:val="-2"/>
        </w:rPr>
        <w:t>IP</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uni</w:t>
      </w:r>
      <w:r>
        <w:rPr>
          <w:spacing w:val="-2"/>
        </w:rPr>
        <w:t>等。</w:t>
      </w:r>
      <w:r>
        <w:rPr/>
      </w:r>
    </w:p>
    <w:p>
      <w:pPr>
        <w:pStyle w:val="BodyText"/>
        <w:spacing w:line="256" w:lineRule="auto" w:before="5"/>
        <w:ind w:left="741" w:right="1116"/>
        <w:jc w:val="left"/>
      </w:pPr>
      <w:r>
        <w:rPr>
          <w:rFonts w:ascii="Times New Roman" w:hAnsi="Times New Roman" w:cs="Times New Roman" w:eastAsia="Times New Roman" w:hint="default"/>
        </w:rPr>
        <w:t>2</w:t>
      </w:r>
      <w:r>
        <w:rPr/>
        <w:t>、公司治理及三会运行</w:t>
      </w:r>
      <w:r>
        <w:rPr>
          <w:w w:val="100"/>
        </w:rPr>
        <w:t> </w:t>
      </w:r>
      <w:r>
        <w:rPr>
          <w:spacing w:val="-1"/>
        </w:rPr>
        <w:t>报告期内，公司按照公司治理机制运作，决策层、经营层及监督层各司其职，履行相应的权利和义</w:t>
      </w:r>
    </w:p>
    <w:p>
      <w:pPr>
        <w:pStyle w:val="BodyText"/>
        <w:spacing w:line="264" w:lineRule="auto" w:before="22"/>
        <w:ind w:right="1126"/>
        <w:jc w:val="both"/>
      </w:pPr>
      <w:r>
        <w:rPr>
          <w:spacing w:val="-2"/>
        </w:rPr>
        <w:t>务，充分尊重和保障股东尤其是中小股东的合法权益。</w:t>
      </w:r>
      <w:r>
        <w:rPr>
          <w:rFonts w:ascii="Times New Roman" w:hAnsi="Times New Roman" w:cs="Times New Roman" w:eastAsia="Times New Roman" w:hint="default"/>
          <w:spacing w:val="-2"/>
        </w:rPr>
        <w:t>2019</w:t>
      </w:r>
      <w:r>
        <w:rPr>
          <w:spacing w:val="-2"/>
        </w:rPr>
        <w:t>年，公司共召开董事会会议七次、监事会会议</w:t>
      </w:r>
      <w:r>
        <w:rPr>
          <w:spacing w:val="-41"/>
        </w:rPr>
        <w:t> </w:t>
      </w:r>
      <w:r>
        <w:rPr>
          <w:spacing w:val="-41"/>
        </w:rPr>
      </w:r>
      <w:r>
        <w:rPr>
          <w:spacing w:val="-2"/>
        </w:rPr>
        <w:t>六次、股东大会三次，审议了包括年度报告、关联交易、规章制度等多个事项，并按相关规定履行信息披</w:t>
      </w:r>
      <w:r>
        <w:rPr>
          <w:spacing w:val="-42"/>
        </w:rPr>
        <w:t> </w:t>
      </w:r>
      <w:r>
        <w:rPr>
          <w:spacing w:val="-42"/>
        </w:rPr>
      </w:r>
      <w:r>
        <w:rPr/>
        <w:t>露义务。</w:t>
      </w:r>
    </w:p>
    <w:p>
      <w:pPr>
        <w:pStyle w:val="BodyText"/>
        <w:spacing w:line="256" w:lineRule="auto" w:before="16"/>
        <w:ind w:left="741" w:right="1116"/>
        <w:jc w:val="left"/>
      </w:pPr>
      <w:r>
        <w:rPr>
          <w:rFonts w:ascii="Times New Roman" w:hAnsi="Times New Roman" w:cs="Times New Roman" w:eastAsia="Times New Roman" w:hint="default"/>
        </w:rPr>
        <w:t>3</w:t>
      </w:r>
      <w:r>
        <w:rPr/>
        <w:t>、知识产权工作</w:t>
      </w:r>
      <w:r>
        <w:rPr>
          <w:w w:val="100"/>
        </w:rPr>
        <w:t> </w:t>
      </w:r>
      <w:r>
        <w:rPr>
          <w:spacing w:val="-1"/>
        </w:rPr>
        <w:t>报告期内，公司新申请专利</w:t>
      </w:r>
      <w:r>
        <w:rPr>
          <w:rFonts w:ascii="Times New Roman" w:hAnsi="Times New Roman" w:cs="Times New Roman" w:eastAsia="Times New Roman" w:hint="default"/>
          <w:spacing w:val="-1"/>
        </w:rPr>
        <w:t>35</w:t>
      </w:r>
      <w:r>
        <w:rPr>
          <w:spacing w:val="-1"/>
        </w:rPr>
        <w:t>件，软著</w:t>
      </w:r>
      <w:r>
        <w:rPr>
          <w:rFonts w:ascii="Times New Roman" w:hAnsi="Times New Roman" w:cs="Times New Roman" w:eastAsia="Times New Roman" w:hint="default"/>
          <w:spacing w:val="-1"/>
        </w:rPr>
        <w:t>16</w:t>
      </w:r>
      <w:r>
        <w:rPr>
          <w:spacing w:val="-1"/>
        </w:rPr>
        <w:t>件；新获授权专利</w:t>
      </w:r>
      <w:r>
        <w:rPr>
          <w:rFonts w:ascii="Times New Roman" w:hAnsi="Times New Roman" w:cs="Times New Roman" w:eastAsia="Times New Roman" w:hint="default"/>
          <w:spacing w:val="-1"/>
        </w:rPr>
        <w:t>8</w:t>
      </w:r>
      <w:r>
        <w:rPr>
          <w:spacing w:val="-1"/>
        </w:rPr>
        <w:t>件，软著</w:t>
      </w:r>
      <w:r>
        <w:rPr>
          <w:rFonts w:ascii="Times New Roman" w:hAnsi="Times New Roman" w:cs="Times New Roman" w:eastAsia="Times New Roman" w:hint="default"/>
          <w:spacing w:val="-1"/>
        </w:rPr>
        <w:t>7</w:t>
      </w:r>
      <w:r>
        <w:rPr>
          <w:spacing w:val="-1"/>
        </w:rPr>
        <w:t>件。知识产权的取得，为保</w:t>
      </w:r>
    </w:p>
    <w:p>
      <w:pPr>
        <w:pStyle w:val="BodyText"/>
        <w:spacing w:line="240" w:lineRule="auto" w:before="5"/>
        <w:ind w:right="1116"/>
        <w:jc w:val="left"/>
      </w:pPr>
      <w:r>
        <w:rPr/>
        <w:t>障公司核心竞争力起了积极的作用。</w:t>
      </w:r>
    </w:p>
    <w:p>
      <w:pPr>
        <w:pStyle w:val="BodyText"/>
        <w:spacing w:line="259" w:lineRule="auto" w:before="37"/>
        <w:ind w:left="741" w:right="1116"/>
        <w:jc w:val="left"/>
      </w:pPr>
      <w:r>
        <w:rPr>
          <w:rFonts w:ascii="Times New Roman" w:hAnsi="Times New Roman" w:cs="Times New Roman" w:eastAsia="Times New Roman" w:hint="default"/>
        </w:rPr>
        <w:t>4</w:t>
      </w:r>
      <w:r>
        <w:rPr/>
        <w:t>、人力资源及企业文化建设</w:t>
      </w:r>
      <w:r>
        <w:rPr>
          <w:w w:val="100"/>
        </w:rPr>
        <w:t> </w:t>
      </w:r>
      <w:r>
        <w:rPr>
          <w:spacing w:val="-1"/>
        </w:rPr>
        <w:t>公司继续坚持以发展为导向的人才选拨和培养体系。一方面，通过将现有人才规划按计划分阶段落</w:t>
      </w:r>
    </w:p>
    <w:p>
      <w:pPr>
        <w:pStyle w:val="BodyText"/>
        <w:spacing w:line="273" w:lineRule="auto" w:before="20"/>
        <w:ind w:right="1126"/>
        <w:jc w:val="both"/>
      </w:pPr>
      <w:r>
        <w:rPr>
          <w:spacing w:val="-2"/>
        </w:rPr>
        <w:t>实，优化岗位设置，降低人力成本占比，提升人均产值；另一方面，在人才引进方面侧重考量核心能力指</w:t>
      </w:r>
      <w:r>
        <w:rPr>
          <w:spacing w:val="-43"/>
        </w:rPr>
        <w:t> </w:t>
      </w:r>
      <w:r>
        <w:rPr>
          <w:spacing w:val="-43"/>
        </w:rPr>
      </w:r>
      <w:r>
        <w:rPr>
          <w:spacing w:val="-2"/>
        </w:rPr>
        <w:t>标，聘用具有创新思维的人才，通过人才将技术创新和企业创新相融合，从而带动公司向新的发展阶段和</w:t>
      </w:r>
      <w:r>
        <w:rPr>
          <w:spacing w:val="-44"/>
        </w:rPr>
        <w:t> </w:t>
      </w:r>
      <w:r>
        <w:rPr>
          <w:spacing w:val="-44"/>
        </w:rPr>
      </w:r>
      <w:r>
        <w:rPr/>
        <w:t>新业务方向前行。</w:t>
      </w:r>
    </w:p>
    <w:p>
      <w:pPr>
        <w:pStyle w:val="BodyText"/>
        <w:spacing w:line="261" w:lineRule="auto" w:before="7"/>
        <w:ind w:right="1126" w:firstLine="588"/>
        <w:jc w:val="both"/>
      </w:pPr>
      <w:r>
        <w:rPr/>
        <w:t>报告期内，公司围绕商业智能设备组建的技术团队，为</w:t>
      </w:r>
      <w:r>
        <w:rPr>
          <w:rFonts w:ascii="Times New Roman" w:hAnsi="Times New Roman" w:cs="Times New Roman" w:eastAsia="Times New Roman" w:hint="default"/>
        </w:rPr>
        <w:t>IP</w:t>
      </w:r>
      <w:r>
        <w:rPr/>
        <w:t>衍生品新零售渠道商提供智能零售设备、</w:t>
      </w:r>
      <w:r>
        <w:rPr>
          <w:w w:val="100"/>
        </w:rPr>
        <w:t> </w:t>
      </w:r>
      <w:r>
        <w:rPr>
          <w:spacing w:val="-2"/>
        </w:rPr>
        <w:t>区块链技术记帐器、后台管理、数据收集及处理等软硬件服务。为了实现</w:t>
      </w:r>
      <w:r>
        <w:rPr>
          <w:rFonts w:ascii="Times New Roman" w:hAnsi="Times New Roman" w:cs="Times New Roman" w:eastAsia="Times New Roman" w:hint="default"/>
          <w:spacing w:val="-2"/>
        </w:rPr>
        <w:t>IP</w:t>
      </w:r>
      <w:r>
        <w:rPr>
          <w:spacing w:val="-2"/>
        </w:rPr>
        <w:t>衍生品在销售环节取得更好的</w:t>
      </w:r>
      <w:r>
        <w:rPr>
          <w:spacing w:val="-17"/>
        </w:rPr>
        <w:t> </w:t>
      </w:r>
      <w:r>
        <w:rPr>
          <w:spacing w:val="-17"/>
        </w:rPr>
      </w:r>
      <w:r>
        <w:rPr>
          <w:spacing w:val="-2"/>
        </w:rPr>
        <w:t>商业化效果，公司需要加强前端</w:t>
      </w:r>
      <w:r>
        <w:rPr>
          <w:rFonts w:ascii="Times New Roman" w:hAnsi="Times New Roman" w:cs="Times New Roman" w:eastAsia="Times New Roman" w:hint="default"/>
          <w:spacing w:val="-2"/>
        </w:rPr>
        <w:t>IP</w:t>
      </w:r>
      <w:r>
        <w:rPr>
          <w:spacing w:val="-2"/>
        </w:rPr>
        <w:t>运营能力。依据此经营目标，公司将全资子公司金运互动传媒团队着力</w:t>
      </w:r>
      <w:r>
        <w:rPr>
          <w:spacing w:val="-17"/>
        </w:rPr>
        <w:t> </w:t>
      </w:r>
      <w:r>
        <w:rPr>
          <w:spacing w:val="-17"/>
        </w:rPr>
      </w:r>
      <w:r>
        <w:rPr>
          <w:spacing w:val="-2"/>
        </w:rPr>
        <w:t>打造成公司的</w:t>
      </w:r>
      <w:r>
        <w:rPr>
          <w:rFonts w:ascii="Times New Roman" w:hAnsi="Times New Roman" w:cs="Times New Roman" w:eastAsia="Times New Roman" w:hint="default"/>
          <w:spacing w:val="-2"/>
        </w:rPr>
        <w:t>IP</w:t>
      </w:r>
      <w:r>
        <w:rPr>
          <w:spacing w:val="-2"/>
        </w:rPr>
        <w:t>运营团队，不断引进和培养包括原创、设计、策划、商务及供应链管理方面的人才。通过</w:t>
      </w:r>
      <w:r>
        <w:rPr>
          <w:spacing w:val="-17"/>
        </w:rPr>
        <w:t> </w:t>
      </w:r>
      <w:r>
        <w:rPr>
          <w:spacing w:val="-17"/>
        </w:rPr>
      </w:r>
      <w:r>
        <w:rPr>
          <w:spacing w:val="-2"/>
        </w:rPr>
        <w:t>外部引进和内部培养的双轨并行模式，在激发员工工作积极性和创造性方面起到了积极作用。公司主要高</w:t>
      </w:r>
      <w:r>
        <w:rPr>
          <w:spacing w:val="-44"/>
        </w:rPr>
        <w:t> </w:t>
      </w:r>
      <w:r>
        <w:rPr>
          <w:spacing w:val="-44"/>
        </w:rPr>
      </w:r>
      <w:r>
        <w:rPr/>
        <w:t>管和核心员工离职率较低，团队稳定性较高。</w:t>
      </w:r>
    </w:p>
    <w:p>
      <w:pPr>
        <w:pStyle w:val="BodyText"/>
        <w:spacing w:line="273" w:lineRule="auto" w:before="18"/>
        <w:ind w:right="1126" w:firstLine="588"/>
        <w:jc w:val="both"/>
      </w:pPr>
      <w:r>
        <w:rPr>
          <w:spacing w:val="-1"/>
        </w:rPr>
        <w:t>未来，公司拟在子公司层面根据业务特征实施中远期的激励机制，直接挂钩业务，以发挥各类人才</w:t>
      </w:r>
      <w:r>
        <w:rPr>
          <w:w w:val="100"/>
        </w:rPr>
        <w:t> </w:t>
      </w:r>
      <w:r>
        <w:rPr/>
        <w:t>的比较优势，激发创收潜能</w:t>
      </w:r>
    </w:p>
    <w:p>
      <w:pPr>
        <w:pStyle w:val="BodyText"/>
        <w:spacing w:line="256" w:lineRule="auto" w:before="7"/>
        <w:ind w:left="741" w:right="1116"/>
        <w:jc w:val="left"/>
      </w:pPr>
      <w:r>
        <w:rPr>
          <w:rFonts w:ascii="Times New Roman" w:hAnsi="Times New Roman" w:cs="Times New Roman" w:eastAsia="Times New Roman" w:hint="default"/>
        </w:rPr>
        <w:t>5</w:t>
      </w:r>
      <w:r>
        <w:rPr/>
        <w:t>、报告期内的框架协议</w:t>
      </w:r>
      <w:r>
        <w:rPr>
          <w:w w:val="100"/>
        </w:rPr>
        <w:t> </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日披露了《关于共同利用数字水印技术研发</w:t>
      </w:r>
      <w:r>
        <w:rPr>
          <w:rFonts w:ascii="Times New Roman" w:hAnsi="Times New Roman" w:cs="Times New Roman" w:eastAsia="Times New Roman" w:hint="default"/>
          <w:spacing w:val="-1"/>
        </w:rPr>
        <w:t>IP</w:t>
      </w:r>
      <w:r>
        <w:rPr>
          <w:spacing w:val="-1"/>
        </w:rPr>
        <w:t>衍生品知识产权保护技术的战略</w:t>
      </w:r>
    </w:p>
    <w:p>
      <w:pPr>
        <w:pStyle w:val="BodyText"/>
        <w:spacing w:line="264" w:lineRule="auto" w:before="5"/>
        <w:ind w:right="998"/>
        <w:jc w:val="left"/>
      </w:pPr>
      <w:r>
        <w:rPr>
          <w:spacing w:val="-2"/>
          <w:w w:val="100"/>
        </w:rPr>
        <w:t>合作协议》（公告号：</w:t>
      </w:r>
      <w:r>
        <w:rPr>
          <w:rFonts w:ascii="Times New Roman" w:hAnsi="Times New Roman" w:cs="Times New Roman" w:eastAsia="Times New Roman" w:hint="default"/>
          <w:spacing w:val="-2"/>
          <w:w w:val="100"/>
        </w:rPr>
        <w:t>2019-057</w:t>
      </w:r>
      <w:r>
        <w:rPr>
          <w:spacing w:val="-2"/>
          <w:w w:val="100"/>
        </w:rPr>
        <w:t>）</w:t>
      </w:r>
      <w:r>
        <w:rPr>
          <w:rFonts w:ascii="Times New Roman" w:hAnsi="Times New Roman" w:cs="Times New Roman" w:eastAsia="Times New Roman" w:hint="default"/>
          <w:spacing w:val="-2"/>
          <w:w w:val="100"/>
        </w:rPr>
        <w:t>:</w:t>
      </w:r>
      <w:r>
        <w:rPr>
          <w:spacing w:val="-2"/>
          <w:w w:val="100"/>
        </w:rPr>
        <w:t>推动实现数字水印技术在</w:t>
      </w:r>
      <w:r>
        <w:rPr>
          <w:rFonts w:ascii="Times New Roman" w:hAnsi="Times New Roman" w:cs="Times New Roman" w:eastAsia="Times New Roman" w:hint="default"/>
          <w:spacing w:val="-2"/>
          <w:w w:val="100"/>
        </w:rPr>
        <w:t>IP</w:t>
      </w:r>
      <w:r>
        <w:rPr>
          <w:spacing w:val="-2"/>
          <w:w w:val="100"/>
        </w:rPr>
        <w:t>衍生品版权保护运营上的应用。此次合作的</w:t>
      </w:r>
      <w:r>
        <w:rPr>
          <w:spacing w:val="-86"/>
          <w:w w:val="100"/>
        </w:rPr>
        <w:t> </w:t>
      </w:r>
      <w:r>
        <w:rPr>
          <w:spacing w:val="-86"/>
          <w:w w:val="100"/>
        </w:rPr>
      </w:r>
      <w:r>
        <w:rPr/>
        <w:t>项目主要应用方向为</w:t>
      </w:r>
      <w:r>
        <w:rPr>
          <w:rFonts w:ascii="Times New Roman" w:hAnsi="Times New Roman" w:cs="Times New Roman" w:eastAsia="Times New Roman" w:hint="default"/>
        </w:rPr>
        <w:t>“</w:t>
      </w:r>
      <w:r>
        <w:rPr/>
        <w:t>盲盒鉴定</w:t>
      </w:r>
      <w:r>
        <w:rPr>
          <w:rFonts w:ascii="Times New Roman" w:hAnsi="Times New Roman" w:cs="Times New Roman" w:eastAsia="Times New Roman" w:hint="default"/>
        </w:rPr>
        <w:t>”</w:t>
      </w:r>
      <w:r>
        <w:rPr/>
        <w:t>，当下盲盒交易正在成为潮流，每一个盲盒厂家都希望市场上流通的盲盒</w:t>
      </w:r>
      <w:r>
        <w:rPr>
          <w:w w:val="100"/>
        </w:rPr>
        <w:t> </w:t>
      </w:r>
      <w:r>
        <w:rPr>
          <w:spacing w:val="-2"/>
        </w:rPr>
        <w:t>产品是正版的，每一个消费者也希望手中的盲盒是正版的。但现在市场上很多盲盒都没有保真功能，容易</w:t>
      </w:r>
      <w:r>
        <w:rPr>
          <w:spacing w:val="-43"/>
        </w:rPr>
        <w:t> </w:t>
      </w:r>
      <w:r>
        <w:rPr>
          <w:spacing w:val="-43"/>
        </w:rPr>
      </w:r>
      <w:r>
        <w:rPr>
          <w:spacing w:val="-5"/>
        </w:rPr>
        <w:t>被盗版，消费者对二手交易平台上的盲盒产品无法辨别真伪，这就使厂家以及消费者的利益无法得到保证， </w:t>
      </w:r>
      <w:r>
        <w:rPr>
          <w:spacing w:val="-5"/>
        </w:rPr>
      </w:r>
      <w:r>
        <w:rPr>
          <w:spacing w:val="-3"/>
        </w:rPr>
        <w:t>也抑制了行业的健康发展。利用数字水印技术开发</w:t>
      </w:r>
      <w:r>
        <w:rPr>
          <w:rFonts w:ascii="Times New Roman" w:hAnsi="Times New Roman" w:cs="Times New Roman" w:eastAsia="Times New Roman" w:hint="default"/>
          <w:spacing w:val="-3"/>
        </w:rPr>
        <w:t>“</w:t>
      </w:r>
      <w:r>
        <w:rPr>
          <w:spacing w:val="-3"/>
        </w:rPr>
        <w:t>保真</w:t>
      </w:r>
      <w:r>
        <w:rPr>
          <w:rFonts w:ascii="Times New Roman" w:hAnsi="Times New Roman" w:cs="Times New Roman" w:eastAsia="Times New Roman" w:hint="default"/>
          <w:spacing w:val="-3"/>
        </w:rPr>
        <w:t>+</w:t>
      </w:r>
      <w:r>
        <w:rPr>
          <w:spacing w:val="-3"/>
        </w:rPr>
        <w:t>溯源</w:t>
      </w:r>
      <w:r>
        <w:rPr>
          <w:rFonts w:ascii="Times New Roman" w:hAnsi="Times New Roman" w:cs="Times New Roman" w:eastAsia="Times New Roman" w:hint="default"/>
          <w:spacing w:val="-3"/>
        </w:rPr>
        <w:t>”APP</w:t>
      </w:r>
      <w:r>
        <w:rPr>
          <w:spacing w:val="-3"/>
        </w:rPr>
        <w:t>促进</w:t>
      </w:r>
      <w:r>
        <w:rPr>
          <w:rFonts w:ascii="Times New Roman" w:hAnsi="Times New Roman" w:cs="Times New Roman" w:eastAsia="Times New Roman" w:hint="default"/>
          <w:spacing w:val="-3"/>
        </w:rPr>
        <w:t>IP</w:t>
      </w:r>
      <w:r>
        <w:rPr>
          <w:spacing w:val="-3"/>
        </w:rPr>
        <w:t>衍生品领域的保真交易，推动</w:t>
      </w:r>
      <w:r>
        <w:rPr>
          <w:rFonts w:ascii="Times New Roman" w:hAnsi="Times New Roman" w:cs="Times New Roman" w:eastAsia="Times New Roman" w:hint="default"/>
          <w:spacing w:val="-3"/>
        </w:rPr>
        <w:t>IP</w:t>
      </w:r>
      <w:r>
        <w:rPr>
          <w:rFonts w:ascii="Times New Roman" w:hAnsi="Times New Roman" w:cs="Times New Roman" w:eastAsia="Times New Roman" w:hint="default"/>
          <w:spacing w:val="45"/>
        </w:rPr>
        <w:t> </w:t>
      </w:r>
      <w:r>
        <w:rPr>
          <w:spacing w:val="-2"/>
        </w:rPr>
        <w:t>衍生品产业长期持续发展。未来该技术可以推广到其他带有收藏属性产品的保真与收藏的交易中，应用范</w:t>
      </w:r>
      <w:r>
        <w:rPr>
          <w:spacing w:val="-44"/>
        </w:rPr>
        <w:t> </w:t>
      </w:r>
      <w:r>
        <w:rPr>
          <w:spacing w:val="-44"/>
        </w:rPr>
      </w:r>
      <w:r>
        <w:rPr/>
        <w:t>围较为广阔。</w:t>
      </w:r>
    </w:p>
    <w:p>
      <w:pPr>
        <w:spacing w:line="240" w:lineRule="auto" w:before="3"/>
        <w:rPr>
          <w:rFonts w:ascii="宋体" w:hAnsi="宋体" w:cs="宋体" w:eastAsia="宋体" w:hint="default"/>
          <w:sz w:val="22"/>
          <w:szCs w:val="22"/>
        </w:rPr>
      </w:pPr>
    </w:p>
    <w:p>
      <w:pPr>
        <w:pStyle w:val="Heading2"/>
        <w:spacing w:line="240" w:lineRule="auto"/>
        <w:ind w:right="1116"/>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06" w:lineRule="auto" w:before="0"/>
        <w:ind w:left="152" w:right="55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经营情况讨论与分析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一、概述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506" w:lineRule="auto" w:before="65"/>
        <w:ind w:left="152" w:right="896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spacing w:val="-104"/>
          <w:sz w:val="21"/>
          <w:szCs w:val="21"/>
        </w:rPr>
        <w:t> </w:t>
      </w:r>
      <w:r>
        <w:rPr>
          <w:rFonts w:ascii="宋体" w:hAnsi="宋体" w:cs="宋体" w:eastAsia="宋体" w:hint="default"/>
          <w:sz w:val="21"/>
          <w:szCs w:val="21"/>
        </w:rPr>
        <w:t>营业收入整体情况</w:t>
      </w:r>
    </w:p>
    <w:p>
      <w:pPr>
        <w:spacing w:after="0" w:line="506"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595"/>
        <w:gridCol w:w="1594"/>
        <w:gridCol w:w="1591"/>
        <w:gridCol w:w="1599"/>
        <w:gridCol w:w="1588"/>
        <w:gridCol w:w="1590"/>
      </w:tblGrid>
      <w:tr>
        <w:trPr>
          <w:trHeight w:val="206" w:hRule="exact"/>
        </w:trPr>
        <w:tc>
          <w:tcPr>
            <w:tcW w:w="1595" w:type="dxa"/>
            <w:tcBorders>
              <w:top w:val="single" w:sz="4" w:space="0" w:color="000000"/>
              <w:left w:val="nil" w:sz="6" w:space="0" w:color="auto"/>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0" w:hRule="exact"/>
        </w:trPr>
        <w:tc>
          <w:tcPr>
            <w:tcW w:w="1595" w:type="dxa"/>
            <w:vMerge w:val="restart"/>
            <w:tcBorders>
              <w:top w:val="nil" w:sz="6" w:space="0" w:color="auto"/>
              <w:left w:val="nil" w:sz="6" w:space="0" w:color="auto"/>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5" w:type="dxa"/>
            <w:vMerge/>
            <w:tcBorders>
              <w:left w:val="nil" w:sz="6" w:space="0" w:color="auto"/>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0"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595" w:type="dxa"/>
            <w:tcBorders>
              <w:top w:val="nil" w:sz="6" w:space="0" w:color="auto"/>
              <w:left w:val="nil" w:sz="6" w:space="0" w:color="auto"/>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6" w:hRule="exact"/>
        </w:trPr>
        <w:tc>
          <w:tcPr>
            <w:tcW w:w="15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219,301,161.94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212,787,605.82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w:t>
            </w:r>
          </w:p>
        </w:tc>
      </w:tr>
      <w:tr>
        <w:trPr>
          <w:trHeight w:val="398" w:hRule="exact"/>
        </w:trPr>
        <w:tc>
          <w:tcPr>
            <w:tcW w:w="9557"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166,924,283.81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179,185,946.45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84.21%</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-6.84%</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智能零售终端系列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23,401,904.59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10.67%</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28,974,973.54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33,601,659.37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15.79%</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-13.77%</w:t>
            </w:r>
          </w:p>
        </w:tc>
      </w:tr>
      <w:tr>
        <w:trPr>
          <w:trHeight w:val="404" w:hRule="exact"/>
        </w:trPr>
        <w:tc>
          <w:tcPr>
            <w:tcW w:w="9557"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轴系列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17,690,752.61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17,775,170.78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8.35%</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10,661,516.60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14,713,644.99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-27.54%</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20,278,244.84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26,160,735.54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12.29%</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-22.49%</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118,293,769.76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120,536,395.14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56.65%</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28,974,973.54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33,601,659.37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15.79%</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-13.77%</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智能零售终端系列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23,401,904.59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10.67%</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9557"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2,559,491.16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7,725,592.32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-66.87%</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16,543,386.20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7,709,666.90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114.58%</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41,163,343.47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51,793,089.41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24.34%</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-20.52%</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550,756.25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7,489,611.18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-92.65%</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34,485,854.62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31,266,107.73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14.69%</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10.30%</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674,980.55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1,700,268.85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0.80%</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-60.30%</w:t>
            </w:r>
          </w:p>
        </w:tc>
      </w:tr>
      <w:tr>
        <w:trPr>
          <w:trHeight w:val="403"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462,831.04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271,585.24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0.13%</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70.42%</w:t>
            </w:r>
          </w:p>
        </w:tc>
      </w:tr>
      <w:tr>
        <w:trPr>
          <w:trHeight w:val="401" w:hRule="exact"/>
        </w:trPr>
        <w:tc>
          <w:tcPr>
            <w:tcW w:w="1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122,860,518.65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104,831,684.19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49.27%</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17.20%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156"/>
            <w:col w:w="2010"/>
          </w:cols>
        </w:sectPr>
      </w:pP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728"/>
        <w:gridCol w:w="1419"/>
        <w:gridCol w:w="1277"/>
        <w:gridCol w:w="1119"/>
        <w:gridCol w:w="1382"/>
        <w:gridCol w:w="1385"/>
        <w:gridCol w:w="1385"/>
      </w:tblGrid>
      <w:tr>
        <w:trPr>
          <w:trHeight w:val="715" w:hRule="exact"/>
        </w:trPr>
        <w:tc>
          <w:tcPr>
            <w:tcW w:w="1728" w:type="dxa"/>
            <w:tcBorders>
              <w:top w:val="single" w:sz="4" w:space="0" w:color="000000"/>
              <w:left w:val="nil" w:sz="6" w:space="0" w:color="auto"/>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8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417" w:right="6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696"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166,924,283.81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109,537,501.71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智能零售终端系列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23,401,904.59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11,516,412.69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及其他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28,974,973.54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15,015,844.89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728"/>
        <w:gridCol w:w="1419"/>
        <w:gridCol w:w="1277"/>
        <w:gridCol w:w="1119"/>
        <w:gridCol w:w="1382"/>
        <w:gridCol w:w="1385"/>
        <w:gridCol w:w="1385"/>
      </w:tblGrid>
      <w:tr>
        <w:trPr>
          <w:trHeight w:val="401" w:hRule="exact"/>
        </w:trPr>
        <w:tc>
          <w:tcPr>
            <w:tcW w:w="9696"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20,278,244.84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10,640,233.91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-22.49%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-28.36%</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4.30%</w:t>
            </w:r>
          </w:p>
        </w:tc>
      </w:tr>
      <w:tr>
        <w:trPr>
          <w:trHeight w:val="71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49"/>
              <w:ind w:left="26" w:right="194"/>
              <w:jc w:val="left"/>
              <w:rPr>
                <w:rFonts w:ascii="宋体" w:hAnsi="宋体" w:cs="宋体" w:eastAsia="宋体" w:hint="default"/>
                <w:sz w:val="18"/>
                <w:szCs w:val="18"/>
              </w:rPr>
            </w:pPr>
            <w:r>
              <w:rPr>
                <w:rFonts w:ascii="宋体" w:hAnsi="宋体" w:cs="宋体" w:eastAsia="宋体" w:hint="default"/>
                <w:sz w:val="18"/>
                <w:szCs w:val="18"/>
              </w:rPr>
              <w:t>固体激光产品系列</w:t>
            </w:r>
            <w:r>
              <w:rPr>
                <w:rFonts w:ascii="Times New Roman" w:hAnsi="Times New Roman" w:cs="Times New Roman" w:eastAsia="Times New Roman" w:hint="default"/>
                <w:sz w:val="18"/>
                <w:szCs w:val="18"/>
              </w:rPr>
              <w:t>- </w:t>
            </w:r>
            <w:r>
              <w:rPr>
                <w:rFonts w:ascii="宋体" w:hAnsi="宋体" w:cs="宋体" w:eastAsia="宋体" w:hint="default"/>
                <w:sz w:val="18"/>
                <w:szCs w:val="18"/>
              </w:rPr>
              <w:t>光纤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118,293,769.76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79,747,266.35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4.96%</w:t>
            </w:r>
          </w:p>
        </w:tc>
      </w:tr>
      <w:tr>
        <w:trPr>
          <w:trHeight w:val="40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智能零售终端系列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23,401,904.59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11,516,412.69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50.79%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9696"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41,163,343.47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30,141,091.76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26.78%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-23.51%</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2.86%</w:t>
            </w:r>
          </w:p>
        </w:tc>
      </w:tr>
      <w:tr>
        <w:trPr>
          <w:trHeight w:val="401"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34,485,854.62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18,777,609.95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5.27%</w:t>
            </w:r>
          </w:p>
        </w:tc>
      </w:tr>
      <w:tr>
        <w:trPr>
          <w:trHeight w:val="404"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122,860,518.65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74,113,349.75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39.68%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15.45%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0.91%</w:t>
            </w:r>
          </w:p>
        </w:tc>
      </w:tr>
    </w:tbl>
    <w:p>
      <w:pPr>
        <w:pStyle w:val="BodyText"/>
        <w:spacing w:line="256" w:lineRule="auto" w:before="28"/>
        <w:ind w:right="1116"/>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r>
    </w:p>
    <w:p>
      <w:pPr>
        <w:pStyle w:val="BodyText"/>
        <w:spacing w:line="240" w:lineRule="auto" w:before="61"/>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594"/>
        <w:gridCol w:w="1571"/>
        <w:gridCol w:w="1604"/>
        <w:gridCol w:w="1596"/>
        <w:gridCol w:w="1594"/>
        <w:gridCol w:w="1580"/>
      </w:tblGrid>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2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4" w:type="dxa"/>
            <w:vMerge w:val="restart"/>
            <w:tcBorders>
              <w:top w:val="single" w:sz="4" w:space="0" w:color="000000"/>
              <w:left w:val="nil" w:sz="6" w:space="0" w:color="auto"/>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57.18%</w:t>
            </w:r>
          </w:p>
        </w:tc>
      </w:tr>
      <w:tr>
        <w:trPr>
          <w:trHeight w:val="401" w:hRule="exact"/>
        </w:trPr>
        <w:tc>
          <w:tcPr>
            <w:tcW w:w="1594" w:type="dxa"/>
            <w:vMerge/>
            <w:tcBorders>
              <w:left w:val="nil" w:sz="6" w:space="0" w:color="auto"/>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569</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2"/>
                <w:sz w:val="18"/>
              </w:rPr>
              <w:t>111.78%</w:t>
            </w:r>
          </w:p>
        </w:tc>
      </w:tr>
      <w:tr>
        <w:trPr>
          <w:trHeight w:val="403" w:hRule="exact"/>
        </w:trPr>
        <w:tc>
          <w:tcPr>
            <w:tcW w:w="1594" w:type="dxa"/>
            <w:vMerge/>
            <w:tcBorders>
              <w:left w:val="nil" w:sz="6" w:space="0" w:color="auto"/>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51.35%</w:t>
            </w:r>
          </w:p>
        </w:tc>
      </w:tr>
    </w:tbl>
    <w:p>
      <w:pPr>
        <w:pStyle w:val="BodyText"/>
        <w:spacing w:line="240" w:lineRule="auto" w:before="28"/>
        <w:ind w:right="1116"/>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pStyle w:val="BodyText"/>
        <w:spacing w:line="290" w:lineRule="auto" w:before="59"/>
        <w:ind w:left="573" w:right="2410"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本期生产量、销售量、库存量增加，主要系生产、销售智能零售终端系列设备导致。</w:t>
      </w:r>
    </w:p>
    <w:p>
      <w:pPr>
        <w:spacing w:line="240" w:lineRule="auto" w:before="5"/>
        <w:rPr>
          <w:rFonts w:ascii="宋体" w:hAnsi="宋体" w:cs="宋体" w:eastAsia="宋体" w:hint="default"/>
          <w:sz w:val="22"/>
          <w:szCs w:val="22"/>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59" w:lineRule="auto" w:before="62"/>
        <w:ind w:right="1116"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月，公司与北京广顺惠佳科技有限公司签订区块链智能无人零售终端销售合同，合同金额为</w:t>
      </w:r>
      <w:r>
        <w:rPr>
          <w:w w:val="100"/>
        </w:rPr>
        <w:t> </w:t>
      </w:r>
      <w:r>
        <w:rPr/>
        <w:t>人民币</w:t>
      </w:r>
      <w:r>
        <w:rPr>
          <w:rFonts w:ascii="Times New Roman" w:hAnsi="Times New Roman" w:cs="Times New Roman" w:eastAsia="Times New Roman" w:hint="default"/>
        </w:rPr>
        <w:t>1100</w:t>
      </w:r>
      <w:r>
        <w:rPr/>
        <w:t>万元。截止报告期末，上述合同已经履行，报告期已经确认相关销售收入。</w:t>
      </w:r>
    </w:p>
    <w:p>
      <w:pPr>
        <w:spacing w:line="240" w:lineRule="auto" w:before="2"/>
        <w:rPr>
          <w:rFonts w:ascii="宋体" w:hAnsi="宋体" w:cs="宋体" w:eastAsia="宋体" w:hint="default"/>
          <w:sz w:val="23"/>
          <w:szCs w:val="23"/>
        </w:rPr>
      </w:pPr>
    </w:p>
    <w:p>
      <w:pPr>
        <w:pStyle w:val="Heading3"/>
        <w:spacing w:line="240" w:lineRule="auto"/>
        <w:ind w:right="111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36"/>
        <w:ind w:right="-13"/>
        <w:jc w:val="left"/>
      </w:pPr>
      <w:r>
        <w:rPr>
          <w:spacing w:val="-1"/>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96" w:space="7925"/>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93,804,826.32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106,032,099.95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74.84%</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w:t>
            </w:r>
          </w:p>
        </w:tc>
      </w:tr>
      <w:tr>
        <w:trPr>
          <w:trHeight w:val="404"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15,732,675.39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17,254,755.12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12.18%</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z w:val="18"/>
              </w:rPr>
              <w:t>-8.82%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383"/>
        <w:gridCol w:w="1369"/>
        <w:gridCol w:w="1368"/>
        <w:gridCol w:w="1366"/>
        <w:gridCol w:w="1368"/>
        <w:gridCol w:w="1366"/>
        <w:gridCol w:w="1368"/>
      </w:tblGrid>
      <w:tr>
        <w:trPr>
          <w:trHeight w:val="401"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12,859,145.97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14,226,759.48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10.04%</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-9.61%</w:t>
            </w:r>
          </w:p>
        </w:tc>
      </w:tr>
      <w:tr>
        <w:trPr>
          <w:trHeight w:val="403"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2,156,698.93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4,158,367.26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-48.14%</w:t>
            </w:r>
          </w:p>
        </w:tc>
      </w:tr>
      <w:tr>
        <w:trPr>
          <w:trHeight w:val="401"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智能零售终端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9,915,081.48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智能零售终端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1,601,331.21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left="573" w:right="1116"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报告期内，公司增加了智能零售终端设备的生产销售，对公司经营业绩起到了促进作用。报告期内，</w:t>
      </w:r>
    </w:p>
    <w:p>
      <w:pPr>
        <w:pStyle w:val="BodyText"/>
        <w:spacing w:line="284" w:lineRule="exact"/>
        <w:ind w:right="1116"/>
        <w:jc w:val="left"/>
      </w:pPr>
      <w:r>
        <w:rPr/>
        <w:t>智能零售终端设备销售收入</w:t>
      </w:r>
      <w:r>
        <w:rPr>
          <w:rFonts w:ascii="Times New Roman" w:hAnsi="Times New Roman" w:cs="Times New Roman" w:eastAsia="Times New Roman" w:hint="default"/>
        </w:rPr>
        <w:t>23,401,904.59</w:t>
      </w:r>
      <w:r>
        <w:rPr/>
        <w:t>元，产生毛利</w:t>
      </w:r>
      <w:r>
        <w:rPr>
          <w:rFonts w:ascii="Times New Roman" w:hAnsi="Times New Roman" w:cs="Times New Roman" w:eastAsia="Times New Roman" w:hint="default"/>
        </w:rPr>
        <w:t>11,885,491.90</w:t>
      </w:r>
      <w:r>
        <w:rPr/>
        <w:t>元，毛利率</w:t>
      </w:r>
      <w:r>
        <w:rPr>
          <w:rFonts w:ascii="Times New Roman" w:hAnsi="Times New Roman" w:cs="Times New Roman" w:eastAsia="Times New Roman" w:hint="default"/>
        </w:rPr>
        <w:t>50.79%</w:t>
      </w:r>
      <w:r>
        <w:rPr/>
        <w:t>。</w:t>
      </w:r>
    </w:p>
    <w:p>
      <w:pPr>
        <w:spacing w:line="240" w:lineRule="auto" w:before="7"/>
        <w:rPr>
          <w:rFonts w:ascii="宋体" w:hAnsi="宋体" w:cs="宋体" w:eastAsia="宋体" w:hint="default"/>
          <w:sz w:val="24"/>
          <w:szCs w:val="24"/>
        </w:rPr>
      </w:pPr>
    </w:p>
    <w:p>
      <w:pPr>
        <w:spacing w:line="506" w:lineRule="auto" w:before="0"/>
        <w:ind w:left="152" w:right="5505" w:firstLine="0"/>
        <w:jc w:val="left"/>
        <w:rPr>
          <w:rFonts w:ascii="宋体" w:hAnsi="宋体" w:cs="宋体" w:eastAsia="宋体" w:hint="default"/>
          <w:sz w:val="21"/>
          <w:szCs w:val="21"/>
        </w:rPr>
      </w:pPr>
      <w:r>
        <w:rPr/>
        <w:pict>
          <v:shape style="position:absolute;margin-left:56.399994pt;margin-top:48.863674pt;width:479.3pt;height:76.3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9"/>
                    <w:gridCol w:w="5312"/>
                  </w:tblGrid>
                  <w:tr>
                    <w:trPr>
                      <w:trHeight w:val="401"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39,689,825.57</w:t>
                        </w:r>
                      </w:p>
                    </w:tc>
                  </w:tr>
                  <w:tr>
                    <w:trPr>
                      <w:trHeight w:val="403"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w:t>
                        </w:r>
                      </w:p>
                    </w:tc>
                  </w:tr>
                  <w:tr>
                    <w:trPr>
                      <w:trHeight w:val="713"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3.19%</w:t>
                        </w:r>
                      </w:p>
                    </w:tc>
                  </w:tr>
                </w:tbl>
                <w:p>
                  <w:pPr/>
                </w:p>
              </w:txbxContent>
            </v:textbox>
            <w10:wrap type="none"/>
          </v:shape>
        </w:pict>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36"/>
        <w:ind w:right="1116"/>
        <w:jc w:val="left"/>
      </w:pPr>
      <w:r>
        <w:rPr/>
        <w:t>公司前</w:t>
      </w:r>
      <w:r>
        <w:rPr>
          <w:spacing w:val="-52"/>
        </w:rPr>
        <w:t> </w:t>
      </w:r>
      <w:r>
        <w:rPr>
          <w:rFonts w:ascii="Times New Roman" w:hAnsi="Times New Roman" w:cs="Times New Roman" w:eastAsia="Times New Roman" w:hint="default"/>
        </w:rPr>
        <w:t>5 </w:t>
      </w:r>
      <w:r>
        <w:rPr/>
        <w:t>大客户资料</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773"/>
        <w:gridCol w:w="3317"/>
        <w:gridCol w:w="2321"/>
        <w:gridCol w:w="3130"/>
      </w:tblGrid>
      <w:tr>
        <w:trPr>
          <w:trHeight w:val="401"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9,734,513.80</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4.44%</w:t>
            </w:r>
          </w:p>
        </w:tc>
      </w:tr>
      <w:tr>
        <w:trPr>
          <w:trHeight w:val="401"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8,719,433.54</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7,319,303.72</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3.34%</w:t>
            </w:r>
          </w:p>
        </w:tc>
      </w:tr>
      <w:tr>
        <w:trPr>
          <w:trHeight w:val="401"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6,991,566.42</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6,925,008.09</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3.16%</w:t>
            </w:r>
          </w:p>
        </w:tc>
      </w:tr>
      <w:tr>
        <w:trPr>
          <w:trHeight w:val="401" w:hRule="exact"/>
        </w:trPr>
        <w:tc>
          <w:tcPr>
            <w:tcW w:w="7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39,689,825.57</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18.11%</w:t>
            </w:r>
          </w:p>
        </w:tc>
      </w:tr>
    </w:tbl>
    <w:p>
      <w:pPr>
        <w:pStyle w:val="BodyText"/>
        <w:spacing w:line="240" w:lineRule="auto" w:before="28"/>
        <w:ind w:right="1116"/>
        <w:jc w:val="left"/>
      </w:pPr>
      <w:r>
        <w:rPr/>
        <w:t>主要客户其他情况说明</w:t>
      </w:r>
    </w:p>
    <w:p>
      <w:pPr>
        <w:pStyle w:val="BodyText"/>
        <w:spacing w:line="290" w:lineRule="auto" w:before="78"/>
        <w:ind w:right="8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公司主要供应商情况</w:t>
      </w:r>
    </w:p>
    <w:p>
      <w:pPr>
        <w:spacing w:line="240" w:lineRule="auto" w:before="7"/>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259"/>
        <w:gridCol w:w="5312"/>
      </w:tblGrid>
      <w:tr>
        <w:trPr>
          <w:trHeight w:val="403"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38,906,248.24</w:t>
            </w:r>
          </w:p>
        </w:tc>
      </w:tr>
      <w:tr>
        <w:trPr>
          <w:trHeight w:val="401"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33.33%</w:t>
            </w:r>
          </w:p>
        </w:tc>
      </w:tr>
      <w:tr>
        <w:trPr>
          <w:trHeight w:val="716" w:hRule="exact"/>
        </w:trPr>
        <w:tc>
          <w:tcPr>
            <w:tcW w:w="42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28"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1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910"/>
        <w:gridCol w:w="3181"/>
        <w:gridCol w:w="2321"/>
        <w:gridCol w:w="3130"/>
      </w:tblGrid>
      <w:tr>
        <w:trPr>
          <w:trHeight w:val="401"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10,806,765.30</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9.26%</w:t>
            </w:r>
          </w:p>
        </w:tc>
      </w:tr>
      <w:tr>
        <w:trPr>
          <w:trHeight w:val="401"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8,313,625.17</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7.12%</w:t>
            </w:r>
          </w:p>
        </w:tc>
      </w:tr>
      <w:tr>
        <w:trPr>
          <w:trHeight w:val="403"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8,690,261.71</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7.45%</w:t>
            </w:r>
          </w:p>
        </w:tc>
      </w:tr>
      <w:tr>
        <w:trPr>
          <w:trHeight w:val="401"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6,135,045.54</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5.25%</w:t>
            </w:r>
          </w:p>
        </w:tc>
      </w:tr>
      <w:tr>
        <w:trPr>
          <w:trHeight w:val="403"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4"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4,960,550.52</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4.25%</w:t>
            </w:r>
          </w:p>
        </w:tc>
      </w:tr>
      <w:tr>
        <w:trPr>
          <w:trHeight w:val="401"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38,906,248.24</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33.33%</w:t>
            </w:r>
          </w:p>
        </w:tc>
      </w:tr>
    </w:tbl>
    <w:p>
      <w:pPr>
        <w:pStyle w:val="BodyText"/>
        <w:spacing w:line="240" w:lineRule="auto" w:before="28"/>
        <w:ind w:right="1116"/>
        <w:jc w:val="left"/>
      </w:pPr>
      <w:r>
        <w:rPr/>
        <w:t>主要供应商其他情况说明</w:t>
      </w:r>
    </w:p>
    <w:p>
      <w:pPr>
        <w:pStyle w:val="BodyText"/>
        <w:spacing w:line="240" w:lineRule="auto" w:before="78"/>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881"/>
        <w:gridCol w:w="1288"/>
        <w:gridCol w:w="1277"/>
        <w:gridCol w:w="907"/>
        <w:gridCol w:w="5315"/>
      </w:tblGrid>
      <w:tr>
        <w:trPr>
          <w:trHeight w:val="401"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53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31,862,078.18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28,857,675.65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10.41%</w:t>
            </w:r>
          </w:p>
        </w:tc>
        <w:tc>
          <w:tcPr>
            <w:tcW w:w="5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报告期展会费及运费较上期增加导致销售费用同比增加。</w:t>
            </w:r>
          </w:p>
        </w:tc>
      </w:tr>
      <w:tr>
        <w:trPr>
          <w:trHeight w:val="401"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18,610,549.13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17,450,444.47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c>
          <w:tcPr>
            <w:tcW w:w="5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报告期管理人员薪酬增加导致管理费用同比增加。</w:t>
            </w:r>
          </w:p>
        </w:tc>
      </w:tr>
      <w:tr>
        <w:trPr>
          <w:trHeight w:val="404"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-1,698,431.02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-1,726,873.58</w:t>
            </w:r>
          </w:p>
        </w:tc>
        <w:tc>
          <w:tcPr>
            <w:tcW w:w="907" w:type="dxa"/>
            <w:tcBorders>
              <w:top w:val="single" w:sz="4" w:space="0" w:color="000000"/>
              <w:left w:val="single" w:sz="4" w:space="0" w:color="000000"/>
              <w:bottom w:val="single" w:sz="4" w:space="0" w:color="000000"/>
              <w:right w:val="single" w:sz="4" w:space="0" w:color="000000"/>
            </w:tcBorders>
          </w:tcPr>
          <w:p>
            <w:pPr/>
          </w:p>
        </w:tc>
        <w:tc>
          <w:tcPr>
            <w:tcW w:w="5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报告期利息收入增加和汇兑损益综合因素导致财务费用变化。</w:t>
            </w:r>
          </w:p>
        </w:tc>
      </w:tr>
      <w:tr>
        <w:trPr>
          <w:trHeight w:val="403" w:hRule="exact"/>
        </w:trPr>
        <w:tc>
          <w:tcPr>
            <w:tcW w:w="8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14,730,884.48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12,369,532.45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19.09%</w:t>
            </w:r>
          </w:p>
        </w:tc>
        <w:tc>
          <w:tcPr>
            <w:tcW w:w="5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报告期加大研发投入导致研发费用同比增加。</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4"/>
          <w:szCs w:val="24"/>
        </w:rPr>
      </w:pPr>
    </w:p>
    <w:p>
      <w:pPr>
        <w:pStyle w:val="BodyText"/>
        <w:spacing w:line="280" w:lineRule="auto"/>
        <w:ind w:left="573" w:right="1116"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t>报告期内，公司研发项目主要围绕高端数字激光加工装备和三维数字技术应用板块相关项目进行。</w:t>
      </w:r>
      <w:r>
        <w:rPr>
          <w:w w:val="100"/>
        </w:rPr>
        <w:t> </w:t>
      </w:r>
      <w:r>
        <w:rPr>
          <w:spacing w:val="-4"/>
        </w:rPr>
        <w:t>高端数字激光加工装备板块</w:t>
      </w:r>
      <w:r>
        <w:rPr>
          <w:rFonts w:ascii="Times New Roman" w:hAnsi="Times New Roman" w:cs="Times New Roman" w:eastAsia="Times New Roman" w:hint="default"/>
          <w:spacing w:val="-4"/>
        </w:rPr>
        <w:t>:</w:t>
      </w:r>
      <w:r>
        <w:rPr>
          <w:spacing w:val="-4"/>
        </w:rPr>
        <w:t>本年度共对</w:t>
      </w:r>
      <w:r>
        <w:rPr>
          <w:rFonts w:ascii="Times New Roman" w:hAnsi="Times New Roman" w:cs="Times New Roman" w:eastAsia="Times New Roman" w:hint="default"/>
          <w:spacing w:val="-4"/>
        </w:rPr>
        <w:t>18</w:t>
      </w:r>
      <w:r>
        <w:rPr>
          <w:spacing w:val="-4"/>
        </w:rPr>
        <w:t>个项目进行了研发，对公司产品结构调整提供了可靠的技术</w:t>
      </w:r>
    </w:p>
    <w:p>
      <w:pPr>
        <w:pStyle w:val="BodyText"/>
        <w:spacing w:line="272" w:lineRule="exact"/>
        <w:ind w:right="998"/>
        <w:jc w:val="left"/>
      </w:pPr>
      <w:r>
        <w:rPr/>
        <w:t>支持。其中</w:t>
      </w:r>
      <w:r>
        <w:rPr>
          <w:rFonts w:ascii="Times New Roman" w:hAnsi="Times New Roman" w:cs="Times New Roman" w:eastAsia="Times New Roman" w:hint="default"/>
        </w:rPr>
        <w:t>,“</w:t>
      </w:r>
      <w:r>
        <w:rPr/>
        <w:t>智能定位振镜切割系统项目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大幅面超长定位切割项目</w:t>
      </w:r>
      <w:r>
        <w:rPr>
          <w:rFonts w:ascii="Times New Roman" w:hAnsi="Times New Roman" w:cs="Times New Roman" w:eastAsia="Times New Roman" w:hint="default"/>
        </w:rPr>
        <w:t>”</w:t>
      </w:r>
      <w:r>
        <w:rPr/>
        <w:t>等项目的技术研发，提升了柔性材</w:t>
      </w:r>
    </w:p>
    <w:p>
      <w:pPr>
        <w:pStyle w:val="BodyText"/>
        <w:spacing w:line="256" w:lineRule="auto" w:before="21"/>
        <w:ind w:right="1043"/>
        <w:jc w:val="left"/>
      </w:pPr>
      <w:r>
        <w:rPr/>
        <w:t>料激光加工设备的技术水准；</w:t>
      </w:r>
      <w:r>
        <w:rPr>
          <w:spacing w:val="-7"/>
        </w:rPr>
        <w:t> </w:t>
      </w:r>
      <w:r>
        <w:rPr>
          <w:rFonts w:ascii="Times New Roman" w:hAnsi="Times New Roman" w:cs="Times New Roman" w:eastAsia="Times New Roman" w:hint="default"/>
        </w:rPr>
        <w:t>“</w:t>
      </w:r>
      <w:r>
        <w:rPr/>
        <w:t>五轴摆头激光切割机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高功率激光切割设备开发与应用</w:t>
      </w:r>
      <w:r>
        <w:rPr>
          <w:rFonts w:ascii="Times New Roman" w:hAnsi="Times New Roman" w:cs="Times New Roman" w:eastAsia="Times New Roman" w:hint="default"/>
        </w:rPr>
        <w:t>”</w:t>
      </w:r>
      <w:r>
        <w:rPr/>
        <w:t>等项目的研发，</w:t>
      </w:r>
      <w:r>
        <w:rPr>
          <w:w w:val="100"/>
        </w:rPr>
        <w:t> </w:t>
      </w:r>
      <w:r>
        <w:rPr/>
        <w:t>为公司大功率激光加工装备的市场拓展提供了技术保障。</w:t>
      </w:r>
    </w:p>
    <w:p>
      <w:pPr>
        <w:pStyle w:val="BodyText"/>
        <w:spacing w:line="256" w:lineRule="auto" w:before="23"/>
        <w:ind w:right="1116" w:firstLine="420"/>
        <w:jc w:val="left"/>
      </w:pPr>
      <w:r>
        <w:rPr>
          <w:spacing w:val="-1"/>
        </w:rPr>
        <w:t>在三维数字技术应用板块</w:t>
      </w:r>
      <w:r>
        <w:rPr>
          <w:rFonts w:ascii="Times New Roman" w:hAnsi="Times New Roman" w:cs="Times New Roman" w:eastAsia="Times New Roman" w:hint="default"/>
          <w:spacing w:val="-1"/>
        </w:rPr>
        <w:t>:</w:t>
      </w:r>
      <w:r>
        <w:rPr>
          <w:spacing w:val="-1"/>
        </w:rPr>
        <w:t>本年度公司共对</w:t>
      </w:r>
      <w:r>
        <w:rPr>
          <w:rFonts w:ascii="Times New Roman" w:hAnsi="Times New Roman" w:cs="Times New Roman" w:eastAsia="Times New Roman" w:hint="default"/>
          <w:spacing w:val="-1"/>
        </w:rPr>
        <w:t>6</w:t>
      </w:r>
      <w:r>
        <w:rPr>
          <w:spacing w:val="-1"/>
        </w:rPr>
        <w:t>个项目进行了研发投入，均已达到预期，已申请了多项专</w:t>
      </w:r>
      <w:r>
        <w:rPr>
          <w:spacing w:val="-3"/>
          <w:w w:val="100"/>
        </w:rPr>
        <w:t> </w:t>
      </w:r>
      <w:r>
        <w:rPr/>
        <w:t>利技术。公司研发投入继续聚焦在</w:t>
      </w:r>
      <w:r>
        <w:rPr>
          <w:rFonts w:ascii="Times New Roman" w:hAnsi="Times New Roman" w:cs="Times New Roman" w:eastAsia="Times New Roman" w:hint="default"/>
        </w:rPr>
        <w:t>IP</w:t>
      </w:r>
      <w:r>
        <w:rPr/>
        <w:t>衍生品推广渠道的装备创新。</w:t>
      </w:r>
    </w:p>
    <w:p>
      <w:pPr>
        <w:pStyle w:val="BodyText"/>
        <w:spacing w:line="256" w:lineRule="auto" w:before="5"/>
        <w:ind w:right="1116" w:firstLine="420"/>
        <w:jc w:val="left"/>
      </w:pPr>
      <w:r>
        <w:rPr>
          <w:rFonts w:ascii="Times New Roman" w:hAnsi="Times New Roman" w:cs="Times New Roman" w:eastAsia="Times New Roman" w:hint="default"/>
          <w:spacing w:val="-1"/>
        </w:rPr>
        <w:t>2019</w:t>
      </w:r>
      <w:r>
        <w:rPr>
          <w:spacing w:val="-1"/>
        </w:rPr>
        <w:t>年度，公司研发支出总额为</w:t>
      </w:r>
      <w:r>
        <w:rPr>
          <w:rFonts w:ascii="Times New Roman" w:hAnsi="Times New Roman" w:cs="Times New Roman" w:eastAsia="Times New Roman" w:hint="default"/>
          <w:spacing w:val="-1"/>
        </w:rPr>
        <w:t>1550.84</w:t>
      </w:r>
      <w:r>
        <w:rPr>
          <w:spacing w:val="-1"/>
        </w:rPr>
        <w:t>万元，占公司营业收入的比例为</w:t>
      </w:r>
      <w:r>
        <w:rPr>
          <w:rFonts w:ascii="Times New Roman" w:hAnsi="Times New Roman" w:cs="Times New Roman" w:eastAsia="Times New Roman" w:hint="default"/>
          <w:spacing w:val="-1"/>
        </w:rPr>
        <w:t>7.07%</w:t>
      </w:r>
      <w:r>
        <w:rPr>
          <w:spacing w:val="-1"/>
        </w:rPr>
        <w:t>，占公司归属于上市公</w:t>
      </w:r>
      <w:r>
        <w:rPr>
          <w:w w:val="100"/>
        </w:rPr>
        <w:t> </w:t>
      </w:r>
      <w:r>
        <w:rPr/>
        <w:t>司所有者权益的比例为</w:t>
      </w:r>
      <w:r>
        <w:rPr>
          <w:rFonts w:ascii="Times New Roman" w:hAnsi="Times New Roman" w:cs="Times New Roman" w:eastAsia="Times New Roman" w:hint="default"/>
        </w:rPr>
        <w:t>5.85%</w:t>
      </w:r>
      <w:r>
        <w:rPr/>
        <w:t>。</w:t>
      </w:r>
    </w:p>
    <w:p>
      <w:pPr>
        <w:pStyle w:val="BodyText"/>
        <w:spacing w:line="240" w:lineRule="auto" w:before="46"/>
        <w:ind w:left="573" w:right="1116"/>
        <w:jc w:val="left"/>
      </w:pPr>
      <w:r>
        <w:rPr/>
        <w:t>近三年公司研发投入金额及占营业收入的比例</w:t>
      </w:r>
    </w:p>
    <w:p>
      <w:pPr>
        <w:spacing w:line="240" w:lineRule="auto" w:before="10"/>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2367"/>
        <w:gridCol w:w="2403"/>
        <w:gridCol w:w="2393"/>
        <w:gridCol w:w="2379"/>
      </w:tblGrid>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21.77%</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23.94%</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15,508,387.41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14,089,105.75</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17,663,611.80</w:t>
            </w:r>
          </w:p>
        </w:tc>
      </w:tr>
      <w:tr>
        <w:trPr>
          <w:trHeight w:val="40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1,218,671.71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1,278,404.52</w:t>
            </w: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506,709.62</w:t>
            </w:r>
          </w:p>
        </w:tc>
      </w:tr>
      <w:tr>
        <w:trPr>
          <w:trHeight w:val="715"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8"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w:t>
            </w: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2.87%</w:t>
            </w:r>
          </w:p>
        </w:tc>
      </w:tr>
      <w:tr>
        <w:trPr>
          <w:trHeight w:val="715"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17.09%</w:t>
            </w: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-1.21%</w:t>
            </w:r>
          </w:p>
        </w:tc>
      </w:tr>
    </w:tbl>
    <w:p>
      <w:pPr>
        <w:pStyle w:val="BodyText"/>
        <w:spacing w:line="240" w:lineRule="auto" w:before="28"/>
        <w:ind w:right="1116"/>
        <w:jc w:val="left"/>
      </w:pPr>
      <w:r>
        <w:rPr/>
        <w:t>研发投入总额占营业收入的比重较上年发生显著变化的原因</w:t>
      </w:r>
    </w:p>
    <w:p>
      <w:pPr>
        <w:pStyle w:val="BodyText"/>
        <w:spacing w:line="290" w:lineRule="auto" w:before="75"/>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研发投入资本化率大幅变动的原因及其合理性说明</w:t>
      </w:r>
    </w:p>
    <w:p>
      <w:pPr>
        <w:pStyle w:val="BodyText"/>
        <w:spacing w:line="240" w:lineRule="auto" w:before="31"/>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367"/>
        <w:gridCol w:w="2403"/>
        <w:gridCol w:w="2393"/>
        <w:gridCol w:w="2379"/>
      </w:tblGrid>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232,987,297.22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204,060,064.62</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14.18%</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207,891,142.09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174,357,067.61</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19.23%</w:t>
            </w: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25,096,155.13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29,702,997.01</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-15.51%</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7,334,971.72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81,249,981.54</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-90.97%</w:t>
            </w: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25,434,261.05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86,740,451.86</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-70.68%</w:t>
            </w:r>
          </w:p>
        </w:tc>
      </w:tr>
      <w:tr>
        <w:trPr>
          <w:trHeight w:val="71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-18,099,289.33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-5,490,470.32</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29.41%</w:t>
            </w: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24,799,204.65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47,506,241.01</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-47.80%</w:t>
            </w: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-2,799,204.65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-30,506,241.01</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4,674,330.06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-4,700,310.90</w:t>
            </w:r>
          </w:p>
        </w:tc>
        <w:tc>
          <w:tcPr>
            <w:tcW w:w="237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29"/>
        <w:ind w:right="1116"/>
        <w:jc w:val="left"/>
      </w:pPr>
      <w:r>
        <w:rPr/>
        <w:t>相关数据同比发生重大变动的主要影响因素说明</w:t>
      </w:r>
    </w:p>
    <w:p>
      <w:pPr>
        <w:pStyle w:val="BodyText"/>
        <w:spacing w:line="278" w:lineRule="auto" w:before="78"/>
        <w:ind w:left="573" w:right="3233"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t>经营活动现金流入较去年同期增加主要原因是：报告期销售收款增加。</w:t>
      </w:r>
      <w:r>
        <w:rPr>
          <w:w w:val="100"/>
        </w:rPr>
        <w:t> </w:t>
      </w:r>
      <w:r>
        <w:rPr>
          <w:spacing w:val="-2"/>
        </w:rPr>
        <w:t>经营活动现金流出较去年同期增加主要原因是：票据结算增幅不及去年同期。</w:t>
      </w:r>
      <w:r>
        <w:rPr>
          <w:w w:val="100"/>
        </w:rPr>
        <w:t> </w:t>
      </w:r>
      <w:r>
        <w:rPr/>
        <w:t>上述原因综合影响导致经营活动产生的现金流量净额较去年同期减少。</w:t>
      </w:r>
    </w:p>
    <w:p>
      <w:pPr>
        <w:pStyle w:val="BodyText"/>
        <w:spacing w:line="273" w:lineRule="auto" w:before="3"/>
        <w:ind w:right="1107" w:firstLine="420"/>
        <w:jc w:val="both"/>
      </w:pPr>
      <w:r>
        <w:rPr>
          <w:spacing w:val="-2"/>
        </w:rPr>
        <w:t>投资活动现金流入和投资活动现金流出较去年同期大幅减少的主要原因是：上期公司在既定金额范围</w:t>
      </w:r>
      <w:r>
        <w:rPr>
          <w:w w:val="100"/>
        </w:rPr>
        <w:t> </w:t>
      </w:r>
      <w:r>
        <w:rPr>
          <w:spacing w:val="-2"/>
        </w:rPr>
        <w:t>内进行国债逆回购交易，本期公司没有进行此类操作，导致投资活动现金发生额减少；同时公司本期由于</w:t>
      </w:r>
      <w:r>
        <w:rPr>
          <w:spacing w:val="-43"/>
        </w:rPr>
        <w:t> </w:t>
      </w:r>
      <w:r>
        <w:rPr>
          <w:spacing w:val="-43"/>
        </w:rPr>
      </w:r>
      <w:r>
        <w:rPr>
          <w:spacing w:val="-2"/>
        </w:rPr>
        <w:t>合作建房导致投资活动现金流出增加。这些因素综合影响导致投资活动产生的现金流量净额较去年减少。</w:t>
      </w:r>
    </w:p>
    <w:p>
      <w:pPr>
        <w:pStyle w:val="BodyText"/>
        <w:spacing w:line="273" w:lineRule="auto" w:before="7"/>
        <w:ind w:left="573" w:right="1116"/>
        <w:jc w:val="left"/>
      </w:pPr>
      <w:r>
        <w:rPr/>
        <w:t>筹资活动现金流入较去年同期增加主要原因是：本期银行借款小幅增加。</w:t>
      </w:r>
      <w:r>
        <w:rPr>
          <w:w w:val="100"/>
        </w:rPr>
        <w:t> </w:t>
      </w:r>
      <w:r>
        <w:rPr>
          <w:spacing w:val="-2"/>
        </w:rPr>
        <w:t>筹资活动现金流出较去年同期减少主要原因是：本期票据结算增幅不及去年同期。</w:t>
      </w:r>
    </w:p>
    <w:p>
      <w:pPr>
        <w:pStyle w:val="BodyText"/>
        <w:spacing w:line="240" w:lineRule="auto" w:before="49"/>
        <w:ind w:right="1116"/>
        <w:jc w:val="left"/>
      </w:pPr>
      <w:r>
        <w:rPr/>
        <w:t>报告期内公司经营活动产生的现金净流量与本年度净利润存在重大差异的原因说明</w:t>
      </w:r>
    </w:p>
    <w:p>
      <w:pPr>
        <w:pStyle w:val="BodyText"/>
        <w:spacing w:line="240" w:lineRule="auto" w:before="75"/>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16" w:firstLine="420"/>
        <w:jc w:val="left"/>
      </w:pPr>
      <w:r>
        <w:rPr>
          <w:spacing w:val="-2"/>
        </w:rPr>
        <w:t>报告期经营活动产生的现金净流量为</w:t>
      </w:r>
      <w:r>
        <w:rPr>
          <w:rFonts w:ascii="Times New Roman" w:hAnsi="Times New Roman" w:cs="Times New Roman" w:eastAsia="Times New Roman" w:hint="default"/>
          <w:spacing w:val="-2"/>
        </w:rPr>
        <w:t>25,096,155.13</w:t>
      </w:r>
      <w:r>
        <w:rPr>
          <w:spacing w:val="-2"/>
        </w:rPr>
        <w:t>元，本年度净利润为</w:t>
      </w:r>
      <w:r>
        <w:rPr>
          <w:rFonts w:ascii="Times New Roman" w:hAnsi="Times New Roman" w:cs="Times New Roman" w:eastAsia="Times New Roman" w:hint="default"/>
          <w:spacing w:val="-2"/>
        </w:rPr>
        <w:t>15,808,286.33</w:t>
      </w:r>
      <w:r>
        <w:rPr>
          <w:spacing w:val="-2"/>
        </w:rPr>
        <w:t>元，差异主要原</w:t>
      </w:r>
      <w:r>
        <w:rPr>
          <w:w w:val="100"/>
        </w:rPr>
        <w:t> </w:t>
      </w:r>
      <w:r>
        <w:rPr/>
        <w:t>因是报告期非付现的成本费用等项目金额占比较大。</w:t>
      </w:r>
    </w:p>
    <w:p>
      <w:pPr>
        <w:spacing w:line="240" w:lineRule="auto" w:before="9"/>
        <w:rPr>
          <w:rFonts w:ascii="宋体" w:hAnsi="宋体" w:cs="宋体" w:eastAsia="宋体" w:hint="default"/>
          <w:sz w:val="22"/>
          <w:szCs w:val="22"/>
        </w:rPr>
      </w:pPr>
    </w:p>
    <w:p>
      <w:pPr>
        <w:pStyle w:val="Heading2"/>
        <w:spacing w:line="240" w:lineRule="auto"/>
        <w:ind w:right="1116"/>
        <w:jc w:val="left"/>
        <w:rPr>
          <w:b w:val="0"/>
          <w:bCs w:val="0"/>
        </w:rPr>
      </w:pPr>
      <w:r>
        <w:rPr/>
        <w:t>三、非主营业务情况</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156"/>
            <w:col w:w="2010"/>
          </w:cols>
        </w:sectPr>
      </w:pPr>
    </w:p>
    <w:p>
      <w:pPr>
        <w:spacing w:line="240" w:lineRule="auto" w:before="4"/>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268"/>
        <w:gridCol w:w="1442"/>
        <w:gridCol w:w="1560"/>
        <w:gridCol w:w="3707"/>
        <w:gridCol w:w="1692"/>
      </w:tblGrid>
      <w:tr>
        <w:trPr>
          <w:trHeight w:val="401"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-613,735.57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-3.74%</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报告期权益法核算的被投资公司权益变化。</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-5,132,319.94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-31.24%</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本期计提存货跌价准备。</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418,912.75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2.55%</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报告期收到的违约赔偿和诉讼赔款。</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4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56,469.48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报告期非经营性零星支出。</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1,947,732.35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11.86%</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本期收回长账龄应收账款，转回坏账准备。</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1,931,874.13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报告期收到政府补助。</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208" w:firstLine="420"/>
        <w:jc w:val="left"/>
      </w:pPr>
      <w:r>
        <w:rPr/>
        <w:t>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年起首次执行新金融工具准则、新收入准则或新租赁准则且调整执行当年年初财务报表相</w:t>
      </w:r>
      <w:r>
        <w:rPr>
          <w:w w:val="100"/>
        </w:rPr>
        <w:t> </w:t>
      </w:r>
      <w:r>
        <w:rPr/>
        <w:t>关项目</w:t>
      </w:r>
    </w:p>
    <w:p>
      <w:pPr>
        <w:pStyle w:val="BodyText"/>
        <w:spacing w:line="240" w:lineRule="auto" w:before="61"/>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before="8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078"/>
        <w:gridCol w:w="1092"/>
        <w:gridCol w:w="925"/>
        <w:gridCol w:w="1092"/>
        <w:gridCol w:w="924"/>
        <w:gridCol w:w="696"/>
        <w:gridCol w:w="3833"/>
      </w:tblGrid>
      <w:tr>
        <w:trPr>
          <w:trHeight w:val="206" w:hRule="exact"/>
        </w:trPr>
        <w:tc>
          <w:tcPr>
            <w:tcW w:w="1078" w:type="dxa"/>
            <w:vMerge w:val="restart"/>
            <w:tcBorders>
              <w:top w:val="single" w:sz="4" w:space="0" w:color="000000"/>
              <w:left w:val="nil" w:sz="6" w:space="0" w:color="auto"/>
              <w:right w:val="single" w:sz="4" w:space="0" w:color="000000"/>
            </w:tcBorders>
            <w:shd w:val="clear" w:color="auto" w:fill="D2D2D2"/>
          </w:tcPr>
          <w:p>
            <w:pPr/>
          </w:p>
        </w:tc>
        <w:tc>
          <w:tcPr>
            <w:tcW w:w="20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3" w:type="dxa"/>
            <w:vMerge w:val="restart"/>
            <w:tcBorders>
              <w:top w:val="single" w:sz="4" w:space="0" w:color="000000"/>
              <w:left w:val="single" w:sz="4" w:space="0" w:color="000000"/>
              <w:right w:val="nil" w:sz="6" w:space="0" w:color="auto"/>
            </w:tcBorders>
            <w:shd w:val="clear" w:color="auto" w:fill="D2D2D2"/>
          </w:tcPr>
          <w:p>
            <w:pPr/>
          </w:p>
        </w:tc>
      </w:tr>
      <w:tr>
        <w:trPr>
          <w:trHeight w:val="173" w:hRule="exact"/>
        </w:trPr>
        <w:tc>
          <w:tcPr>
            <w:tcW w:w="1078" w:type="dxa"/>
            <w:vMerge/>
            <w:tcBorders>
              <w:left w:val="nil" w:sz="6" w:space="0" w:color="auto"/>
              <w:bottom w:val="nil" w:sz="6" w:space="0" w:color="auto"/>
              <w:right w:val="single" w:sz="4" w:space="0" w:color="000000"/>
            </w:tcBorders>
            <w:shd w:val="clear" w:color="auto" w:fill="D2D2D2"/>
          </w:tcPr>
          <w:p>
            <w:pPr/>
          </w:p>
        </w:tc>
        <w:tc>
          <w:tcPr>
            <w:tcW w:w="2017" w:type="dxa"/>
            <w:gridSpan w:val="2"/>
            <w:vMerge/>
            <w:tcBorders>
              <w:left w:val="single" w:sz="4" w:space="0" w:color="000000"/>
              <w:bottom w:val="single" w:sz="4" w:space="0" w:color="000000"/>
              <w:right w:val="single" w:sz="4" w:space="0" w:color="000000"/>
            </w:tcBorders>
            <w:shd w:val="clear" w:color="auto" w:fill="D2D2D2"/>
          </w:tcPr>
          <w:p>
            <w:pPr/>
          </w:p>
        </w:tc>
        <w:tc>
          <w:tcPr>
            <w:tcW w:w="2016" w:type="dxa"/>
            <w:gridSpan w:val="2"/>
            <w:vMerge/>
            <w:tcBorders>
              <w:left w:val="single" w:sz="4" w:space="0" w:color="000000"/>
              <w:bottom w:val="single" w:sz="4" w:space="0" w:color="000000"/>
              <w:right w:val="single" w:sz="4" w:space="0" w:color="000000"/>
            </w:tcBorders>
            <w:shd w:val="clear" w:color="auto" w:fill="D2D2D2"/>
          </w:tcPr>
          <w:p>
            <w:pPr/>
          </w:p>
        </w:tc>
        <w:tc>
          <w:tcPr>
            <w:tcW w:w="69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54" w:right="70" w:hanging="181"/>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833" w:type="dxa"/>
            <w:vMerge/>
            <w:tcBorders>
              <w:left w:val="single" w:sz="4" w:space="0" w:color="000000"/>
              <w:bottom w:val="nil" w:sz="6" w:space="0" w:color="auto"/>
              <w:right w:val="nil" w:sz="6" w:space="0" w:color="auto"/>
            </w:tcBorders>
            <w:shd w:val="clear" w:color="auto" w:fill="D2D2D2"/>
          </w:tcPr>
          <w:p>
            <w:pPr/>
          </w:p>
        </w:tc>
      </w:tr>
      <w:tr>
        <w:trPr>
          <w:trHeight w:val="182" w:hRule="exact"/>
        </w:trPr>
        <w:tc>
          <w:tcPr>
            <w:tcW w:w="1078" w:type="dxa"/>
            <w:vMerge w:val="restart"/>
            <w:tcBorders>
              <w:top w:val="nil" w:sz="6" w:space="0" w:color="auto"/>
              <w:left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78" w:right="9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78" w:right="9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696" w:type="dxa"/>
            <w:vMerge/>
            <w:tcBorders>
              <w:left w:val="single" w:sz="4" w:space="0" w:color="000000"/>
              <w:right w:val="single" w:sz="4" w:space="0" w:color="000000"/>
            </w:tcBorders>
            <w:shd w:val="clear" w:color="auto" w:fill="D2D2D2"/>
          </w:tcPr>
          <w:p>
            <w:pPr/>
          </w:p>
        </w:tc>
        <w:tc>
          <w:tcPr>
            <w:tcW w:w="383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32"/>
              <w:ind w:left="6"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078" w:type="dxa"/>
            <w:vMerge/>
            <w:tcBorders>
              <w:left w:val="nil" w:sz="6" w:space="0" w:color="auto"/>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4" w:type="dxa"/>
            <w:vMerge/>
            <w:tcBorders>
              <w:left w:val="single" w:sz="4" w:space="0" w:color="000000"/>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3833" w:type="dxa"/>
            <w:vMerge/>
            <w:tcBorders>
              <w:left w:val="single" w:sz="4" w:space="0" w:color="000000"/>
              <w:bottom w:val="nil" w:sz="6" w:space="0" w:color="auto"/>
              <w:right w:val="nil" w:sz="6" w:space="0" w:color="auto"/>
            </w:tcBorders>
            <w:shd w:val="clear" w:color="auto" w:fill="D2D2D2"/>
          </w:tcPr>
          <w:p>
            <w:pPr/>
          </w:p>
        </w:tc>
      </w:tr>
      <w:tr>
        <w:trPr>
          <w:trHeight w:val="179" w:hRule="exact"/>
        </w:trPr>
        <w:tc>
          <w:tcPr>
            <w:tcW w:w="1078" w:type="dxa"/>
            <w:vMerge w:val="restart"/>
            <w:tcBorders>
              <w:top w:val="nil" w:sz="6" w:space="0" w:color="auto"/>
              <w:left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696" w:type="dxa"/>
            <w:vMerge/>
            <w:tcBorders>
              <w:left w:val="single" w:sz="4" w:space="0" w:color="000000"/>
              <w:bottom w:val="nil" w:sz="6" w:space="0" w:color="auto"/>
              <w:right w:val="single" w:sz="4" w:space="0" w:color="000000"/>
            </w:tcBorders>
            <w:shd w:val="clear" w:color="auto" w:fill="D2D2D2"/>
          </w:tcPr>
          <w:p>
            <w:pPr/>
          </w:p>
        </w:tc>
        <w:tc>
          <w:tcPr>
            <w:tcW w:w="3833" w:type="dxa"/>
            <w:vMerge w:val="restart"/>
            <w:tcBorders>
              <w:top w:val="nil" w:sz="6" w:space="0" w:color="auto"/>
              <w:left w:val="single" w:sz="4" w:space="0" w:color="000000"/>
              <w:right w:val="nil" w:sz="6" w:space="0" w:color="auto"/>
            </w:tcBorders>
            <w:shd w:val="clear" w:color="auto" w:fill="D2D2D2"/>
          </w:tcPr>
          <w:p>
            <w:pPr/>
          </w:p>
        </w:tc>
      </w:tr>
      <w:tr>
        <w:trPr>
          <w:trHeight w:val="172" w:hRule="exact"/>
        </w:trPr>
        <w:tc>
          <w:tcPr>
            <w:tcW w:w="1078" w:type="dxa"/>
            <w:vMerge/>
            <w:tcBorders>
              <w:left w:val="nil" w:sz="6" w:space="0" w:color="auto"/>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833" w:type="dxa"/>
            <w:vMerge/>
            <w:tcBorders>
              <w:left w:val="single" w:sz="4" w:space="0" w:color="000000"/>
              <w:bottom w:val="single" w:sz="4" w:space="0" w:color="000000"/>
              <w:right w:val="nil" w:sz="6" w:space="0" w:color="auto"/>
            </w:tcBorders>
            <w:shd w:val="clear" w:color="auto" w:fill="D2D2D2"/>
          </w:tcPr>
          <w:p>
            <w:pPr/>
          </w:p>
        </w:tc>
      </w:tr>
      <w:tr>
        <w:trPr>
          <w:trHeight w:val="161" w:hRule="exact"/>
        </w:trPr>
        <w:tc>
          <w:tcPr>
            <w:tcW w:w="1078" w:type="dxa"/>
            <w:tcBorders>
              <w:top w:val="single" w:sz="4" w:space="0" w:color="000000"/>
              <w:left w:val="nil" w:sz="6" w:space="0" w:color="auto"/>
              <w:bottom w:val="nil" w:sz="6" w:space="0" w:color="auto"/>
              <w:right w:val="single" w:sz="4" w:space="0" w:color="000000"/>
            </w:tcBorders>
            <w:shd w:val="clear" w:color="auto" w:fill="D2D2D2"/>
          </w:tcPr>
          <w:p>
            <w:pPr/>
          </w:p>
        </w:tc>
        <w:tc>
          <w:tcPr>
            <w:tcW w:w="109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90,584,738.82</w:t>
            </w: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23.67%</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80,019,990.36</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22.52%</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1.15%</w:t>
            </w:r>
          </w:p>
        </w:tc>
        <w:tc>
          <w:tcPr>
            <w:tcW w:w="3833" w:type="dxa"/>
            <w:vMerge w:val="restart"/>
            <w:tcBorders>
              <w:top w:val="single" w:sz="4" w:space="0" w:color="000000"/>
              <w:left w:val="single" w:sz="4" w:space="0" w:color="000000"/>
              <w:right w:val="nil" w:sz="6" w:space="0" w:color="auto"/>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报告期经营活动产生的现金流量净额是期末货币 资金结余增加的主要原因。</w:t>
            </w:r>
          </w:p>
        </w:tc>
      </w:tr>
      <w:tr>
        <w:trPr>
          <w:trHeight w:val="391" w:hRule="exact"/>
        </w:trPr>
        <w:tc>
          <w:tcPr>
            <w:tcW w:w="107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92" w:type="dxa"/>
            <w:vMerge/>
            <w:tcBorders>
              <w:left w:val="single" w:sz="10" w:space="0" w:color="D2D2D2"/>
              <w:right w:val="single" w:sz="4" w:space="0" w:color="000000"/>
            </w:tcBorders>
          </w:tcPr>
          <w:p>
            <w:pPr/>
          </w:p>
        </w:tc>
        <w:tc>
          <w:tcPr>
            <w:tcW w:w="925"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3833" w:type="dxa"/>
            <w:vMerge/>
            <w:tcBorders>
              <w:left w:val="single" w:sz="4" w:space="0" w:color="000000"/>
              <w:right w:val="nil" w:sz="6" w:space="0" w:color="auto"/>
            </w:tcBorders>
          </w:tcPr>
          <w:p>
            <w:pPr/>
          </w:p>
        </w:tc>
      </w:tr>
      <w:tr>
        <w:trPr>
          <w:trHeight w:val="161" w:hRule="exact"/>
        </w:trPr>
        <w:tc>
          <w:tcPr>
            <w:tcW w:w="1078" w:type="dxa"/>
            <w:tcBorders>
              <w:top w:val="nil" w:sz="6" w:space="0" w:color="auto"/>
              <w:left w:val="nil" w:sz="6" w:space="0" w:color="auto"/>
              <w:bottom w:val="single" w:sz="4" w:space="0" w:color="000000"/>
              <w:right w:val="single" w:sz="4" w:space="0" w:color="000000"/>
            </w:tcBorders>
            <w:shd w:val="clear" w:color="auto" w:fill="D2D2D2"/>
          </w:tcPr>
          <w:p>
            <w:pPr/>
          </w:p>
        </w:tc>
        <w:tc>
          <w:tcPr>
            <w:tcW w:w="1092" w:type="dxa"/>
            <w:vMerge/>
            <w:tcBorders>
              <w:left w:val="single" w:sz="10" w:space="0" w:color="D2D2D2"/>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3833" w:type="dxa"/>
            <w:vMerge/>
            <w:tcBorders>
              <w:left w:val="single" w:sz="4" w:space="0" w:color="000000"/>
              <w:bottom w:val="single" w:sz="4" w:space="0" w:color="000000"/>
              <w:right w:val="nil" w:sz="6" w:space="0" w:color="auto"/>
            </w:tcBorders>
          </w:tcPr>
          <w:p>
            <w:pPr/>
          </w:p>
        </w:tc>
      </w:tr>
      <w:tr>
        <w:trPr>
          <w:trHeight w:val="404" w:hRule="exact"/>
        </w:trPr>
        <w:tc>
          <w:tcPr>
            <w:tcW w:w="10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40,437,585.00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10.57%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23,479,957.90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38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报告期销售商品产生的应收账款增加。</w:t>
            </w:r>
          </w:p>
        </w:tc>
      </w:tr>
      <w:tr>
        <w:trPr>
          <w:trHeight w:val="161" w:hRule="exact"/>
        </w:trPr>
        <w:tc>
          <w:tcPr>
            <w:tcW w:w="1078" w:type="dxa"/>
            <w:tcBorders>
              <w:top w:val="single" w:sz="4" w:space="0" w:color="000000"/>
              <w:left w:val="nil" w:sz="6" w:space="0" w:color="auto"/>
              <w:bottom w:val="nil" w:sz="6" w:space="0" w:color="auto"/>
              <w:right w:val="single" w:sz="4" w:space="0" w:color="000000"/>
            </w:tcBorders>
            <w:shd w:val="clear" w:color="auto" w:fill="D2D2D2"/>
          </w:tcPr>
          <w:p>
            <w:pPr/>
          </w:p>
        </w:tc>
        <w:tc>
          <w:tcPr>
            <w:tcW w:w="109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73,525,381.57</w:t>
            </w: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19.21%</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86,219,676.70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24.27%</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-5.06%</w:t>
            </w:r>
          </w:p>
        </w:tc>
        <w:tc>
          <w:tcPr>
            <w:tcW w:w="3833" w:type="dxa"/>
            <w:vMerge w:val="restart"/>
            <w:tcBorders>
              <w:top w:val="single" w:sz="4" w:space="0" w:color="000000"/>
              <w:left w:val="single" w:sz="4" w:space="0" w:color="000000"/>
              <w:right w:val="nil" w:sz="6" w:space="0" w:color="auto"/>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报告期消化年初存货库存以及计提存货跌价准备 导致存货期末金额减少。</w:t>
            </w:r>
          </w:p>
        </w:tc>
      </w:tr>
      <w:tr>
        <w:trPr>
          <w:trHeight w:val="391" w:hRule="exact"/>
        </w:trPr>
        <w:tc>
          <w:tcPr>
            <w:tcW w:w="107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92" w:type="dxa"/>
            <w:vMerge/>
            <w:tcBorders>
              <w:left w:val="single" w:sz="10" w:space="0" w:color="D2D2D2"/>
              <w:right w:val="single" w:sz="4" w:space="0" w:color="000000"/>
            </w:tcBorders>
          </w:tcPr>
          <w:p>
            <w:pPr/>
          </w:p>
        </w:tc>
        <w:tc>
          <w:tcPr>
            <w:tcW w:w="925"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3833" w:type="dxa"/>
            <w:vMerge/>
            <w:tcBorders>
              <w:left w:val="single" w:sz="4" w:space="0" w:color="000000"/>
              <w:right w:val="nil" w:sz="6" w:space="0" w:color="auto"/>
            </w:tcBorders>
          </w:tcPr>
          <w:p>
            <w:pPr/>
          </w:p>
        </w:tc>
      </w:tr>
      <w:tr>
        <w:trPr>
          <w:trHeight w:val="161" w:hRule="exact"/>
        </w:trPr>
        <w:tc>
          <w:tcPr>
            <w:tcW w:w="1078" w:type="dxa"/>
            <w:tcBorders>
              <w:top w:val="nil" w:sz="6" w:space="0" w:color="auto"/>
              <w:left w:val="nil" w:sz="6" w:space="0" w:color="auto"/>
              <w:bottom w:val="single" w:sz="4" w:space="0" w:color="000000"/>
              <w:right w:val="single" w:sz="4" w:space="0" w:color="000000"/>
            </w:tcBorders>
            <w:shd w:val="clear" w:color="auto" w:fill="D2D2D2"/>
          </w:tcPr>
          <w:p>
            <w:pPr/>
          </w:p>
        </w:tc>
        <w:tc>
          <w:tcPr>
            <w:tcW w:w="1092" w:type="dxa"/>
            <w:vMerge/>
            <w:tcBorders>
              <w:left w:val="single" w:sz="10" w:space="0" w:color="D2D2D2"/>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3833" w:type="dxa"/>
            <w:vMerge/>
            <w:tcBorders>
              <w:left w:val="single" w:sz="4" w:space="0" w:color="000000"/>
              <w:bottom w:val="single" w:sz="4" w:space="0" w:color="000000"/>
              <w:right w:val="nil" w:sz="6" w:space="0" w:color="auto"/>
            </w:tcBorders>
          </w:tcPr>
          <w:p>
            <w:pPr/>
          </w:p>
        </w:tc>
      </w:tr>
      <w:tr>
        <w:trPr>
          <w:trHeight w:val="715" w:hRule="exact"/>
        </w:trPr>
        <w:tc>
          <w:tcPr>
            <w:tcW w:w="10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56"/>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092" w:type="dxa"/>
            <w:tcBorders>
              <w:top w:val="single" w:sz="4" w:space="0" w:color="000000"/>
              <w:left w:val="single" w:sz="10" w:space="0" w:color="D2D2D2"/>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187,272.00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383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报告期处置被投资公司股权导致长期股权投资期 末金额减少。</w:t>
            </w:r>
          </w:p>
        </w:tc>
      </w:tr>
      <w:tr>
        <w:trPr>
          <w:trHeight w:val="161" w:hRule="exact"/>
        </w:trPr>
        <w:tc>
          <w:tcPr>
            <w:tcW w:w="1078" w:type="dxa"/>
            <w:tcBorders>
              <w:top w:val="single" w:sz="4" w:space="0" w:color="000000"/>
              <w:left w:val="nil" w:sz="6" w:space="0" w:color="auto"/>
              <w:bottom w:val="nil" w:sz="6" w:space="0" w:color="auto"/>
              <w:right w:val="single" w:sz="4" w:space="0" w:color="000000"/>
            </w:tcBorders>
            <w:shd w:val="clear" w:color="auto" w:fill="D2D2D2"/>
          </w:tcPr>
          <w:p>
            <w:pPr/>
          </w:p>
        </w:tc>
        <w:tc>
          <w:tcPr>
            <w:tcW w:w="109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74,997,117.07</w:t>
            </w: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19.60%</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77,725,415.19</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21.88%</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-2.28%</w:t>
            </w:r>
          </w:p>
        </w:tc>
        <w:tc>
          <w:tcPr>
            <w:tcW w:w="3833" w:type="dxa"/>
            <w:vMerge w:val="restart"/>
            <w:tcBorders>
              <w:top w:val="single" w:sz="4" w:space="0" w:color="000000"/>
              <w:left w:val="single" w:sz="4" w:space="0" w:color="000000"/>
              <w:right w:val="nil" w:sz="6" w:space="0" w:color="auto"/>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报告期计提固定资产折旧，导致固定资产期末金 额减少。</w:t>
            </w:r>
          </w:p>
        </w:tc>
      </w:tr>
      <w:tr>
        <w:trPr>
          <w:trHeight w:val="391" w:hRule="exact"/>
        </w:trPr>
        <w:tc>
          <w:tcPr>
            <w:tcW w:w="107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92" w:type="dxa"/>
            <w:vMerge/>
            <w:tcBorders>
              <w:left w:val="single" w:sz="10" w:space="0" w:color="D2D2D2"/>
              <w:right w:val="single" w:sz="4" w:space="0" w:color="000000"/>
            </w:tcBorders>
          </w:tcPr>
          <w:p>
            <w:pPr/>
          </w:p>
        </w:tc>
        <w:tc>
          <w:tcPr>
            <w:tcW w:w="925"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3833" w:type="dxa"/>
            <w:vMerge/>
            <w:tcBorders>
              <w:left w:val="single" w:sz="4" w:space="0" w:color="000000"/>
              <w:right w:val="nil" w:sz="6" w:space="0" w:color="auto"/>
            </w:tcBorders>
          </w:tcPr>
          <w:p>
            <w:pPr/>
          </w:p>
        </w:tc>
      </w:tr>
      <w:tr>
        <w:trPr>
          <w:trHeight w:val="161" w:hRule="exact"/>
        </w:trPr>
        <w:tc>
          <w:tcPr>
            <w:tcW w:w="1078" w:type="dxa"/>
            <w:tcBorders>
              <w:top w:val="nil" w:sz="6" w:space="0" w:color="auto"/>
              <w:left w:val="nil" w:sz="6" w:space="0" w:color="auto"/>
              <w:bottom w:val="single" w:sz="4" w:space="0" w:color="000000"/>
              <w:right w:val="single" w:sz="4" w:space="0" w:color="000000"/>
            </w:tcBorders>
            <w:shd w:val="clear" w:color="auto" w:fill="D2D2D2"/>
          </w:tcPr>
          <w:p>
            <w:pPr/>
          </w:p>
        </w:tc>
        <w:tc>
          <w:tcPr>
            <w:tcW w:w="1092" w:type="dxa"/>
            <w:vMerge/>
            <w:tcBorders>
              <w:left w:val="single" w:sz="10" w:space="0" w:color="D2D2D2"/>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3833" w:type="dxa"/>
            <w:vMerge/>
            <w:tcBorders>
              <w:left w:val="single" w:sz="4" w:space="0" w:color="000000"/>
              <w:bottom w:val="single" w:sz="4" w:space="0" w:color="000000"/>
              <w:right w:val="nil" w:sz="6" w:space="0" w:color="auto"/>
            </w:tcBorders>
          </w:tcPr>
          <w:p>
            <w:pPr/>
          </w:p>
        </w:tc>
      </w:tr>
      <w:tr>
        <w:trPr>
          <w:trHeight w:val="161" w:hRule="exact"/>
        </w:trPr>
        <w:tc>
          <w:tcPr>
            <w:tcW w:w="1078" w:type="dxa"/>
            <w:tcBorders>
              <w:top w:val="single" w:sz="4" w:space="0" w:color="000000"/>
              <w:left w:val="nil" w:sz="6" w:space="0" w:color="auto"/>
              <w:bottom w:val="nil" w:sz="6" w:space="0" w:color="auto"/>
              <w:right w:val="single" w:sz="4" w:space="0" w:color="000000"/>
            </w:tcBorders>
            <w:shd w:val="clear" w:color="auto" w:fill="D2D2D2"/>
          </w:tcPr>
          <w:p>
            <w:pPr/>
          </w:p>
        </w:tc>
        <w:tc>
          <w:tcPr>
            <w:tcW w:w="1092" w:type="dxa"/>
            <w:vMerge w:val="restart"/>
            <w:tcBorders>
              <w:top w:val="single" w:sz="4" w:space="0" w:color="000000"/>
              <w:left w:val="single" w:sz="10" w:space="0" w:color="D2D2D2"/>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202,977.68</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0.06%</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-0.06%</w:t>
            </w:r>
          </w:p>
        </w:tc>
        <w:tc>
          <w:tcPr>
            <w:tcW w:w="3833" w:type="dxa"/>
            <w:vMerge w:val="restart"/>
            <w:tcBorders>
              <w:top w:val="single" w:sz="4" w:space="0" w:color="000000"/>
              <w:left w:val="single" w:sz="4" w:space="0" w:color="000000"/>
              <w:right w:val="nil" w:sz="6" w:space="0" w:color="auto"/>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报告期在建工程转固定资产，导致在建工程期末 金额减少。</w:t>
            </w:r>
          </w:p>
        </w:tc>
      </w:tr>
      <w:tr>
        <w:trPr>
          <w:trHeight w:val="394" w:hRule="exact"/>
        </w:trPr>
        <w:tc>
          <w:tcPr>
            <w:tcW w:w="107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92" w:type="dxa"/>
            <w:vMerge/>
            <w:tcBorders>
              <w:left w:val="single" w:sz="10" w:space="0" w:color="D2D2D2"/>
              <w:right w:val="single" w:sz="4" w:space="0" w:color="000000"/>
            </w:tcBorders>
          </w:tcPr>
          <w:p>
            <w:pPr/>
          </w:p>
        </w:tc>
        <w:tc>
          <w:tcPr>
            <w:tcW w:w="925"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3833" w:type="dxa"/>
            <w:vMerge/>
            <w:tcBorders>
              <w:left w:val="single" w:sz="4" w:space="0" w:color="000000"/>
              <w:right w:val="nil" w:sz="6" w:space="0" w:color="auto"/>
            </w:tcBorders>
          </w:tcPr>
          <w:p>
            <w:pPr/>
          </w:p>
        </w:tc>
      </w:tr>
      <w:tr>
        <w:trPr>
          <w:trHeight w:val="161" w:hRule="exact"/>
        </w:trPr>
        <w:tc>
          <w:tcPr>
            <w:tcW w:w="1078" w:type="dxa"/>
            <w:tcBorders>
              <w:top w:val="nil" w:sz="6" w:space="0" w:color="auto"/>
              <w:left w:val="nil" w:sz="6" w:space="0" w:color="auto"/>
              <w:bottom w:val="single" w:sz="4" w:space="0" w:color="000000"/>
              <w:right w:val="single" w:sz="4" w:space="0" w:color="000000"/>
            </w:tcBorders>
            <w:shd w:val="clear" w:color="auto" w:fill="D2D2D2"/>
          </w:tcPr>
          <w:p>
            <w:pPr/>
          </w:p>
        </w:tc>
        <w:tc>
          <w:tcPr>
            <w:tcW w:w="1092" w:type="dxa"/>
            <w:vMerge/>
            <w:tcBorders>
              <w:left w:val="single" w:sz="10" w:space="0" w:color="D2D2D2"/>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3833" w:type="dxa"/>
            <w:vMerge/>
            <w:tcBorders>
              <w:left w:val="single" w:sz="4" w:space="0" w:color="000000"/>
              <w:bottom w:val="single" w:sz="4" w:space="0" w:color="000000"/>
              <w:right w:val="nil" w:sz="6" w:space="0" w:color="auto"/>
            </w:tcBorders>
          </w:tcPr>
          <w:p>
            <w:pPr/>
          </w:p>
        </w:tc>
      </w:tr>
      <w:tr>
        <w:trPr>
          <w:trHeight w:val="161" w:hRule="exact"/>
        </w:trPr>
        <w:tc>
          <w:tcPr>
            <w:tcW w:w="1078" w:type="dxa"/>
            <w:tcBorders>
              <w:top w:val="single" w:sz="4" w:space="0" w:color="000000"/>
              <w:left w:val="nil" w:sz="6" w:space="0" w:color="auto"/>
              <w:bottom w:val="nil" w:sz="6" w:space="0" w:color="auto"/>
              <w:right w:val="single" w:sz="4" w:space="0" w:color="000000"/>
            </w:tcBorders>
            <w:shd w:val="clear" w:color="auto" w:fill="D2D2D2"/>
          </w:tcPr>
          <w:p>
            <w:pPr/>
          </w:p>
        </w:tc>
        <w:tc>
          <w:tcPr>
            <w:tcW w:w="109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22,000,000.00</w:t>
            </w: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5.75%</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17,000,000.00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4.78%</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0.97%</w:t>
            </w:r>
          </w:p>
        </w:tc>
        <w:tc>
          <w:tcPr>
            <w:tcW w:w="3833" w:type="dxa"/>
            <w:vMerge w:val="restart"/>
            <w:tcBorders>
              <w:top w:val="single" w:sz="4" w:space="0" w:color="000000"/>
              <w:left w:val="single" w:sz="4" w:space="0" w:color="000000"/>
              <w:right w:val="nil" w:sz="6" w:space="0" w:color="auto"/>
            </w:tcBorders>
          </w:tcPr>
          <w:p>
            <w:pPr>
              <w:pStyle w:val="TableParagraph"/>
              <w:spacing w:line="314" w:lineRule="auto" w:before="49"/>
              <w:ind w:left="24" w:right="202"/>
              <w:jc w:val="left"/>
              <w:rPr>
                <w:rFonts w:ascii="宋体" w:hAnsi="宋体" w:cs="宋体" w:eastAsia="宋体" w:hint="default"/>
                <w:sz w:val="18"/>
                <w:szCs w:val="18"/>
              </w:rPr>
            </w:pPr>
            <w:r>
              <w:rPr>
                <w:rFonts w:ascii="宋体" w:hAnsi="宋体" w:cs="宋体" w:eastAsia="宋体" w:hint="default"/>
                <w:sz w:val="18"/>
                <w:szCs w:val="18"/>
              </w:rPr>
              <w:t>报告期银行借款增加导致短期借款期末金额增 加。</w:t>
            </w:r>
          </w:p>
        </w:tc>
      </w:tr>
      <w:tr>
        <w:trPr>
          <w:trHeight w:val="392" w:hRule="exact"/>
        </w:trPr>
        <w:tc>
          <w:tcPr>
            <w:tcW w:w="107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92" w:type="dxa"/>
            <w:vMerge/>
            <w:tcBorders>
              <w:left w:val="single" w:sz="10" w:space="0" w:color="D2D2D2"/>
              <w:right w:val="single" w:sz="4" w:space="0" w:color="000000"/>
            </w:tcBorders>
          </w:tcPr>
          <w:p>
            <w:pPr/>
          </w:p>
        </w:tc>
        <w:tc>
          <w:tcPr>
            <w:tcW w:w="925"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3833" w:type="dxa"/>
            <w:vMerge/>
            <w:tcBorders>
              <w:left w:val="single" w:sz="4" w:space="0" w:color="000000"/>
              <w:right w:val="nil" w:sz="6" w:space="0" w:color="auto"/>
            </w:tcBorders>
          </w:tcPr>
          <w:p>
            <w:pPr/>
          </w:p>
        </w:tc>
      </w:tr>
      <w:tr>
        <w:trPr>
          <w:trHeight w:val="161" w:hRule="exact"/>
        </w:trPr>
        <w:tc>
          <w:tcPr>
            <w:tcW w:w="1078" w:type="dxa"/>
            <w:tcBorders>
              <w:top w:val="nil" w:sz="6" w:space="0" w:color="auto"/>
              <w:left w:val="nil" w:sz="6" w:space="0" w:color="auto"/>
              <w:bottom w:val="single" w:sz="4" w:space="0" w:color="000000"/>
              <w:right w:val="single" w:sz="4" w:space="0" w:color="000000"/>
            </w:tcBorders>
            <w:shd w:val="clear" w:color="auto" w:fill="D2D2D2"/>
          </w:tcPr>
          <w:p>
            <w:pPr/>
          </w:p>
        </w:tc>
        <w:tc>
          <w:tcPr>
            <w:tcW w:w="1092" w:type="dxa"/>
            <w:vMerge/>
            <w:tcBorders>
              <w:left w:val="single" w:sz="10" w:space="0" w:color="D2D2D2"/>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3833" w:type="dxa"/>
            <w:vMerge/>
            <w:tcBorders>
              <w:left w:val="single" w:sz="4" w:space="0" w:color="000000"/>
              <w:bottom w:val="single" w:sz="4"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107"/>
        <w:gridCol w:w="1092"/>
        <w:gridCol w:w="925"/>
        <w:gridCol w:w="1092"/>
        <w:gridCol w:w="924"/>
        <w:gridCol w:w="696"/>
        <w:gridCol w:w="3848"/>
      </w:tblGrid>
      <w:tr>
        <w:trPr>
          <w:trHeight w:val="713" w:hRule="exact"/>
        </w:trPr>
        <w:tc>
          <w:tcPr>
            <w:tcW w:w="11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43" w:right="156"/>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31,269,752.67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34,360,687.96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w:t>
            </w:r>
          </w:p>
        </w:tc>
        <w:tc>
          <w:tcPr>
            <w:tcW w:w="384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报告期公司投资的合伙企业分红导致其他非流动 金融资产期末金额减少。</w:t>
            </w:r>
          </w:p>
        </w:tc>
      </w:tr>
      <w:tr>
        <w:trPr>
          <w:trHeight w:val="715" w:hRule="exact"/>
        </w:trPr>
        <w:tc>
          <w:tcPr>
            <w:tcW w:w="1107"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43" w:right="156"/>
              <w:jc w:val="left"/>
              <w:rPr>
                <w:rFonts w:ascii="宋体" w:hAnsi="宋体" w:cs="宋体" w:eastAsia="宋体" w:hint="default"/>
                <w:sz w:val="18"/>
                <w:szCs w:val="18"/>
              </w:rPr>
            </w:pPr>
            <w:r>
              <w:rPr>
                <w:rFonts w:ascii="宋体" w:hAnsi="宋体" w:cs="宋体" w:eastAsia="宋体" w:hint="default"/>
                <w:sz w:val="18"/>
                <w:szCs w:val="18"/>
              </w:rPr>
              <w:t>其他非流动 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21,877,572.26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4,298,055.60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w:t>
            </w:r>
          </w:p>
        </w:tc>
        <w:tc>
          <w:tcPr>
            <w:tcW w:w="3848"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报告期公司合作建房及其他长期资产开支导致其 他非流动资产期末金额增加。</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156"/>
            <w:col w:w="2010"/>
          </w:cols>
        </w:sectPr>
      </w:pPr>
    </w:p>
    <w:p>
      <w:pPr>
        <w:spacing w:line="240" w:lineRule="auto" w:before="4"/>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975"/>
        <w:gridCol w:w="1039"/>
        <w:gridCol w:w="1070"/>
        <w:gridCol w:w="1210"/>
        <w:gridCol w:w="937"/>
        <w:gridCol w:w="1224"/>
        <w:gridCol w:w="1064"/>
        <w:gridCol w:w="932"/>
        <w:gridCol w:w="1217"/>
      </w:tblGrid>
      <w:tr>
        <w:trPr>
          <w:trHeight w:val="161" w:hRule="exact"/>
        </w:trPr>
        <w:tc>
          <w:tcPr>
            <w:tcW w:w="975" w:type="dxa"/>
            <w:vMerge w:val="restart"/>
            <w:tcBorders>
              <w:top w:val="single" w:sz="4" w:space="0" w:color="000000"/>
              <w:left w:val="nil" w:sz="6" w:space="0" w:color="auto"/>
              <w:right w:val="single" w:sz="4" w:space="0" w:color="000000"/>
            </w:tcBorders>
            <w:shd w:val="clear" w:color="auto" w:fill="D2D2D2"/>
          </w:tcPr>
          <w:p>
            <w:pPr/>
          </w:p>
        </w:tc>
        <w:tc>
          <w:tcPr>
            <w:tcW w:w="1039" w:type="dxa"/>
            <w:vMerge w:val="restart"/>
            <w:tcBorders>
              <w:top w:val="single" w:sz="4" w:space="0" w:color="000000"/>
              <w:left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59"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217" w:type="dxa"/>
            <w:vMerge w:val="restart"/>
            <w:tcBorders>
              <w:top w:val="single" w:sz="4" w:space="0" w:color="000000"/>
              <w:left w:val="single" w:sz="4" w:space="0" w:color="000000"/>
              <w:right w:val="nil" w:sz="6" w:space="0" w:color="auto"/>
            </w:tcBorders>
            <w:shd w:val="clear" w:color="auto" w:fill="D2D2D2"/>
          </w:tcPr>
          <w:p>
            <w:pPr/>
          </w:p>
        </w:tc>
      </w:tr>
      <w:tr>
        <w:trPr>
          <w:trHeight w:val="156" w:hRule="exact"/>
        </w:trPr>
        <w:tc>
          <w:tcPr>
            <w:tcW w:w="975" w:type="dxa"/>
            <w:vMerge/>
            <w:tcBorders>
              <w:left w:val="nil" w:sz="6" w:space="0" w:color="auto"/>
              <w:bottom w:val="nil" w:sz="6" w:space="0" w:color="auto"/>
              <w:right w:val="single" w:sz="4" w:space="0" w:color="000000"/>
            </w:tcBorders>
            <w:shd w:val="clear" w:color="auto" w:fill="D2D2D2"/>
          </w:tcPr>
          <w:p>
            <w:pPr/>
          </w:p>
        </w:tc>
        <w:tc>
          <w:tcPr>
            <w:tcW w:w="1039" w:type="dxa"/>
            <w:vMerge/>
            <w:tcBorders>
              <w:left w:val="single" w:sz="4" w:space="0" w:color="000000"/>
              <w:bottom w:val="nil" w:sz="6" w:space="0" w:color="auto"/>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7" w:right="8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0"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100"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24"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8"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32" w:type="dxa"/>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bottom w:val="nil" w:sz="6" w:space="0" w:color="auto"/>
              <w:right w:val="nil" w:sz="6" w:space="0" w:color="auto"/>
            </w:tcBorders>
            <w:shd w:val="clear" w:color="auto" w:fill="D2D2D2"/>
          </w:tcPr>
          <w:p>
            <w:pPr/>
          </w:p>
        </w:tc>
      </w:tr>
      <w:tr>
        <w:trPr>
          <w:trHeight w:val="394" w:hRule="exact"/>
        </w:trPr>
        <w:tc>
          <w:tcPr>
            <w:tcW w:w="975"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3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7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12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4"/>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64"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7"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75" w:type="dxa"/>
            <w:vMerge w:val="restart"/>
            <w:tcBorders>
              <w:top w:val="nil" w:sz="6" w:space="0" w:color="auto"/>
              <w:left w:val="nil" w:sz="6" w:space="0" w:color="auto"/>
              <w:right w:val="single" w:sz="4" w:space="0" w:color="000000"/>
            </w:tcBorders>
            <w:shd w:val="clear" w:color="auto" w:fill="D2D2D2"/>
          </w:tcPr>
          <w:p>
            <w:pPr/>
          </w:p>
        </w:tc>
        <w:tc>
          <w:tcPr>
            <w:tcW w:w="1039" w:type="dxa"/>
            <w:vMerge w:val="restart"/>
            <w:tcBorders>
              <w:top w:val="nil" w:sz="6" w:space="0" w:color="auto"/>
              <w:left w:val="single" w:sz="4" w:space="0" w:color="000000"/>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224"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217" w:type="dxa"/>
            <w:vMerge w:val="restart"/>
            <w:tcBorders>
              <w:top w:val="nil" w:sz="6" w:space="0" w:color="auto"/>
              <w:left w:val="single" w:sz="4" w:space="0" w:color="000000"/>
              <w:right w:val="nil" w:sz="6" w:space="0" w:color="auto"/>
            </w:tcBorders>
            <w:shd w:val="clear" w:color="auto" w:fill="D2D2D2"/>
          </w:tcPr>
          <w:p>
            <w:pPr/>
          </w:p>
        </w:tc>
      </w:tr>
      <w:tr>
        <w:trPr>
          <w:trHeight w:val="166" w:hRule="exact"/>
        </w:trPr>
        <w:tc>
          <w:tcPr>
            <w:tcW w:w="975" w:type="dxa"/>
            <w:vMerge/>
            <w:tcBorders>
              <w:left w:val="nil" w:sz="6" w:space="0" w:color="auto"/>
              <w:bottom w:val="single" w:sz="4" w:space="0" w:color="000000"/>
              <w:right w:val="single" w:sz="4" w:space="0" w:color="000000"/>
            </w:tcBorders>
            <w:shd w:val="clear" w:color="auto" w:fill="D2D2D2"/>
          </w:tcPr>
          <w:p>
            <w:pPr/>
          </w:p>
        </w:tc>
        <w:tc>
          <w:tcPr>
            <w:tcW w:w="1039" w:type="dxa"/>
            <w:vMerge/>
            <w:tcBorders>
              <w:left w:val="single" w:sz="4" w:space="0" w:color="000000"/>
              <w:bottom w:val="single" w:sz="4" w:space="0" w:color="000000"/>
              <w:right w:val="single" w:sz="4" w:space="0" w:color="000000"/>
            </w:tcBorders>
            <w:shd w:val="clear" w:color="auto" w:fill="D2D2D2"/>
          </w:tcPr>
          <w:p>
            <w:pPr/>
          </w:p>
        </w:tc>
        <w:tc>
          <w:tcPr>
            <w:tcW w:w="10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nil" w:sz="6" w:space="0" w:color="auto"/>
            </w:tcBorders>
            <w:shd w:val="clear" w:color="auto" w:fill="D2D2D2"/>
          </w:tcPr>
          <w:p>
            <w:pPr/>
          </w:p>
        </w:tc>
      </w:tr>
      <w:tr>
        <w:trPr>
          <w:trHeight w:val="396" w:hRule="exact"/>
        </w:trPr>
        <w:tc>
          <w:tcPr>
            <w:tcW w:w="9668"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9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2" w:lineRule="auto" w:before="49"/>
              <w:ind w:left="13" w:right="5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58,795.87</w:t>
            </w:r>
          </w:p>
        </w:tc>
        <w:tc>
          <w:tcPr>
            <w:tcW w:w="121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4,520,000.00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713" w:hRule="exact"/>
        </w:trPr>
        <w:tc>
          <w:tcPr>
            <w:tcW w:w="9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49"/>
              <w:ind w:left="13"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6" w:hRule="exact"/>
        </w:trPr>
        <w:tc>
          <w:tcPr>
            <w:tcW w:w="9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3" w:right="54"/>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58,795.87</w:t>
            </w:r>
          </w:p>
        </w:tc>
        <w:tc>
          <w:tcPr>
            <w:tcW w:w="121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4,320,000.00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4,520,000.00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1" w:hRule="exact"/>
        </w:trPr>
        <w:tc>
          <w:tcPr>
            <w:tcW w:w="9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58,795.87</w:t>
            </w:r>
          </w:p>
        </w:tc>
        <w:tc>
          <w:tcPr>
            <w:tcW w:w="121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4,520,000.00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3" w:hRule="exact"/>
        </w:trPr>
        <w:tc>
          <w:tcPr>
            <w:tcW w:w="97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07" w:lineRule="auto" w:before="28"/>
        <w:ind w:right="5505"/>
        <w:jc w:val="left"/>
      </w:pPr>
      <w:r>
        <w:rPr/>
        <w:t>其他变动的内容</w:t>
      </w:r>
      <w:r>
        <w:rPr>
          <w:spacing w:val="-103"/>
        </w:rPr>
        <w:t> </w:t>
      </w:r>
      <w:r>
        <w:rPr>
          <w:spacing w:val="-103"/>
        </w:rPr>
      </w:r>
      <w:r>
        <w:rPr>
          <w:spacing w:val="-2"/>
        </w:rPr>
        <w:t>报告期内公司主要资产计量属性是否发生重大变化</w:t>
      </w:r>
    </w:p>
    <w:p>
      <w:pPr>
        <w:pStyle w:val="BodyText"/>
        <w:spacing w:line="240" w:lineRule="auto" w:before="19"/>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2064"/>
        <w:gridCol w:w="1925"/>
        <w:gridCol w:w="5684"/>
      </w:tblGrid>
      <w:tr>
        <w:trPr>
          <w:trHeight w:val="343"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840"/>
              <w:jc w:val="right"/>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1"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7,645,367.00</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承兑汇票保证金</w:t>
            </w:r>
          </w:p>
        </w:tc>
      </w:tr>
      <w:tr>
        <w:trPr>
          <w:trHeight w:val="343"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26,509,560.00</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借款质押保证金</w:t>
            </w:r>
          </w:p>
        </w:tc>
      </w:tr>
      <w:tr>
        <w:trPr>
          <w:trHeight w:val="341"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511,678.90</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43" w:hRule="exact"/>
        </w:trPr>
        <w:tc>
          <w:tcPr>
            <w:tcW w:w="2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83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34,666,605.90</w:t>
            </w:r>
            <w:r>
              <w:rPr>
                <w:rFonts w:ascii="Times New Roman"/>
                <w:spacing w:val="-1"/>
                <w:sz w:val="18"/>
              </w:rPr>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16"/>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10"/>
        <w:rPr>
          <w:rFonts w:ascii="宋体" w:hAnsi="宋体" w:cs="宋体" w:eastAsia="宋体" w:hint="default"/>
          <w:b/>
          <w:bCs/>
          <w:sz w:val="24"/>
          <w:szCs w:val="24"/>
        </w:rPr>
      </w:pPr>
    </w:p>
    <w:p>
      <w:pPr>
        <w:pStyle w:val="BodyText"/>
        <w:tabs>
          <w:tab w:pos="899" w:val="left" w:leader="none"/>
        </w:tabs>
        <w:spacing w:line="240" w:lineRule="auto"/>
        <w:ind w:right="11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16"/>
        <w:jc w:val="left"/>
      </w:pPr>
      <w:r>
        <w:rPr/>
        <w:t>报告期内，公司存在采用合作方式建厂房的投资事项。</w:t>
      </w:r>
    </w:p>
    <w:p>
      <w:pPr>
        <w:pStyle w:val="BodyText"/>
        <w:spacing w:line="264" w:lineRule="auto" w:before="78"/>
        <w:ind w:right="1116" w:firstLine="420"/>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日召开的公司第四届董事会第五次会议、第四届监事会第四次会议审议通过《关</w:t>
      </w:r>
      <w:r>
        <w:rPr>
          <w:w w:val="100"/>
        </w:rPr>
        <w:t> </w:t>
      </w:r>
      <w:r>
        <w:rPr>
          <w:spacing w:val="-4"/>
          <w:w w:val="100"/>
        </w:rPr>
        <w:t>于公司与关联方合作建房的议案》，同意公司与关联法人武汉金运云智能网络有限公司签署了《合作建房</w:t>
      </w:r>
      <w:r>
        <w:rPr>
          <w:spacing w:val="-91"/>
          <w:w w:val="100"/>
        </w:rPr>
        <w:t> </w:t>
      </w:r>
      <w:r>
        <w:rPr>
          <w:spacing w:val="-91"/>
          <w:w w:val="100"/>
        </w:rPr>
      </w:r>
      <w:r>
        <w:rPr>
          <w:spacing w:val="-11"/>
          <w:w w:val="100"/>
        </w:rPr>
        <w:t>协议》：金运云将宗地中</w:t>
      </w:r>
      <w:r>
        <w:rPr>
          <w:spacing w:val="-50"/>
          <w:w w:val="100"/>
        </w:rPr>
        <w:t> </w:t>
      </w:r>
      <w:r>
        <w:rPr>
          <w:rFonts w:ascii="Times New Roman" w:hAnsi="Times New Roman" w:cs="Times New Roman" w:eastAsia="Times New Roman" w:hint="default"/>
          <w:spacing w:val="-1"/>
          <w:w w:val="100"/>
        </w:rPr>
        <w:t>12,200.23</w:t>
      </w:r>
      <w:r>
        <w:rPr>
          <w:rFonts w:ascii="Times New Roman" w:hAnsi="Times New Roman" w:cs="Times New Roman" w:eastAsia="Times New Roman" w:hint="default"/>
          <w:spacing w:val="5"/>
          <w:w w:val="100"/>
        </w:rPr>
        <w:t> </w:t>
      </w:r>
      <w:r>
        <w:rPr>
          <w:spacing w:val="-2"/>
          <w:w w:val="100"/>
        </w:rPr>
        <w:t>平方米的宗地面积用于公司自建厂房，建筑面积</w:t>
      </w:r>
      <w:r>
        <w:rPr>
          <w:spacing w:val="-48"/>
          <w:w w:val="100"/>
        </w:rPr>
        <w:t> </w:t>
      </w:r>
      <w:r>
        <w:rPr>
          <w:rFonts w:ascii="Times New Roman" w:hAnsi="Times New Roman" w:cs="Times New Roman" w:eastAsia="Times New Roman" w:hint="default"/>
          <w:spacing w:val="-1"/>
          <w:w w:val="100"/>
        </w:rPr>
        <w:t>14,305.92</w:t>
      </w:r>
      <w:r>
        <w:rPr>
          <w:rFonts w:ascii="Times New Roman" w:hAnsi="Times New Roman" w:cs="Times New Roman" w:eastAsia="Times New Roman" w:hint="default"/>
          <w:spacing w:val="5"/>
          <w:w w:val="100"/>
        </w:rPr>
        <w:t> </w:t>
      </w:r>
      <w:r>
        <w:rPr>
          <w:spacing w:val="-2"/>
          <w:w w:val="100"/>
        </w:rPr>
        <w:t>平方米，建</w:t>
      </w:r>
    </w:p>
    <w:p>
      <w:pPr>
        <w:pStyle w:val="BodyText"/>
        <w:spacing w:line="289" w:lineRule="exact"/>
        <w:ind w:right="1116"/>
        <w:jc w:val="left"/>
      </w:pPr>
      <w:r>
        <w:rPr>
          <w:w w:val="100"/>
        </w:rPr>
        <w:t>造预</w:t>
      </w:r>
      <w:r>
        <w:rPr>
          <w:spacing w:val="-3"/>
          <w:w w:val="100"/>
        </w:rPr>
        <w:t>算</w:t>
      </w:r>
      <w:r>
        <w:rPr>
          <w:w w:val="100"/>
        </w:rPr>
        <w:t>不</w:t>
      </w:r>
      <w:r>
        <w:rPr>
          <w:spacing w:val="-3"/>
          <w:w w:val="100"/>
        </w:rPr>
        <w:t>超</w:t>
      </w:r>
      <w:r>
        <w:rPr>
          <w:w w:val="100"/>
        </w:rPr>
        <w:t>过</w:t>
      </w:r>
      <w:r>
        <w:rPr>
          <w:spacing w:val="-3"/>
          <w:w w:val="100"/>
        </w:rPr>
        <w:t>人民</w:t>
      </w:r>
      <w:r>
        <w:rPr>
          <w:w w:val="100"/>
        </w:rPr>
        <w:t>币</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万</w:t>
      </w:r>
      <w:r>
        <w:rPr>
          <w:spacing w:val="-3"/>
          <w:w w:val="100"/>
        </w:rPr>
        <w:t>元</w:t>
      </w:r>
      <w:r>
        <w:rPr>
          <w:w w:val="100"/>
        </w:rPr>
        <w:t>（</w:t>
      </w:r>
      <w:r>
        <w:rPr>
          <w:spacing w:val="-3"/>
          <w:w w:val="100"/>
        </w:rPr>
        <w:t>详</w:t>
      </w:r>
      <w:r>
        <w:rPr>
          <w:w w:val="100"/>
        </w:rPr>
        <w:t>见</w:t>
      </w:r>
      <w:r>
        <w:rPr>
          <w:spacing w:val="-3"/>
          <w:w w:val="100"/>
        </w:rPr>
        <w:t>《</w:t>
      </w:r>
      <w:r>
        <w:rPr>
          <w:w w:val="100"/>
        </w:rPr>
        <w:t>关</w:t>
      </w:r>
      <w:r>
        <w:rPr>
          <w:spacing w:val="-3"/>
          <w:w w:val="100"/>
        </w:rPr>
        <w:t>于</w:t>
      </w:r>
      <w:r>
        <w:rPr>
          <w:w w:val="100"/>
        </w:rPr>
        <w:t>与</w:t>
      </w:r>
      <w:r>
        <w:rPr>
          <w:spacing w:val="-3"/>
          <w:w w:val="100"/>
        </w:rPr>
        <w:t>关</w:t>
      </w:r>
      <w:r>
        <w:rPr>
          <w:w w:val="100"/>
        </w:rPr>
        <w:t>联方</w:t>
      </w:r>
      <w:r>
        <w:rPr>
          <w:spacing w:val="-3"/>
          <w:w w:val="100"/>
        </w:rPr>
        <w:t>合</w:t>
      </w:r>
      <w:r>
        <w:rPr>
          <w:w w:val="100"/>
        </w:rPr>
        <w:t>作</w:t>
      </w:r>
      <w:r>
        <w:rPr>
          <w:spacing w:val="-3"/>
          <w:w w:val="100"/>
        </w:rPr>
        <w:t>建</w:t>
      </w:r>
      <w:r>
        <w:rPr>
          <w:w w:val="100"/>
        </w:rPr>
        <w:t>房</w:t>
      </w:r>
      <w:r>
        <w:rPr>
          <w:spacing w:val="-3"/>
          <w:w w:val="100"/>
        </w:rPr>
        <w:t>关</w:t>
      </w:r>
      <w:r>
        <w:rPr>
          <w:w w:val="100"/>
        </w:rPr>
        <w:t>联</w:t>
      </w:r>
      <w:r>
        <w:rPr>
          <w:spacing w:val="-3"/>
          <w:w w:val="100"/>
        </w:rPr>
        <w:t>交</w:t>
      </w:r>
      <w:r>
        <w:rPr>
          <w:w w:val="100"/>
        </w:rPr>
        <w:t>易</w:t>
      </w:r>
      <w:r>
        <w:rPr>
          <w:spacing w:val="-3"/>
          <w:w w:val="100"/>
        </w:rPr>
        <w:t>公</w:t>
      </w:r>
      <w:r>
        <w:rPr>
          <w:w w:val="100"/>
        </w:rPr>
        <w:t>告</w:t>
      </w:r>
      <w:r>
        <w:rPr>
          <w:spacing w:val="-106"/>
          <w:w w:val="100"/>
        </w:rPr>
        <w:t>》</w:t>
      </w:r>
      <w:r>
        <w:rPr>
          <w:spacing w:val="-3"/>
          <w:w w:val="100"/>
        </w:rPr>
        <w:t>（</w:t>
      </w:r>
      <w:r>
        <w:rPr>
          <w:w w:val="100"/>
        </w:rPr>
        <w:t>公</w:t>
      </w:r>
      <w:r>
        <w:rPr>
          <w:spacing w:val="-3"/>
          <w:w w:val="100"/>
        </w:rPr>
        <w:t>告</w:t>
      </w:r>
      <w:r>
        <w:rPr>
          <w:w w:val="100"/>
        </w:rPr>
        <w:t>编</w:t>
      </w:r>
      <w:r>
        <w:rPr>
          <w:spacing w:val="-3"/>
          <w:w w:val="100"/>
        </w:rPr>
        <w:t>号</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002</w:t>
      </w:r>
      <w:r>
        <w:rPr>
          <w:spacing w:val="-108"/>
          <w:w w:val="100"/>
        </w:rPr>
        <w:t>））。</w:t>
      </w:r>
      <w:r>
        <w:rPr>
          <w:w w:val="100"/>
        </w:rPr>
      </w:r>
    </w:p>
    <w:p>
      <w:pPr>
        <w:pStyle w:val="BodyText"/>
        <w:spacing w:line="240" w:lineRule="auto" w:before="59"/>
        <w:ind w:left="573" w:right="1116"/>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日召开的公司第四届董事会第九次会议、第四届监事会第七次会议及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8</w:t>
      </w:r>
    </w:p>
    <w:p>
      <w:pPr>
        <w:pStyle w:val="BodyText"/>
        <w:spacing w:line="240" w:lineRule="auto" w:before="21"/>
        <w:ind w:right="998"/>
        <w:jc w:val="left"/>
      </w:pPr>
      <w:r>
        <w:rPr>
          <w:w w:val="100"/>
        </w:rPr>
        <w:t>月</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日</w:t>
      </w:r>
      <w:r>
        <w:rPr>
          <w:w w:val="100"/>
        </w:rPr>
        <w:t>召</w:t>
      </w:r>
      <w:r>
        <w:rPr>
          <w:spacing w:val="-3"/>
          <w:w w:val="100"/>
        </w:rPr>
        <w:t>开</w:t>
      </w:r>
      <w:r>
        <w:rPr>
          <w:w w:val="100"/>
        </w:rPr>
        <w:t>的</w:t>
      </w:r>
      <w:r>
        <w:rPr>
          <w:spacing w:val="-3"/>
          <w:w w:val="100"/>
        </w:rPr>
        <w:t>公</w:t>
      </w:r>
      <w:r>
        <w:rPr>
          <w:w w:val="100"/>
        </w:rPr>
        <w:t>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spacing w:val="-3"/>
          <w:w w:val="100"/>
        </w:rPr>
        <w:t>年</w:t>
      </w:r>
      <w:r>
        <w:rPr>
          <w:w w:val="100"/>
        </w:rPr>
        <w:t>第一</w:t>
      </w:r>
      <w:r>
        <w:rPr>
          <w:spacing w:val="-3"/>
          <w:w w:val="100"/>
        </w:rPr>
        <w:t>次</w:t>
      </w:r>
      <w:r>
        <w:rPr>
          <w:w w:val="100"/>
        </w:rPr>
        <w:t>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13"/>
          <w:w w:val="100"/>
        </w:rPr>
        <w:t>过</w:t>
      </w:r>
      <w:r>
        <w:rPr>
          <w:spacing w:val="-3"/>
          <w:w w:val="100"/>
        </w:rPr>
        <w:t>《</w:t>
      </w:r>
      <w:r>
        <w:rPr>
          <w:w w:val="100"/>
        </w:rPr>
        <w:t>关</w:t>
      </w:r>
      <w:r>
        <w:rPr>
          <w:spacing w:val="-3"/>
          <w:w w:val="100"/>
        </w:rPr>
        <w:t>于</w:t>
      </w:r>
      <w:r>
        <w:rPr>
          <w:w w:val="100"/>
        </w:rPr>
        <w:t>公</w:t>
      </w:r>
      <w:r>
        <w:rPr>
          <w:spacing w:val="-3"/>
          <w:w w:val="100"/>
        </w:rPr>
        <w:t>司</w:t>
      </w:r>
      <w:r>
        <w:rPr>
          <w:w w:val="100"/>
        </w:rPr>
        <w:t>与</w:t>
      </w:r>
      <w:r>
        <w:rPr>
          <w:spacing w:val="-3"/>
          <w:w w:val="100"/>
        </w:rPr>
        <w:t>关</w:t>
      </w:r>
      <w:r>
        <w:rPr>
          <w:w w:val="100"/>
        </w:rPr>
        <w:t>联</w:t>
      </w:r>
      <w:r>
        <w:rPr>
          <w:spacing w:val="-3"/>
          <w:w w:val="100"/>
        </w:rPr>
        <w:t>方</w:t>
      </w:r>
      <w:r>
        <w:rPr>
          <w:w w:val="100"/>
        </w:rPr>
        <w:t>合作</w:t>
      </w:r>
      <w:r>
        <w:rPr>
          <w:spacing w:val="-3"/>
          <w:w w:val="100"/>
        </w:rPr>
        <w:t>建</w:t>
      </w:r>
      <w:r>
        <w:rPr>
          <w:w w:val="100"/>
        </w:rPr>
        <w:t>房</w:t>
      </w:r>
      <w:r>
        <w:rPr>
          <w:spacing w:val="-3"/>
          <w:w w:val="100"/>
        </w:rPr>
        <w:t>的</w:t>
      </w:r>
      <w:r>
        <w:rPr>
          <w:w w:val="100"/>
        </w:rPr>
        <w:t>议</w:t>
      </w:r>
      <w:r>
        <w:rPr>
          <w:spacing w:val="-3"/>
          <w:w w:val="100"/>
        </w:rPr>
        <w:t>案</w:t>
      </w:r>
      <w:r>
        <w:rPr>
          <w:spacing w:val="-106"/>
          <w:w w:val="100"/>
        </w:rPr>
        <w:t>》</w:t>
      </w:r>
      <w:r>
        <w:rPr>
          <w:spacing w:val="-13"/>
          <w:w w:val="100"/>
        </w:rPr>
        <w:t>，</w:t>
      </w:r>
      <w:r>
        <w:rPr>
          <w:spacing w:val="-3"/>
          <w:w w:val="100"/>
        </w:rPr>
        <w:t>同</w:t>
      </w:r>
      <w:r>
        <w:rPr>
          <w:w w:val="100"/>
        </w:rPr>
        <w:t>意</w:t>
      </w:r>
      <w:r>
        <w:rPr>
          <w:spacing w:val="-3"/>
          <w:w w:val="100"/>
        </w:rPr>
        <w:t>公</w:t>
      </w:r>
      <w:r>
        <w:rPr>
          <w:w w:val="100"/>
        </w:rPr>
        <w:t>司</w:t>
      </w:r>
    </w:p>
    <w:p>
      <w:pPr>
        <w:pStyle w:val="BodyText"/>
        <w:spacing w:line="240" w:lineRule="auto" w:before="21"/>
        <w:ind w:right="998"/>
        <w:jc w:val="left"/>
      </w:pPr>
      <w:r>
        <w:rPr>
          <w:w w:val="100"/>
        </w:rPr>
        <w:t>与关</w:t>
      </w:r>
      <w:r>
        <w:rPr>
          <w:spacing w:val="-3"/>
          <w:w w:val="100"/>
        </w:rPr>
        <w:t>联</w:t>
      </w:r>
      <w:r>
        <w:rPr>
          <w:w w:val="100"/>
        </w:rPr>
        <w:t>法</w:t>
      </w:r>
      <w:r>
        <w:rPr>
          <w:spacing w:val="-3"/>
          <w:w w:val="100"/>
        </w:rPr>
        <w:t>人</w:t>
      </w:r>
      <w:r>
        <w:rPr>
          <w:w w:val="100"/>
        </w:rPr>
        <w:t>金</w:t>
      </w:r>
      <w:r>
        <w:rPr>
          <w:spacing w:val="-3"/>
          <w:w w:val="100"/>
        </w:rPr>
        <w:t>运</w:t>
      </w:r>
      <w:r>
        <w:rPr>
          <w:w w:val="100"/>
        </w:rPr>
        <w:t>云</w:t>
      </w:r>
      <w:r>
        <w:rPr>
          <w:spacing w:val="-3"/>
          <w:w w:val="100"/>
        </w:rPr>
        <w:t>公</w:t>
      </w:r>
      <w:r>
        <w:rPr>
          <w:w w:val="100"/>
        </w:rPr>
        <w:t>司</w:t>
      </w:r>
      <w:r>
        <w:rPr>
          <w:spacing w:val="-3"/>
          <w:w w:val="100"/>
        </w:rPr>
        <w:t>签</w:t>
      </w:r>
      <w:r>
        <w:rPr>
          <w:spacing w:val="-39"/>
          <w:w w:val="100"/>
        </w:rPr>
        <w:t>署</w:t>
      </w:r>
      <w:r>
        <w:rPr>
          <w:w w:val="100"/>
        </w:rPr>
        <w:t>《合</w:t>
      </w:r>
      <w:r>
        <w:rPr>
          <w:spacing w:val="-3"/>
          <w:w w:val="100"/>
        </w:rPr>
        <w:t>作</w:t>
      </w:r>
      <w:r>
        <w:rPr>
          <w:w w:val="100"/>
        </w:rPr>
        <w:t>建</w:t>
      </w:r>
      <w:r>
        <w:rPr>
          <w:spacing w:val="-3"/>
          <w:w w:val="100"/>
        </w:rPr>
        <w:t>房</w:t>
      </w:r>
      <w:r>
        <w:rPr>
          <w:w w:val="100"/>
        </w:rPr>
        <w:t>协</w:t>
      </w:r>
      <w:r>
        <w:rPr>
          <w:spacing w:val="-3"/>
          <w:w w:val="100"/>
        </w:rPr>
        <w:t>议</w:t>
      </w:r>
      <w:r>
        <w:rPr>
          <w:spacing w:val="-106"/>
          <w:w w:val="100"/>
        </w:rPr>
        <w:t>》</w:t>
      </w:r>
      <w:r>
        <w:rPr>
          <w:spacing w:val="-39"/>
          <w:w w:val="100"/>
        </w:rPr>
        <w:t>：</w:t>
      </w:r>
      <w:r>
        <w:rPr>
          <w:spacing w:val="-3"/>
          <w:w w:val="100"/>
        </w:rPr>
        <w:t>金运</w:t>
      </w:r>
      <w:r>
        <w:rPr>
          <w:w w:val="100"/>
        </w:rPr>
        <w:t>云将</w:t>
      </w:r>
      <w:r>
        <w:rPr>
          <w:spacing w:val="-3"/>
          <w:w w:val="100"/>
        </w:rPr>
        <w:t>宗地</w:t>
      </w:r>
      <w:r>
        <w:rPr>
          <w:w w:val="100"/>
        </w:rPr>
        <w:t>中</w:t>
      </w:r>
      <w:r>
        <w:rPr>
          <w:spacing w:val="-52"/>
        </w:rPr>
        <w:t> </w:t>
      </w:r>
      <w:r>
        <w:rPr>
          <w:rFonts w:ascii="Times New Roman" w:hAnsi="Times New Roman" w:cs="Times New Roman" w:eastAsia="Times New Roman" w:hint="default"/>
          <w:w w:val="100"/>
        </w:rPr>
        <w:t>6,5</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平</w:t>
      </w:r>
      <w:r>
        <w:rPr>
          <w:w w:val="100"/>
        </w:rPr>
        <w:t>方</w:t>
      </w:r>
      <w:r>
        <w:rPr>
          <w:spacing w:val="-3"/>
          <w:w w:val="100"/>
        </w:rPr>
        <w:t>米</w:t>
      </w:r>
      <w:r>
        <w:rPr>
          <w:w w:val="100"/>
        </w:rPr>
        <w:t>的宗</w:t>
      </w:r>
      <w:r>
        <w:rPr>
          <w:spacing w:val="-3"/>
          <w:w w:val="100"/>
        </w:rPr>
        <w:t>地</w:t>
      </w:r>
      <w:r>
        <w:rPr>
          <w:w w:val="100"/>
        </w:rPr>
        <w:t>面</w:t>
      </w:r>
      <w:r>
        <w:rPr>
          <w:spacing w:val="-3"/>
          <w:w w:val="100"/>
        </w:rPr>
        <w:t>积</w:t>
      </w:r>
      <w:r>
        <w:rPr>
          <w:w w:val="100"/>
        </w:rPr>
        <w:t>用</w:t>
      </w:r>
      <w:r>
        <w:rPr>
          <w:spacing w:val="-3"/>
          <w:w w:val="100"/>
        </w:rPr>
        <w:t>于</w:t>
      </w:r>
      <w:r>
        <w:rPr>
          <w:w w:val="100"/>
        </w:rPr>
        <w:t>公</w:t>
      </w:r>
      <w:r>
        <w:rPr>
          <w:spacing w:val="-3"/>
          <w:w w:val="100"/>
        </w:rPr>
        <w:t>司</w:t>
      </w:r>
      <w:r>
        <w:rPr>
          <w:w w:val="100"/>
        </w:rPr>
        <w:t>自</w:t>
      </w:r>
      <w:r>
        <w:rPr>
          <w:spacing w:val="-3"/>
          <w:w w:val="100"/>
        </w:rPr>
        <w:t>建</w:t>
      </w:r>
      <w:r>
        <w:rPr>
          <w:w w:val="100"/>
        </w:rPr>
        <w:t>混凝</w:t>
      </w:r>
    </w:p>
    <w:p>
      <w:pPr>
        <w:pStyle w:val="BodyText"/>
        <w:spacing w:line="256" w:lineRule="auto" w:before="21"/>
        <w:ind w:right="1128"/>
        <w:jc w:val="left"/>
      </w:pPr>
      <w:r>
        <w:rPr>
          <w:spacing w:val="-4"/>
        </w:rPr>
        <w:t>土结构厂房，建筑面积</w:t>
      </w:r>
      <w:r>
        <w:rPr>
          <w:spacing w:val="-39"/>
        </w:rPr>
        <w:t> </w:t>
      </w:r>
      <w:r>
        <w:rPr>
          <w:rFonts w:ascii="Times New Roman" w:hAnsi="Times New Roman" w:cs="Times New Roman" w:eastAsia="Times New Roman" w:hint="default"/>
        </w:rPr>
        <w:t>13,268.68</w:t>
      </w:r>
      <w:r>
        <w:rPr>
          <w:rFonts w:ascii="Times New Roman" w:hAnsi="Times New Roman" w:cs="Times New Roman" w:eastAsia="Times New Roman" w:hint="default"/>
          <w:spacing w:val="11"/>
        </w:rPr>
        <w:t> </w:t>
      </w:r>
      <w:r>
        <w:rPr>
          <w:spacing w:val="-3"/>
        </w:rPr>
        <w:t>平方米，建造预算不超过人民币</w:t>
      </w:r>
      <w:r>
        <w:rPr>
          <w:spacing w:val="-39"/>
        </w:rPr>
        <w:t> </w:t>
      </w:r>
      <w:r>
        <w:rPr>
          <w:rFonts w:ascii="Times New Roman" w:hAnsi="Times New Roman" w:cs="Times New Roman" w:eastAsia="Times New Roman" w:hint="default"/>
        </w:rPr>
        <w:t>2,800</w:t>
      </w:r>
      <w:r>
        <w:rPr>
          <w:rFonts w:ascii="Times New Roman" w:hAnsi="Times New Roman" w:cs="Times New Roman" w:eastAsia="Times New Roman" w:hint="default"/>
          <w:spacing w:val="10"/>
        </w:rPr>
        <w:t> </w:t>
      </w:r>
      <w:r>
        <w:rPr>
          <w:spacing w:val="-4"/>
        </w:rPr>
        <w:t>万元（详见《关于与关联方合作建</w:t>
      </w:r>
      <w:r>
        <w:rPr>
          <w:spacing w:val="-99"/>
        </w:rPr>
        <w:t> </w:t>
      </w:r>
      <w:r>
        <w:rPr>
          <w:spacing w:val="-99"/>
        </w:rPr>
      </w:r>
      <w:r>
        <w:rPr>
          <w:spacing w:val="-14"/>
          <w:w w:val="100"/>
        </w:rPr>
        <w:t>房关联交易的公告》（公告编号：</w:t>
      </w:r>
      <w:r>
        <w:rPr>
          <w:rFonts w:ascii="Times New Roman" w:hAnsi="Times New Roman" w:cs="Times New Roman" w:eastAsia="Times New Roman" w:hint="default"/>
          <w:spacing w:val="-14"/>
          <w:w w:val="100"/>
        </w:rPr>
        <w:t>2019-041</w:t>
      </w:r>
      <w:r>
        <w:rPr>
          <w:spacing w:val="-14"/>
          <w:w w:val="100"/>
        </w:rPr>
        <w:t>））。</w:t>
      </w:r>
    </w:p>
    <w:p>
      <w:pPr>
        <w:pStyle w:val="BodyText"/>
        <w:spacing w:line="240" w:lineRule="auto" w:before="46"/>
        <w:ind w:left="573" w:right="1116"/>
        <w:jc w:val="left"/>
      </w:pPr>
      <w:r>
        <w:rPr/>
        <w:t>截至报告期末累计实际投入金额</w:t>
      </w:r>
      <w:r>
        <w:rPr>
          <w:spacing w:val="-53"/>
        </w:rPr>
        <w:t> </w:t>
      </w:r>
      <w:r>
        <w:rPr>
          <w:rFonts w:ascii="Times New Roman" w:hAnsi="Times New Roman" w:cs="Times New Roman" w:eastAsia="Times New Roman" w:hint="default"/>
        </w:rPr>
        <w:t>22,367,600 </w:t>
      </w:r>
      <w:r>
        <w:rPr>
          <w:spacing w:val="-3"/>
        </w:rPr>
        <w:t>元。</w:t>
      </w:r>
      <w:r>
        <w:rPr/>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89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t>同上述</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w:t>
      </w:r>
      <w:r>
        <w:rPr/>
        <w:t>内容</w:t>
      </w:r>
    </w:p>
    <w:p>
      <w:pPr>
        <w:spacing w:line="240" w:lineRule="auto" w:before="9"/>
        <w:rPr>
          <w:rFonts w:ascii="宋体" w:hAnsi="宋体" w:cs="宋体" w:eastAsia="宋体" w:hint="default"/>
          <w:sz w:val="20"/>
          <w:szCs w:val="20"/>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156"/>
            <w:col w:w="2010"/>
          </w:cols>
        </w:sectPr>
      </w:pP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93"/>
        <w:gridCol w:w="1277"/>
        <w:gridCol w:w="1275"/>
        <w:gridCol w:w="1411"/>
        <w:gridCol w:w="1136"/>
        <w:gridCol w:w="1135"/>
        <w:gridCol w:w="869"/>
        <w:gridCol w:w="1136"/>
        <w:gridCol w:w="864"/>
      </w:tblGrid>
      <w:tr>
        <w:trPr>
          <w:trHeight w:val="713"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15" w:right="111"/>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0" w:right="71"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1"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8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58,795.87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58,795.87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5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58,795.87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58,795.87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8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公司报告期无募集资金使用情况。</w:t>
      </w:r>
    </w:p>
    <w:p>
      <w:pPr>
        <w:spacing w:line="240" w:lineRule="auto" w:before="6"/>
        <w:rPr>
          <w:rFonts w:ascii="宋体" w:hAnsi="宋体" w:cs="宋体" w:eastAsia="宋体" w:hint="default"/>
          <w:sz w:val="20"/>
          <w:szCs w:val="20"/>
        </w:rPr>
      </w:pPr>
    </w:p>
    <w:p>
      <w:pPr>
        <w:pStyle w:val="Heading2"/>
        <w:spacing w:line="240" w:lineRule="auto"/>
        <w:ind w:right="1116"/>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4"/>
          <w:szCs w:val="24"/>
        </w:rPr>
      </w:pPr>
    </w:p>
    <w:p>
      <w:pPr>
        <w:pStyle w:val="BodyText"/>
        <w:spacing w:line="292"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公司报告期未出售重大资产。</w:t>
      </w:r>
    </w:p>
    <w:p>
      <w:pPr>
        <w:spacing w:after="0" w:line="292"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1116"/>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36"/>
        <w:ind w:right="-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62"/>
        <w:ind w:right="-12"/>
        <w:jc w:val="left"/>
      </w:pPr>
      <w:r>
        <w:rPr/>
        <w:t>主要子公司及对公司净利润影响达</w:t>
      </w:r>
      <w:r>
        <w:rPr>
          <w:spacing w:val="-5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636" w:space="3284"/>
            <w:col w:w="2010"/>
          </w:cols>
        </w:sectPr>
      </w:pP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0"/>
        <w:gridCol w:w="866"/>
        <w:gridCol w:w="937"/>
        <w:gridCol w:w="1092"/>
        <w:gridCol w:w="1092"/>
        <w:gridCol w:w="1152"/>
        <w:gridCol w:w="1092"/>
        <w:gridCol w:w="1153"/>
        <w:gridCol w:w="1152"/>
      </w:tblGrid>
      <w:tr>
        <w:trPr>
          <w:trHeight w:val="403" w:hRule="exact"/>
        </w:trPr>
        <w:tc>
          <w:tcPr>
            <w:tcW w:w="11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 w:right="46"/>
              <w:jc w:val="left"/>
              <w:rPr>
                <w:rFonts w:ascii="宋体" w:hAnsi="宋体" w:cs="宋体" w:eastAsia="宋体" w:hint="default"/>
                <w:sz w:val="18"/>
                <w:szCs w:val="18"/>
              </w:rPr>
            </w:pPr>
            <w:r>
              <w:rPr>
                <w:rFonts w:ascii="宋体" w:hAnsi="宋体" w:cs="宋体" w:eastAsia="宋体" w:hint="default"/>
                <w:sz w:val="18"/>
                <w:szCs w:val="18"/>
              </w:rPr>
              <w:t>上海金萃激光 技术有限公司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激光熔覆 系统组装、 销售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14,598,500.00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23,187,806.91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18,331,122.89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14,489,763.77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2,656,928.25</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2,676,016.75</w:t>
            </w:r>
          </w:p>
        </w:tc>
      </w:tr>
      <w:tr>
        <w:trPr>
          <w:trHeight w:val="1027" w:hRule="exact"/>
        </w:trPr>
        <w:tc>
          <w:tcPr>
            <w:tcW w:w="11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6" w:right="46"/>
              <w:jc w:val="both"/>
              <w:rPr>
                <w:rFonts w:ascii="宋体" w:hAnsi="宋体" w:cs="宋体" w:eastAsia="宋体" w:hint="default"/>
                <w:sz w:val="18"/>
                <w:szCs w:val="18"/>
              </w:rPr>
            </w:pPr>
            <w:r>
              <w:rPr>
                <w:rFonts w:ascii="宋体" w:hAnsi="宋体" w:cs="宋体" w:eastAsia="宋体" w:hint="default"/>
                <w:sz w:val="18"/>
                <w:szCs w:val="18"/>
              </w:rPr>
              <w:t>武汉唯拓光纤 激光工程有限 公司</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电子设备 生产销售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74,292,151.94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-26,517,304.63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92,287,306.12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-15,147,062.69</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-12,015,330.22</w:t>
            </w:r>
          </w:p>
        </w:tc>
      </w:tr>
    </w:tbl>
    <w:p>
      <w:pPr>
        <w:pStyle w:val="BodyText"/>
        <w:spacing w:line="240" w:lineRule="auto" w:before="28"/>
        <w:ind w:right="1116"/>
        <w:jc w:val="left"/>
      </w:pPr>
      <w:r>
        <w:rPr/>
        <w:t>报告期内取得和处置子公司的情况</w:t>
      </w:r>
    </w:p>
    <w:p>
      <w:pPr>
        <w:pStyle w:val="BodyText"/>
        <w:spacing w:line="290" w:lineRule="auto" w:before="75"/>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主要控股参股公司情况说明</w:t>
      </w:r>
    </w:p>
    <w:p>
      <w:pPr>
        <w:pStyle w:val="BodyText"/>
        <w:spacing w:line="273" w:lineRule="auto" w:before="31"/>
        <w:ind w:right="1116" w:firstLine="420"/>
        <w:jc w:val="left"/>
      </w:pPr>
      <w:r>
        <w:rPr>
          <w:spacing w:val="-2"/>
        </w:rPr>
        <w:t>上海金萃激光技术有限公司从事激光系统集成、激光熔覆系统的组装和对外提供激光熔覆服务，报告</w:t>
      </w:r>
      <w:r>
        <w:rPr>
          <w:w w:val="100"/>
        </w:rPr>
        <w:t> </w:t>
      </w:r>
      <w:r>
        <w:rPr/>
        <w:t>期净利润较上期增加</w:t>
      </w:r>
      <w:r>
        <w:rPr>
          <w:rFonts w:ascii="Times New Roman" w:hAnsi="Times New Roman" w:cs="Times New Roman" w:eastAsia="Times New Roman" w:hint="default"/>
        </w:rPr>
        <w:t>58.29</w:t>
      </w:r>
      <w:r>
        <w:rPr/>
        <w:t>万元。</w:t>
      </w:r>
    </w:p>
    <w:p>
      <w:pPr>
        <w:pStyle w:val="BodyText"/>
        <w:spacing w:line="273" w:lineRule="auto"/>
        <w:ind w:right="1126" w:firstLine="420"/>
        <w:jc w:val="both"/>
      </w:pPr>
      <w:r>
        <w:rPr>
          <w:spacing w:val="-2"/>
        </w:rPr>
        <w:t>武汉唯拓光纤激光工程有限公司（以下简称武汉唯拓）主要从事金属激光设备生产及销售，是公司的</w:t>
      </w:r>
      <w:r>
        <w:rPr>
          <w:w w:val="100"/>
        </w:rPr>
        <w:t> </w:t>
      </w:r>
      <w:r>
        <w:rPr>
          <w:spacing w:val="-2"/>
        </w:rPr>
        <w:t>全资子公司，主要承接金属激光设备业务，其出口业务由金运激光代理进行，由于双方结算价格原因导致</w:t>
      </w:r>
      <w:r>
        <w:rPr>
          <w:spacing w:val="-44"/>
        </w:rPr>
        <w:t> </w:t>
      </w:r>
      <w:r>
        <w:rPr>
          <w:spacing w:val="-44"/>
        </w:rPr>
      </w:r>
      <w:r>
        <w:rPr/>
        <w:t>武汉唯拓报告期亏损。</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ind w:right="1116"/>
        <w:jc w:val="left"/>
        <w:rPr>
          <w:b w:val="0"/>
          <w:bCs w:val="0"/>
        </w:rPr>
      </w:pPr>
      <w:r>
        <w:rPr/>
        <w:t>八、公司控制的结构化主体情况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2"/>
          <w:szCs w:val="22"/>
        </w:rPr>
      </w:pPr>
    </w:p>
    <w:p>
      <w:pPr>
        <w:pStyle w:val="Heading2"/>
        <w:spacing w:line="240" w:lineRule="auto"/>
        <w:ind w:right="1116"/>
        <w:jc w:val="left"/>
        <w:rPr>
          <w:b w:val="0"/>
          <w:bCs w:val="0"/>
        </w:rPr>
      </w:pPr>
      <w:r>
        <w:rPr/>
        <w:t>九、公司未来发展的展望</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left="573" w:right="1116"/>
        <w:jc w:val="left"/>
      </w:pPr>
      <w:r>
        <w:rPr>
          <w:rFonts w:ascii="Times New Roman" w:hAnsi="Times New Roman" w:cs="Times New Roman" w:eastAsia="Times New Roman" w:hint="default"/>
        </w:rPr>
        <w:t>1</w:t>
      </w:r>
      <w:r>
        <w:rPr/>
        <w:t>、公司未来发展展望</w:t>
      </w:r>
      <w:r>
        <w:rPr>
          <w:w w:val="100"/>
        </w:rPr>
        <w:t> </w:t>
      </w:r>
      <w:r>
        <w:rPr>
          <w:spacing w:val="-2"/>
        </w:rPr>
        <w:t>智能激光业务板块将继续推进激光加工行业应用解决方案，聚焦细分行业应用，持续打造立足于细分</w:t>
      </w:r>
    </w:p>
    <w:p>
      <w:pPr>
        <w:pStyle w:val="BodyText"/>
        <w:spacing w:line="273" w:lineRule="auto" w:before="22"/>
        <w:ind w:right="998"/>
        <w:jc w:val="left"/>
      </w:pPr>
      <w:r>
        <w:rPr>
          <w:spacing w:val="-5"/>
        </w:rPr>
        <w:t>行业的明星产品（金属的切管机、柔性的裁床设备），加大产品研发，提升产品性能；增强主动服务意识；</w:t>
      </w:r>
      <w:r>
        <w:rPr>
          <w:spacing w:val="-6"/>
        </w:rPr>
        <w:t> </w:t>
      </w:r>
      <w:r>
        <w:rPr>
          <w:spacing w:val="-6"/>
        </w:rPr>
      </w:r>
      <w:r>
        <w:rPr/>
        <w:t>积极拓展国内外销售渠道，加强营销渠道建设，提升销售能力，全力推进激光技术在多个行业的应用和推</w:t>
      </w:r>
      <w:r>
        <w:rPr>
          <w:w w:val="100"/>
        </w:rPr>
        <w:t> </w:t>
      </w:r>
      <w:r>
        <w:rPr/>
        <w:t>广。</w:t>
      </w:r>
    </w:p>
    <w:p>
      <w:pPr>
        <w:pStyle w:val="BodyText"/>
        <w:spacing w:line="256" w:lineRule="auto" w:before="7"/>
        <w:ind w:right="998" w:firstLine="420"/>
        <w:jc w:val="left"/>
      </w:pPr>
      <w:r>
        <w:rPr>
          <w:rFonts w:ascii="Times New Roman" w:hAnsi="Times New Roman" w:cs="Times New Roman" w:eastAsia="Times New Roman" w:hint="default"/>
          <w:spacing w:val="-3"/>
        </w:rPr>
        <w:t>IP</w:t>
      </w:r>
      <w:r>
        <w:rPr>
          <w:spacing w:val="-3"/>
        </w:rPr>
        <w:t>衍生品市场空间广阔，据相关统计：</w:t>
      </w:r>
      <w:r>
        <w:rPr>
          <w:rFonts w:ascii="Times New Roman" w:hAnsi="Times New Roman" w:cs="Times New Roman" w:eastAsia="Times New Roman" w:hint="default"/>
          <w:spacing w:val="-3"/>
        </w:rPr>
        <w:t>2019</w:t>
      </w:r>
      <w:r>
        <w:rPr>
          <w:spacing w:val="-3"/>
        </w:rPr>
        <w:t>年全球</w:t>
      </w:r>
      <w:r>
        <w:rPr>
          <w:rFonts w:ascii="Times New Roman" w:hAnsi="Times New Roman" w:cs="Times New Roman" w:eastAsia="Times New Roman" w:hint="default"/>
          <w:spacing w:val="-3"/>
        </w:rPr>
        <w:t>IP</w:t>
      </w:r>
      <w:r>
        <w:rPr>
          <w:spacing w:val="-3"/>
        </w:rPr>
        <w:t>衍生品市场空间超过</w:t>
      </w:r>
      <w:r>
        <w:rPr>
          <w:rFonts w:ascii="Times New Roman" w:hAnsi="Times New Roman" w:cs="Times New Roman" w:eastAsia="Times New Roman" w:hint="default"/>
          <w:spacing w:val="-3"/>
        </w:rPr>
        <w:t>1200</w:t>
      </w:r>
      <w:r>
        <w:rPr>
          <w:spacing w:val="-3"/>
        </w:rPr>
        <w:t>多亿美元（电影、游戏、</w:t>
      </w:r>
      <w:r>
        <w:rPr>
          <w:w w:val="100"/>
        </w:rPr>
        <w:t> </w:t>
      </w:r>
      <w:r>
        <w:rPr>
          <w:spacing w:val="-3"/>
        </w:rPr>
        <w:t>动画，不包括</w:t>
      </w:r>
      <w:r>
        <w:rPr>
          <w:rFonts w:ascii="Times New Roman" w:hAnsi="Times New Roman" w:cs="Times New Roman" w:eastAsia="Times New Roman" w:hint="default"/>
          <w:spacing w:val="-3"/>
        </w:rPr>
        <w:t>IP</w:t>
      </w:r>
      <w:r>
        <w:rPr>
          <w:spacing w:val="-3"/>
        </w:rPr>
        <w:t>主题乐园收入）；潮流</w:t>
      </w:r>
      <w:r>
        <w:rPr>
          <w:rFonts w:ascii="Times New Roman" w:hAnsi="Times New Roman" w:cs="Times New Roman" w:eastAsia="Times New Roman" w:hint="default"/>
          <w:spacing w:val="-3"/>
        </w:rPr>
        <w:t>IP</w:t>
      </w:r>
      <w:r>
        <w:rPr>
          <w:spacing w:val="-3"/>
        </w:rPr>
        <w:t>盲盒形式的</w:t>
      </w:r>
      <w:r>
        <w:rPr>
          <w:rFonts w:ascii="Times New Roman" w:hAnsi="Times New Roman" w:cs="Times New Roman" w:eastAsia="Times New Roman" w:hint="default"/>
          <w:spacing w:val="-3"/>
        </w:rPr>
        <w:t>IP</w:t>
      </w:r>
      <w:r>
        <w:rPr>
          <w:spacing w:val="-3"/>
        </w:rPr>
        <w:t>衍生品在中国的市场空间自</w:t>
      </w:r>
      <w:r>
        <w:rPr>
          <w:rFonts w:ascii="Times New Roman" w:hAnsi="Times New Roman" w:cs="Times New Roman" w:eastAsia="Times New Roman" w:hint="default"/>
          <w:spacing w:val="-3"/>
        </w:rPr>
        <w:t>2017</w:t>
      </w:r>
      <w:r>
        <w:rPr>
          <w:spacing w:val="-3"/>
        </w:rPr>
        <w:t>年以来的</w:t>
      </w:r>
      <w:r>
        <w:rPr>
          <w:rFonts w:ascii="Times New Roman" w:hAnsi="Times New Roman" w:cs="Times New Roman" w:eastAsia="Times New Roman" w:hint="default"/>
          <w:spacing w:val="-3"/>
        </w:rPr>
        <w:t>3</w:t>
      </w:r>
      <w:r>
        <w:rPr>
          <w:spacing w:val="-3"/>
        </w:rPr>
        <w:t>年，分别</w:t>
      </w:r>
      <w:r>
        <w:rPr>
          <w:spacing w:val="-18"/>
        </w:rPr>
        <w:t> </w:t>
      </w:r>
      <w:r>
        <w:rPr>
          <w:spacing w:val="-18"/>
        </w:rPr>
      </w:r>
      <w:r>
        <w:rPr>
          <w:spacing w:val="-4"/>
        </w:rPr>
        <w:t>约</w:t>
      </w:r>
      <w:r>
        <w:rPr>
          <w:rFonts w:ascii="Times New Roman" w:hAnsi="Times New Roman" w:cs="Times New Roman" w:eastAsia="Times New Roman" w:hint="default"/>
          <w:spacing w:val="-4"/>
        </w:rPr>
        <w:t>12</w:t>
      </w:r>
      <w:r>
        <w:rPr>
          <w:spacing w:val="-4"/>
        </w:rPr>
        <w:t>亿元、约</w:t>
      </w:r>
      <w:r>
        <w:rPr>
          <w:rFonts w:ascii="Times New Roman" w:hAnsi="Times New Roman" w:cs="Times New Roman" w:eastAsia="Times New Roman" w:hint="default"/>
          <w:spacing w:val="-4"/>
        </w:rPr>
        <w:t>20</w:t>
      </w:r>
      <w:r>
        <w:rPr>
          <w:spacing w:val="-4"/>
        </w:rPr>
        <w:t>亿元、约</w:t>
      </w:r>
      <w:r>
        <w:rPr>
          <w:rFonts w:ascii="Times New Roman" w:hAnsi="Times New Roman" w:cs="Times New Roman" w:eastAsia="Times New Roman" w:hint="default"/>
          <w:spacing w:val="-4"/>
        </w:rPr>
        <w:t>100</w:t>
      </w:r>
      <w:r>
        <w:rPr>
          <w:spacing w:val="-4"/>
        </w:rPr>
        <w:t>亿元。目前，</w:t>
      </w:r>
      <w:r>
        <w:rPr>
          <w:rFonts w:ascii="Times New Roman" w:hAnsi="Times New Roman" w:cs="Times New Roman" w:eastAsia="Times New Roman" w:hint="default"/>
          <w:spacing w:val="-4"/>
        </w:rPr>
        <w:t>IP</w:t>
      </w:r>
      <w:r>
        <w:rPr>
          <w:spacing w:val="-4"/>
        </w:rPr>
        <w:t>衍生品运营的公司普通规模偏小、偏分散。公司商业智能应用</w:t>
      </w:r>
      <w:r>
        <w:rPr>
          <w:spacing w:val="-21"/>
        </w:rPr>
        <w:t> </w:t>
      </w:r>
      <w:r>
        <w:rPr>
          <w:spacing w:val="-21"/>
        </w:rPr>
      </w:r>
      <w:r>
        <w:rPr/>
        <w:t>形成的</w:t>
      </w:r>
      <w:r>
        <w:rPr>
          <w:rFonts w:ascii="Times New Roman" w:hAnsi="Times New Roman" w:cs="Times New Roman" w:eastAsia="Times New Roman" w:hint="default"/>
        </w:rPr>
        <w:t>IP</w:t>
      </w:r>
      <w:r>
        <w:rPr/>
        <w:t>运营业务，竞争相对较小，发展机会较大。</w:t>
      </w:r>
    </w:p>
    <w:p>
      <w:pPr>
        <w:pStyle w:val="BodyText"/>
        <w:spacing w:line="240" w:lineRule="auto" w:before="5"/>
        <w:ind w:left="573" w:right="1116"/>
        <w:jc w:val="left"/>
      </w:pPr>
      <w:r>
        <w:rPr>
          <w:rFonts w:ascii="Times New Roman" w:hAnsi="Times New Roman" w:cs="Times New Roman" w:eastAsia="Times New Roman" w:hint="default"/>
        </w:rPr>
        <w:t>2</w:t>
      </w:r>
      <w:r>
        <w:rPr/>
        <w:t>、可能面临的风险</w:t>
      </w:r>
    </w:p>
    <w:p>
      <w:pPr>
        <w:pStyle w:val="BodyText"/>
        <w:spacing w:line="240" w:lineRule="auto" w:before="21"/>
        <w:ind w:left="573" w:right="1116"/>
        <w:jc w:val="left"/>
      </w:pPr>
      <w:r>
        <w:rPr/>
        <w:t>（</w:t>
      </w:r>
      <w:r>
        <w:rPr>
          <w:rFonts w:ascii="Times New Roman" w:hAnsi="Times New Roman" w:cs="Times New Roman" w:eastAsia="Times New Roman" w:hint="default"/>
        </w:rPr>
        <w:t>1</w:t>
      </w:r>
      <w:r>
        <w:rPr/>
        <w:t>）市场风险</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国内外经济不确定因素增多、贸易及金融政策波动频繁；新冠病毒疫情对经济造成短期不利冲击，中</w:t>
      </w:r>
      <w:r>
        <w:rPr>
          <w:w w:val="100"/>
        </w:rPr>
        <w:t> </w:t>
      </w:r>
      <w:r>
        <w:rPr>
          <w:spacing w:val="-2"/>
        </w:rPr>
        <w:t>长期持续影响不确定，使得市场景气度的预期大幅下降，投资意愿减弱，公司业务存在着订单下降、退货</w:t>
      </w:r>
      <w:r>
        <w:rPr>
          <w:spacing w:val="-47"/>
        </w:rPr>
        <w:t> </w:t>
      </w:r>
      <w:r>
        <w:rPr>
          <w:spacing w:val="-47"/>
        </w:rPr>
      </w:r>
      <w:r>
        <w:rPr/>
        <w:t>的风险以及研发投入风险。</w:t>
      </w:r>
    </w:p>
    <w:p>
      <w:pPr>
        <w:pStyle w:val="BodyText"/>
        <w:spacing w:line="256" w:lineRule="auto" w:before="7"/>
        <w:ind w:left="573" w:right="1116"/>
        <w:jc w:val="left"/>
      </w:pPr>
      <w:r>
        <w:rPr/>
        <w:t>（</w:t>
      </w:r>
      <w:r>
        <w:rPr>
          <w:rFonts w:ascii="Times New Roman" w:hAnsi="Times New Roman" w:cs="Times New Roman" w:eastAsia="Times New Roman" w:hint="default"/>
        </w:rPr>
        <w:t>2</w:t>
      </w:r>
      <w:r>
        <w:rPr/>
        <w:t>）经营风险</w:t>
      </w:r>
      <w:r>
        <w:rPr>
          <w:w w:val="100"/>
        </w:rPr>
        <w:t> </w:t>
      </w:r>
      <w:r>
        <w:rPr>
          <w:spacing w:val="-2"/>
        </w:rPr>
        <w:t>激光方面为应对国际贸易环境变化、为满足客户对产业提档升级的需求，公司一方面调整销售策略，</w:t>
      </w:r>
    </w:p>
    <w:p>
      <w:pPr>
        <w:pStyle w:val="BodyText"/>
        <w:spacing w:line="273" w:lineRule="auto" w:before="22"/>
        <w:ind w:right="1116"/>
        <w:jc w:val="left"/>
      </w:pPr>
      <w:r>
        <w:rPr>
          <w:spacing w:val="-2"/>
        </w:rPr>
        <w:t>一方面继续加大激光产品的研发力度，但由于市场不确定性的存在，可能出现意外情况或进展不如计划理</w:t>
      </w:r>
      <w:r>
        <w:rPr>
          <w:spacing w:val="-44"/>
        </w:rPr>
        <w:t> </w:t>
      </w:r>
      <w:r>
        <w:rPr>
          <w:spacing w:val="-44"/>
        </w:rPr>
      </w:r>
      <w:r>
        <w:rPr/>
        <w:t>想等情况。商业智能业务应用于</w:t>
      </w:r>
      <w:r>
        <w:rPr>
          <w:rFonts w:ascii="Times New Roman" w:hAnsi="Times New Roman" w:cs="Times New Roman" w:eastAsia="Times New Roman" w:hint="default"/>
        </w:rPr>
        <w:t>IP</w:t>
      </w:r>
      <w:r>
        <w:rPr/>
        <w:t>衍生品运营行业的新商业模式存在探索验证的不确定性。</w:t>
      </w:r>
    </w:p>
    <w:p>
      <w:pPr>
        <w:pStyle w:val="BodyText"/>
        <w:spacing w:line="261" w:lineRule="auto"/>
        <w:ind w:left="573" w:right="4249"/>
        <w:jc w:val="left"/>
      </w:pPr>
      <w:r>
        <w:rPr/>
        <w:t>应对措施：</w:t>
      </w:r>
      <w:r>
        <w:rPr>
          <w:spacing w:val="-103"/>
        </w:rPr>
        <w:t> </w:t>
      </w:r>
      <w:r>
        <w:rPr>
          <w:spacing w:val="-103"/>
        </w:rPr>
      </w:r>
      <w:r>
        <w:rPr>
          <w:rFonts w:ascii="Times New Roman" w:hAnsi="Times New Roman" w:cs="Times New Roman" w:eastAsia="Times New Roman" w:hint="default"/>
          <w:spacing w:val="-2"/>
        </w:rPr>
        <w:t>A</w:t>
      </w:r>
      <w:r>
        <w:rPr>
          <w:spacing w:val="-2"/>
        </w:rPr>
        <w:t>、保持核心竞争力，差异化竞争，打造</w:t>
      </w:r>
      <w:r>
        <w:rPr>
          <w:rFonts w:ascii="Times New Roman" w:hAnsi="Times New Roman" w:cs="Times New Roman" w:eastAsia="Times New Roman" w:hint="default"/>
          <w:spacing w:val="-2"/>
        </w:rPr>
        <w:t>“</w:t>
      </w:r>
      <w:r>
        <w:rPr>
          <w:spacing w:val="-2"/>
        </w:rPr>
        <w:t>专精特</w:t>
      </w:r>
      <w:r>
        <w:rPr>
          <w:rFonts w:ascii="Times New Roman" w:hAnsi="Times New Roman" w:cs="Times New Roman" w:eastAsia="Times New Roman" w:hint="default"/>
          <w:spacing w:val="-2"/>
        </w:rPr>
        <w:t>”</w:t>
      </w:r>
      <w:r>
        <w:rPr>
          <w:spacing w:val="-2"/>
        </w:rPr>
        <w:t>的明星产品；</w:t>
      </w:r>
      <w:r>
        <w:rPr>
          <w:spacing w:val="-54"/>
        </w:rPr>
        <w:t> </w:t>
      </w:r>
      <w:r>
        <w:rPr>
          <w:spacing w:val="-54"/>
        </w:rPr>
      </w:r>
      <w:r>
        <w:rPr>
          <w:rFonts w:ascii="Times New Roman" w:hAnsi="Times New Roman" w:cs="Times New Roman" w:eastAsia="Times New Roman" w:hint="default"/>
        </w:rPr>
        <w:t>B</w:t>
      </w:r>
      <w:r>
        <w:rPr/>
        <w:t>、加强渠道建设和拓展，提升销售能力；</w:t>
      </w:r>
      <w:r>
        <w:rPr>
          <w:w w:val="100"/>
        </w:rPr>
        <w:t> </w:t>
      </w:r>
      <w:r>
        <w:rPr>
          <w:rFonts w:ascii="Times New Roman" w:hAnsi="Times New Roman" w:cs="Times New Roman" w:eastAsia="Times New Roman" w:hint="default"/>
        </w:rPr>
        <w:t>C</w:t>
      </w:r>
      <w:r>
        <w:rPr/>
        <w:t>、增强融资能力，强化预算管理，审慎投资。</w:t>
      </w:r>
    </w:p>
    <w:p>
      <w:pPr>
        <w:pStyle w:val="BodyText"/>
        <w:spacing w:line="256" w:lineRule="auto" w:before="1"/>
        <w:ind w:left="573" w:right="1116"/>
        <w:jc w:val="left"/>
      </w:pPr>
      <w:r>
        <w:rPr/>
        <w:t>（</w:t>
      </w:r>
      <w:r>
        <w:rPr>
          <w:rFonts w:ascii="Times New Roman" w:hAnsi="Times New Roman" w:cs="Times New Roman" w:eastAsia="Times New Roman" w:hint="default"/>
        </w:rPr>
        <w:t>3</w:t>
      </w:r>
      <w:r>
        <w:rPr/>
        <w:t>）财务风险</w:t>
      </w:r>
      <w:r>
        <w:rPr>
          <w:w w:val="100"/>
        </w:rPr>
        <w:t> </w:t>
      </w:r>
      <w:r>
        <w:rPr>
          <w:spacing w:val="-2"/>
        </w:rPr>
        <w:t>受贸易摩擦及疫情造成的经济下滑影响，公司存在应收账款增加导致坏账的风险，以及外汇波动加大</w:t>
      </w:r>
    </w:p>
    <w:p>
      <w:pPr>
        <w:pStyle w:val="BodyText"/>
        <w:spacing w:line="273" w:lineRule="auto" w:before="22"/>
        <w:ind w:left="573" w:right="7364" w:hanging="421"/>
        <w:jc w:val="left"/>
      </w:pPr>
      <w:r>
        <w:rPr>
          <w:spacing w:val="-2"/>
        </w:rPr>
        <w:t>导致外汇资产贬值的风险。</w:t>
      </w:r>
      <w:r>
        <w:rPr>
          <w:spacing w:val="-82"/>
        </w:rPr>
        <w:t> </w:t>
      </w:r>
      <w:r>
        <w:rPr>
          <w:spacing w:val="-82"/>
        </w:rPr>
      </w:r>
      <w:r>
        <w:rPr/>
        <w:t>应对措施：</w:t>
      </w:r>
    </w:p>
    <w:p>
      <w:pPr>
        <w:pStyle w:val="BodyText"/>
        <w:spacing w:line="256" w:lineRule="auto" w:before="7"/>
        <w:ind w:left="573" w:right="4249"/>
        <w:jc w:val="left"/>
      </w:pPr>
      <w:r>
        <w:rPr>
          <w:rFonts w:ascii="Times New Roman" w:hAnsi="Times New Roman" w:cs="Times New Roman" w:eastAsia="Times New Roman" w:hint="default"/>
          <w:spacing w:val="-2"/>
        </w:rPr>
        <w:t>A</w:t>
      </w:r>
      <w:r>
        <w:rPr>
          <w:spacing w:val="-2"/>
        </w:rPr>
        <w:t>、根据外汇市场变动及时采取措施确保外汇资产安全；</w:t>
      </w:r>
      <w:r>
        <w:rPr>
          <w:spacing w:val="-58"/>
        </w:rPr>
        <w:t> </w:t>
      </w:r>
      <w:r>
        <w:rPr>
          <w:spacing w:val="-58"/>
        </w:rPr>
      </w:r>
      <w:r>
        <w:rPr>
          <w:rFonts w:ascii="Times New Roman" w:hAnsi="Times New Roman" w:cs="Times New Roman" w:eastAsia="Times New Roman" w:hint="default"/>
        </w:rPr>
        <w:t>B</w:t>
      </w:r>
      <w:r>
        <w:rPr/>
        <w:t>、保持充沛的流动性，做好资金规划；</w:t>
      </w:r>
      <w:r>
        <w:rPr>
          <w:w w:val="100"/>
        </w:rPr>
        <w:t> </w:t>
      </w:r>
      <w:r>
        <w:rPr>
          <w:rFonts w:ascii="Times New Roman" w:hAnsi="Times New Roman" w:cs="Times New Roman" w:eastAsia="Times New Roman" w:hint="default"/>
        </w:rPr>
        <w:t>C</w:t>
      </w:r>
      <w:r>
        <w:rPr/>
        <w:t>、加强应收账款监控管理。</w:t>
      </w:r>
    </w:p>
    <w:p>
      <w:pPr>
        <w:pStyle w:val="BodyText"/>
        <w:spacing w:line="256" w:lineRule="auto" w:before="5"/>
        <w:ind w:left="573" w:right="1116"/>
        <w:jc w:val="left"/>
      </w:pPr>
      <w:r>
        <w:rPr/>
        <w:t>（</w:t>
      </w:r>
      <w:r>
        <w:rPr>
          <w:rFonts w:ascii="Times New Roman" w:hAnsi="Times New Roman" w:cs="Times New Roman" w:eastAsia="Times New Roman" w:hint="default"/>
        </w:rPr>
        <w:t>4</w:t>
      </w:r>
      <w:r>
        <w:rPr/>
        <w:t>）受疫情影响风险</w:t>
      </w:r>
      <w:r>
        <w:rPr>
          <w:w w:val="100"/>
        </w:rPr>
        <w:t> </w:t>
      </w:r>
      <w:r>
        <w:rPr>
          <w:spacing w:val="-2"/>
        </w:rPr>
        <w:t>受国内疫情影响，停工约两个半月，加之国外疫情后续全面爆发且各国相继采取了停产防疫的措施，</w:t>
      </w:r>
      <w:r>
        <w:rPr/>
      </w:r>
    </w:p>
    <w:p>
      <w:pPr>
        <w:pStyle w:val="BodyText"/>
        <w:spacing w:line="273" w:lineRule="auto" w:before="22"/>
        <w:ind w:left="573" w:right="3233" w:hanging="421"/>
        <w:jc w:val="left"/>
      </w:pPr>
      <w:r>
        <w:rPr>
          <w:spacing w:val="-2"/>
        </w:rPr>
        <w:t>造成公司存在能否按时交付外贸订单及后继外贸订单是否可持续的风险。</w:t>
      </w:r>
      <w:r>
        <w:rPr>
          <w:spacing w:val="-45"/>
        </w:rPr>
        <w:t> </w:t>
      </w:r>
      <w:r>
        <w:rPr>
          <w:spacing w:val="-45"/>
        </w:rPr>
      </w:r>
      <w:r>
        <w:rPr/>
        <w:t>应对措施：</w:t>
      </w:r>
    </w:p>
    <w:p>
      <w:pPr>
        <w:pStyle w:val="BodyText"/>
        <w:spacing w:line="256" w:lineRule="auto" w:before="7"/>
        <w:ind w:left="573" w:right="4760"/>
        <w:jc w:val="left"/>
      </w:pPr>
      <w:r>
        <w:rPr>
          <w:rFonts w:ascii="Times New Roman" w:hAnsi="Times New Roman" w:cs="Times New Roman" w:eastAsia="Times New Roman" w:hint="default"/>
        </w:rPr>
        <w:t>A</w:t>
      </w:r>
      <w:r>
        <w:rPr/>
        <w:t>、充分利用当地政府支持企业复工复产的政策；</w:t>
      </w:r>
      <w:r>
        <w:rPr>
          <w:w w:val="100"/>
        </w:rPr>
        <w:t> </w:t>
      </w:r>
      <w:r>
        <w:rPr>
          <w:rFonts w:ascii="Times New Roman" w:hAnsi="Times New Roman" w:cs="Times New Roman" w:eastAsia="Times New Roman" w:hint="default"/>
        </w:rPr>
        <w:t>B</w:t>
      </w:r>
      <w:r>
        <w:rPr/>
        <w:t>、积极使用直播、短视频等线上新媒体宣传方式销售；</w:t>
      </w:r>
      <w:r>
        <w:rPr>
          <w:w w:val="100"/>
        </w:rPr>
        <w:t> </w:t>
      </w:r>
      <w:r>
        <w:rPr>
          <w:rFonts w:ascii="Times New Roman" w:hAnsi="Times New Roman" w:cs="Times New Roman" w:eastAsia="Times New Roman" w:hint="default"/>
          <w:spacing w:val="-2"/>
        </w:rPr>
        <w:t>C</w:t>
      </w:r>
      <w:r>
        <w:rPr>
          <w:spacing w:val="-2"/>
        </w:rPr>
        <w:t>、利用欧美激光竞争企业防疫的空窗期，拓展销售渠道。</w:t>
      </w:r>
      <w:r>
        <w:rPr>
          <w:spacing w:val="-56"/>
        </w:rPr>
        <w:t> </w:t>
      </w:r>
      <w:r>
        <w:rPr>
          <w:spacing w:val="-56"/>
        </w:rPr>
      </w:r>
      <w:r>
        <w:rPr>
          <w:rFonts w:ascii="Times New Roman" w:hAnsi="Times New Roman" w:cs="Times New Roman" w:eastAsia="Times New Roman" w:hint="default"/>
        </w:rPr>
        <w:t>3</w:t>
      </w:r>
      <w:r>
        <w:rPr/>
        <w:t>、</w:t>
      </w:r>
      <w:r>
        <w:rPr>
          <w:spacing w:val="51"/>
        </w:rPr>
        <w:t> </w:t>
      </w:r>
      <w:r>
        <w:rPr/>
        <w:t>机遇与挑战</w:t>
      </w:r>
    </w:p>
    <w:p>
      <w:pPr>
        <w:pStyle w:val="BodyText"/>
        <w:spacing w:line="256" w:lineRule="auto" w:before="5"/>
        <w:ind w:right="1131" w:firstLine="420"/>
        <w:jc w:val="both"/>
      </w:pPr>
      <w:r>
        <w:rPr>
          <w:spacing w:val="-2"/>
        </w:rPr>
        <w:t>从全球范围来看，随着</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已卓有成效，一带一路沿线国家对设备需求明显增大，公司将持续</w:t>
      </w:r>
      <w:r>
        <w:rPr>
          <w:w w:val="100"/>
        </w:rPr>
        <w:t> </w:t>
      </w:r>
      <w:r>
        <w:rPr/>
        <w:t>拓展相关市场，保持订单连续性、稳定性。</w:t>
      </w:r>
    </w:p>
    <w:p>
      <w:pPr>
        <w:pStyle w:val="BodyText"/>
        <w:spacing w:line="273" w:lineRule="auto" w:before="22"/>
        <w:ind w:right="1126" w:firstLine="420"/>
        <w:jc w:val="both"/>
      </w:pPr>
      <w:r>
        <w:rPr>
          <w:spacing w:val="-2"/>
        </w:rPr>
        <w:t>从国内来看，随着国家宏观经济的进一步深化调整，内需增长将会呈现新一轮发展趋势，对激光应用</w:t>
      </w:r>
      <w:r>
        <w:rPr>
          <w:w w:val="100"/>
        </w:rPr>
        <w:t> </w:t>
      </w:r>
      <w:r>
        <w:rPr/>
        <w:t>行业的细分，会提出更高的要求，公司将持续打造明星激光产品，为新一轮发展做好准备。</w:t>
      </w:r>
    </w:p>
    <w:p>
      <w:pPr>
        <w:spacing w:line="240" w:lineRule="auto" w:before="8"/>
        <w:rPr>
          <w:rFonts w:ascii="宋体" w:hAnsi="宋体" w:cs="宋体" w:eastAsia="宋体" w:hint="default"/>
          <w:sz w:val="21"/>
          <w:szCs w:val="21"/>
        </w:rPr>
      </w:pPr>
    </w:p>
    <w:p>
      <w:pPr>
        <w:pStyle w:val="Heading2"/>
        <w:spacing w:line="240" w:lineRule="auto"/>
        <w:ind w:right="1116"/>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24"/>
      </w:tblGrid>
      <w:tr>
        <w:trPr>
          <w:trHeight w:val="401" w:hRule="exact"/>
        </w:trPr>
        <w:tc>
          <w:tcPr>
            <w:tcW w:w="21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w:t>
            </w:r>
          </w:p>
        </w:tc>
      </w:tr>
      <w:tr>
        <w:trPr>
          <w:trHeight w:val="401" w:hRule="exact"/>
        </w:trPr>
        <w:tc>
          <w:tcPr>
            <w:tcW w:w="2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公司经营情况及未来发展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6"/>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16"/>
        <w:jc w:val="left"/>
      </w:pPr>
      <w:r>
        <w:rPr/>
        <w:t>报告期内普通股利润分配政策，特别是现金分红政策的制定、执行或调整情况</w:t>
      </w:r>
    </w:p>
    <w:p>
      <w:pPr>
        <w:pStyle w:val="BodyText"/>
        <w:spacing w:line="290" w:lineRule="auto" w:before="78"/>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公司报告期利润分配预案及资本公积金转增股本预案与公司章程和分红管理办法等的相关规定一致</w:t>
      </w:r>
    </w:p>
    <w:p>
      <w:pPr>
        <w:pStyle w:val="BodyText"/>
        <w:spacing w:line="300" w:lineRule="auto" w:before="34"/>
        <w:ind w:right="24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spacing w:val="-101"/>
        </w:rPr>
        <w:t> </w:t>
      </w:r>
      <w:r>
        <w:rPr>
          <w:spacing w:val="-101"/>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本年度利润分配及资本公积金转增股本情况</w:t>
      </w:r>
    </w:p>
    <w:p>
      <w:pPr>
        <w:spacing w:line="240" w:lineRule="auto" w:before="12"/>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3693"/>
        <w:gridCol w:w="2761"/>
        <w:gridCol w:w="3088"/>
      </w:tblGrid>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0.13</w:t>
            </w: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3"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1,638,000.00</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761"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3088"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1,638,000.00</w:t>
            </w:r>
          </w:p>
        </w:tc>
      </w:tr>
      <w:tr>
        <w:trPr>
          <w:trHeight w:val="401"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39,182,471.98</w:t>
            </w:r>
          </w:p>
        </w:tc>
      </w:tr>
      <w:tr>
        <w:trPr>
          <w:trHeight w:val="715" w:hRule="exact"/>
        </w:trPr>
        <w:tc>
          <w:tcPr>
            <w:tcW w:w="36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49"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42"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before="49"/>
        <w:ind w:left="181" w:right="1116" w:firstLine="0"/>
        <w:jc w:val="left"/>
        <w:rPr>
          <w:rFonts w:ascii="宋体" w:hAnsi="宋体" w:cs="宋体" w:eastAsia="宋体" w:hint="default"/>
          <w:sz w:val="18"/>
          <w:szCs w:val="18"/>
        </w:rPr>
      </w:pPr>
      <w:r>
        <w:rPr/>
        <w:pict>
          <v:group style="position:absolute;margin-left:242.809998pt;margin-top:-116.658295pt;width:290.95pt;height:20.8pt;mso-position-horizontal-relative:page;mso-position-vertical-relative:paragraph;z-index:-795568" coordorigin="4856,-2333" coordsize="5819,416">
            <v:group style="position:absolute;left:4868;top:-2321;width:2;height:392" coordorigin="4868,-2321" coordsize="2,392">
              <v:shape style="position:absolute;left:4868;top:-2321;width:2;height:392" coordorigin="4868,-2321" coordsize="0,392" path="m4868,-2321l4868,-1930e" filled="false" stroked="true" strokeweight="1.2pt" strokecolor="#ffffff">
                <v:path arrowok="t"/>
              </v:shape>
            </v:group>
            <v:group style="position:absolute;left:4880;top:-2321;width:5795;height:392" coordorigin="4880,-2321" coordsize="5795,392">
              <v:shape style="position:absolute;left:4880;top:-2321;width:5795;height:392" coordorigin="4880,-2321" coordsize="5795,392" path="m4880,-1930l10675,-1930,10675,-2321,4880,-2321,4880,-1930xe" filled="true" fillcolor="#ffffff" stroked="false">
                <v:path arrowok="t"/>
                <v:fill type="solid"/>
              </v:shape>
            </v:group>
            <w10:wrap type="none"/>
          </v:group>
        </w:pict>
      </w:r>
      <w:r>
        <w:rPr>
          <w:rFonts w:ascii="宋体" w:hAnsi="宋体" w:cs="宋体" w:eastAsia="宋体" w:hint="default"/>
          <w:sz w:val="18"/>
          <w:szCs w:val="18"/>
        </w:rPr>
        <w:t>其他</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19;top:14;width:2;height:392" coordorigin="19,14" coordsize="2,392">
              <v:shape style="position:absolute;left:19;top:14;width:2;height:392" coordorigin="19,14" coordsize="0,392" path="m19,14l19,406e" filled="false" stroked="true" strokeweight="1.44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44pt" strokecolor="#d2d2d2">
                <v:path arrowok="t"/>
              </v:shape>
            </v:group>
            <v:group style="position:absolute;left:34;top:14;width:9514;height:392" coordorigin="34,14" coordsize="9514,392">
              <v:shape style="position:absolute;left:34;top:14;width:9514;height:392" coordorigin="34,14" coordsize="9514,392" path="m34,406l9547,406,9547,14,34,14,34,406xe" filled="true" fillcolor="#d2d2d2" stroked="false">
                <v:path arrowok="t"/>
                <v:fill type="solid"/>
              </v:shape>
            </v:group>
            <v:group style="position:absolute;left:5;top:10;width:9571;height:2" coordorigin="5,10" coordsize="9571,2">
              <v:shape style="position:absolute;left:5;top:10;width:9571;height:2" coordorigin="5,10" coordsize="9571,0" path="m5,10l9576,10e" filled="false" stroked="true" strokeweight=".48004pt" strokecolor="#000000">
                <v:path arrowok="t"/>
              </v:shape>
            </v:group>
            <v:group style="position:absolute;left:5;top:410;width:9571;height:2" coordorigin="5,410" coordsize="9571,2">
              <v:shape style="position:absolute;left:5;top:410;width:9571;height:2" coordorigin="5,410" coordsize="9571,0" path="m5,410l9576,410e" filled="false" stroked="true" strokeweight=".47998pt" strokecolor="#000000">
                <v:path arrowok="t"/>
              </v:shape>
              <v:shape style="position:absolute;left:5;top:10;width:9571;height:401" type="#_x0000_t202" filled="false" stroked="false">
                <v:textbox inset="0,0,0,0">
                  <w:txbxContent>
                    <w:p>
                      <w:pPr>
                        <w:spacing w:before="53"/>
                        <w:ind w:left="2895"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group>
          </v:group>
        </w:pict>
      </w:r>
      <w:r>
        <w:rPr>
          <w:rFonts w:ascii="宋体" w:hAnsi="宋体" w:cs="宋体" w:eastAsia="宋体" w:hint="default"/>
          <w:position w:val="-7"/>
          <w:sz w:val="20"/>
          <w:szCs w:val="20"/>
        </w:rPr>
      </w:r>
    </w:p>
    <w:p>
      <w:pPr>
        <w:spacing w:before="44"/>
        <w:ind w:left="542" w:right="111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根据《公司章程》的相关规定，本年度权益分派预案：以报告期末公司总股本 </w:t>
      </w:r>
      <w:r>
        <w:rPr>
          <w:rFonts w:ascii="Times New Roman" w:hAnsi="Times New Roman" w:cs="Times New Roman" w:eastAsia="Times New Roman" w:hint="default"/>
          <w:sz w:val="18"/>
          <w:szCs w:val="18"/>
        </w:rPr>
        <w:t>12,600 </w:t>
      </w:r>
      <w:r>
        <w:rPr>
          <w:rFonts w:ascii="宋体" w:hAnsi="宋体" w:cs="宋体" w:eastAsia="宋体" w:hint="default"/>
          <w:sz w:val="18"/>
          <w:szCs w:val="18"/>
        </w:rPr>
        <w:t>万股为基数，向全体股东每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spacing w:line="300" w:lineRule="auto" w:before="63"/>
        <w:ind w:left="181" w:right="1220" w:firstLine="0"/>
        <w:jc w:val="left"/>
        <w:rPr>
          <w:rFonts w:ascii="宋体" w:hAnsi="宋体" w:cs="宋体" w:eastAsia="宋体" w:hint="default"/>
          <w:sz w:val="18"/>
          <w:szCs w:val="18"/>
        </w:rPr>
      </w:pPr>
      <w:r>
        <w:rPr>
          <w:rFonts w:ascii="宋体" w:hAnsi="宋体" w:cs="宋体" w:eastAsia="宋体" w:hint="default"/>
          <w:sz w:val="18"/>
          <w:szCs w:val="18"/>
        </w:rPr>
        <w:t>股派发现金红利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0.13</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元（含税），共计派发现金人民币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163.8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万元。本年度以资本公积每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股。剩余未分配利润</w:t>
      </w:r>
      <w:r>
        <w:rPr>
          <w:rFonts w:ascii="宋体" w:hAnsi="宋体" w:cs="宋体" w:eastAsia="宋体" w:hint="default"/>
          <w:sz w:val="18"/>
          <w:szCs w:val="18"/>
        </w:rPr>
        <w:t> 结转以后年度进行分配。</w:t>
      </w:r>
    </w:p>
    <w:p>
      <w:pPr>
        <w:spacing w:line="240" w:lineRule="auto" w:before="12"/>
        <w:rPr>
          <w:rFonts w:ascii="宋体" w:hAnsi="宋体" w:cs="宋体" w:eastAsia="宋体" w:hint="default"/>
          <w:sz w:val="4"/>
          <w:szCs w:val="4"/>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79.75pt;height:.5pt;mso-position-horizontal-relative:char;mso-position-vertical-relative:line" coordorigin="0,0" coordsize="9595,10">
            <v:group style="position:absolute;left:5;top:5;width:9586;height:2" coordorigin="5,5" coordsize="9586,2">
              <v:shape style="position:absolute;left:5;top:5;width:9586;height:2" coordorigin="5,5" coordsize="9586,0" path="m5,5l9590,5e" filled="false" stroked="true" strokeweight=".48004pt" strokecolor="#000000">
                <v:path arrowok="t"/>
              </v:shape>
            </v:group>
          </v:group>
        </w:pict>
      </w:r>
      <w:r>
        <w:rPr>
          <w:rFonts w:ascii="宋体" w:hAnsi="宋体" w:cs="宋体" w:eastAsia="宋体" w:hint="default"/>
          <w:sz w:val="2"/>
          <w:szCs w:val="2"/>
        </w:rPr>
      </w:r>
    </w:p>
    <w:p>
      <w:pPr>
        <w:pStyle w:val="BodyText"/>
        <w:spacing w:line="240" w:lineRule="auto" w:before="18"/>
        <w:ind w:right="1116"/>
        <w:jc w:val="left"/>
      </w:pPr>
      <w:r>
        <w:rPr>
          <w:w w:val="100"/>
        </w:rPr>
        <w:t>公</w:t>
      </w:r>
      <w:r>
        <w:rPr>
          <w:spacing w:val="-3"/>
          <w:w w:val="100"/>
        </w:rPr>
        <w:t>司</w:t>
      </w:r>
      <w:r>
        <w:rPr>
          <w:w w:val="100"/>
        </w:rPr>
        <w:t>近</w:t>
      </w:r>
      <w:r>
        <w:rPr>
          <w:spacing w:val="-52"/>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w w:val="100"/>
        </w:rPr>
        <w:t>案（</w:t>
      </w:r>
      <w:r>
        <w:rPr>
          <w:spacing w:val="-3"/>
          <w:w w:val="100"/>
        </w:rPr>
        <w:t>预</w:t>
      </w:r>
      <w:r>
        <w:rPr>
          <w:w w:val="100"/>
        </w:rPr>
        <w:t>案</w:t>
      </w:r>
      <w:r>
        <w:rPr>
          <w:spacing w:val="-108"/>
          <w:w w:val="100"/>
        </w:rPr>
        <w:t>）</w:t>
      </w:r>
      <w:r>
        <w:rPr>
          <w:w w:val="100"/>
        </w:rPr>
        <w:t>、</w:t>
      </w:r>
      <w:r>
        <w:rPr>
          <w:spacing w:val="-3"/>
          <w:w w:val="100"/>
        </w:rPr>
        <w:t>资</w:t>
      </w:r>
      <w:r>
        <w:rPr>
          <w:w w:val="100"/>
        </w:rPr>
        <w:t>本</w:t>
      </w:r>
      <w:r>
        <w:rPr>
          <w:spacing w:val="-3"/>
          <w:w w:val="100"/>
        </w:rPr>
        <w:t>公</w:t>
      </w:r>
      <w:r>
        <w:rPr>
          <w:w w:val="100"/>
        </w:rPr>
        <w:t>积</w:t>
      </w:r>
      <w:r>
        <w:rPr>
          <w:spacing w:val="-3"/>
          <w:w w:val="100"/>
        </w:rPr>
        <w:t>金转</w:t>
      </w:r>
      <w:r>
        <w:rPr>
          <w:w w:val="100"/>
        </w:rPr>
        <w:t>增股</w:t>
      </w:r>
      <w:r>
        <w:rPr>
          <w:spacing w:val="-3"/>
          <w:w w:val="100"/>
        </w:rPr>
        <w:t>本</w:t>
      </w:r>
      <w:r>
        <w:rPr>
          <w:w w:val="100"/>
        </w:rPr>
        <w:t>方</w:t>
      </w:r>
      <w:r>
        <w:rPr>
          <w:spacing w:val="-3"/>
          <w:w w:val="100"/>
        </w:rPr>
        <w:t>案</w:t>
      </w:r>
      <w:r>
        <w:rPr>
          <w:w w:val="100"/>
        </w:rPr>
        <w:t>（</w:t>
      </w:r>
      <w:r>
        <w:rPr>
          <w:spacing w:val="-3"/>
          <w:w w:val="100"/>
        </w:rPr>
        <w:t>预</w:t>
      </w:r>
      <w:r>
        <w:rPr>
          <w:w w:val="100"/>
        </w:rPr>
        <w:t>案</w:t>
      </w:r>
      <w:r>
        <w:rPr>
          <w:spacing w:val="-3"/>
          <w:w w:val="100"/>
        </w:rPr>
        <w:t>）</w:t>
      </w:r>
      <w:r>
        <w:rPr>
          <w:w w:val="100"/>
        </w:rPr>
        <w:t>情况</w:t>
      </w:r>
    </w:p>
    <w:p>
      <w:pPr>
        <w:pStyle w:val="BodyText"/>
        <w:spacing w:line="256" w:lineRule="auto" w:before="59"/>
        <w:ind w:right="1128" w:firstLine="36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年年度利润分配预案：已获</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4</w:t>
      </w:r>
      <w:r>
        <w:rPr>
          <w:spacing w:val="-3"/>
        </w:rPr>
        <w:t>日召开的</w:t>
      </w:r>
      <w:r>
        <w:rPr>
          <w:rFonts w:ascii="Times New Roman" w:hAnsi="Times New Roman" w:cs="Times New Roman" w:eastAsia="Times New Roman" w:hint="default"/>
          <w:spacing w:val="-3"/>
        </w:rPr>
        <w:t>2017</w:t>
      </w:r>
      <w:r>
        <w:rPr>
          <w:spacing w:val="-3"/>
        </w:rPr>
        <w:t>年年度股东大会审议通过，</w:t>
      </w:r>
      <w:r>
        <w:rPr>
          <w:rFonts w:ascii="Times New Roman" w:hAnsi="Times New Roman" w:cs="Times New Roman" w:eastAsia="Times New Roman" w:hint="default"/>
          <w:spacing w:val="-3"/>
        </w:rPr>
        <w:t>2017</w:t>
      </w:r>
      <w:r>
        <w:rPr>
          <w:spacing w:val="-3"/>
        </w:rPr>
        <w:t>年度不进</w:t>
      </w:r>
      <w:r>
        <w:rPr>
          <w:w w:val="100"/>
        </w:rPr>
        <w:t> </w:t>
      </w:r>
      <w:r>
        <w:rPr/>
        <w:t>行现金利润分配、不送红股，也不进行资本公积金转增股本。</w:t>
      </w:r>
    </w:p>
    <w:p>
      <w:pPr>
        <w:pStyle w:val="BodyText"/>
        <w:spacing w:line="256" w:lineRule="auto" w:before="63"/>
        <w:ind w:right="1128"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年年度利润分配预案：已获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2018</w:t>
      </w:r>
      <w:r>
        <w:rPr/>
        <w:t>年年度股东大会以公司总股本</w:t>
      </w:r>
      <w:r>
        <w:rPr>
          <w:rFonts w:ascii="Times New Roman" w:hAnsi="Times New Roman" w:cs="Times New Roman" w:eastAsia="Times New Roman" w:hint="default"/>
        </w:rPr>
        <w:t>12,600</w:t>
      </w:r>
      <w:r>
        <w:rPr/>
        <w:t>万</w:t>
      </w:r>
      <w:r>
        <w:rPr>
          <w:w w:val="100"/>
        </w:rPr>
        <w:t> </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0.06</w:t>
      </w:r>
      <w:r>
        <w:rPr/>
        <w:t>元（含税），共计派发现金人民币</w:t>
      </w:r>
      <w:r>
        <w:rPr>
          <w:rFonts w:ascii="Times New Roman" w:hAnsi="Times New Roman" w:cs="Times New Roman" w:eastAsia="Times New Roman" w:hint="default"/>
        </w:rPr>
        <w:t>75.6</w:t>
      </w:r>
      <w:r>
        <w:rPr/>
        <w:t>万元。本年度不转</w:t>
      </w:r>
      <w:r>
        <w:rPr>
          <w:spacing w:val="-25"/>
        </w:rPr>
        <w:t> </w:t>
      </w:r>
      <w:r>
        <w:rPr>
          <w:spacing w:val="-25"/>
        </w:rPr>
      </w:r>
      <w:r>
        <w:rPr/>
        <w:t>增，剩余未分配利润结转以后年度进行分配。</w:t>
      </w:r>
    </w:p>
    <w:p>
      <w:pPr>
        <w:pStyle w:val="BodyText"/>
        <w:spacing w:line="256" w:lineRule="auto" w:before="61"/>
        <w:ind w:right="1126" w:firstLine="36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年年度利润分配预案：根据《公司章程》的相关规定，特提出本年度权益分派预案：以报告期</w:t>
      </w:r>
      <w:r>
        <w:rPr>
          <w:w w:val="100"/>
        </w:rPr>
        <w:t> </w:t>
      </w:r>
      <w:r>
        <w:rPr/>
        <w:t>末公司总股本</w:t>
      </w:r>
      <w:r>
        <w:rPr>
          <w:rFonts w:ascii="Times New Roman" w:hAnsi="Times New Roman" w:cs="Times New Roman" w:eastAsia="Times New Roman" w:hint="default"/>
        </w:rPr>
        <w:t>12,600</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0.13</w:t>
      </w:r>
      <w:r>
        <w:rPr/>
        <w:t>元（含税），共计派发现金人民币</w:t>
      </w:r>
      <w:r>
        <w:rPr>
          <w:spacing w:val="-23"/>
        </w:rPr>
        <w:t> </w:t>
      </w:r>
      <w:r>
        <w:rPr>
          <w:spacing w:val="-23"/>
        </w:rPr>
      </w:r>
      <w:r>
        <w:rPr>
          <w:rFonts w:ascii="Times New Roman" w:hAnsi="Times New Roman" w:cs="Times New Roman" w:eastAsia="Times New Roman" w:hint="default"/>
        </w:rPr>
        <w:t>163.8</w:t>
      </w:r>
      <w:r>
        <w:rPr/>
        <w:t>万元。本年度以资本公积每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股，剩余未分配利润结转以后年度进行分配。</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79" w:top="1060" w:bottom="1160" w:left="980" w:right="0"/>
        </w:sectPr>
      </w:pPr>
    </w:p>
    <w:p>
      <w:pPr>
        <w:pStyle w:val="BodyText"/>
        <w:spacing w:line="240" w:lineRule="auto" w:before="36"/>
        <w:ind w:right="0"/>
        <w:jc w:val="left"/>
      </w:pPr>
      <w:r>
        <w:rPr>
          <w:spacing w:val="-2"/>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988" w:space="3933"/>
            <w:col w:w="2009"/>
          </w:cols>
        </w:sectPr>
      </w:pPr>
    </w:p>
    <w:p>
      <w:pPr>
        <w:spacing w:line="240" w:lineRule="auto" w:before="2"/>
        <w:rPr>
          <w:rFonts w:ascii="宋体" w:hAnsi="宋体" w:cs="宋体" w:eastAsia="宋体" w:hint="default"/>
          <w:sz w:val="8"/>
          <w:szCs w:val="8"/>
        </w:rPr>
      </w:pPr>
      <w:r>
        <w:rPr/>
        <w:pict>
          <v:shape style="position:absolute;margin-left:419.324005pt;margin-top:565.395996pt;width:48.3pt;height:76.95pt;mso-position-horizontal-relative:page;mso-position-vertical-relative:page;z-index:-795520" type="#_x0000_t202" filled="false" stroked="false">
            <v:textbox inset="0,0,0,0">
              <w:txbxContent>
                <w:p>
                  <w:pPr>
                    <w:spacing w:line="240" w:lineRule="auto" w:before="0"/>
                    <w:rPr>
                      <w:rFonts w:ascii="宋体" w:hAnsi="宋体" w:cs="宋体" w:eastAsia="宋体"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62" w:type="dxa"/>
        <w:tblLayout w:type="fixed"/>
        <w:tblCellMar>
          <w:top w:w="0" w:type="dxa"/>
          <w:left w:w="0" w:type="dxa"/>
          <w:bottom w:w="0" w:type="dxa"/>
          <w:right w:w="0" w:type="dxa"/>
        </w:tblCellMar>
        <w:tblLook w:val="01E0"/>
      </w:tblPr>
      <w:tblGrid>
        <w:gridCol w:w="694"/>
        <w:gridCol w:w="1277"/>
        <w:gridCol w:w="1604"/>
        <w:gridCol w:w="1232"/>
        <w:gridCol w:w="1161"/>
        <w:gridCol w:w="1195"/>
        <w:gridCol w:w="1197"/>
        <w:gridCol w:w="1182"/>
      </w:tblGrid>
      <w:tr>
        <w:trPr>
          <w:trHeight w:val="161" w:hRule="exact"/>
        </w:trPr>
        <w:tc>
          <w:tcPr>
            <w:tcW w:w="694" w:type="dxa"/>
            <w:vMerge w:val="restart"/>
            <w:tcBorders>
              <w:top w:val="single" w:sz="4" w:space="0" w:color="000000"/>
              <w:left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604" w:type="dxa"/>
            <w:vMerge w:val="restart"/>
            <w:tcBorders>
              <w:top w:val="single" w:sz="4" w:space="0" w:color="000000"/>
              <w:left w:val="single" w:sz="4" w:space="0" w:color="000000"/>
              <w:right w:val="single" w:sz="4" w:space="0" w:color="000000"/>
            </w:tcBorders>
            <w:shd w:val="clear" w:color="auto" w:fill="D2D2D2"/>
          </w:tcPr>
          <w:p>
            <w:pPr/>
          </w:p>
        </w:tc>
        <w:tc>
          <w:tcPr>
            <w:tcW w:w="12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694" w:type="dxa"/>
            <w:vMerge/>
            <w:tcBorders>
              <w:left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604" w:type="dxa"/>
            <w:vMerge/>
            <w:tcBorders>
              <w:left w:val="single" w:sz="4" w:space="0" w:color="000000"/>
              <w:bottom w:val="nil" w:sz="6" w:space="0" w:color="auto"/>
              <w:right w:val="single" w:sz="4" w:space="0" w:color="000000"/>
            </w:tcBorders>
            <w:shd w:val="clear" w:color="auto" w:fill="D2D2D2"/>
          </w:tcPr>
          <w:p>
            <w:pPr/>
          </w:p>
        </w:tc>
        <w:tc>
          <w:tcPr>
            <w:tcW w:w="12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68"/>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6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nil" w:sz="6" w:space="0" w:color="auto"/>
            </w:tcBorders>
            <w:shd w:val="clear" w:color="auto" w:fill="D2D2D2"/>
          </w:tcPr>
          <w:p>
            <w:pPr/>
          </w:p>
        </w:tc>
      </w:tr>
      <w:tr>
        <w:trPr>
          <w:trHeight w:val="156" w:hRule="exact"/>
        </w:trPr>
        <w:tc>
          <w:tcPr>
            <w:tcW w:w="694" w:type="dxa"/>
            <w:vMerge/>
            <w:tcBorders>
              <w:left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6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232" w:type="dxa"/>
            <w:vMerge/>
            <w:tcBorders>
              <w:left w:val="single" w:sz="4" w:space="0" w:color="000000"/>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34" w:right="34" w:hanging="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nil" w:sz="6" w:space="0" w:color="auto"/>
            </w:tcBorders>
            <w:shd w:val="clear" w:color="auto" w:fill="D2D2D2"/>
          </w:tcPr>
          <w:p>
            <w:pPr/>
          </w:p>
        </w:tc>
      </w:tr>
      <w:tr>
        <w:trPr>
          <w:trHeight w:val="156" w:hRule="exact"/>
        </w:trPr>
        <w:tc>
          <w:tcPr>
            <w:tcW w:w="694" w:type="dxa"/>
            <w:vMerge/>
            <w:tcBorders>
              <w:left w:val="nil" w:sz="6" w:space="0" w:color="auto"/>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604" w:type="dxa"/>
            <w:vMerge/>
            <w:tcBorders>
              <w:left w:val="single" w:sz="4" w:space="0" w:color="000000"/>
              <w:right w:val="single" w:sz="4" w:space="0" w:color="000000"/>
            </w:tcBorders>
            <w:shd w:val="clear" w:color="auto" w:fill="D2D2D2"/>
          </w:tcPr>
          <w:p>
            <w:pPr/>
          </w:p>
        </w:tc>
        <w:tc>
          <w:tcPr>
            <w:tcW w:w="1232" w:type="dxa"/>
            <w:vMerge/>
            <w:tcBorders>
              <w:left w:val="single" w:sz="4" w:space="0" w:color="000000"/>
              <w:right w:val="single" w:sz="4" w:space="0" w:color="000000"/>
            </w:tcBorders>
            <w:shd w:val="clear" w:color="auto" w:fill="D2D2D2"/>
          </w:tcPr>
          <w:p>
            <w:pPr/>
          </w:p>
        </w:tc>
        <w:tc>
          <w:tcPr>
            <w:tcW w:w="116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2" w:type="dxa"/>
            <w:vMerge/>
            <w:tcBorders>
              <w:left w:val="single" w:sz="4" w:space="0" w:color="000000"/>
              <w:right w:val="nil" w:sz="6" w:space="0" w:color="auto"/>
            </w:tcBorders>
            <w:shd w:val="clear" w:color="auto" w:fill="D2D2D2"/>
          </w:tcPr>
          <w:p>
            <w:pPr/>
          </w:p>
        </w:tc>
      </w:tr>
      <w:tr>
        <w:trPr>
          <w:trHeight w:val="706" w:hRule="exact"/>
        </w:trPr>
        <w:tc>
          <w:tcPr>
            <w:tcW w:w="694"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57" w:lineRule="auto" w:before="29"/>
              <w:ind w:left="161" w:right="167"/>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604" w:type="dxa"/>
            <w:vMerge/>
            <w:tcBorders>
              <w:left w:val="single" w:sz="4" w:space="0" w:color="000000"/>
              <w:right w:val="single" w:sz="4" w:space="0" w:color="000000"/>
            </w:tcBorders>
            <w:shd w:val="clear" w:color="auto" w:fill="D2D2D2"/>
          </w:tcPr>
          <w:p>
            <w:pPr/>
          </w:p>
        </w:tc>
        <w:tc>
          <w:tcPr>
            <w:tcW w:w="1232" w:type="dxa"/>
            <w:vMerge/>
            <w:tcBorders>
              <w:left w:val="single" w:sz="4" w:space="0" w:color="000000"/>
              <w:right w:val="single" w:sz="4" w:space="0" w:color="000000"/>
            </w:tcBorders>
            <w:shd w:val="clear" w:color="auto" w:fill="D2D2D2"/>
          </w:tcPr>
          <w:p>
            <w:pPr/>
          </w:p>
        </w:tc>
        <w:tc>
          <w:tcPr>
            <w:tcW w:w="116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nil" w:sz="6" w:space="0" w:color="auto"/>
            </w:tcBorders>
            <w:shd w:val="clear" w:color="auto" w:fill="D2D2D2"/>
          </w:tcPr>
          <w:p>
            <w:pPr/>
          </w:p>
        </w:tc>
      </w:tr>
      <w:tr>
        <w:trPr>
          <w:trHeight w:val="156" w:hRule="exact"/>
        </w:trPr>
        <w:tc>
          <w:tcPr>
            <w:tcW w:w="694" w:type="dxa"/>
            <w:vMerge w:val="restart"/>
            <w:tcBorders>
              <w:top w:val="nil" w:sz="6" w:space="0" w:color="auto"/>
              <w:left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604" w:type="dxa"/>
            <w:vMerge/>
            <w:tcBorders>
              <w:left w:val="single" w:sz="4" w:space="0" w:color="000000"/>
              <w:right w:val="single" w:sz="4" w:space="0" w:color="000000"/>
            </w:tcBorders>
            <w:shd w:val="clear" w:color="auto" w:fill="D2D2D2"/>
          </w:tcPr>
          <w:p>
            <w:pPr/>
          </w:p>
        </w:tc>
        <w:tc>
          <w:tcPr>
            <w:tcW w:w="1232" w:type="dxa"/>
            <w:vMerge/>
            <w:tcBorders>
              <w:left w:val="single" w:sz="4" w:space="0" w:color="000000"/>
              <w:right w:val="single" w:sz="4" w:space="0" w:color="000000"/>
            </w:tcBorders>
            <w:shd w:val="clear" w:color="auto" w:fill="D2D2D2"/>
          </w:tcPr>
          <w:p>
            <w:pPr/>
          </w:p>
        </w:tc>
        <w:tc>
          <w:tcPr>
            <w:tcW w:w="116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nil" w:sz="6" w:space="0" w:color="auto"/>
            </w:tcBorders>
            <w:shd w:val="clear" w:color="auto" w:fill="D2D2D2"/>
          </w:tcPr>
          <w:p>
            <w:pPr/>
          </w:p>
        </w:tc>
      </w:tr>
      <w:tr>
        <w:trPr>
          <w:trHeight w:val="156" w:hRule="exact"/>
        </w:trPr>
        <w:tc>
          <w:tcPr>
            <w:tcW w:w="694" w:type="dxa"/>
            <w:vMerge/>
            <w:tcBorders>
              <w:left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604" w:type="dxa"/>
            <w:vMerge/>
            <w:tcBorders>
              <w:left w:val="single" w:sz="4" w:space="0" w:color="000000"/>
              <w:bottom w:val="nil" w:sz="6" w:space="0" w:color="auto"/>
              <w:right w:val="single" w:sz="4" w:space="0" w:color="000000"/>
            </w:tcBorders>
            <w:shd w:val="clear" w:color="auto" w:fill="D2D2D2"/>
          </w:tcPr>
          <w:p>
            <w:pPr/>
          </w:p>
        </w:tc>
        <w:tc>
          <w:tcPr>
            <w:tcW w:w="1232" w:type="dxa"/>
            <w:vMerge/>
            <w:tcBorders>
              <w:left w:val="single" w:sz="4" w:space="0" w:color="000000"/>
              <w:right w:val="single" w:sz="4" w:space="0" w:color="000000"/>
            </w:tcBorders>
            <w:shd w:val="clear" w:color="auto" w:fill="D2D2D2"/>
          </w:tcPr>
          <w:p>
            <w:pPr/>
          </w:p>
        </w:tc>
        <w:tc>
          <w:tcPr>
            <w:tcW w:w="1161"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right w:val="nil" w:sz="6" w:space="0" w:color="auto"/>
            </w:tcBorders>
            <w:shd w:val="clear" w:color="auto" w:fill="D2D2D2"/>
          </w:tcPr>
          <w:p>
            <w:pPr/>
          </w:p>
        </w:tc>
      </w:tr>
      <w:tr>
        <w:trPr>
          <w:trHeight w:val="312" w:hRule="exact"/>
        </w:trPr>
        <w:tc>
          <w:tcPr>
            <w:tcW w:w="694" w:type="dxa"/>
            <w:vMerge/>
            <w:tcBorders>
              <w:left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604" w:type="dxa"/>
            <w:vMerge w:val="restart"/>
            <w:tcBorders>
              <w:top w:val="nil" w:sz="6" w:space="0" w:color="auto"/>
              <w:left w:val="single" w:sz="4" w:space="0" w:color="000000"/>
              <w:right w:val="single" w:sz="4" w:space="0" w:color="000000"/>
            </w:tcBorders>
            <w:shd w:val="clear" w:color="auto" w:fill="D2D2D2"/>
          </w:tcPr>
          <w:p>
            <w:pPr/>
          </w:p>
        </w:tc>
        <w:tc>
          <w:tcPr>
            <w:tcW w:w="1232"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right w:val="nil" w:sz="6" w:space="0" w:color="auto"/>
            </w:tcBorders>
            <w:shd w:val="clear" w:color="auto" w:fill="D2D2D2"/>
          </w:tcPr>
          <w:p>
            <w:pPr/>
          </w:p>
        </w:tc>
      </w:tr>
      <w:tr>
        <w:trPr>
          <w:trHeight w:val="161" w:hRule="exact"/>
        </w:trPr>
        <w:tc>
          <w:tcPr>
            <w:tcW w:w="694" w:type="dxa"/>
            <w:vMerge/>
            <w:tcBorders>
              <w:left w:val="nil" w:sz="6" w:space="0" w:color="auto"/>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604" w:type="dxa"/>
            <w:vMerge/>
            <w:tcBorders>
              <w:left w:val="single" w:sz="4" w:space="0" w:color="000000"/>
              <w:bottom w:val="single" w:sz="4" w:space="0" w:color="000000"/>
              <w:right w:val="single" w:sz="4" w:space="0" w:color="000000"/>
            </w:tcBorders>
            <w:shd w:val="clear" w:color="auto" w:fill="D2D2D2"/>
          </w:tcPr>
          <w:p>
            <w:pPr/>
          </w:p>
        </w:tc>
        <w:tc>
          <w:tcPr>
            <w:tcW w:w="12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6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15,132,240.66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1,638,000.00</w:t>
            </w:r>
          </w:p>
        </w:tc>
        <w:tc>
          <w:tcPr>
            <w:tcW w:w="1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10.82%</w:t>
            </w:r>
          </w:p>
        </w:tc>
      </w:tr>
      <w:tr>
        <w:trPr>
          <w:trHeight w:val="404" w:hRule="exact"/>
        </w:trPr>
        <w:tc>
          <w:tcPr>
            <w:tcW w:w="6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7,142,042.20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10.59%</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756,000.00</w:t>
            </w:r>
          </w:p>
        </w:tc>
        <w:tc>
          <w:tcPr>
            <w:tcW w:w="1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10.59%</w:t>
            </w:r>
          </w:p>
        </w:tc>
      </w:tr>
      <w:tr>
        <w:trPr>
          <w:trHeight w:val="401" w:hRule="exact"/>
        </w:trPr>
        <w:tc>
          <w:tcPr>
            <w:tcW w:w="6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-42,345,109.04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28"/>
        <w:ind w:right="1116"/>
        <w:jc w:val="left"/>
      </w:pPr>
      <w:r>
        <w:rPr/>
        <w:t>公司报告期内盈利且母公司可供普通股股东分配利润为正但未提出普通股现金红利分配预案</w:t>
      </w:r>
    </w:p>
    <w:p>
      <w:pPr>
        <w:pStyle w:val="BodyText"/>
        <w:spacing w:line="240" w:lineRule="auto" w:before="78"/>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1116"/>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1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不适用</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121"/>
        <w:gridCol w:w="708"/>
        <w:gridCol w:w="992"/>
        <w:gridCol w:w="4536"/>
        <w:gridCol w:w="853"/>
        <w:gridCol w:w="850"/>
        <w:gridCol w:w="482"/>
      </w:tblGrid>
      <w:tr>
        <w:trPr>
          <w:trHeight w:val="161" w:hRule="exact"/>
        </w:trPr>
        <w:tc>
          <w:tcPr>
            <w:tcW w:w="1121" w:type="dxa"/>
            <w:tcBorders>
              <w:top w:val="single" w:sz="4" w:space="0" w:color="000000"/>
              <w:left w:val="nil" w:sz="6" w:space="0" w:color="auto"/>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62" w:right="5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11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82" w:type="dxa"/>
            <w:vMerge/>
            <w:tcBorders>
              <w:left w:val="single" w:sz="4" w:space="0" w:color="000000"/>
              <w:right w:val="nil" w:sz="6" w:space="0" w:color="auto"/>
            </w:tcBorders>
            <w:shd w:val="clear" w:color="auto" w:fill="D2D2D2"/>
          </w:tcPr>
          <w:p>
            <w:pPr/>
          </w:p>
        </w:tc>
      </w:tr>
      <w:tr>
        <w:trPr>
          <w:trHeight w:val="161" w:hRule="exact"/>
        </w:trPr>
        <w:tc>
          <w:tcPr>
            <w:tcW w:w="1121" w:type="dxa"/>
            <w:tcBorders>
              <w:top w:val="nil" w:sz="6" w:space="0" w:color="auto"/>
              <w:left w:val="nil" w:sz="6" w:space="0" w:color="auto"/>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 w:type="dxa"/>
            <w:vMerge/>
            <w:tcBorders>
              <w:left w:val="single" w:sz="4" w:space="0" w:color="000000"/>
              <w:bottom w:val="single" w:sz="4" w:space="0" w:color="000000"/>
              <w:right w:val="nil" w:sz="6" w:space="0" w:color="auto"/>
            </w:tcBorders>
            <w:shd w:val="clear" w:color="auto" w:fill="D2D2D2"/>
          </w:tcPr>
          <w:p>
            <w:pPr/>
          </w:p>
        </w:tc>
      </w:tr>
      <w:tr>
        <w:trPr>
          <w:trHeight w:val="1337" w:hRule="exact"/>
        </w:trPr>
        <w:tc>
          <w:tcPr>
            <w:tcW w:w="11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9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708"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1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08"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nil" w:sz="6" w:space="0" w:color="auto"/>
            </w:tcBorders>
          </w:tcPr>
          <w:p>
            <w:pPr/>
          </w:p>
        </w:tc>
      </w:tr>
      <w:tr>
        <w:trPr>
          <w:trHeight w:val="1388" w:hRule="exact"/>
        </w:trPr>
        <w:tc>
          <w:tcPr>
            <w:tcW w:w="1121" w:type="dxa"/>
            <w:tcBorders>
              <w:top w:val="single" w:sz="4" w:space="0" w:color="000000"/>
              <w:left w:val="nil" w:sz="6" w:space="0" w:color="auto"/>
              <w:bottom w:val="nil" w:sz="6" w:space="0" w:color="auto"/>
              <w:right w:val="single" w:sz="4" w:space="0" w:color="000000"/>
            </w:tcBorders>
            <w:shd w:val="clear" w:color="auto" w:fill="D2D2D2"/>
          </w:tcPr>
          <w:p>
            <w:pPr/>
          </w:p>
        </w:tc>
        <w:tc>
          <w:tcPr>
            <w:tcW w:w="7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关于避免同 业竞争承诺</w:t>
            </w:r>
          </w:p>
        </w:tc>
        <w:tc>
          <w:tcPr>
            <w:tcW w:w="4536" w:type="dxa"/>
            <w:vMerge w:val="restart"/>
            <w:tcBorders>
              <w:top w:val="single" w:sz="4" w:space="0" w:color="000000"/>
              <w:left w:val="single" w:sz="4" w:space="0" w:color="000000"/>
              <w:right w:val="single" w:sz="4" w:space="0" w:color="000000"/>
            </w:tcBorders>
          </w:tcPr>
          <w:p>
            <w:pPr>
              <w:pStyle w:val="TableParagraph"/>
              <w:spacing w:line="312"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为避免在以后的经营中产生同业竞争，本公司控股股东及 实际控制人梁伟向本公司出具了《避免同业竞争承诺函》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、本人确认及保证目前不存在与金运激光直接或 间接同业竞争的情况。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、本人不直接或间接从事、发展 或投资与金运激光经营范围相同或相类似的业务或项目， 也不为本人或代表任何第三方成立、发展、参与、协助任 何法人或其他经济组织与金运激光进行直接或间接的竞 争，本人不在中国境内及境外直接或间接研发、生产或销 售金运激光已经研发、生产或销售的项目或产品（包括但 不限于已经投入科研经费研制或已经处于试生产阶段的 </w:t>
            </w:r>
            <w:r>
              <w:rPr>
                <w:rFonts w:ascii="宋体" w:hAnsi="宋体" w:cs="宋体" w:eastAsia="宋体" w:hint="default"/>
                <w:spacing w:val="-5"/>
                <w:sz w:val="18"/>
                <w:szCs w:val="18"/>
              </w:rPr>
              <w:t>项目或产品）。</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、本人承诺不利用本人对金运激光的了解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及获取的信息从事、直接或间接参与与金运激光相竞争的</w:t>
            </w:r>
          </w:p>
        </w:tc>
        <w:tc>
          <w:tcPr>
            <w:tcW w:w="853" w:type="dxa"/>
            <w:vMerge w:val="restart"/>
            <w:tcBorders>
              <w:top w:val="single" w:sz="4" w:space="0" w:color="000000"/>
              <w:left w:val="single" w:sz="4" w:space="0" w:color="000000"/>
              <w:right w:val="single" w:sz="4" w:space="0" w:color="000000"/>
            </w:tcBorders>
          </w:tcPr>
          <w:p>
            <w:pPr>
              <w:pStyle w:val="TableParagraph"/>
              <w:spacing w:line="1538" w:lineRule="exact"/>
              <w:ind w:left="2"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42.05pt;height:76.95pt;mso-position-horizontal-relative:char;mso-position-vertical-relative:line" coordorigin="0,0" coordsize="841,1539">
                  <v:group style="position:absolute;left:0;top:0;width:841;height:1539" coordorigin="0,0" coordsize="841,1539">
                    <v:shape style="position:absolute;left:0;top:0;width:841;height:1539" coordorigin="0,0" coordsize="841,1539" path="m0,1539l840,1539,840,0,0,0,0,1539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48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1018" w:hRule="exact"/>
        </w:trPr>
        <w:tc>
          <w:tcPr>
            <w:tcW w:w="11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49"/>
              <w:ind w:left="14"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08" w:type="dxa"/>
            <w:vMerge/>
            <w:tcBorders>
              <w:left w:val="single" w:sz="10"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82" w:type="dxa"/>
            <w:vMerge/>
            <w:tcBorders>
              <w:left w:val="single" w:sz="4" w:space="0" w:color="000000"/>
              <w:right w:val="nil" w:sz="6" w:space="0" w:color="auto"/>
            </w:tcBorders>
          </w:tcPr>
          <w:p>
            <w:pPr/>
          </w:p>
        </w:tc>
      </w:tr>
      <w:tr>
        <w:trPr>
          <w:trHeight w:val="1390" w:hRule="exact"/>
        </w:trPr>
        <w:tc>
          <w:tcPr>
            <w:tcW w:w="1121" w:type="dxa"/>
            <w:tcBorders>
              <w:top w:val="nil" w:sz="6" w:space="0" w:color="auto"/>
              <w:left w:val="nil" w:sz="6" w:space="0" w:color="auto"/>
              <w:bottom w:val="single" w:sz="4" w:space="0" w:color="000000"/>
              <w:right w:val="single" w:sz="4" w:space="0" w:color="000000"/>
            </w:tcBorders>
            <w:shd w:val="clear" w:color="auto" w:fill="D2D2D2"/>
          </w:tcPr>
          <w:p>
            <w:pPr/>
          </w:p>
        </w:tc>
        <w:tc>
          <w:tcPr>
            <w:tcW w:w="708" w:type="dxa"/>
            <w:vMerge/>
            <w:tcBorders>
              <w:left w:val="single" w:sz="10"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shape style="position:absolute;margin-left:383.324005pt;margin-top:72.47998pt;width:84.3pt;height:126.9pt;mso-position-horizontal-relative:page;mso-position-vertical-relative:page;z-index:-7954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销售人员、</w:t>
                  </w:r>
                </w:p>
              </w:txbxContent>
            </v:textbox>
            <w10:wrap type="none"/>
          </v:shape>
        </w:pict>
      </w:r>
      <w:r>
        <w:rPr/>
        <w:pict>
          <v:group style="position:absolute;margin-left:425.589996pt;margin-top:72.47998pt;width:42.05pt;height:199.65pt;mso-position-horizontal-relative:page;mso-position-vertical-relative:page;z-index:-795472" coordorigin="8512,1450" coordsize="841,3993">
            <v:group style="position:absolute;left:8512;top:1450;width:841;height:2538" coordorigin="8512,1450" coordsize="841,2538">
              <v:shape style="position:absolute;left:8512;top:1450;width:841;height:2538" coordorigin="8512,1450" coordsize="841,2538" path="m8512,3987l9352,3987,9352,1450,8512,1450,8512,3987xe" filled="true" fillcolor="#ffffff" stroked="false">
                <v:path arrowok="t"/>
                <v:fill type="solid"/>
              </v:shape>
            </v:group>
            <v:group style="position:absolute;left:8512;top:3997;width:841;height:1093" coordorigin="8512,3997" coordsize="841,1093">
              <v:shape style="position:absolute;left:8512;top:3997;width:841;height:1093" coordorigin="8512,3997" coordsize="841,1093" path="m8512,5089l9352,5089,9352,3997,8512,3997,8512,5089xe" filled="true" fillcolor="#ffffff" stroked="false">
                <v:path arrowok="t"/>
                <v:fill type="solid"/>
              </v:shape>
            </v:group>
            <v:group style="position:absolute;left:8533;top:5089;width:798;height:353" coordorigin="8533,5089" coordsize="798,353">
              <v:shape style="position:absolute;left:8533;top:5089;width:798;height:353" coordorigin="8533,5089" coordsize="798,353" path="m8533,5442l9331,5442,9331,5089,8533,5089,8533,5442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1136"/>
        <w:gridCol w:w="708"/>
        <w:gridCol w:w="992"/>
        <w:gridCol w:w="4536"/>
        <w:gridCol w:w="853"/>
        <w:gridCol w:w="850"/>
        <w:gridCol w:w="494"/>
      </w:tblGrid>
      <w:tr>
        <w:trPr>
          <w:trHeight w:val="2547" w:hRule="exact"/>
        </w:trPr>
        <w:tc>
          <w:tcPr>
            <w:tcW w:w="1136" w:type="dxa"/>
            <w:vMerge w:val="restart"/>
            <w:tcBorders>
              <w:top w:val="single" w:sz="4" w:space="0" w:color="000000"/>
              <w:left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1"/>
                <w:sz w:val="18"/>
                <w:szCs w:val="18"/>
              </w:rPr>
              <w:t>活动，并承诺不直接或间接进行或参与任何损害或可能损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害金运激光利益的其他竞争行为。该等竞争包括但不限 </w:t>
            </w:r>
            <w:r>
              <w:rPr>
                <w:rFonts w:ascii="宋体" w:hAnsi="宋体" w:cs="宋体" w:eastAsia="宋体" w:hint="default"/>
                <w:spacing w:val="-3"/>
                <w:sz w:val="18"/>
                <w:szCs w:val="18"/>
              </w:rPr>
              <w:t>于：直接或间接从金运激光招聘专业技术人员、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高级管理人员；不正当地利用金运激光的无形资产；在广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告、宣传上贬损金运激光的产品形象与企业形象等。如出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现因本人违反上述承诺与保证而导致金运激光或其股东 的权益受到损害的情况，本人将依法承担相应的赔偿责 任。</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nil" w:sz="6" w:space="0" w:color="auto"/>
            </w:tcBorders>
          </w:tcPr>
          <w:p>
            <w:pPr/>
          </w:p>
        </w:tc>
      </w:tr>
      <w:tr>
        <w:trPr>
          <w:trHeight w:val="2897" w:hRule="exact"/>
        </w:trPr>
        <w:tc>
          <w:tcPr>
            <w:tcW w:w="1136" w:type="dxa"/>
            <w:vMerge/>
            <w:tcBorders>
              <w:left w:val="nil" w:sz="6" w:space="0" w:color="auto"/>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4536"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4" w:right="14"/>
              <w:jc w:val="left"/>
              <w:rPr>
                <w:rFonts w:ascii="宋体" w:hAnsi="宋体" w:cs="宋体" w:eastAsia="宋体" w:hint="default"/>
                <w:sz w:val="18"/>
                <w:szCs w:val="18"/>
              </w:rPr>
            </w:pPr>
            <w:r>
              <w:rPr>
                <w:rFonts w:ascii="宋体" w:hAnsi="宋体" w:cs="宋体" w:eastAsia="宋体" w:hint="default"/>
                <w:spacing w:val="-1"/>
                <w:sz w:val="18"/>
                <w:szCs w:val="18"/>
              </w:rPr>
              <w:t>本公司实际控制人及控股股东梁伟先生出具了《关于规范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关联交易的承诺函》，承诺：除非金运激光的经营发展所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必须，本人及本人能够控制或影响的关联方（以下统称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）不与金运激光进行任何关联交易，对于无法规避 </w:t>
            </w:r>
            <w:r>
              <w:rPr>
                <w:rFonts w:ascii="宋体" w:hAnsi="宋体" w:cs="宋体" w:eastAsia="宋体" w:hint="default"/>
                <w:spacing w:val="-1"/>
                <w:sz w:val="18"/>
                <w:szCs w:val="18"/>
              </w:rPr>
              <w:t>确实需要的关联交易，本人将严格遵守中国证监会和金运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激光公司章程及其他关联交易管理制度的规定，按照通常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的商业准则确定交易价格及其他交易条件，并按照关联交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易公允决策的程序履行批准手续，以杜绝通过关联交易进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行不正当的利益输送。</w:t>
            </w:r>
          </w:p>
        </w:tc>
        <w:tc>
          <w:tcPr>
            <w:tcW w:w="85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196"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4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715" w:hRule="exact"/>
        </w:trPr>
        <w:tc>
          <w:tcPr>
            <w:tcW w:w="11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1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28"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1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3"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5" w:hRule="exact"/>
        </w:trPr>
        <w:tc>
          <w:tcPr>
            <w:tcW w:w="11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3" w:type="dxa"/>
            <w:gridSpan w:val="6"/>
            <w:tcBorders>
              <w:top w:val="single" w:sz="4" w:space="0" w:color="000000"/>
              <w:left w:val="single" w:sz="4" w:space="0" w:color="000000"/>
              <w:bottom w:val="single" w:sz="4" w:space="0" w:color="000000"/>
              <w:right w:val="nil" w:sz="6" w:space="0" w:color="auto"/>
            </w:tcBorders>
          </w:tcPr>
          <w:p>
            <w:pPr/>
          </w:p>
        </w:tc>
      </w:tr>
    </w:tbl>
    <w:p>
      <w:pPr>
        <w:pStyle w:val="BodyText"/>
        <w:spacing w:line="273" w:lineRule="auto" w:before="28"/>
        <w:ind w:right="1116" w:firstLine="420"/>
        <w:jc w:val="left"/>
      </w:pPr>
      <w:r>
        <w:rPr>
          <w:spacing w:val="-2"/>
        </w:rPr>
        <w:t>公司报告期不存在由公司实际控制人、股东、关联方、收购人以及公司等承诺相关方在报告期内履行</w:t>
      </w:r>
      <w:r>
        <w:rPr>
          <w:w w:val="100"/>
        </w:rPr>
        <w:t> </w:t>
      </w:r>
      <w:r>
        <w:rPr/>
        <w:t>完毕及截至报告期末尚未履行完毕的承诺事项。</w:t>
      </w:r>
    </w:p>
    <w:p>
      <w:pPr>
        <w:spacing w:line="240" w:lineRule="auto" w:before="7"/>
        <w:rPr>
          <w:rFonts w:ascii="宋体" w:hAnsi="宋体" w:cs="宋体" w:eastAsia="宋体" w:hint="default"/>
          <w:sz w:val="23"/>
          <w:szCs w:val="23"/>
        </w:rPr>
      </w:pPr>
    </w:p>
    <w:p>
      <w:pPr>
        <w:pStyle w:val="Heading3"/>
        <w:spacing w:line="259" w:lineRule="auto"/>
        <w:ind w:right="111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116"/>
        <w:jc w:val="left"/>
        <w:rPr>
          <w:b w:val="0"/>
          <w:bCs w:val="0"/>
        </w:rPr>
      </w:pPr>
      <w:r>
        <w:rPr/>
        <w:t>三、控股股东及其关联方对上市公司的非经营性占用资金情况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16"/>
        <w:jc w:val="left"/>
      </w:pPr>
      <w:r>
        <w:rPr/>
        <w:t>公司报告期不存在控股股东及其关联方对上市公司的非经营性占用资金。</w:t>
      </w:r>
    </w:p>
    <w:p>
      <w:pPr>
        <w:spacing w:line="240" w:lineRule="auto" w:before="11"/>
        <w:rPr>
          <w:rFonts w:ascii="宋体" w:hAnsi="宋体" w:cs="宋体" w:eastAsia="宋体" w:hint="default"/>
          <w:sz w:val="23"/>
          <w:szCs w:val="23"/>
        </w:rPr>
      </w:pPr>
    </w:p>
    <w:p>
      <w:pPr>
        <w:pStyle w:val="Heading2"/>
        <w:spacing w:line="240" w:lineRule="auto"/>
        <w:ind w:right="1116"/>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998"/>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116"/>
        <w:jc w:val="left"/>
        <w:rPr>
          <w:b w:val="0"/>
          <w:bCs w:val="0"/>
        </w:rPr>
      </w:pPr>
      <w:r>
        <w:rPr/>
        <w:t>六、董事会关于报告期会计政策、会计估计变更或重大会计差错更正的说明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56" w:lineRule="auto" w:before="59"/>
        <w:ind w:left="573" w:right="998"/>
        <w:jc w:val="left"/>
      </w:pPr>
      <w:r>
        <w:rPr>
          <w:rFonts w:ascii="Times New Roman" w:hAnsi="Times New Roman" w:cs="Times New Roman" w:eastAsia="Times New Roman" w:hint="default"/>
        </w:rPr>
        <w:t>1</w:t>
      </w:r>
      <w:r>
        <w:rPr/>
        <w:t>、财务报表列报项目变更说明</w:t>
      </w:r>
      <w:r>
        <w:rPr>
          <w:w w:val="100"/>
        </w:rPr>
        <w:t> </w:t>
      </w:r>
      <w:r>
        <w:rPr>
          <w:spacing w:val="-6"/>
          <w:w w:val="100"/>
        </w:rPr>
        <w:t>财政部于</w:t>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4</w:t>
      </w:r>
      <w:r>
        <w:rPr>
          <w:spacing w:val="-6"/>
          <w:w w:val="100"/>
        </w:rPr>
        <w:t>月</w:t>
      </w:r>
      <w:r>
        <w:rPr>
          <w:rFonts w:ascii="Times New Roman" w:hAnsi="Times New Roman" w:cs="Times New Roman" w:eastAsia="Times New Roman" w:hint="default"/>
          <w:spacing w:val="-6"/>
          <w:w w:val="100"/>
        </w:rPr>
        <w:t>30</w:t>
      </w:r>
      <w:r>
        <w:rPr>
          <w:spacing w:val="-6"/>
          <w:w w:val="100"/>
        </w:rPr>
        <w:t>日发布了《关于修订印发</w:t>
      </w:r>
      <w:r>
        <w:rPr>
          <w:rFonts w:ascii="Times New Roman" w:hAnsi="Times New Roman" w:cs="Times New Roman" w:eastAsia="Times New Roman" w:hint="default"/>
          <w:spacing w:val="-6"/>
          <w:w w:val="100"/>
        </w:rPr>
        <w:t>2019</w:t>
      </w:r>
      <w:r>
        <w:rPr>
          <w:spacing w:val="-6"/>
          <w:w w:val="100"/>
        </w:rPr>
        <w:t>年度一般企业财务报表格式的通知》（财会〔</w:t>
      </w:r>
      <w:r>
        <w:rPr>
          <w:rFonts w:ascii="Times New Roman" w:hAnsi="Times New Roman" w:cs="Times New Roman" w:eastAsia="Times New Roman" w:hint="default"/>
          <w:spacing w:val="-6"/>
          <w:w w:val="100"/>
        </w:rPr>
        <w:t>2019</w:t>
      </w:r>
      <w:r>
        <w:rPr>
          <w:spacing w:val="-6"/>
          <w:w w:val="100"/>
        </w:rPr>
        <w:t>〕</w:t>
      </w:r>
    </w:p>
    <w:p>
      <w:pPr>
        <w:pStyle w:val="BodyText"/>
        <w:spacing w:line="256" w:lineRule="auto" w:before="5"/>
        <w:ind w:right="1116"/>
        <w:jc w:val="left"/>
      </w:pPr>
      <w:r>
        <w:rPr>
          <w:rFonts w:ascii="Times New Roman" w:hAnsi="Times New Roman" w:cs="Times New Roman" w:eastAsia="Times New Roman" w:hint="default"/>
        </w:rPr>
        <w:t>6</w:t>
      </w:r>
      <w:r>
        <w:rPr/>
        <w:t>号），对一般企业财务报表格式进行了修订，拆分部分资产负债表项目，和调整部分利润表项目。本公</w:t>
      </w:r>
      <w:r>
        <w:rPr>
          <w:w w:val="100"/>
        </w:rPr>
        <w:t> </w:t>
      </w:r>
      <w:r>
        <w:rPr>
          <w:spacing w:val="-2"/>
        </w:rPr>
        <w:t>司已经根据新的企业财务报表格式的要求编制财务报表，财务报表的列报项目因此发生变更的，已经按照</w:t>
      </w:r>
    </w:p>
    <w:p>
      <w:pPr>
        <w:pStyle w:val="BodyText"/>
        <w:spacing w:line="256" w:lineRule="auto" w:before="22"/>
        <w:ind w:left="573" w:right="1116" w:hanging="421"/>
        <w:jc w:val="left"/>
      </w:pPr>
      <w:r>
        <w:rPr>
          <w:spacing w:val="-2"/>
        </w:rPr>
        <w:t>《企业会计准则第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财务报表列报》等的相关规定，对可比期间的比较数据进行调整。</w:t>
      </w:r>
      <w:r>
        <w:rPr>
          <w:spacing w:val="-26"/>
        </w:rPr>
        <w:t> </w:t>
      </w:r>
      <w:r>
        <w:rPr>
          <w:spacing w:val="-26"/>
        </w:rPr>
      </w:r>
      <w:r>
        <w:rPr/>
        <w:t>对可比期间的财务报表列报项目及金额的影响如下：</w:t>
      </w:r>
    </w:p>
    <w:p>
      <w:pPr>
        <w:spacing w:line="240" w:lineRule="auto" w:before="9"/>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369"/>
        <w:gridCol w:w="2571"/>
        <w:gridCol w:w="2381"/>
        <w:gridCol w:w="2338"/>
      </w:tblGrid>
      <w:tr>
        <w:trPr>
          <w:trHeight w:val="343" w:hRule="exact"/>
        </w:trPr>
        <w:tc>
          <w:tcPr>
            <w:tcW w:w="49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570"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454"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1" w:hRule="exact"/>
        </w:trPr>
        <w:tc>
          <w:tcPr>
            <w:tcW w:w="2369" w:type="dxa"/>
            <w:vMerge w:val="restart"/>
            <w:tcBorders>
              <w:top w:val="single" w:sz="4" w:space="0" w:color="000000"/>
              <w:left w:val="nil" w:sz="6" w:space="0" w:color="auto"/>
              <w:right w:val="single" w:sz="4"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71" w:type="dxa"/>
            <w:vMerge w:val="restart"/>
            <w:tcBorders>
              <w:top w:val="single" w:sz="4" w:space="0" w:color="000000"/>
              <w:left w:val="single" w:sz="4" w:space="0" w:color="000000"/>
              <w:right w:val="single" w:sz="4" w:space="0" w:color="000000"/>
            </w:tcBorders>
          </w:tcPr>
          <w:p>
            <w:pPr>
              <w:pStyle w:val="TableParagraph"/>
              <w:spacing w:line="240" w:lineRule="auto" w:before="60"/>
              <w:ind w:left="1522" w:right="0"/>
              <w:jc w:val="left"/>
              <w:rPr>
                <w:rFonts w:ascii="Times New Roman" w:hAnsi="Times New Roman" w:cs="Times New Roman" w:eastAsia="Times New Roman" w:hint="default"/>
                <w:sz w:val="18"/>
                <w:szCs w:val="18"/>
              </w:rPr>
            </w:pPr>
            <w:r>
              <w:rPr>
                <w:rFonts w:ascii="Times New Roman"/>
                <w:sz w:val="18"/>
              </w:rPr>
              <w:t>31,829,378.42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344" w:hRule="exact"/>
        </w:trPr>
        <w:tc>
          <w:tcPr>
            <w:tcW w:w="2369" w:type="dxa"/>
            <w:vMerge/>
            <w:tcBorders>
              <w:left w:val="nil" w:sz="6" w:space="0" w:color="auto"/>
              <w:bottom w:val="single" w:sz="4" w:space="0" w:color="000000"/>
              <w:right w:val="single" w:sz="4" w:space="0" w:color="000000"/>
            </w:tcBorders>
          </w:tcPr>
          <w:p>
            <w:pPr/>
          </w:p>
        </w:tc>
        <w:tc>
          <w:tcPr>
            <w:tcW w:w="2571" w:type="dxa"/>
            <w:vMerge/>
            <w:tcBorders>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23,479,957.90</w:t>
            </w:r>
          </w:p>
        </w:tc>
      </w:tr>
      <w:tr>
        <w:trPr>
          <w:trHeight w:val="341" w:hRule="exact"/>
        </w:trPr>
        <w:tc>
          <w:tcPr>
            <w:tcW w:w="2369" w:type="dxa"/>
            <w:vMerge w:val="restart"/>
            <w:tcBorders>
              <w:top w:val="single" w:sz="4" w:space="0" w:color="000000"/>
              <w:left w:val="nil" w:sz="6" w:space="0" w:color="auto"/>
              <w:right w:val="single" w:sz="4"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71" w:type="dxa"/>
            <w:vMerge w:val="restart"/>
            <w:tcBorders>
              <w:top w:val="single" w:sz="4" w:space="0" w:color="000000"/>
              <w:left w:val="single" w:sz="4" w:space="0" w:color="000000"/>
              <w:right w:val="single" w:sz="4" w:space="0" w:color="000000"/>
            </w:tcBorders>
          </w:tcPr>
          <w:p>
            <w:pPr>
              <w:pStyle w:val="TableParagraph"/>
              <w:spacing w:line="240" w:lineRule="auto" w:before="60"/>
              <w:ind w:left="1522" w:right="0"/>
              <w:jc w:val="left"/>
              <w:rPr>
                <w:rFonts w:ascii="Times New Roman" w:hAnsi="Times New Roman" w:cs="Times New Roman" w:eastAsia="Times New Roman" w:hint="default"/>
                <w:sz w:val="18"/>
                <w:szCs w:val="18"/>
              </w:rPr>
            </w:pPr>
            <w:r>
              <w:rPr>
                <w:rFonts w:ascii="Times New Roman"/>
                <w:sz w:val="18"/>
              </w:rPr>
              <w:t>42,387,053.65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15,633,491.12</w:t>
            </w:r>
          </w:p>
        </w:tc>
      </w:tr>
      <w:tr>
        <w:trPr>
          <w:trHeight w:val="343" w:hRule="exact"/>
        </w:trPr>
        <w:tc>
          <w:tcPr>
            <w:tcW w:w="2369" w:type="dxa"/>
            <w:vMerge/>
            <w:tcBorders>
              <w:left w:val="nil" w:sz="6" w:space="0" w:color="auto"/>
              <w:bottom w:val="single" w:sz="4" w:space="0" w:color="000000"/>
              <w:right w:val="single" w:sz="4" w:space="0" w:color="000000"/>
            </w:tcBorders>
          </w:tcPr>
          <w:p>
            <w:pPr/>
          </w:p>
        </w:tc>
        <w:tc>
          <w:tcPr>
            <w:tcW w:w="2571" w:type="dxa"/>
            <w:vMerge/>
            <w:tcBorders>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26,753,562.53</w:t>
            </w:r>
          </w:p>
        </w:tc>
      </w:tr>
    </w:tbl>
    <w:p>
      <w:pPr>
        <w:pStyle w:val="BodyText"/>
        <w:spacing w:line="278" w:lineRule="exact"/>
        <w:ind w:left="573" w:right="1116"/>
        <w:jc w:val="left"/>
      </w:pPr>
      <w:r>
        <w:rPr>
          <w:rFonts w:ascii="Times New Roman" w:hAnsi="Times New Roman" w:cs="Times New Roman" w:eastAsia="Times New Roman" w:hint="default"/>
        </w:rPr>
        <w:t>2</w:t>
      </w:r>
      <w:r>
        <w:rPr/>
        <w:t>、会计政策变更</w:t>
      </w:r>
    </w:p>
    <w:p>
      <w:pPr>
        <w:pStyle w:val="BodyText"/>
        <w:spacing w:line="256" w:lineRule="auto" w:before="21"/>
        <w:ind w:right="1126" w:firstLine="420"/>
        <w:jc w:val="both"/>
      </w:pPr>
      <w:r>
        <w:rPr>
          <w:spacing w:val="-7"/>
          <w:w w:val="100"/>
        </w:rPr>
        <w:t>本公司自</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1</w:t>
      </w:r>
      <w:r>
        <w:rPr>
          <w:spacing w:val="-7"/>
          <w:w w:val="100"/>
        </w:rPr>
        <w:t>月</w:t>
      </w:r>
      <w:r>
        <w:rPr>
          <w:rFonts w:ascii="Times New Roman" w:hAnsi="Times New Roman" w:cs="Times New Roman" w:eastAsia="Times New Roman" w:hint="default"/>
          <w:spacing w:val="-7"/>
          <w:w w:val="100"/>
        </w:rPr>
        <w:t>1</w:t>
      </w:r>
      <w:r>
        <w:rPr>
          <w:spacing w:val="-7"/>
          <w:w w:val="100"/>
        </w:rPr>
        <w:t>日起执行财政部</w:t>
      </w:r>
      <w:r>
        <w:rPr>
          <w:rFonts w:ascii="Times New Roman" w:hAnsi="Times New Roman" w:cs="Times New Roman" w:eastAsia="Times New Roman" w:hint="default"/>
          <w:spacing w:val="-7"/>
          <w:w w:val="100"/>
        </w:rPr>
        <w:t>2017</w:t>
      </w:r>
      <w:r>
        <w:rPr>
          <w:spacing w:val="-7"/>
          <w:w w:val="100"/>
        </w:rPr>
        <w:t>年修订的《企业会计准则第</w:t>
      </w:r>
      <w:r>
        <w:rPr>
          <w:rFonts w:ascii="Times New Roman" w:hAnsi="Times New Roman" w:cs="Times New Roman" w:eastAsia="Times New Roman" w:hint="default"/>
          <w:spacing w:val="-7"/>
          <w:w w:val="100"/>
        </w:rPr>
        <w:t>22</w:t>
      </w:r>
      <w:r>
        <w:rPr>
          <w:spacing w:val="-7"/>
          <w:w w:val="100"/>
        </w:rPr>
        <w:t>号</w:t>
      </w:r>
      <w:r>
        <w:rPr>
          <w:rFonts w:ascii="Times New Roman" w:hAnsi="Times New Roman" w:cs="Times New Roman" w:eastAsia="Times New Roman" w:hint="default"/>
          <w:spacing w:val="-7"/>
          <w:w w:val="100"/>
        </w:rPr>
        <w:t>-</w:t>
      </w:r>
      <w:r>
        <w:rPr>
          <w:spacing w:val="-7"/>
          <w:w w:val="100"/>
        </w:rPr>
        <w:t>金融工具确认和计量》、《企</w:t>
      </w:r>
      <w:r>
        <w:rPr>
          <w:w w:val="100"/>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w:t>
      </w:r>
      <w:r>
        <w:rPr>
          <w:spacing w:val="-34"/>
        </w:rPr>
        <w:t> </w:t>
      </w:r>
      <w:r>
        <w:rPr>
          <w:spacing w:val="-34"/>
        </w:rPr>
      </w:r>
      <w:r>
        <w:rPr/>
        <w:t>具列报》（以上四项统称</w:t>
      </w:r>
      <w:r>
        <w:rPr>
          <w:rFonts w:ascii="Times New Roman" w:hAnsi="Times New Roman" w:cs="Times New Roman" w:eastAsia="Times New Roman" w:hint="default"/>
        </w:rPr>
        <w:t>&lt;</w:t>
      </w:r>
      <w:r>
        <w:rPr/>
        <w:t>新金融工具准则</w:t>
      </w:r>
      <w:r>
        <w:rPr>
          <w:rFonts w:ascii="Times New Roman" w:hAnsi="Times New Roman" w:cs="Times New Roman" w:eastAsia="Times New Roman" w:hint="default"/>
        </w:rPr>
        <w:t>&gt;</w:t>
      </w:r>
      <w:r>
        <w:rPr/>
        <w:t>）。</w:t>
      </w:r>
    </w:p>
    <w:p>
      <w:pPr>
        <w:spacing w:line="256" w:lineRule="auto" w:before="125"/>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）执行新金融工具准则对本公司的影响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于</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日之前的金融工具确认和计量与新金融工具准则要求不一致的，本公司按照新金融工具</w:t>
      </w:r>
    </w:p>
    <w:p>
      <w:pPr>
        <w:pStyle w:val="BodyText"/>
        <w:spacing w:line="266" w:lineRule="auto" w:before="5"/>
        <w:ind w:right="1126"/>
        <w:jc w:val="both"/>
      </w:pPr>
      <w:r>
        <w:rPr>
          <w:spacing w:val="-2"/>
        </w:rPr>
        <w:t>准则的要求进行衔接调整。涉及前期比较财务报表数据与新金融工具准则要求不一致的，本公司未调整可</w:t>
      </w:r>
      <w:r>
        <w:rPr>
          <w:spacing w:val="-44"/>
        </w:rPr>
        <w:t> </w:t>
      </w:r>
      <w:r>
        <w:rPr>
          <w:spacing w:val="-44"/>
        </w:rPr>
      </w:r>
      <w:r>
        <w:rPr>
          <w:spacing w:val="-2"/>
        </w:rPr>
        <w:t>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spacing w:val="-37"/>
        </w:rPr>
        <w:t> </w:t>
      </w:r>
      <w:r>
        <w:rPr/>
        <w:t>留存收益或其他综合收益。</w:t>
      </w:r>
    </w:p>
    <w:p>
      <w:pPr>
        <w:pStyle w:val="BodyText"/>
        <w:spacing w:line="240" w:lineRule="auto" w:before="14"/>
        <w:ind w:left="573" w:right="1116"/>
        <w:jc w:val="left"/>
      </w:pPr>
      <w:r>
        <w:rPr/>
        <w:t>执行新金融工具准则对本期期初资产负债表相关项目的影响列示如下：</w:t>
      </w:r>
    </w:p>
    <w:p>
      <w:pPr>
        <w:spacing w:line="240" w:lineRule="auto" w:before="10"/>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072"/>
        <w:gridCol w:w="365"/>
        <w:gridCol w:w="1109"/>
        <w:gridCol w:w="1567"/>
        <w:gridCol w:w="1440"/>
        <w:gridCol w:w="1630"/>
        <w:gridCol w:w="1490"/>
      </w:tblGrid>
      <w:tr>
        <w:trPr>
          <w:trHeight w:val="341" w:hRule="exact"/>
        </w:trPr>
        <w:tc>
          <w:tcPr>
            <w:tcW w:w="2072" w:type="dxa"/>
            <w:vMerge w:val="restart"/>
            <w:tcBorders>
              <w:top w:val="single" w:sz="4" w:space="0" w:color="000000"/>
              <w:left w:val="nil" w:sz="6" w:space="0" w:color="auto"/>
              <w:right w:val="single" w:sz="4" w:space="0" w:color="000000"/>
            </w:tcBorders>
          </w:tcPr>
          <w:p>
            <w:pPr>
              <w:pStyle w:val="TableParagraph"/>
              <w:spacing w:line="240" w:lineRule="auto" w:before="1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gridSpan w:val="2"/>
            <w:vMerge w:val="restart"/>
            <w:tcBorders>
              <w:top w:val="single" w:sz="4" w:space="0" w:color="000000"/>
              <w:left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490" w:type="dxa"/>
            <w:vMerge w:val="restart"/>
            <w:tcBorders>
              <w:top w:val="single" w:sz="4" w:space="0" w:color="000000"/>
              <w:left w:val="single" w:sz="4" w:space="0" w:color="000000"/>
              <w:right w:val="nil" w:sz="6" w:space="0" w:color="auto"/>
            </w:tcBorders>
          </w:tcPr>
          <w:p>
            <w:pPr>
              <w:pStyle w:val="TableParagraph"/>
              <w:spacing w:line="240" w:lineRule="auto" w:before="17"/>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655" w:hRule="exact"/>
        </w:trPr>
        <w:tc>
          <w:tcPr>
            <w:tcW w:w="2072" w:type="dxa"/>
            <w:vMerge/>
            <w:tcBorders>
              <w:left w:val="nil" w:sz="6" w:space="0" w:color="auto"/>
              <w:bottom w:val="single" w:sz="4" w:space="0" w:color="000000"/>
              <w:right w:val="single" w:sz="4" w:space="0" w:color="000000"/>
            </w:tcBorders>
          </w:tcPr>
          <w:p>
            <w:pPr/>
          </w:p>
        </w:tc>
        <w:tc>
          <w:tcPr>
            <w:tcW w:w="1474" w:type="dxa"/>
            <w:gridSpan w:val="2"/>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19" w:right="415"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5" w:right="353"/>
              <w:jc w:val="left"/>
              <w:rPr>
                <w:rFonts w:ascii="宋体" w:hAnsi="宋体" w:cs="宋体" w:eastAsia="宋体" w:hint="default"/>
                <w:sz w:val="18"/>
                <w:szCs w:val="18"/>
              </w:rPr>
            </w:pPr>
            <w:r>
              <w:rPr>
                <w:rFonts w:ascii="宋体" w:hAnsi="宋体" w:cs="宋体" w:eastAsia="宋体" w:hint="default"/>
                <w:sz w:val="18"/>
                <w:szCs w:val="18"/>
              </w:rPr>
              <w:t>金融资产 减值影响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490" w:type="dxa"/>
            <w:vMerge/>
            <w:tcBorders>
              <w:left w:val="single" w:sz="4" w:space="0" w:color="000000"/>
              <w:bottom w:val="single" w:sz="4" w:space="0" w:color="000000"/>
              <w:right w:val="nil" w:sz="6" w:space="0" w:color="auto"/>
            </w:tcBorders>
          </w:tcPr>
          <w:p>
            <w:pP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74" w:type="dxa"/>
            <w:gridSpan w:val="2"/>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1" w:right="0"/>
              <w:jc w:val="left"/>
              <w:rPr>
                <w:rFonts w:ascii="Times New Roman" w:hAnsi="Times New Roman" w:cs="Times New Roman" w:eastAsia="Times New Roman" w:hint="default"/>
                <w:sz w:val="18"/>
                <w:szCs w:val="18"/>
              </w:rPr>
            </w:pPr>
            <w:r>
              <w:rPr>
                <w:rFonts w:ascii="Times New Roman"/>
                <w:sz w:val="18"/>
              </w:rPr>
              <w:t>1,800,000.00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34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5" w:right="0"/>
              <w:jc w:val="left"/>
              <w:rPr>
                <w:rFonts w:ascii="Times New Roman" w:hAnsi="Times New Roman" w:cs="Times New Roman" w:eastAsia="Times New Roman" w:hint="default"/>
                <w:sz w:val="18"/>
                <w:szCs w:val="18"/>
              </w:rPr>
            </w:pPr>
            <w:r>
              <w:rPr>
                <w:rFonts w:ascii="Times New Roman"/>
                <w:sz w:val="18"/>
              </w:rPr>
              <w:t>2,597,515.04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797,515.04</w:t>
            </w: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5" w:right="0"/>
              <w:jc w:val="left"/>
              <w:rPr>
                <w:rFonts w:ascii="Times New Roman" w:hAnsi="Times New Roman" w:cs="Times New Roman" w:eastAsia="Times New Roman" w:hint="default"/>
                <w:sz w:val="18"/>
                <w:szCs w:val="18"/>
              </w:rPr>
            </w:pPr>
            <w:r>
              <w:rPr>
                <w:rFonts w:ascii="Times New Roman"/>
                <w:sz w:val="18"/>
              </w:rPr>
              <w:t>8,349,420.52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(8,349,420.52)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(8,349,420.52)</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应收款项融资（注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8,349,420.52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8,349,420.52</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50" w:right="0"/>
              <w:jc w:val="left"/>
              <w:rPr>
                <w:rFonts w:ascii="Times New Roman" w:hAnsi="Times New Roman" w:cs="Times New Roman" w:eastAsia="Times New Roman" w:hint="default"/>
                <w:sz w:val="18"/>
                <w:szCs w:val="18"/>
              </w:rPr>
            </w:pPr>
            <w:r>
              <w:rPr>
                <w:rFonts w:ascii="Times New Roman"/>
                <w:sz w:val="18"/>
              </w:rPr>
              <w:t>300,000.00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宋体" w:hAnsi="宋体" w:cs="宋体" w:eastAsia="宋体" w:hint="default"/>
                <w:spacing w:val="-32"/>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3" w:type="dxa"/>
        <w:tblLayout w:type="fixed"/>
        <w:tblCellMar>
          <w:top w:w="0" w:type="dxa"/>
          <w:left w:w="0" w:type="dxa"/>
          <w:bottom w:w="0" w:type="dxa"/>
          <w:right w:w="0" w:type="dxa"/>
        </w:tblCellMar>
        <w:tblLook w:val="01E0"/>
      </w:tblPr>
      <w:tblGrid>
        <w:gridCol w:w="2072"/>
        <w:gridCol w:w="1474"/>
        <w:gridCol w:w="1567"/>
        <w:gridCol w:w="1440"/>
        <w:gridCol w:w="1630"/>
        <w:gridCol w:w="1490"/>
      </w:tblGrid>
      <w:tr>
        <w:trPr>
          <w:trHeight w:val="344"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7" w:right="0"/>
              <w:jc w:val="left"/>
              <w:rPr>
                <w:rFonts w:ascii="Times New Roman" w:hAnsi="Times New Roman" w:cs="Times New Roman" w:eastAsia="Times New Roman" w:hint="default"/>
                <w:sz w:val="18"/>
                <w:szCs w:val="18"/>
              </w:rPr>
            </w:pPr>
            <w:r>
              <w:rPr>
                <w:rFonts w:ascii="Times New Roman"/>
                <w:sz w:val="18"/>
              </w:rPr>
              <w:t>38,658,743.56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(34,360,687.96)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(34,360,687.96)</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4,298,055.60</w:t>
            </w:r>
          </w:p>
        </w:tc>
      </w:tr>
      <w:tr>
        <w:trPr>
          <w:trHeight w:val="65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34,360,687.96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34,360,687.96</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34,360,687.96</w:t>
            </w:r>
          </w:p>
        </w:tc>
      </w:tr>
    </w:tbl>
    <w:p>
      <w:pPr>
        <w:spacing w:line="240" w:lineRule="auto" w:before="6"/>
        <w:rPr>
          <w:rFonts w:ascii="宋体" w:hAnsi="宋体" w:cs="宋体" w:eastAsia="宋体" w:hint="default"/>
          <w:sz w:val="5"/>
          <w:szCs w:val="5"/>
        </w:rPr>
      </w:pPr>
    </w:p>
    <w:p>
      <w:pPr>
        <w:pStyle w:val="BodyText"/>
        <w:spacing w:line="261" w:lineRule="auto" w:before="36"/>
        <w:ind w:right="1126" w:firstLine="420"/>
        <w:jc w:val="both"/>
      </w:pPr>
      <w:r>
        <w:rPr>
          <w:spacing w:val="-1"/>
        </w:rPr>
        <w:t>注</w:t>
      </w:r>
      <w:r>
        <w:rPr>
          <w:rFonts w:ascii="Times New Roman" w:hAnsi="Times New Roman" w:cs="Times New Roman" w:eastAsia="Times New Roman" w:hint="default"/>
          <w:spacing w:val="-1"/>
        </w:rPr>
        <w:t>1</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日，本公司投资持有账面价值</w:t>
      </w:r>
      <w:r>
        <w:rPr>
          <w:rFonts w:ascii="Times New Roman" w:hAnsi="Times New Roman" w:cs="Times New Roman" w:eastAsia="Times New Roman" w:hint="default"/>
          <w:spacing w:val="-1"/>
        </w:rPr>
        <w:t>1,800,000.00</w:t>
      </w:r>
      <w:r>
        <w:rPr>
          <w:spacing w:val="-1"/>
        </w:rPr>
        <w:t>元的上年度被分类为其他流动资产的理</w:t>
      </w:r>
      <w:r>
        <w:rPr>
          <w:w w:val="100"/>
        </w:rPr>
        <w:t> </w:t>
      </w:r>
      <w:r>
        <w:rPr>
          <w:spacing w:val="-5"/>
        </w:rPr>
        <w:t>财产品，为</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27</w:t>
      </w:r>
      <w:r>
        <w:rPr>
          <w:spacing w:val="-5"/>
        </w:rPr>
        <w:t>日购买建设银行乾元</w:t>
      </w:r>
      <w:r>
        <w:rPr>
          <w:rFonts w:ascii="Times New Roman" w:hAnsi="Times New Roman" w:cs="Times New Roman" w:eastAsia="Times New Roman" w:hint="default"/>
          <w:spacing w:val="-5"/>
        </w:rPr>
        <w:t>-</w:t>
      </w:r>
      <w:r>
        <w:rPr>
          <w:spacing w:val="-5"/>
        </w:rPr>
        <w:t>私享（对公专享）</w:t>
      </w:r>
      <w:r>
        <w:rPr>
          <w:rFonts w:ascii="Times New Roman" w:hAnsi="Times New Roman" w:cs="Times New Roman" w:eastAsia="Times New Roman" w:hint="default"/>
          <w:spacing w:val="-5"/>
        </w:rPr>
        <w:t>2018</w:t>
      </w:r>
      <w:r>
        <w:rPr>
          <w:spacing w:val="-5"/>
        </w:rPr>
        <w:t>年第</w:t>
      </w:r>
      <w:r>
        <w:rPr>
          <w:rFonts w:ascii="Times New Roman" w:hAnsi="Times New Roman" w:cs="Times New Roman" w:eastAsia="Times New Roman" w:hint="default"/>
          <w:spacing w:val="-5"/>
        </w:rPr>
        <w:t>70</w:t>
      </w:r>
      <w:r>
        <w:rPr>
          <w:spacing w:val="-5"/>
        </w:rPr>
        <w:t>期理财产品，期限</w:t>
      </w:r>
      <w:r>
        <w:rPr>
          <w:rFonts w:ascii="Times New Roman" w:hAnsi="Times New Roman" w:cs="Times New Roman" w:eastAsia="Times New Roman" w:hint="default"/>
          <w:spacing w:val="-5"/>
        </w:rPr>
        <w:t>100</w:t>
      </w:r>
      <w:r>
        <w:rPr>
          <w:spacing w:val="-5"/>
        </w:rPr>
        <w:t>天，</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日到期赎回，该金融资产属于非保本浮动收益型，以收取合同现金流量为目的，其合同现金流量代</w:t>
      </w:r>
      <w:r>
        <w:rPr>
          <w:spacing w:val="-42"/>
        </w:rPr>
        <w:t> </w:t>
      </w:r>
      <w:r>
        <w:rPr>
          <w:spacing w:val="-42"/>
        </w:rPr>
      </w:r>
      <w:r>
        <w:rPr>
          <w:spacing w:val="-2"/>
        </w:rPr>
        <w:t>表的不仅仅为对本金和以未偿本金为基础的利息的支付，因此将该理财产品重分类为以公允价值计量且其</w:t>
      </w:r>
      <w:r>
        <w:rPr>
          <w:spacing w:val="-43"/>
        </w:rPr>
        <w:t> </w:t>
      </w:r>
      <w:r>
        <w:rPr>
          <w:spacing w:val="-43"/>
        </w:rPr>
      </w:r>
      <w:r>
        <w:rPr/>
        <w:t>变动计入当期损益的金融资产，列报为交易性金融资产。</w:t>
      </w:r>
    </w:p>
    <w:p>
      <w:pPr>
        <w:pStyle w:val="BodyText"/>
        <w:spacing w:line="266" w:lineRule="auto" w:before="138"/>
        <w:ind w:right="1126" w:firstLine="420"/>
        <w:jc w:val="both"/>
      </w:pPr>
      <w:r>
        <w:rPr/>
        <w:t>注</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日，本公司在管理应收票据时，经常性地将全部或绝大部分未到期的票据进行贴</w:t>
      </w:r>
      <w:r>
        <w:rPr>
          <w:w w:val="100"/>
        </w:rPr>
        <w:t> </w:t>
      </w:r>
      <w:r>
        <w:rPr>
          <w:spacing w:val="-2"/>
        </w:rPr>
        <w:t>现或背书，管理应收票据的业务模式既以收取合同现金流量为目标又以出售为目标，分类为以公允价值计</w:t>
      </w:r>
      <w:r>
        <w:rPr>
          <w:spacing w:val="-43"/>
        </w:rPr>
        <w:t> </w:t>
      </w:r>
      <w:r>
        <w:rPr>
          <w:spacing w:val="-43"/>
        </w:rPr>
      </w:r>
      <w:r>
        <w:rPr/>
        <w:t>量且其变动计入其他综合收益的金融资产，列报为应收款项融资项目。</w:t>
      </w:r>
    </w:p>
    <w:p>
      <w:pPr>
        <w:pStyle w:val="BodyText"/>
        <w:spacing w:line="256" w:lineRule="auto" w:before="134"/>
        <w:ind w:right="998" w:firstLine="420"/>
        <w:jc w:val="left"/>
      </w:pPr>
      <w:r>
        <w:rPr>
          <w:spacing w:val="-6"/>
        </w:rPr>
        <w:t>注</w:t>
      </w:r>
      <w:r>
        <w:rPr>
          <w:rFonts w:ascii="Times New Roman" w:hAnsi="Times New Roman" w:cs="Times New Roman" w:eastAsia="Times New Roman" w:hint="default"/>
          <w:spacing w:val="-6"/>
        </w:rPr>
        <w:t>3</w:t>
      </w:r>
      <w:r>
        <w:rPr>
          <w:spacing w:val="-6"/>
        </w:rPr>
        <w:t>：于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日，本公司认为对玩偶一号（武汉）科技有限公司（简称</w:t>
      </w:r>
      <w:r>
        <w:rPr>
          <w:rFonts w:ascii="Times New Roman" w:hAnsi="Times New Roman" w:cs="Times New Roman" w:eastAsia="Times New Roman" w:hint="default"/>
          <w:spacing w:val="-6"/>
        </w:rPr>
        <w:t>“</w:t>
      </w:r>
      <w:r>
        <w:rPr>
          <w:spacing w:val="-6"/>
        </w:rPr>
        <w:t>玩偶一号</w:t>
      </w:r>
      <w:r>
        <w:rPr>
          <w:rFonts w:ascii="Times New Roman" w:hAnsi="Times New Roman" w:cs="Times New Roman" w:eastAsia="Times New Roman" w:hint="default"/>
          <w:spacing w:val="-6"/>
        </w:rPr>
        <w:t>”</w:t>
      </w:r>
      <w:r>
        <w:rPr>
          <w:spacing w:val="-6"/>
        </w:rPr>
        <w:t>）的股权投资，</w:t>
      </w:r>
      <w:r>
        <w:rPr>
          <w:w w:val="100"/>
        </w:rPr>
        <w:t> </w:t>
      </w:r>
      <w:r>
        <w:rPr/>
        <w:t>不符合</w:t>
      </w:r>
      <w:r>
        <w:rPr>
          <w:rFonts w:ascii="Times New Roman" w:hAnsi="Times New Roman" w:cs="Times New Roman" w:eastAsia="Times New Roman" w:hint="default"/>
        </w:rPr>
        <w:t>“</w:t>
      </w:r>
      <w:r>
        <w:rPr/>
        <w:t>本金</w:t>
      </w:r>
      <w:r>
        <w:rPr>
          <w:rFonts w:ascii="Times New Roman" w:hAnsi="Times New Roman" w:cs="Times New Roman" w:eastAsia="Times New Roman" w:hint="default"/>
        </w:rPr>
        <w:t>+</w:t>
      </w:r>
      <w:r>
        <w:rPr/>
        <w:t>利息</w:t>
      </w:r>
      <w:r>
        <w:rPr>
          <w:rFonts w:ascii="Times New Roman" w:hAnsi="Times New Roman" w:cs="Times New Roman" w:eastAsia="Times New Roman" w:hint="default"/>
        </w:rPr>
        <w:t>”</w:t>
      </w:r>
      <w:r>
        <w:rPr/>
        <w:t>模式收取现金合同现金流量的客观迹象；本公司持股目的系为增进业务上的长期战略</w:t>
      </w:r>
      <w:r>
        <w:rPr>
          <w:spacing w:val="-15"/>
        </w:rPr>
        <w:t> </w:t>
      </w:r>
      <w:r>
        <w:rPr>
          <w:spacing w:val="-15"/>
        </w:rPr>
      </w:r>
      <w:r>
        <w:rPr/>
        <w:t>性合作，非用于股权交易，意图长期持有，因此将其指定为其他权益工具投资。</w:t>
      </w:r>
    </w:p>
    <w:p>
      <w:pPr>
        <w:pStyle w:val="BodyText"/>
        <w:spacing w:line="256" w:lineRule="auto" w:before="142"/>
        <w:ind w:right="998" w:firstLine="420"/>
        <w:jc w:val="left"/>
      </w:pPr>
      <w:r>
        <w:rPr>
          <w:spacing w:val="-3"/>
        </w:rPr>
        <w:t>注</w:t>
      </w:r>
      <w:r>
        <w:rPr>
          <w:rFonts w:ascii="Times New Roman" w:hAnsi="Times New Roman" w:cs="Times New Roman" w:eastAsia="Times New Roman" w:hint="default"/>
          <w:spacing w:val="-3"/>
        </w:rPr>
        <w:t>4</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日，本公司认为其持有新余云尚投资合伙企业（有限合伙）的投资</w:t>
      </w:r>
      <w:r>
        <w:rPr>
          <w:rFonts w:ascii="Times New Roman" w:hAnsi="Times New Roman" w:cs="Times New Roman" w:eastAsia="Times New Roman" w:hint="default"/>
          <w:spacing w:val="-3"/>
        </w:rPr>
        <w:t>8,041,124.66</w:t>
      </w:r>
      <w:r>
        <w:rPr>
          <w:spacing w:val="-3"/>
        </w:rPr>
        <w:t>元，</w:t>
      </w:r>
      <w:r>
        <w:rPr>
          <w:w w:val="100"/>
        </w:rPr>
        <w:t> </w:t>
      </w:r>
      <w:r>
        <w:rPr/>
        <w:t>股份占比</w:t>
      </w:r>
      <w:r>
        <w:rPr>
          <w:rFonts w:ascii="Times New Roman" w:hAnsi="Times New Roman" w:cs="Times New Roman" w:eastAsia="Times New Roman" w:hint="default"/>
        </w:rPr>
        <w:t>43.05%</w:t>
      </w:r>
      <w:r>
        <w:rPr/>
        <w:t>，和持有武汉高投金运激光产业投资基金合伙企业（有限合伙）的投资</w:t>
      </w:r>
      <w:r>
        <w:rPr>
          <w:rFonts w:ascii="Times New Roman" w:hAnsi="Times New Roman" w:cs="Times New Roman" w:eastAsia="Times New Roman" w:hint="default"/>
        </w:rPr>
        <w:t>26,319,563.30</w:t>
      </w:r>
      <w:r>
        <w:rPr/>
        <w:t>元，</w:t>
      </w:r>
      <w:r>
        <w:rPr>
          <w:spacing w:val="-99"/>
        </w:rPr>
        <w:t> </w:t>
      </w:r>
      <w:r>
        <w:rPr/>
        <w:t>股份占比</w:t>
      </w:r>
      <w:r>
        <w:rPr>
          <w:rFonts w:ascii="Times New Roman" w:hAnsi="Times New Roman" w:cs="Times New Roman" w:eastAsia="Times New Roman" w:hint="default"/>
        </w:rPr>
        <w:t>52.20%</w:t>
      </w:r>
      <w:r>
        <w:rPr/>
        <w:t>，由于在发行方角度均不符合</w:t>
      </w:r>
      <w:r>
        <w:rPr>
          <w:rFonts w:ascii="Times New Roman" w:hAnsi="Times New Roman" w:cs="Times New Roman" w:eastAsia="Times New Roman" w:hint="default"/>
        </w:rPr>
        <w:t>CAS37 </w:t>
      </w:r>
      <w:r>
        <w:rPr/>
        <w:t>关于权益工具的定义，即使本公司持有这些投资的</w:t>
      </w:r>
      <w:r>
        <w:rPr>
          <w:spacing w:val="-86"/>
        </w:rPr>
        <w:t> </w:t>
      </w:r>
      <w:r>
        <w:rPr>
          <w:spacing w:val="-86"/>
        </w:rPr>
      </w:r>
      <w:r>
        <w:rPr/>
        <w:t>目的不是交易性的，也不能将其指定</w:t>
      </w:r>
      <w:r>
        <w:rPr>
          <w:rFonts w:ascii="Times New Roman" w:hAnsi="Times New Roman" w:cs="Times New Roman" w:eastAsia="Times New Roman" w:hint="default"/>
        </w:rPr>
        <w:t>FVOCI</w:t>
      </w:r>
      <w:r>
        <w:rPr/>
        <w:t>，只能为分为</w:t>
      </w:r>
      <w:r>
        <w:rPr>
          <w:spacing w:val="-7"/>
        </w:rPr>
        <w:t> </w:t>
      </w:r>
      <w:r>
        <w:rPr>
          <w:rFonts w:ascii="Times New Roman" w:hAnsi="Times New Roman" w:cs="Times New Roman" w:eastAsia="Times New Roman" w:hint="default"/>
        </w:rPr>
        <w:t>FVTPL</w:t>
      </w:r>
      <w:r>
        <w:rPr/>
        <w:t>，列报为其他非流动金融资产。</w:t>
      </w:r>
    </w:p>
    <w:p>
      <w:pPr>
        <w:spacing w:line="256" w:lineRule="auto" w:before="5"/>
        <w:ind w:left="573" w:right="550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本报告期主要会计估计未发生变更。</w:t>
      </w:r>
    </w:p>
    <w:p>
      <w:pPr>
        <w:spacing w:line="240" w:lineRule="auto" w:before="10"/>
        <w:rPr>
          <w:rFonts w:ascii="宋体" w:hAnsi="宋体" w:cs="宋体" w:eastAsia="宋体" w:hint="default"/>
          <w:sz w:val="22"/>
          <w:szCs w:val="22"/>
        </w:rPr>
      </w:pPr>
    </w:p>
    <w:p>
      <w:pPr>
        <w:pStyle w:val="Heading2"/>
        <w:spacing w:line="240" w:lineRule="auto"/>
        <w:ind w:right="1116"/>
        <w:jc w:val="left"/>
        <w:rPr>
          <w:b w:val="0"/>
          <w:bCs w:val="0"/>
        </w:rPr>
      </w:pPr>
      <w:r>
        <w:rPr/>
        <w:t>七、与上年度财务报告相比，合并报表范围发生变化的情况说明</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公司报告期无合并报表范围发生变化的情况。</w:t>
      </w:r>
    </w:p>
    <w:p>
      <w:pPr>
        <w:spacing w:line="240" w:lineRule="auto" w:before="6"/>
        <w:rPr>
          <w:rFonts w:ascii="宋体" w:hAnsi="宋体" w:cs="宋体" w:eastAsia="宋体" w:hint="default"/>
          <w:sz w:val="20"/>
          <w:szCs w:val="20"/>
        </w:rPr>
      </w:pPr>
    </w:p>
    <w:p>
      <w:pPr>
        <w:pStyle w:val="Heading2"/>
        <w:spacing w:line="240" w:lineRule="auto"/>
        <w:ind w:right="1116"/>
        <w:jc w:val="left"/>
        <w:rPr>
          <w:b w:val="0"/>
          <w:bCs w:val="0"/>
        </w:rPr>
      </w:pPr>
      <w:r>
        <w:rPr/>
        <w:t>八、聘任、解聘会计师事务所情况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现聘任的会计师事务所</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91"/>
        <w:gridCol w:w="4779"/>
      </w:tblGrid>
      <w:tr>
        <w:trPr>
          <w:trHeight w:val="401" w:hRule="exact"/>
        </w:trPr>
        <w:tc>
          <w:tcPr>
            <w:tcW w:w="4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4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3" w:hRule="exact"/>
        </w:trPr>
        <w:tc>
          <w:tcPr>
            <w:tcW w:w="4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方建新、邓清平</w:t>
            </w:r>
          </w:p>
        </w:tc>
      </w:tr>
      <w:tr>
        <w:trPr>
          <w:trHeight w:val="401" w:hRule="exact"/>
        </w:trPr>
        <w:tc>
          <w:tcPr>
            <w:tcW w:w="4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bl>
    <w:p>
      <w:pPr>
        <w:pStyle w:val="BodyText"/>
        <w:spacing w:line="240" w:lineRule="auto" w:before="28"/>
        <w:ind w:right="1116"/>
        <w:jc w:val="left"/>
      </w:pPr>
      <w:r>
        <w:rPr/>
        <w:t>是否改聘会计师事务所</w:t>
      </w:r>
    </w:p>
    <w:p>
      <w:pPr>
        <w:pStyle w:val="BodyText"/>
        <w:spacing w:line="290" w:lineRule="auto" w:before="78"/>
        <w:ind w:right="55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聘请内部控制审计会计师事务所、财务顾问或保荐人情况</w:t>
      </w:r>
    </w:p>
    <w:p>
      <w:pPr>
        <w:pStyle w:val="BodyText"/>
        <w:spacing w:line="240" w:lineRule="auto" w:before="34"/>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6"/>
        <w:jc w:val="left"/>
        <w:rPr>
          <w:b w:val="0"/>
          <w:bCs w:val="0"/>
        </w:rPr>
      </w:pPr>
      <w:r>
        <w:rPr/>
        <w:t>九、年度报告披露后面临暂停上市和终止上市情况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1116"/>
        <w:jc w:val="left"/>
        <w:rPr>
          <w:b w:val="0"/>
          <w:bCs w:val="0"/>
        </w:rPr>
      </w:pPr>
      <w:r>
        <w:rPr/>
        <w:t>十、破产重整相关事项</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6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line="240" w:lineRule="auto" w:before="4"/>
        <w:rPr>
          <w:rFonts w:ascii="宋体" w:hAnsi="宋体" w:cs="宋体" w:eastAsia="宋体" w:hint="default"/>
          <w:sz w:val="20"/>
          <w:szCs w:val="20"/>
        </w:rPr>
      </w:pPr>
    </w:p>
    <w:p>
      <w:pPr>
        <w:pStyle w:val="Heading2"/>
        <w:spacing w:line="240" w:lineRule="auto"/>
        <w:ind w:right="1116"/>
        <w:jc w:val="left"/>
        <w:rPr>
          <w:b w:val="0"/>
          <w:bCs w:val="0"/>
        </w:rPr>
      </w:pPr>
      <w:r>
        <w:rPr/>
        <w:t>十一、重大诉讼、仲裁事项</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本年度公司无重大诉讼、仲裁事项。</w:t>
      </w:r>
      <w:r>
        <w:rPr>
          <w:spacing w:val="-72"/>
        </w:rPr>
        <w:t> </w:t>
      </w:r>
      <w:r>
        <w:rPr>
          <w:spacing w:val="-72"/>
        </w:rPr>
      </w:r>
      <w:r>
        <w:rPr/>
        <w:t>其他诉讼事项</w:t>
      </w:r>
    </w:p>
    <w:p>
      <w:pPr>
        <w:pStyle w:val="BodyText"/>
        <w:spacing w:line="240" w:lineRule="auto" w:before="23"/>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11"/>
        <w:gridCol w:w="1097"/>
        <w:gridCol w:w="2012"/>
        <w:gridCol w:w="2012"/>
        <w:gridCol w:w="1464"/>
      </w:tblGrid>
      <w:tr>
        <w:trPr>
          <w:trHeight w:val="754" w:hRule="exact"/>
        </w:trPr>
        <w:tc>
          <w:tcPr>
            <w:tcW w:w="31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3" w:right="776"/>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4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00" w:lineRule="auto" w:before="68"/>
              <w:ind w:left="23" w:right="53"/>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r>
      <w:tr>
        <w:trPr>
          <w:trHeight w:val="715"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公司与我公司合同纠纷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153.4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已审结</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因合同解除，未履行的不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再继续履行</w:t>
            </w:r>
          </w:p>
        </w:tc>
        <w:tc>
          <w:tcPr>
            <w:tcW w:w="1464" w:type="dxa"/>
            <w:tcBorders>
              <w:top w:val="single" w:sz="12" w:space="0" w:color="D2D2D2"/>
              <w:left w:val="single" w:sz="4" w:space="0" w:color="000000"/>
              <w:bottom w:val="single" w:sz="4" w:space="0" w:color="000000"/>
              <w:right w:val="nil" w:sz="6" w:space="0" w:color="auto"/>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结案</w:t>
            </w:r>
          </w:p>
        </w:tc>
      </w:tr>
      <w:tr>
        <w:trPr>
          <w:trHeight w:val="401"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被告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公司与我公司原物返还纠纷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未审结</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未执行</w:t>
            </w:r>
          </w:p>
        </w:tc>
      </w:tr>
      <w:tr>
        <w:trPr>
          <w:trHeight w:val="404"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被告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公司与我公司合同纠纷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被告支付后</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被告支付后</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1"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被告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公司与我公司合同纠纷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未审结</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未执行</w:t>
            </w:r>
          </w:p>
        </w:tc>
      </w:tr>
      <w:tr>
        <w:trPr>
          <w:trHeight w:val="403"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被告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公司与我公司合同纠纷</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被告支付后</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被告支付后</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十二、处罚及整改情况</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公司报告期不存在处罚及整改情况。</w:t>
      </w:r>
    </w:p>
    <w:p>
      <w:pPr>
        <w:spacing w:line="240" w:lineRule="auto" w:before="7"/>
        <w:rPr>
          <w:rFonts w:ascii="宋体" w:hAnsi="宋体" w:cs="宋体" w:eastAsia="宋体" w:hint="default"/>
          <w:sz w:val="20"/>
          <w:szCs w:val="20"/>
        </w:rPr>
      </w:pPr>
    </w:p>
    <w:p>
      <w:pPr>
        <w:pStyle w:val="Heading2"/>
        <w:spacing w:line="240" w:lineRule="auto"/>
        <w:ind w:right="1116"/>
        <w:jc w:val="left"/>
        <w:rPr>
          <w:b w:val="0"/>
          <w:bCs w:val="0"/>
        </w:rPr>
      </w:pPr>
      <w:r>
        <w:rPr/>
        <w:t>十三、公司及其控股股东、实际控制人的诚信状况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1116"/>
        <w:jc w:val="left"/>
        <w:rPr>
          <w:b w:val="0"/>
          <w:bCs w:val="0"/>
        </w:rPr>
      </w:pPr>
      <w:r>
        <w:rPr/>
        <w:t>十四、公司股权激励计划、员工持股计划或其他员工激励措施的实施情况</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2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公司报告期无股权激励计划、员工持股计划或其他员工激励措施及其实施情况。</w:t>
      </w:r>
    </w:p>
    <w:p>
      <w:pPr>
        <w:spacing w:after="0" w:line="29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6"/>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55" w:type="dxa"/>
        <w:tblLayout w:type="fixed"/>
        <w:tblCellMar>
          <w:top w:w="0" w:type="dxa"/>
          <w:left w:w="0" w:type="dxa"/>
          <w:bottom w:w="0" w:type="dxa"/>
          <w:right w:w="0" w:type="dxa"/>
        </w:tblCellMar>
        <w:tblLook w:val="01E0"/>
      </w:tblPr>
      <w:tblGrid>
        <w:gridCol w:w="792"/>
        <w:gridCol w:w="677"/>
        <w:gridCol w:w="677"/>
        <w:gridCol w:w="704"/>
        <w:gridCol w:w="679"/>
        <w:gridCol w:w="674"/>
        <w:gridCol w:w="674"/>
        <w:gridCol w:w="675"/>
        <w:gridCol w:w="674"/>
        <w:gridCol w:w="674"/>
        <w:gridCol w:w="672"/>
        <w:gridCol w:w="675"/>
        <w:gridCol w:w="670"/>
        <w:gridCol w:w="648"/>
      </w:tblGrid>
      <w:tr>
        <w:trPr>
          <w:trHeight w:val="1337" w:hRule="exact"/>
        </w:trPr>
        <w:tc>
          <w:tcPr>
            <w:tcW w:w="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5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6"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44"/>
              <w:jc w:val="both"/>
              <w:rPr>
                <w:rFonts w:ascii="宋体" w:hAnsi="宋体" w:cs="宋体" w:eastAsia="宋体" w:hint="default"/>
                <w:sz w:val="18"/>
                <w:szCs w:val="18"/>
              </w:rPr>
            </w:pPr>
            <w:r>
              <w:rPr>
                <w:rFonts w:ascii="宋体" w:hAnsi="宋体" w:cs="宋体" w:eastAsia="宋体" w:hint="default"/>
                <w:sz w:val="18"/>
                <w:szCs w:val="18"/>
              </w:rPr>
              <w:t>武汉金块 链科技有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1"/>
              <w:jc w:val="both"/>
              <w:rPr>
                <w:rFonts w:ascii="宋体" w:hAnsi="宋体" w:cs="宋体" w:eastAsia="宋体" w:hint="default"/>
                <w:sz w:val="18"/>
                <w:szCs w:val="18"/>
              </w:rPr>
            </w:pPr>
            <w:r>
              <w:rPr>
                <w:rFonts w:ascii="宋体" w:hAnsi="宋体" w:cs="宋体" w:eastAsia="宋体" w:hint="default"/>
                <w:sz w:val="18"/>
                <w:szCs w:val="18"/>
              </w:rPr>
              <w:t>实际控 制人梁 伟持股 </w:t>
            </w:r>
            <w:r>
              <w:rPr>
                <w:rFonts w:ascii="Times New Roman" w:hAnsi="Times New Roman" w:cs="Times New Roman" w:eastAsia="Times New Roman" w:hint="default"/>
                <w:sz w:val="18"/>
                <w:szCs w:val="18"/>
              </w:rPr>
              <w:t>25%</w:t>
            </w:r>
            <w:r>
              <w:rPr>
                <w:rFonts w:ascii="宋体" w:hAnsi="宋体" w:cs="宋体" w:eastAsia="宋体" w:hint="default"/>
                <w:sz w:val="18"/>
                <w:szCs w:val="18"/>
              </w:rPr>
              <w:t>的</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01"/>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智能零 售终端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以市场 价格为 依据</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both"/>
              <w:rPr>
                <w:rFonts w:ascii="宋体" w:hAnsi="宋体" w:cs="宋体" w:eastAsia="宋体" w:hint="default"/>
                <w:sz w:val="18"/>
                <w:szCs w:val="18"/>
              </w:rPr>
            </w:pPr>
            <w:r>
              <w:rPr>
                <w:rFonts w:ascii="宋体" w:hAnsi="宋体" w:cs="宋体" w:eastAsia="宋体" w:hint="default"/>
                <w:sz w:val="18"/>
                <w:szCs w:val="18"/>
              </w:rPr>
              <w:t>不同型 号分别 定价， 均价约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699.16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9"/>
              <w:jc w:val="both"/>
              <w:rPr>
                <w:rFonts w:ascii="宋体" w:hAnsi="宋体" w:cs="宋体" w:eastAsia="宋体" w:hint="default"/>
                <w:sz w:val="18"/>
                <w:szCs w:val="18"/>
              </w:rPr>
            </w:pPr>
            <w:r>
              <w:rPr>
                <w:rFonts w:ascii="宋体" w:hAnsi="宋体" w:cs="宋体" w:eastAsia="宋体" w:hint="default"/>
                <w:sz w:val="18"/>
                <w:szCs w:val="18"/>
              </w:rPr>
              <w:t>同类产 品分不 同系列 的单价 区间为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08</w:t>
            </w:r>
          </w:p>
        </w:tc>
      </w:tr>
      <w:tr>
        <w:trPr>
          <w:trHeight w:val="2273" w:hRule="exact"/>
        </w:trPr>
        <w:tc>
          <w:tcPr>
            <w:tcW w:w="7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z w:val="18"/>
                <w:szCs w:val="18"/>
              </w:rPr>
              <w:t>玩偶一号</w:t>
            </w:r>
          </w:p>
          <w:p>
            <w:pPr>
              <w:pStyle w:val="TableParagraph"/>
              <w:spacing w:line="319" w:lineRule="auto" w:before="76"/>
              <w:ind w:left="21" w:right="44"/>
              <w:jc w:val="both"/>
              <w:rPr>
                <w:rFonts w:ascii="宋体" w:hAnsi="宋体" w:cs="宋体" w:eastAsia="宋体" w:hint="default"/>
                <w:sz w:val="18"/>
                <w:szCs w:val="18"/>
              </w:rPr>
            </w:pPr>
            <w:r>
              <w:rPr>
                <w:rFonts w:ascii="宋体" w:hAnsi="宋体" w:cs="宋体" w:eastAsia="宋体" w:hint="default"/>
                <w:sz w:val="18"/>
                <w:szCs w:val="18"/>
              </w:rPr>
              <w:t>（武汉）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1"/>
              <w:jc w:val="both"/>
              <w:rPr>
                <w:rFonts w:ascii="宋体" w:hAnsi="宋体" w:cs="宋体" w:eastAsia="宋体" w:hint="default"/>
                <w:sz w:val="18"/>
                <w:szCs w:val="18"/>
              </w:rPr>
            </w:pPr>
            <w:r>
              <w:rPr>
                <w:rFonts w:ascii="宋体" w:hAnsi="宋体" w:cs="宋体" w:eastAsia="宋体" w:hint="default"/>
                <w:sz w:val="18"/>
                <w:szCs w:val="18"/>
              </w:rPr>
              <w:t>实际控 制人梁 伟持股 </w:t>
            </w:r>
            <w:r>
              <w:rPr>
                <w:rFonts w:ascii="Times New Roman" w:hAnsi="Times New Roman" w:cs="Times New Roman" w:eastAsia="Times New Roman" w:hint="default"/>
                <w:sz w:val="18"/>
                <w:szCs w:val="18"/>
              </w:rPr>
              <w:t>89%</w:t>
            </w:r>
            <w:r>
              <w:rPr>
                <w:rFonts w:ascii="宋体" w:hAnsi="宋体" w:cs="宋体" w:eastAsia="宋体" w:hint="default"/>
                <w:sz w:val="18"/>
                <w:szCs w:val="18"/>
              </w:rPr>
              <w:t>的</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01"/>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智能零 售终端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以市场 价格为 依据</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均价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663.72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both"/>
              <w:rPr>
                <w:rFonts w:ascii="宋体" w:hAnsi="宋体" w:cs="宋体" w:eastAsia="宋体" w:hint="default"/>
                <w:sz w:val="18"/>
                <w:szCs w:val="18"/>
              </w:rPr>
            </w:pPr>
            <w:r>
              <w:rPr>
                <w:rFonts w:ascii="宋体" w:hAnsi="宋体" w:cs="宋体" w:eastAsia="宋体" w:hint="default"/>
                <w:sz w:val="18"/>
                <w:szCs w:val="18"/>
              </w:rPr>
              <w:t>同类产 品分不 同系列 的单价 区间为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2019-0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54</w:t>
            </w:r>
          </w:p>
        </w:tc>
      </w:tr>
      <w:tr>
        <w:trPr>
          <w:trHeight w:val="161" w:hRule="exact"/>
        </w:trPr>
        <w:tc>
          <w:tcPr>
            <w:tcW w:w="2850" w:type="dxa"/>
            <w:gridSpan w:val="4"/>
            <w:tcBorders>
              <w:top w:val="single" w:sz="4" w:space="0" w:color="000000"/>
              <w:left w:val="nil" w:sz="6" w:space="0" w:color="auto"/>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1,550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50" w:type="dxa"/>
            <w:gridSpan w:val="4"/>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nil" w:sz="6" w:space="0" w:color="auto"/>
            </w:tcBorders>
            <w:shd w:val="clear" w:color="auto" w:fill="D2D2D2"/>
          </w:tcPr>
          <w:p>
            <w:pPr/>
          </w:p>
        </w:tc>
      </w:tr>
      <w:tr>
        <w:trPr>
          <w:trHeight w:val="161" w:hRule="exact"/>
        </w:trPr>
        <w:tc>
          <w:tcPr>
            <w:tcW w:w="2850" w:type="dxa"/>
            <w:gridSpan w:val="4"/>
            <w:tcBorders>
              <w:top w:val="nil" w:sz="6" w:space="0" w:color="auto"/>
              <w:left w:val="nil" w:sz="6" w:space="0" w:color="auto"/>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2850" w:type="dxa"/>
            <w:gridSpan w:val="4"/>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6" w:type="dxa"/>
            <w:gridSpan w:val="10"/>
            <w:tcBorders>
              <w:top w:val="single" w:sz="4" w:space="0" w:color="000000"/>
              <w:left w:val="single" w:sz="12" w:space="0" w:color="D2D2D2"/>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50" w:type="dxa"/>
            <w:gridSpan w:val="4"/>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6" w:type="dxa"/>
            <w:gridSpan w:val="10"/>
            <w:tcBorders>
              <w:top w:val="single" w:sz="4" w:space="0" w:color="000000"/>
              <w:left w:val="single" w:sz="12"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50" w:type="dxa"/>
            <w:gridSpan w:val="4"/>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21"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6" w:type="dxa"/>
            <w:gridSpan w:val="10"/>
            <w:tcBorders>
              <w:top w:val="single" w:sz="4" w:space="0" w:color="000000"/>
              <w:left w:val="single" w:sz="12" w:space="0" w:color="D2D2D2"/>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公司报告期未发生资产或股权收购、出售的关联交易。</w:t>
      </w:r>
    </w:p>
    <w:p>
      <w:pPr>
        <w:spacing w:line="240" w:lineRule="auto" w:before="3"/>
        <w:rPr>
          <w:rFonts w:ascii="宋体" w:hAnsi="宋体" w:cs="宋体" w:eastAsia="宋体" w:hint="default"/>
          <w:sz w:val="22"/>
          <w:szCs w:val="22"/>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0"/>
        <w:rPr>
          <w:rFonts w:ascii="宋体" w:hAnsi="宋体" w:cs="宋体" w:eastAsia="宋体" w:hint="default"/>
          <w:b/>
          <w:bCs/>
          <w:sz w:val="24"/>
          <w:szCs w:val="24"/>
        </w:rPr>
      </w:pPr>
    </w:p>
    <w:p>
      <w:pPr>
        <w:pStyle w:val="BodyText"/>
        <w:spacing w:line="292" w:lineRule="auto"/>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公司报告期未发生共同对外投资的关联交易。</w:t>
      </w:r>
    </w:p>
    <w:p>
      <w:pPr>
        <w:spacing w:after="0" w:line="292"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66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公司报告期不存在关联债权债务往来。</w:t>
      </w:r>
    </w:p>
    <w:p>
      <w:pPr>
        <w:spacing w:line="240" w:lineRule="auto" w:before="5"/>
        <w:rPr>
          <w:rFonts w:ascii="宋体" w:hAnsi="宋体" w:cs="宋体" w:eastAsia="宋体" w:hint="default"/>
          <w:sz w:val="22"/>
          <w:szCs w:val="22"/>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left="513" w:right="99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5"/>
        </w:rPr>
        <w:t>报告期内，存在公司与关联法人武汉金运云智能网络有限公司合作建房的关联交易，内容详见上述</w:t>
      </w:r>
      <w:r>
        <w:rPr>
          <w:rFonts w:ascii="Times New Roman" w:hAnsi="Times New Roman" w:cs="Times New Roman" w:eastAsia="Times New Roman" w:hint="default"/>
          <w:spacing w:val="-5"/>
        </w:rPr>
        <w:t>“</w:t>
      </w:r>
      <w:r>
        <w:rPr>
          <w:spacing w:val="-5"/>
        </w:rPr>
        <w:t>五、</w:t>
      </w:r>
      <w:r>
        <w:rPr/>
      </w:r>
    </w:p>
    <w:p>
      <w:pPr>
        <w:pStyle w:val="BodyText"/>
        <w:spacing w:line="263" w:lineRule="exact"/>
        <w:ind w:right="1116"/>
        <w:jc w:val="left"/>
      </w:pPr>
      <w:r>
        <w:rPr>
          <w:rFonts w:ascii="Times New Roman" w:hAnsi="Times New Roman" w:cs="Times New Roman" w:eastAsia="Times New Roman" w:hint="default"/>
        </w:rPr>
        <w:t>1”</w:t>
      </w:r>
      <w:r>
        <w:rPr/>
        <w:t>。</w:t>
      </w:r>
    </w:p>
    <w:p>
      <w:pPr>
        <w:pStyle w:val="BodyText"/>
        <w:spacing w:line="240" w:lineRule="auto" w:before="21"/>
        <w:ind w:left="513" w:right="998"/>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日，本公司累计支付合作建房款</w:t>
      </w:r>
      <w:r>
        <w:rPr>
          <w:rFonts w:ascii="Times New Roman" w:hAnsi="Times New Roman" w:cs="Times New Roman" w:eastAsia="Times New Roman" w:hint="default"/>
        </w:rPr>
        <w:t>2,236.76</w:t>
      </w:r>
      <w:r>
        <w:rPr/>
        <w:t>万元</w:t>
      </w:r>
      <w:r>
        <w:rPr>
          <w:rFonts w:ascii="Times New Roman" w:hAnsi="Times New Roman" w:cs="Times New Roman" w:eastAsia="Times New Roman" w:hint="default"/>
        </w:rPr>
        <w:t>,</w:t>
      </w:r>
      <w:r>
        <w:rPr/>
        <w:t>涉及其他非流动资产余额</w:t>
      </w:r>
      <w:r>
        <w:rPr>
          <w:rFonts w:ascii="Times New Roman" w:hAnsi="Times New Roman" w:cs="Times New Roman" w:eastAsia="Times New Roman" w:hint="default"/>
        </w:rPr>
        <w:t>2,156.03</w:t>
      </w:r>
      <w:r>
        <w:rPr/>
        <w:t>万元</w:t>
      </w:r>
    </w:p>
    <w:p>
      <w:pPr>
        <w:pStyle w:val="BodyText"/>
        <w:spacing w:line="290" w:lineRule="auto" w:before="22"/>
        <w:ind w:left="573" w:right="1116" w:hanging="421"/>
        <w:jc w:val="left"/>
      </w:pPr>
      <w:r>
        <w:rPr>
          <w:spacing w:val="-2"/>
        </w:rPr>
        <w:t>（详情见第十二节（七）、合并财务报表项目注释之</w:t>
      </w:r>
      <w:r>
        <w:rPr>
          <w:rFonts w:ascii="Times New Roman" w:hAnsi="Times New Roman" w:cs="Times New Roman" w:eastAsia="Times New Roman" w:hint="default"/>
          <w:spacing w:val="-2"/>
        </w:rPr>
        <w:t>19</w:t>
      </w:r>
      <w:r>
        <w:rPr>
          <w:spacing w:val="-2"/>
        </w:rPr>
        <w:t>、其他非流动资产</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2"/>
        </w:rPr>
        <w:t> </w:t>
      </w:r>
      <w:r>
        <w:rPr/>
        <w:t>重大关联交易临时报告披露网站相关查询</w:t>
      </w:r>
    </w:p>
    <w:p>
      <w:pPr>
        <w:spacing w:line="240" w:lineRule="auto" w:before="7"/>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3459"/>
        <w:gridCol w:w="2650"/>
        <w:gridCol w:w="3447"/>
      </w:tblGrid>
      <w:tr>
        <w:trPr>
          <w:trHeight w:val="401" w:hRule="exact"/>
        </w:trPr>
        <w:tc>
          <w:tcPr>
            <w:tcW w:w="34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关于与关联方合作建房关联交易的公告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8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1" w:hRule="exact"/>
        </w:trPr>
        <w:tc>
          <w:tcPr>
            <w:tcW w:w="3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关于与关联方合作建房关联交易的公告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8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spacing w:line="240" w:lineRule="auto" w:before="3"/>
        <w:rPr>
          <w:rFonts w:ascii="宋体" w:hAnsi="宋体" w:cs="宋体" w:eastAsia="宋体" w:hint="default"/>
          <w:sz w:val="22"/>
          <w:szCs w:val="22"/>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line="240" w:lineRule="auto" w:before="6"/>
        <w:rPr>
          <w:rFonts w:ascii="宋体" w:hAnsi="宋体" w:cs="宋体" w:eastAsia="宋体" w:hint="default"/>
          <w:sz w:val="22"/>
          <w:szCs w:val="22"/>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89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w:t>
      </w:r>
      <w:r>
        <w:rPr>
          <w:w w:val="100"/>
        </w:rPr>
        <w:t> </w:t>
      </w:r>
      <w:r>
        <w:rPr/>
        <w:t>租赁情况说明</w:t>
      </w:r>
    </w:p>
    <w:p>
      <w:pPr>
        <w:spacing w:line="240" w:lineRule="auto" w:before="7"/>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45"/>
        <w:gridCol w:w="1702"/>
        <w:gridCol w:w="2124"/>
        <w:gridCol w:w="2703"/>
      </w:tblGrid>
      <w:tr>
        <w:trPr>
          <w:trHeight w:val="346"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本期确认租赁收入</w:t>
            </w:r>
          </w:p>
        </w:tc>
        <w:tc>
          <w:tcPr>
            <w:tcW w:w="2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上期确认租赁收入</w:t>
            </w:r>
          </w:p>
        </w:tc>
      </w:tr>
      <w:tr>
        <w:trPr>
          <w:trHeight w:val="348"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2,514,285.72</w:t>
            </w:r>
          </w:p>
        </w:tc>
        <w:tc>
          <w:tcPr>
            <w:tcW w:w="2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2,514,285.72</w:t>
            </w:r>
          </w:p>
        </w:tc>
      </w:tr>
      <w:tr>
        <w:trPr>
          <w:trHeight w:val="348" w:hRule="exact"/>
        </w:trPr>
        <w:tc>
          <w:tcPr>
            <w:tcW w:w="3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2,514,285.72</w:t>
            </w:r>
          </w:p>
        </w:tc>
        <w:tc>
          <w:tcPr>
            <w:tcW w:w="2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2,514,285.72</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16"/>
        <w:jc w:val="left"/>
      </w:pPr>
      <w:r>
        <w:rPr/>
        <w:t>公司报告期不存在担保情况。</w:t>
      </w:r>
    </w:p>
    <w:p>
      <w:pPr>
        <w:spacing w:line="240" w:lineRule="auto" w:before="10"/>
        <w:rPr>
          <w:rFonts w:ascii="宋体" w:hAnsi="宋体" w:cs="宋体" w:eastAsia="宋体" w:hint="default"/>
          <w:sz w:val="25"/>
          <w:szCs w:val="25"/>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4"/>
          <w:szCs w:val="24"/>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公司报告期不存在委托理财。</w:t>
      </w:r>
    </w:p>
    <w:p>
      <w:pPr>
        <w:spacing w:line="240" w:lineRule="auto" w:before="3"/>
        <w:rPr>
          <w:rFonts w:ascii="宋体" w:hAnsi="宋体" w:cs="宋体" w:eastAsia="宋体" w:hint="default"/>
          <w:sz w:val="22"/>
          <w:szCs w:val="22"/>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spacing w:line="240" w:lineRule="auto" w:before="5"/>
        <w:rPr>
          <w:rFonts w:ascii="宋体" w:hAnsi="宋体" w:cs="宋体" w:eastAsia="宋体" w:hint="default"/>
          <w:sz w:val="22"/>
          <w:szCs w:val="22"/>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6" w:hRule="exact"/>
        </w:trPr>
        <w:tc>
          <w:tcPr>
            <w:tcW w:w="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7"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7" w:hRule="exact"/>
        </w:trPr>
        <w:tc>
          <w:tcPr>
            <w:tcW w:w="63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60"/>
              <w:jc w:val="both"/>
              <w:rPr>
                <w:rFonts w:ascii="宋体" w:hAnsi="宋体" w:cs="宋体" w:eastAsia="宋体" w:hint="default"/>
                <w:sz w:val="18"/>
                <w:szCs w:val="18"/>
              </w:rPr>
            </w:pPr>
            <w:r>
              <w:rPr>
                <w:rFonts w:ascii="宋体" w:hAnsi="宋体" w:cs="宋体" w:eastAsia="宋体" w:hint="default"/>
                <w:sz w:val="18"/>
                <w:szCs w:val="18"/>
              </w:rPr>
              <w:t>武汉金 运激光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北京广 顺惠佳 科技有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区块链 智能无 人零售 终端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6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67</w:t>
            </w:r>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十七、社会责任情况</w:t>
      </w:r>
      <w:r>
        <w:rPr>
          <w:b w:val="0"/>
          <w:bCs w:val="0"/>
        </w:rPr>
      </w:r>
    </w:p>
    <w:p>
      <w:pPr>
        <w:pStyle w:val="BodyText"/>
        <w:spacing w:line="590" w:lineRule="atLeast" w:before="27"/>
        <w:ind w:left="573" w:right="1116"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公司继续坚持在追求经济效益、保护股东利益的同时，积极保护债权人和职工的合法权益，诚信对待</w:t>
      </w:r>
    </w:p>
    <w:p>
      <w:pPr>
        <w:pStyle w:val="BodyText"/>
        <w:spacing w:line="273" w:lineRule="auto" w:before="37"/>
        <w:ind w:right="1116"/>
        <w:jc w:val="left"/>
      </w:pPr>
      <w:r>
        <w:rPr>
          <w:spacing w:val="-2"/>
        </w:rPr>
        <w:t>供应商、客户，积极从事环境保护、社区建设等公益事业，促进公司本身与社会的协调、和谐发展，积极</w:t>
      </w:r>
      <w:r>
        <w:rPr>
          <w:spacing w:val="-42"/>
        </w:rPr>
        <w:t> </w:t>
      </w:r>
      <w:r>
        <w:rPr>
          <w:spacing w:val="-42"/>
        </w:rPr>
      </w:r>
      <w:r>
        <w:rPr/>
        <w:t>履行社会责任。</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、环境保护相关的情况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4760"/>
        <w:jc w:val="left"/>
      </w:pPr>
      <w:r>
        <w:rPr>
          <w:spacing w:val="-2"/>
        </w:rPr>
        <w:t>上市公司及其子公司是否属于环境保护部门公布的重点排污单位</w:t>
      </w:r>
      <w:r>
        <w:rPr>
          <w:spacing w:val="-52"/>
        </w:rPr>
        <w:t> </w:t>
      </w:r>
      <w:r>
        <w:rPr>
          <w:spacing w:val="-52"/>
        </w:rPr>
      </w:r>
      <w:r>
        <w:rPr/>
        <w:t>否</w:t>
      </w:r>
    </w:p>
    <w:p>
      <w:pPr>
        <w:pStyle w:val="BodyText"/>
        <w:spacing w:line="240" w:lineRule="auto" w:before="17"/>
        <w:ind w:right="1116"/>
        <w:jc w:val="left"/>
      </w:pPr>
      <w:r>
        <w:rPr/>
        <w:t>公司及子公司不属于环境保护部门公布的重点排污单位。</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6"/>
        <w:jc w:val="left"/>
        <w:rPr>
          <w:b w:val="0"/>
          <w:bCs w:val="0"/>
        </w:rPr>
      </w:pPr>
      <w:r>
        <w:rPr/>
        <w:t>十八、其他重大事项的说明</w:t>
      </w:r>
      <w:r>
        <w:rPr>
          <w:b w:val="0"/>
          <w:bCs w:val="0"/>
        </w:rPr>
      </w:r>
    </w:p>
    <w:p>
      <w:pPr>
        <w:spacing w:line="240" w:lineRule="auto" w:before="12"/>
        <w:rPr>
          <w:rFonts w:ascii="宋体" w:hAnsi="宋体" w:cs="宋体" w:eastAsia="宋体" w:hint="default"/>
          <w:b/>
          <w:bCs/>
          <w:sz w:val="24"/>
          <w:szCs w:val="24"/>
        </w:rPr>
      </w:pPr>
    </w:p>
    <w:p>
      <w:pPr>
        <w:pStyle w:val="BodyText"/>
        <w:spacing w:line="290" w:lineRule="auto"/>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公司报告期不存在需要说明的其他重大事项。</w:t>
      </w:r>
    </w:p>
    <w:p>
      <w:pPr>
        <w:spacing w:line="240" w:lineRule="auto" w:before="6"/>
        <w:rPr>
          <w:rFonts w:ascii="宋体" w:hAnsi="宋体" w:cs="宋体" w:eastAsia="宋体" w:hint="default"/>
          <w:sz w:val="20"/>
          <w:szCs w:val="20"/>
        </w:rPr>
      </w:pPr>
    </w:p>
    <w:p>
      <w:pPr>
        <w:pStyle w:val="Heading2"/>
        <w:spacing w:line="240" w:lineRule="auto"/>
        <w:ind w:right="1116"/>
        <w:jc w:val="left"/>
        <w:rPr>
          <w:b w:val="0"/>
          <w:bCs w:val="0"/>
        </w:rPr>
      </w:pPr>
      <w:r>
        <w:rPr/>
        <w:t>十九、公司子公司重大事项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16"/>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6"/>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194"/>
        <w:gridCol w:w="969"/>
        <w:gridCol w:w="799"/>
        <w:gridCol w:w="799"/>
        <w:gridCol w:w="797"/>
        <w:gridCol w:w="797"/>
        <w:gridCol w:w="799"/>
        <w:gridCol w:w="800"/>
        <w:gridCol w:w="955"/>
        <w:gridCol w:w="758"/>
      </w:tblGrid>
      <w:tr>
        <w:trPr>
          <w:trHeight w:val="403" w:hRule="exact"/>
        </w:trPr>
        <w:tc>
          <w:tcPr>
            <w:tcW w:w="2194" w:type="dxa"/>
            <w:tcBorders>
              <w:top w:val="single" w:sz="4" w:space="0" w:color="000000"/>
              <w:left w:val="nil" w:sz="6" w:space="0" w:color="auto"/>
              <w:bottom w:val="nil" w:sz="6" w:space="0" w:color="auto"/>
              <w:right w:val="single" w:sz="4" w:space="0" w:color="000000"/>
            </w:tcBorders>
            <w:shd w:val="clear" w:color="auto" w:fill="D2D2D2"/>
          </w:tcPr>
          <w:p>
            <w:pPr/>
          </w:p>
        </w:tc>
        <w:tc>
          <w:tcPr>
            <w:tcW w:w="1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14"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94" w:type="dxa"/>
            <w:vMerge w:val="restart"/>
            <w:tcBorders>
              <w:top w:val="nil" w:sz="6" w:space="0" w:color="auto"/>
              <w:left w:val="nil" w:sz="6" w:space="0" w:color="auto"/>
              <w:right w:val="single" w:sz="4" w:space="0" w:color="000000"/>
            </w:tcBorders>
            <w:shd w:val="clear" w:color="auto" w:fill="D2D2D2"/>
          </w:tcPr>
          <w:p>
            <w:pPr/>
          </w:p>
        </w:tc>
        <w:tc>
          <w:tcPr>
            <w:tcW w:w="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2" w:hRule="exact"/>
        </w:trPr>
        <w:tc>
          <w:tcPr>
            <w:tcW w:w="2194" w:type="dxa"/>
            <w:vMerge/>
            <w:tcBorders>
              <w:left w:val="nil" w:sz="6" w:space="0" w:color="auto"/>
              <w:bottom w:val="nil" w:sz="6" w:space="0" w:color="auto"/>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194" w:type="dxa"/>
            <w:vMerge w:val="restart"/>
            <w:tcBorders>
              <w:top w:val="nil" w:sz="6" w:space="0" w:color="auto"/>
              <w:left w:val="nil" w:sz="6" w:space="0" w:color="auto"/>
              <w:right w:val="single" w:sz="4" w:space="0" w:color="000000"/>
            </w:tcBorders>
            <w:shd w:val="clear" w:color="auto" w:fill="D2D2D2"/>
          </w:tcPr>
          <w:p>
            <w:pPr/>
          </w:p>
        </w:tc>
        <w:tc>
          <w:tcPr>
            <w:tcW w:w="969"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2194" w:type="dxa"/>
            <w:vMerge/>
            <w:tcBorders>
              <w:left w:val="nil" w:sz="6" w:space="0" w:color="auto"/>
              <w:bottom w:val="single" w:sz="4" w:space="0" w:color="000000"/>
              <w:right w:val="single" w:sz="4" w:space="0" w:color="000000"/>
            </w:tcBorders>
            <w:shd w:val="clear" w:color="auto" w:fill="D2D2D2"/>
          </w:tcPr>
          <w:p>
            <w:pPr/>
          </w:p>
        </w:tc>
        <w:tc>
          <w:tcPr>
            <w:tcW w:w="9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848,451</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0.67%</w:t>
            </w:r>
          </w:p>
        </w:tc>
      </w:tr>
      <w:tr>
        <w:trPr>
          <w:trHeight w:val="401"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848,451</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0.67%</w:t>
            </w:r>
          </w:p>
        </w:tc>
      </w:tr>
      <w:tr>
        <w:trPr>
          <w:trHeight w:val="403"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848,451</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0.67%</w:t>
            </w:r>
          </w:p>
        </w:tc>
      </w:tr>
      <w:tr>
        <w:trPr>
          <w:trHeight w:val="401"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124,918,913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125,151,549</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99.33%</w:t>
            </w:r>
          </w:p>
        </w:tc>
      </w:tr>
      <w:tr>
        <w:trPr>
          <w:trHeight w:val="403"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124,918,913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125,151,549</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99.33%</w:t>
            </w:r>
          </w:p>
        </w:tc>
      </w:tr>
      <w:tr>
        <w:trPr>
          <w:trHeight w:val="401" w:hRule="exact"/>
        </w:trPr>
        <w:tc>
          <w:tcPr>
            <w:tcW w:w="21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28"/>
        <w:ind w:right="1116"/>
        <w:jc w:val="left"/>
      </w:pPr>
      <w:r>
        <w:rPr/>
        <w:t>股份变动的原因</w:t>
      </w:r>
    </w:p>
    <w:p>
      <w:pPr>
        <w:pStyle w:val="BodyText"/>
        <w:spacing w:line="290" w:lineRule="auto" w:before="78"/>
        <w:ind w:right="8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股份变动的批准情况</w:t>
      </w:r>
    </w:p>
    <w:p>
      <w:pPr>
        <w:pStyle w:val="BodyText"/>
        <w:spacing w:line="290" w:lineRule="auto" w:before="34"/>
        <w:ind w:right="8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股份变动的过户情况</w:t>
      </w:r>
    </w:p>
    <w:p>
      <w:pPr>
        <w:pStyle w:val="BodyText"/>
        <w:spacing w:line="290" w:lineRule="auto" w:before="31"/>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股份回购的实施进展情况</w:t>
      </w:r>
    </w:p>
    <w:p>
      <w:pPr>
        <w:pStyle w:val="BodyText"/>
        <w:spacing w:line="290" w:lineRule="auto" w:before="34"/>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采用集中竞价方式减持回购股份的实施进展情况</w:t>
      </w:r>
    </w:p>
    <w:p>
      <w:pPr>
        <w:pStyle w:val="BodyText"/>
        <w:spacing w:line="283" w:lineRule="auto" w:before="34"/>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290" w:lineRule="auto" w:before="37"/>
        <w:ind w:right="55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公司认为必要或证券监管机构要求披露的其他内容</w:t>
      </w:r>
    </w:p>
    <w:p>
      <w:pPr>
        <w:pStyle w:val="BodyText"/>
        <w:spacing w:line="240" w:lineRule="auto" w:before="34"/>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156"/>
            <w:col w:w="2010"/>
          </w:cols>
        </w:sectPr>
      </w:pPr>
    </w:p>
    <w:p>
      <w:pPr>
        <w:spacing w:line="240" w:lineRule="auto" w:before="1"/>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682"/>
        <w:gridCol w:w="1082"/>
        <w:gridCol w:w="1306"/>
        <w:gridCol w:w="1368"/>
        <w:gridCol w:w="1064"/>
        <w:gridCol w:w="1459"/>
        <w:gridCol w:w="2707"/>
      </w:tblGrid>
      <w:tr>
        <w:trPr>
          <w:trHeight w:val="382" w:hRule="exact"/>
        </w:trPr>
        <w:tc>
          <w:tcPr>
            <w:tcW w:w="6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8"/>
              <w:ind w:left="61" w:right="0"/>
              <w:jc w:val="left"/>
              <w:rPr>
                <w:rFonts w:ascii="宋体" w:hAnsi="宋体" w:cs="宋体" w:eastAsia="宋体" w:hint="default"/>
                <w:sz w:val="18"/>
                <w:szCs w:val="18"/>
              </w:rPr>
            </w:pPr>
            <w:r>
              <w:rPr>
                <w:rFonts w:ascii="宋体" w:hAnsi="宋体" w:cs="宋体" w:eastAsia="宋体" w:hint="default"/>
                <w:sz w:val="18"/>
                <w:szCs w:val="18"/>
              </w:rPr>
              <w:t>股东名</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5" w:right="0"/>
              <w:jc w:val="left"/>
              <w:rPr>
                <w:rFonts w:ascii="宋体" w:hAnsi="宋体" w:cs="宋体" w:eastAsia="宋体" w:hint="default"/>
                <w:sz w:val="18"/>
                <w:szCs w:val="18"/>
              </w:rPr>
            </w:pPr>
            <w:r>
              <w:rPr>
                <w:rFonts w:ascii="宋体" w:hAnsi="宋体" w:cs="宋体" w:eastAsia="宋体" w:hint="default"/>
                <w:sz w:val="18"/>
                <w:szCs w:val="18"/>
              </w:rPr>
              <w:t>期初限售股</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6" w:right="0"/>
              <w:jc w:val="left"/>
              <w:rPr>
                <w:rFonts w:ascii="宋体" w:hAnsi="宋体" w:cs="宋体" w:eastAsia="宋体" w:hint="default"/>
                <w:sz w:val="18"/>
                <w:szCs w:val="18"/>
              </w:rPr>
            </w:pPr>
            <w:r>
              <w:rPr>
                <w:rFonts w:ascii="宋体" w:hAnsi="宋体" w:cs="宋体" w:eastAsia="宋体" w:hint="default"/>
                <w:sz w:val="18"/>
                <w:szCs w:val="18"/>
              </w:rPr>
              <w:t>本期增加限售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期末限售股</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6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39"/>
              <w:ind w:left="72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694"/>
        <w:gridCol w:w="1082"/>
        <w:gridCol w:w="1306"/>
        <w:gridCol w:w="1368"/>
        <w:gridCol w:w="1064"/>
        <w:gridCol w:w="1459"/>
        <w:gridCol w:w="2715"/>
      </w:tblGrid>
      <w:tr>
        <w:trPr>
          <w:trHeight w:val="363" w:hRule="exact"/>
        </w:trPr>
        <w:tc>
          <w:tcPr>
            <w:tcW w:w="6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right="252"/>
              <w:jc w:val="right"/>
              <w:rPr>
                <w:rFonts w:ascii="宋体" w:hAnsi="宋体" w:cs="宋体" w:eastAsia="宋体" w:hint="default"/>
                <w:sz w:val="18"/>
                <w:szCs w:val="18"/>
              </w:rPr>
            </w:pPr>
            <w:r>
              <w:rPr>
                <w:rFonts w:ascii="宋体" w:hAnsi="宋体" w:cs="宋体" w:eastAsia="宋体" w:hint="default"/>
                <w:sz w:val="18"/>
                <w:szCs w:val="18"/>
              </w:rPr>
              <w:t>称</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1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李俊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930,544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697,908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根据承诺执行</w:t>
            </w:r>
          </w:p>
        </w:tc>
      </w:tr>
      <w:tr>
        <w:trPr>
          <w:trHeight w:val="715" w:hRule="exact"/>
        </w:trPr>
        <w:tc>
          <w:tcPr>
            <w:tcW w:w="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梁萍</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150,543</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150,543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每年按照上年末持有股份数的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6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00"/>
              <w:jc w:val="right"/>
              <w:rPr>
                <w:rFonts w:ascii="宋体" w:hAnsi="宋体" w:cs="宋体" w:eastAsia="宋体" w:hint="default"/>
                <w:sz w:val="18"/>
                <w:szCs w:val="18"/>
              </w:rPr>
            </w:pPr>
            <w:r>
              <w:rPr>
                <w:rFonts w:ascii="宋体" w:hAnsi="宋体" w:cs="宋体" w:eastAsia="宋体" w:hint="default"/>
                <w:sz w:val="18"/>
                <w:szCs w:val="18"/>
              </w:rPr>
              <w:t>合计</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1,081,087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848,451</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07"/>
        <w:ind w:left="0" w:right="1131" w:firstLine="0"/>
        <w:jc w:val="right"/>
        <w:rPr>
          <w:rFonts w:ascii="宋体" w:hAnsi="宋体" w:cs="宋体" w:eastAsia="宋体" w:hint="default"/>
          <w:sz w:val="18"/>
          <w:szCs w:val="18"/>
        </w:rPr>
      </w:pPr>
      <w:r>
        <w:rPr/>
        <w:pict>
          <v:group style="position:absolute;margin-left:329.709991pt;margin-top:73.821701pt;width:52.6pt;height:31.2pt;mso-position-horizontal-relative:page;mso-position-vertical-relative:paragraph;z-index:-795448" coordorigin="6594,1476" coordsize="1052,624">
            <v:shape style="position:absolute;left:6594;top:1476;width:1052;height:624" coordorigin="6594,1476" coordsize="1052,624" path="m6594,2100l7645,2100,7645,1476,6594,1476,6594,210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86"/>
        <w:gridCol w:w="1204"/>
        <w:gridCol w:w="918"/>
        <w:gridCol w:w="1075"/>
        <w:gridCol w:w="1052"/>
        <w:gridCol w:w="932"/>
        <w:gridCol w:w="149"/>
        <w:gridCol w:w="914"/>
        <w:gridCol w:w="1063"/>
        <w:gridCol w:w="1052"/>
      </w:tblGrid>
      <w:tr>
        <w:trPr>
          <w:trHeight w:val="163" w:hRule="exact"/>
        </w:trPr>
        <w:tc>
          <w:tcPr>
            <w:tcW w:w="1186" w:type="dxa"/>
            <w:vMerge w:val="restart"/>
            <w:tcBorders>
              <w:top w:val="single" w:sz="4" w:space="0" w:color="000000"/>
              <w:left w:val="nil" w:sz="6" w:space="0" w:color="auto"/>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53" w:right="0"/>
              <w:jc w:val="left"/>
              <w:rPr>
                <w:rFonts w:ascii="Times New Roman" w:hAnsi="Times New Roman" w:cs="Times New Roman" w:eastAsia="Times New Roman" w:hint="default"/>
                <w:sz w:val="18"/>
                <w:szCs w:val="18"/>
              </w:rPr>
            </w:pPr>
            <w:r>
              <w:rPr>
                <w:rFonts w:ascii="Times New Roman"/>
                <w:sz w:val="18"/>
              </w:rPr>
              <w:t>6,008</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6,246</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1" w:type="dxa"/>
            <w:gridSpan w:val="2"/>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9" w:space="0" w:color="D2D2D2"/>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86" w:type="dxa"/>
            <w:vMerge/>
            <w:tcBorders>
              <w:left w:val="nil" w:sz="6" w:space="0" w:color="auto"/>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81" w:type="dxa"/>
            <w:gridSpan w:val="2"/>
            <w:vMerge/>
            <w:tcBorders>
              <w:left w:val="single" w:sz="12" w:space="0" w:color="D2D2D2"/>
              <w:right w:val="single" w:sz="9" w:space="0" w:color="D2D2D2"/>
            </w:tcBorders>
          </w:tcPr>
          <w:p>
            <w:pPr/>
          </w:p>
        </w:tc>
        <w:tc>
          <w:tcPr>
            <w:tcW w:w="197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2" w:type="dxa"/>
            <w:vMerge/>
            <w:tcBorders>
              <w:left w:val="single" w:sz="9" w:space="0" w:color="D2D2D2"/>
              <w:right w:val="nil" w:sz="6" w:space="0" w:color="auto"/>
            </w:tcBorders>
          </w:tcPr>
          <w:p>
            <w:pPr/>
          </w:p>
        </w:tc>
      </w:tr>
      <w:tr>
        <w:trPr>
          <w:trHeight w:val="703" w:hRule="exact"/>
        </w:trPr>
        <w:tc>
          <w:tcPr>
            <w:tcW w:w="118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4"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81" w:type="dxa"/>
            <w:gridSpan w:val="2"/>
            <w:vMerge/>
            <w:tcBorders>
              <w:left w:val="single" w:sz="12" w:space="0" w:color="D2D2D2"/>
              <w:right w:val="single" w:sz="9" w:space="0" w:color="D2D2D2"/>
            </w:tcBorders>
          </w:tcPr>
          <w:p>
            <w:pPr/>
          </w:p>
        </w:tc>
        <w:tc>
          <w:tcPr>
            <w:tcW w:w="1978" w:type="dxa"/>
            <w:gridSpan w:val="2"/>
            <w:vMerge/>
            <w:tcBorders>
              <w:left w:val="single" w:sz="4" w:space="0" w:color="000000"/>
              <w:right w:val="single" w:sz="4" w:space="0" w:color="000000"/>
            </w:tcBorders>
            <w:shd w:val="clear" w:color="auto" w:fill="D2D2D2"/>
          </w:tcPr>
          <w:p>
            <w:pPr/>
          </w:p>
        </w:tc>
        <w:tc>
          <w:tcPr>
            <w:tcW w:w="1052" w:type="dxa"/>
            <w:vMerge/>
            <w:tcBorders>
              <w:left w:val="single" w:sz="9" w:space="0" w:color="D2D2D2"/>
              <w:right w:val="nil" w:sz="6" w:space="0" w:color="auto"/>
            </w:tcBorders>
          </w:tcPr>
          <w:p>
            <w:pPr/>
          </w:p>
        </w:tc>
      </w:tr>
      <w:tr>
        <w:trPr>
          <w:trHeight w:val="312" w:hRule="exact"/>
        </w:trPr>
        <w:tc>
          <w:tcPr>
            <w:tcW w:w="1186" w:type="dxa"/>
            <w:vMerge w:val="restart"/>
            <w:tcBorders>
              <w:top w:val="nil" w:sz="6" w:space="0" w:color="auto"/>
              <w:left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81" w:type="dxa"/>
            <w:gridSpan w:val="2"/>
            <w:vMerge/>
            <w:tcBorders>
              <w:left w:val="single" w:sz="12" w:space="0" w:color="D2D2D2"/>
              <w:right w:val="single" w:sz="9" w:space="0" w:color="D2D2D2"/>
            </w:tcBorders>
          </w:tcPr>
          <w:p>
            <w:pPr/>
          </w:p>
        </w:tc>
        <w:tc>
          <w:tcPr>
            <w:tcW w:w="1978" w:type="dxa"/>
            <w:gridSpan w:val="2"/>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9" w:space="0" w:color="D2D2D2"/>
              <w:right w:val="nil" w:sz="6" w:space="0" w:color="auto"/>
            </w:tcBorders>
          </w:tcPr>
          <w:p>
            <w:pPr/>
          </w:p>
        </w:tc>
      </w:tr>
      <w:tr>
        <w:trPr>
          <w:trHeight w:val="166" w:hRule="exact"/>
        </w:trPr>
        <w:tc>
          <w:tcPr>
            <w:tcW w:w="1186" w:type="dxa"/>
            <w:vMerge/>
            <w:tcBorders>
              <w:left w:val="nil" w:sz="6" w:space="0" w:color="auto"/>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81" w:type="dxa"/>
            <w:gridSpan w:val="2"/>
            <w:vMerge/>
            <w:tcBorders>
              <w:left w:val="single" w:sz="12" w:space="0" w:color="D2D2D2"/>
              <w:bottom w:val="single" w:sz="4" w:space="0" w:color="000000"/>
              <w:right w:val="single" w:sz="9" w:space="0" w:color="D2D2D2"/>
            </w:tcBorders>
          </w:tcPr>
          <w:p>
            <w:pPr/>
          </w:p>
        </w:tc>
        <w:tc>
          <w:tcPr>
            <w:tcW w:w="19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9" w:space="0" w:color="D2D2D2"/>
              <w:bottom w:val="single" w:sz="4" w:space="0" w:color="000000"/>
              <w:right w:val="nil" w:sz="6" w:space="0" w:color="auto"/>
            </w:tcBorders>
          </w:tcPr>
          <w:p>
            <w:pPr/>
          </w:p>
        </w:tc>
      </w:tr>
      <w:tr>
        <w:trPr>
          <w:trHeight w:val="392" w:hRule="exact"/>
        </w:trPr>
        <w:tc>
          <w:tcPr>
            <w:tcW w:w="9544" w:type="dxa"/>
            <w:gridSpan w:val="10"/>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left="305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186" w:type="dxa"/>
            <w:vMerge w:val="restart"/>
            <w:tcBorders>
              <w:top w:val="single" w:sz="4" w:space="0" w:color="000000"/>
              <w:left w:val="nil" w:sz="6" w:space="0" w:color="auto"/>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3" w:right="9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6" w:right="7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15"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186" w:type="dxa"/>
            <w:vMerge/>
            <w:tcBorders>
              <w:left w:val="nil" w:sz="6" w:space="0" w:color="auto"/>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32"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c>
          <w:tcPr>
            <w:tcW w:w="2115" w:type="dxa"/>
            <w:gridSpan w:val="2"/>
            <w:vMerge/>
            <w:tcBorders>
              <w:left w:val="single" w:sz="4" w:space="0" w:color="000000"/>
              <w:right w:val="nil" w:sz="6" w:space="0" w:color="auto"/>
            </w:tcBorders>
            <w:shd w:val="clear" w:color="auto" w:fill="D2D2D2"/>
          </w:tcPr>
          <w:p>
            <w:pPr/>
          </w:p>
        </w:tc>
      </w:tr>
      <w:tr>
        <w:trPr>
          <w:trHeight w:val="139" w:hRule="exact"/>
        </w:trPr>
        <w:tc>
          <w:tcPr>
            <w:tcW w:w="1186"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c>
          <w:tcPr>
            <w:tcW w:w="2115" w:type="dxa"/>
            <w:gridSpan w:val="2"/>
            <w:vMerge/>
            <w:tcBorders>
              <w:left w:val="single" w:sz="4" w:space="0" w:color="000000"/>
              <w:bottom w:val="single" w:sz="4" w:space="0" w:color="000000"/>
              <w:right w:val="nil" w:sz="6" w:space="0" w:color="auto"/>
            </w:tcBorders>
            <w:shd w:val="clear" w:color="auto" w:fill="D2D2D2"/>
          </w:tcPr>
          <w:p>
            <w:pPr/>
          </w:p>
        </w:tc>
      </w:tr>
      <w:tr>
        <w:trPr>
          <w:trHeight w:val="252" w:hRule="exact"/>
        </w:trPr>
        <w:tc>
          <w:tcPr>
            <w:tcW w:w="1186" w:type="dxa"/>
            <w:vMerge/>
            <w:tcBorders>
              <w:left w:val="nil" w:sz="6" w:space="0" w:color="auto"/>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186" w:type="dxa"/>
            <w:vMerge w:val="restart"/>
            <w:tcBorders>
              <w:top w:val="nil" w:sz="6" w:space="0" w:color="auto"/>
              <w:left w:val="nil" w:sz="6" w:space="0" w:color="auto"/>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nil" w:sz="6" w:space="0" w:color="auto"/>
            </w:tcBorders>
            <w:shd w:val="clear" w:color="auto" w:fill="D2D2D2"/>
          </w:tcPr>
          <w:p>
            <w:pPr/>
          </w:p>
        </w:tc>
      </w:tr>
      <w:tr>
        <w:trPr>
          <w:trHeight w:val="161" w:hRule="exact"/>
        </w:trPr>
        <w:tc>
          <w:tcPr>
            <w:tcW w:w="1186" w:type="dxa"/>
            <w:vMerge/>
            <w:tcBorders>
              <w:left w:val="nil" w:sz="6" w:space="0" w:color="auto"/>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063"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46.75%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58,907,753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7" w:right="0"/>
              <w:jc w:val="left"/>
              <w:rPr>
                <w:rFonts w:ascii="Times New Roman" w:hAnsi="Times New Roman" w:cs="Times New Roman" w:eastAsia="Times New Roman" w:hint="default"/>
                <w:sz w:val="18"/>
                <w:szCs w:val="18"/>
              </w:rPr>
            </w:pPr>
            <w:r>
              <w:rPr>
                <w:rFonts w:ascii="Times New Roman"/>
                <w:sz w:val="18"/>
              </w:rPr>
              <w:t>-3633000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58,907,753</w:t>
            </w:r>
          </w:p>
        </w:tc>
        <w:tc>
          <w:tcPr>
            <w:tcW w:w="1063" w:type="dxa"/>
            <w:tcBorders>
              <w:top w:val="single" w:sz="48" w:space="0" w:color="D2D2D2"/>
              <w:left w:val="single" w:sz="4" w:space="0" w:color="000000"/>
              <w:bottom w:val="single" w:sz="4" w:space="0" w:color="000000"/>
              <w:right w:val="single" w:sz="4" w:space="0" w:color="000000"/>
            </w:tcBorders>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2" w:type="dxa"/>
            <w:tcBorders>
              <w:top w:val="single" w:sz="48" w:space="0" w:color="D2D2D2"/>
              <w:left w:val="single" w:sz="4" w:space="0" w:color="000000"/>
              <w:bottom w:val="single" w:sz="4" w:space="0" w:color="000000"/>
              <w:right w:val="nil" w:sz="6" w:space="0" w:color="auto"/>
            </w:tcBorders>
          </w:tcPr>
          <w:p>
            <w:pPr>
              <w:pStyle w:val="TableParagraph"/>
              <w:spacing w:line="240" w:lineRule="auto" w:before="36"/>
              <w:ind w:left="221" w:right="0"/>
              <w:jc w:val="left"/>
              <w:rPr>
                <w:rFonts w:ascii="Times New Roman" w:hAnsi="Times New Roman" w:cs="Times New Roman" w:eastAsia="Times New Roman" w:hint="default"/>
                <w:sz w:val="18"/>
                <w:szCs w:val="18"/>
              </w:rPr>
            </w:pPr>
            <w:r>
              <w:rPr>
                <w:rFonts w:ascii="Times New Roman"/>
                <w:sz w:val="18"/>
              </w:rPr>
              <w:t>21,339,898</w:t>
            </w:r>
          </w:p>
        </w:tc>
      </w:tr>
      <w:tr>
        <w:trPr>
          <w:trHeight w:val="1027"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4" w:right="84"/>
              <w:jc w:val="both"/>
              <w:rPr>
                <w:rFonts w:ascii="宋体" w:hAnsi="宋体" w:cs="宋体" w:eastAsia="宋体" w:hint="default"/>
                <w:sz w:val="18"/>
                <w:szCs w:val="18"/>
              </w:rPr>
            </w:pPr>
            <w:r>
              <w:rPr>
                <w:rFonts w:ascii="宋体" w:hAnsi="宋体" w:cs="宋体" w:eastAsia="宋体" w:hint="default"/>
                <w:sz w:val="18"/>
                <w:szCs w:val="18"/>
              </w:rPr>
              <w:t>新余全盛通投 资管理有限公 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3,510,000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3,510,000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2,964,337</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2,964,337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70"/>
              <w:ind w:left="14" w:right="84"/>
              <w:jc w:val="left"/>
              <w:rPr>
                <w:rFonts w:ascii="宋体" w:hAnsi="宋体" w:cs="宋体" w:eastAsia="宋体" w:hint="default"/>
                <w:sz w:val="18"/>
                <w:szCs w:val="18"/>
              </w:rPr>
            </w:pPr>
            <w:r>
              <w:rPr>
                <w:rFonts w:ascii="宋体" w:hAnsi="宋体" w:cs="宋体" w:eastAsia="宋体" w:hint="default"/>
                <w:sz w:val="18"/>
                <w:szCs w:val="18"/>
              </w:rPr>
              <w:t>常州炬仁光电 系统集成有限</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2,773,179</w:t>
            </w:r>
          </w:p>
        </w:tc>
        <w:tc>
          <w:tcPr>
            <w:tcW w:w="105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2,773,179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759998pt;margin-top:71.999985pt;width:478.3pt;height:688.4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8"/>
                    <w:gridCol w:w="929"/>
                    <w:gridCol w:w="1063"/>
                    <w:gridCol w:w="1064"/>
                    <w:gridCol w:w="926"/>
                    <w:gridCol w:w="1063"/>
                    <w:gridCol w:w="1069"/>
                    <w:gridCol w:w="1046"/>
                  </w:tblGrid>
                  <w:tr>
                    <w:trPr>
                      <w:trHeight w:val="363"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1" w:right="84"/>
                          <w:jc w:val="left"/>
                          <w:rPr>
                            <w:rFonts w:ascii="宋体" w:hAnsi="宋体" w:cs="宋体" w:eastAsia="宋体" w:hint="default"/>
                            <w:sz w:val="18"/>
                            <w:szCs w:val="18"/>
                          </w:rPr>
                        </w:pPr>
                        <w:r>
                          <w:rPr>
                            <w:rFonts w:ascii="宋体" w:hAnsi="宋体" w:cs="宋体" w:eastAsia="宋体" w:hint="default"/>
                            <w:sz w:val="18"/>
                            <w:szCs w:val="18"/>
                          </w:rPr>
                          <w:t>武汉汉朴投资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2,090,500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1" w:right="84"/>
                          <w:jc w:val="left"/>
                          <w:rPr>
                            <w:rFonts w:ascii="宋体" w:hAnsi="宋体" w:cs="宋体" w:eastAsia="宋体" w:hint="default"/>
                            <w:sz w:val="18"/>
                            <w:szCs w:val="18"/>
                          </w:rPr>
                        </w:pPr>
                        <w:r>
                          <w:rPr>
                            <w:rFonts w:ascii="宋体" w:hAnsi="宋体" w:cs="宋体" w:eastAsia="宋体" w:hint="default"/>
                            <w:sz w:val="18"/>
                            <w:szCs w:val="18"/>
                          </w:rPr>
                          <w:t>北京汇宝金源 投资管理中心</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1,771,512</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1,771,512</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陈福跃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1,337,900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1,337,900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朱斌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1,059,346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杨珂</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王静媛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987,050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987,050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161" w:hRule="exact"/>
                    </w:trPr>
                    <w:tc>
                      <w:tcPr>
                        <w:tcW w:w="2391"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7161" w:type="dxa"/>
                        <w:gridSpan w:val="7"/>
                        <w:vMerge w:val="restart"/>
                        <w:tcBorders>
                          <w:top w:val="single" w:sz="4" w:space="0" w:color="000000"/>
                          <w:left w:val="single" w:sz="9" w:space="0" w:color="D2D2D2"/>
                          <w:right w:val="nil" w:sz="6" w:space="0" w:color="auto"/>
                        </w:tcBorders>
                      </w:tcPr>
                      <w:p>
                        <w:pPr>
                          <w:pStyle w:val="TableParagraph"/>
                          <w:spacing w:line="309" w:lineRule="auto" w:before="49"/>
                          <w:ind w:left="17" w:right="18"/>
                          <w:jc w:val="left"/>
                          <w:rPr>
                            <w:rFonts w:ascii="宋体" w:hAnsi="宋体" w:cs="宋体" w:eastAsia="宋体" w:hint="default"/>
                            <w:sz w:val="18"/>
                            <w:szCs w:val="18"/>
                          </w:rPr>
                        </w:pPr>
                        <w:r>
                          <w:rPr>
                            <w:rFonts w:ascii="宋体" w:hAnsi="宋体" w:cs="宋体" w:eastAsia="宋体" w:hint="default"/>
                            <w:sz w:val="18"/>
                            <w:szCs w:val="18"/>
                          </w:rPr>
                          <w:t>新余全盛通法定代表人梁芳女士为公司实际控制人及控股股东梁伟先生的姐姐，除此之外 公司无法确定其他前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名股东间是否存在关联关系或属于《上市公司股东持股变动信息披 露管理办法》规定的一致行动人。</w:t>
                        </w:r>
                      </w:p>
                    </w:tc>
                  </w:tr>
                  <w:tr>
                    <w:trPr>
                      <w:trHeight w:val="703" w:hRule="exact"/>
                    </w:trPr>
                    <w:tc>
                      <w:tcPr>
                        <w:tcW w:w="2391" w:type="dxa"/>
                        <w:gridSpan w:val="2"/>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7"/>
                        <w:vMerge/>
                        <w:tcBorders>
                          <w:left w:val="single" w:sz="9" w:space="0" w:color="D2D2D2"/>
                          <w:right w:val="nil" w:sz="6" w:space="0" w:color="auto"/>
                        </w:tcBorders>
                      </w:tcPr>
                      <w:p>
                        <w:pPr/>
                      </w:p>
                    </w:tc>
                  </w:tr>
                  <w:tr>
                    <w:trPr>
                      <w:trHeight w:val="161" w:hRule="exact"/>
                    </w:trPr>
                    <w:tc>
                      <w:tcPr>
                        <w:tcW w:w="2391"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7161" w:type="dxa"/>
                        <w:gridSpan w:val="7"/>
                        <w:vMerge/>
                        <w:tcBorders>
                          <w:left w:val="single" w:sz="9" w:space="0" w:color="D2D2D2"/>
                          <w:bottom w:val="single" w:sz="4" w:space="0" w:color="000000"/>
                          <w:right w:val="nil" w:sz="6" w:space="0" w:color="auto"/>
                        </w:tcBorders>
                      </w:tcPr>
                      <w:p>
                        <w:pPr/>
                      </w:p>
                    </w:tc>
                  </w:tr>
                  <w:tr>
                    <w:trPr>
                      <w:trHeight w:val="403" w:hRule="exact"/>
                    </w:trPr>
                    <w:tc>
                      <w:tcPr>
                        <w:tcW w:w="9552" w:type="dxa"/>
                        <w:gridSpan w:val="9"/>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1"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15"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1"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15"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391" w:type="dxa"/>
                        <w:gridSpan w:val="2"/>
                        <w:vMerge/>
                        <w:tcBorders>
                          <w:left w:val="nil" w:sz="6" w:space="0" w:color="auto"/>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4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1"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nil" w:sz="6" w:space="0" w:color="auto"/>
                        </w:tcBorders>
                        <w:shd w:val="clear" w:color="auto" w:fill="D2D2D2"/>
                      </w:tcPr>
                      <w:p>
                        <w:pPr/>
                      </w:p>
                    </w:tc>
                  </w:tr>
                  <w:tr>
                    <w:trPr>
                      <w:trHeight w:val="713"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58,907,753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58,907,753</w:t>
                        </w:r>
                      </w:p>
                    </w:tc>
                  </w:tr>
                  <w:tr>
                    <w:trPr>
                      <w:trHeight w:val="716"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3,510,000</w:t>
                        </w:r>
                      </w:p>
                    </w:tc>
                  </w:tr>
                  <w:tr>
                    <w:trPr>
                      <w:trHeight w:val="713"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2,964,337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2,964,337</w:t>
                        </w:r>
                      </w:p>
                    </w:tc>
                  </w:tr>
                  <w:tr>
                    <w:trPr>
                      <w:trHeight w:val="715"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常州炬仁光电系统集成有限公 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2,773,179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2,773,179</w:t>
                        </w:r>
                      </w:p>
                    </w:tc>
                  </w:tr>
                  <w:tr>
                    <w:trPr>
                      <w:trHeight w:val="713"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武汉汉朴投资有限公司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2,090,500</w:t>
                        </w:r>
                      </w:p>
                    </w:tc>
                  </w:tr>
                  <w:tr>
                    <w:trPr>
                      <w:trHeight w:val="716"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北京汇宝金源投资管理中心</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1,771,512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1,771,512</w:t>
                        </w:r>
                      </w:p>
                    </w:tc>
                  </w:tr>
                  <w:tr>
                    <w:trPr>
                      <w:trHeight w:val="713"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陈福跃</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1,337,900</w:t>
                        </w:r>
                      </w:p>
                    </w:tc>
                  </w:tr>
                  <w:tr>
                    <w:trPr>
                      <w:trHeight w:val="715"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朱斌</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1,059,346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1,059,346</w:t>
                        </w:r>
                      </w:p>
                    </w:tc>
                  </w:tr>
                  <w:tr>
                    <w:trPr>
                      <w:trHeight w:val="713"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杨珂</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1,048,500</w:t>
                        </w:r>
                      </w:p>
                    </w:tc>
                  </w:tr>
                  <w:tr>
                    <w:trPr>
                      <w:trHeight w:val="715" w:hRule="exact"/>
                    </w:trPr>
                    <w:tc>
                      <w:tcPr>
                        <w:tcW w:w="239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王静媛</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987,050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987,050</w:t>
                        </w:r>
                      </w:p>
                    </w:tc>
                  </w:tr>
                  <w:tr>
                    <w:trPr>
                      <w:trHeight w:val="675" w:hRule="exact"/>
                    </w:trPr>
                    <w:tc>
                      <w:tcPr>
                        <w:tcW w:w="2391"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tc>
                    <w:tc>
                      <w:tcPr>
                        <w:tcW w:w="7161" w:type="dxa"/>
                        <w:gridSpan w:val="7"/>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名股东中新余全盛通法定代表人梁芳女士为公司实际控制人及控股股东梁伟先生的姐</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姐，除此之外，公司无法确定前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名无限售流通股股东间以及前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名无限售股东和前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14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7173"/>
      </w:tblGrid>
      <w:tr>
        <w:trPr>
          <w:trHeight w:val="675" w:hRule="exact"/>
        </w:trPr>
        <w:tc>
          <w:tcPr>
            <w:tcW w:w="23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8"/>
              <w:ind w:left="28"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pacing w:val="-3"/>
                <w:sz w:val="18"/>
                <w:szCs w:val="18"/>
              </w:rPr>
              <w:t>名股东之间是否存在关联关系或属于《上市公司股东持股变动信息披露管理办法》规定的一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致行动人。</w:t>
            </w:r>
          </w:p>
        </w:tc>
      </w:tr>
      <w:tr>
        <w:trPr>
          <w:trHeight w:val="1025" w:hRule="exact"/>
        </w:trPr>
        <w:tc>
          <w:tcPr>
            <w:tcW w:w="23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公司股东朱斌通过中信建投证券股份有限公司客户信用交易担保证券账户持有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1,059,346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1,059,346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股。公司股东杨珂通过普通证券账户持有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920,400 </w:t>
            </w:r>
            <w:r>
              <w:rPr>
                <w:rFonts w:ascii="宋体" w:hAnsi="宋体" w:cs="宋体" w:eastAsia="宋体" w:hint="default"/>
                <w:sz w:val="18"/>
                <w:szCs w:val="18"/>
              </w:rPr>
              <w:t>股，华泰证券股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1,048,500 </w:t>
            </w:r>
            <w:r>
              <w:rPr>
                <w:rFonts w:ascii="宋体" w:hAnsi="宋体" w:cs="宋体" w:eastAsia="宋体" w:hint="default"/>
                <w:sz w:val="18"/>
                <w:szCs w:val="18"/>
              </w:rPr>
              <w:t>股。</w:t>
            </w:r>
          </w:p>
        </w:tc>
      </w:tr>
    </w:tbl>
    <w:p>
      <w:pPr>
        <w:pStyle w:val="BodyText"/>
        <w:spacing w:line="240" w:lineRule="auto" w:before="28"/>
        <w:ind w:right="1116"/>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名无限售条件普通股股东在报告期内是否进行约定购回交易</w:t>
      </w:r>
    </w:p>
    <w:p>
      <w:pPr>
        <w:pStyle w:val="BodyText"/>
        <w:spacing w:line="240" w:lineRule="auto" w:before="62"/>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59"/>
        <w:ind w:right="1116"/>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7364"/>
        <w:jc w:val="left"/>
      </w:pPr>
      <w:r>
        <w:rPr>
          <w:spacing w:val="-2"/>
        </w:rPr>
        <w:t>控股股东性质：自然人控股</w:t>
      </w:r>
      <w:r>
        <w:rPr>
          <w:spacing w:val="-82"/>
        </w:rPr>
        <w:t> </w:t>
      </w:r>
      <w:r>
        <w:rPr>
          <w:spacing w:val="-82"/>
        </w:rPr>
      </w:r>
      <w:r>
        <w:rPr/>
        <w:t>控股股东类型：自然人</w:t>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121"/>
        <w:gridCol w:w="2328"/>
        <w:gridCol w:w="4107"/>
      </w:tblGrid>
      <w:tr>
        <w:trPr>
          <w:trHeight w:val="402" w:hRule="exact"/>
        </w:trPr>
        <w:tc>
          <w:tcPr>
            <w:tcW w:w="31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020"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4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曾任公司董事长、总经理，现担任公司营运顾问、数字化新兴业务开发中心总监</w:t>
            </w:r>
          </w:p>
        </w:tc>
      </w:tr>
      <w:tr>
        <w:trPr>
          <w:trHeight w:val="715" w:hRule="exact"/>
        </w:trPr>
        <w:tc>
          <w:tcPr>
            <w:tcW w:w="312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25"/>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4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28"/>
        <w:ind w:right="1116"/>
        <w:jc w:val="left"/>
      </w:pPr>
      <w:r>
        <w:rPr/>
        <w:t>控股股东报告期内变更</w:t>
      </w:r>
    </w:p>
    <w:p>
      <w:pPr>
        <w:pStyle w:val="BodyText"/>
        <w:spacing w:line="290" w:lineRule="auto" w:before="76"/>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公司报告期控股股东未发生变更。</w:t>
      </w:r>
    </w:p>
    <w:p>
      <w:pPr>
        <w:spacing w:line="240" w:lineRule="auto" w:before="3"/>
        <w:rPr>
          <w:rFonts w:ascii="宋体" w:hAnsi="宋体" w:cs="宋体" w:eastAsia="宋体" w:hint="default"/>
          <w:sz w:val="22"/>
          <w:szCs w:val="22"/>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7364"/>
        <w:jc w:val="left"/>
      </w:pPr>
      <w:r>
        <w:rPr>
          <w:spacing w:val="-2"/>
        </w:rPr>
        <w:t>实际控制人性质：境内自然人</w:t>
      </w:r>
      <w:r>
        <w:rPr>
          <w:spacing w:val="-79"/>
        </w:rPr>
        <w:t> </w:t>
      </w:r>
      <w:r>
        <w:rPr>
          <w:spacing w:val="-79"/>
        </w:rPr>
      </w:r>
      <w:r>
        <w:rPr/>
        <w:t>实际控制人类型：自然人</w:t>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393"/>
        <w:gridCol w:w="2391"/>
        <w:gridCol w:w="2393"/>
        <w:gridCol w:w="2379"/>
      </w:tblGrid>
      <w:tr>
        <w:trPr>
          <w:trHeight w:val="714"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4" w:lineRule="auto" w:before="50"/>
              <w:ind w:left="1010" w:right="10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197"/>
              <w:jc w:val="left"/>
              <w:rPr>
                <w:rFonts w:ascii="宋体" w:hAnsi="宋体" w:cs="宋体" w:eastAsia="宋体" w:hint="default"/>
                <w:sz w:val="18"/>
                <w:szCs w:val="18"/>
              </w:rPr>
            </w:pPr>
            <w:r>
              <w:rPr>
                <w:rFonts w:ascii="宋体" w:hAnsi="宋体" w:cs="宋体" w:eastAsia="宋体" w:hint="default"/>
                <w:sz w:val="18"/>
                <w:szCs w:val="18"/>
              </w:rPr>
              <w:t>新余全盛通投资管理有限公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6"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63" w:type="dxa"/>
            <w:gridSpan w:val="3"/>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23" w:right="292"/>
              <w:jc w:val="left"/>
              <w:rPr>
                <w:rFonts w:ascii="宋体" w:hAnsi="宋体" w:cs="宋体" w:eastAsia="宋体" w:hint="default"/>
                <w:sz w:val="18"/>
                <w:szCs w:val="18"/>
              </w:rPr>
            </w:pPr>
            <w:r>
              <w:rPr>
                <w:rFonts w:ascii="宋体" w:hAnsi="宋体" w:cs="宋体" w:eastAsia="宋体" w:hint="default"/>
                <w:sz w:val="18"/>
                <w:szCs w:val="18"/>
              </w:rPr>
              <w:t>梁伟：曾任公司董事长、总经理；现担任公司营运顾问、数字化新兴业务开发中心总监 梁萍：曾任公司董事；现任公司董事长、总经理。</w:t>
            </w:r>
          </w:p>
        </w:tc>
      </w:tr>
      <w:tr>
        <w:trPr>
          <w:trHeight w:val="713"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49"/>
              <w:ind w:left="28"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6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28"/>
        <w:ind w:right="1116"/>
        <w:jc w:val="left"/>
      </w:pPr>
      <w:r>
        <w:rPr/>
        <w:t>实际控制人报告期内变更</w:t>
      </w:r>
    </w:p>
    <w:p>
      <w:pPr>
        <w:pStyle w:val="BodyText"/>
        <w:spacing w:line="240" w:lineRule="auto" w:before="78"/>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307" w:lineRule="auto" w:before="36"/>
        <w:ind w:right="5505"/>
        <w:jc w:val="left"/>
      </w:pPr>
      <w:r>
        <w:rPr/>
        <w:t>公司报告期实际控制人未发生变更。</w:t>
      </w:r>
      <w:r>
        <w:rPr>
          <w:w w:val="100"/>
        </w:rPr>
        <w:t> </w:t>
      </w:r>
      <w:r>
        <w:rPr>
          <w:spacing w:val="-2"/>
        </w:rPr>
        <w:t>公司与实际控制人之间的产权及控制关系的方框图</w:t>
      </w:r>
    </w:p>
    <w:p>
      <w:pPr>
        <w:spacing w:line="240" w:lineRule="auto" w:before="12"/>
        <w:rPr>
          <w:rFonts w:ascii="宋体" w:hAnsi="宋体" w:cs="宋体" w:eastAsia="宋体" w:hint="default"/>
          <w:sz w:val="25"/>
          <w:szCs w:val="25"/>
        </w:rPr>
      </w:pPr>
    </w:p>
    <w:p>
      <w:pPr>
        <w:spacing w:line="3134" w:lineRule="exact"/>
        <w:ind w:left="1862"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950582" cy="199053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3950582" cy="1990534"/>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2"/>
        <w:rPr>
          <w:rFonts w:ascii="宋体" w:hAnsi="宋体" w:cs="宋体" w:eastAsia="宋体" w:hint="default"/>
          <w:sz w:val="25"/>
          <w:szCs w:val="25"/>
        </w:rPr>
      </w:pPr>
    </w:p>
    <w:p>
      <w:pPr>
        <w:pStyle w:val="BodyText"/>
        <w:spacing w:line="240" w:lineRule="auto"/>
        <w:ind w:right="1116"/>
        <w:jc w:val="left"/>
      </w:pPr>
      <w:r>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16"/>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90" w:lineRule="auto" w:before="36"/>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29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16"/>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1"/>
        <w:rPr>
          <w:rFonts w:ascii="宋体" w:hAnsi="宋体" w:cs="宋体" w:eastAsia="宋体" w:hint="default"/>
          <w:b/>
          <w:bCs/>
          <w:sz w:val="41"/>
          <w:szCs w:val="41"/>
        </w:rPr>
      </w:pPr>
    </w:p>
    <w:p>
      <w:pPr>
        <w:pStyle w:val="BodyText"/>
        <w:spacing w:line="290" w:lineRule="auto"/>
        <w:ind w:right="7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报告期公司不存在可转换公司债券。</w:t>
      </w:r>
    </w:p>
    <w:p>
      <w:pPr>
        <w:spacing w:after="0" w:line="29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16"/>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6"/>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617"/>
        <w:gridCol w:w="782"/>
        <w:gridCol w:w="562"/>
        <w:gridCol w:w="504"/>
        <w:gridCol w:w="370"/>
        <w:gridCol w:w="1519"/>
        <w:gridCol w:w="1539"/>
        <w:gridCol w:w="744"/>
        <w:gridCol w:w="826"/>
        <w:gridCol w:w="783"/>
        <w:gridCol w:w="617"/>
        <w:gridCol w:w="710"/>
      </w:tblGrid>
      <w:tr>
        <w:trPr>
          <w:trHeight w:val="1027" w:hRule="exact"/>
        </w:trPr>
        <w:tc>
          <w:tcPr>
            <w:tcW w:w="6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2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87"/>
              <w:jc w:val="left"/>
              <w:rPr>
                <w:rFonts w:ascii="宋体" w:hAnsi="宋体" w:cs="宋体" w:eastAsia="宋体" w:hint="default"/>
                <w:sz w:val="18"/>
                <w:szCs w:val="18"/>
              </w:rPr>
            </w:pPr>
            <w:r>
              <w:rPr>
                <w:rFonts w:ascii="宋体" w:hAnsi="宋体" w:cs="宋体" w:eastAsia="宋体" w:hint="default"/>
                <w:sz w:val="18"/>
                <w:szCs w:val="18"/>
              </w:rPr>
              <w:t>年 龄</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95"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9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3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29"/>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3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170" w:right="84"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200,724</w:t>
            </w: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200,724</w:t>
            </w:r>
          </w:p>
        </w:tc>
      </w:tr>
      <w:tr>
        <w:trPr>
          <w:trHeight w:val="40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697,908</w:t>
            </w: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697,908</w:t>
            </w:r>
          </w:p>
        </w:tc>
      </w:tr>
      <w:tr>
        <w:trPr>
          <w:trHeight w:val="40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聂金萍</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黄海霞</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副总经 理、董秘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廖琨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胡锋</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6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898,632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232,636</w:t>
            </w: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898,632</w:t>
            </w:r>
          </w:p>
        </w:tc>
      </w:tr>
    </w:tbl>
    <w:p>
      <w:pPr>
        <w:spacing w:line="240" w:lineRule="auto" w:before="1"/>
        <w:rPr>
          <w:rFonts w:ascii="宋体" w:hAnsi="宋体" w:cs="宋体" w:eastAsia="宋体" w:hint="default"/>
          <w:b/>
          <w:bCs/>
          <w:sz w:val="18"/>
          <w:szCs w:val="18"/>
        </w:rPr>
      </w:pPr>
    </w:p>
    <w:p>
      <w:pPr>
        <w:pStyle w:val="Heading2"/>
        <w:spacing w:line="240" w:lineRule="auto" w:before="26"/>
        <w:ind w:right="1116"/>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966"/>
        <w:gridCol w:w="3601"/>
      </w:tblGrid>
      <w:tr>
        <w:trPr>
          <w:trHeight w:val="401" w:hRule="exact"/>
        </w:trPr>
        <w:tc>
          <w:tcPr>
            <w:tcW w:w="13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退休</w:t>
            </w:r>
          </w:p>
        </w:tc>
      </w:tr>
      <w:tr>
        <w:trPr>
          <w:trHeight w:val="403"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胡锋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1"/>
        <w:rPr>
          <w:rFonts w:ascii="宋体" w:hAnsi="宋体" w:cs="宋体" w:eastAsia="宋体" w:hint="default"/>
          <w:sz w:val="18"/>
          <w:szCs w:val="18"/>
        </w:rPr>
      </w:pPr>
    </w:p>
    <w:p>
      <w:pPr>
        <w:pStyle w:val="Heading2"/>
        <w:spacing w:line="240" w:lineRule="auto" w:before="26"/>
        <w:ind w:right="1116"/>
        <w:jc w:val="left"/>
        <w:rPr>
          <w:b w:val="0"/>
          <w:bCs w:val="0"/>
        </w:rPr>
      </w:pPr>
      <w:r>
        <w:rPr/>
        <w:t>三、任职情况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16"/>
        <w:jc w:val="left"/>
      </w:pPr>
      <w:r>
        <w:rPr/>
        <w:t>公司现任董事、监事、高级管理人员专业背景、主要工作经历以及目前在公司的主要职责</w:t>
      </w:r>
    </w:p>
    <w:p>
      <w:pPr>
        <w:pStyle w:val="Heading3"/>
        <w:spacing w:line="240" w:lineRule="auto" w:before="78"/>
        <w:ind w:left="575" w:right="1116"/>
        <w:jc w:val="left"/>
        <w:rPr>
          <w:b w:val="0"/>
          <w:bCs w:val="0"/>
        </w:rPr>
      </w:pPr>
      <w:r>
        <w:rPr>
          <w:rFonts w:ascii="Times New Roman" w:hAnsi="Times New Roman" w:cs="Times New Roman" w:eastAsia="Times New Roman" w:hint="default"/>
        </w:rPr>
        <w:t>1</w:t>
      </w:r>
      <w:r>
        <w:rPr/>
        <w:t>、董事会成员</w:t>
      </w:r>
      <w:r>
        <w:rPr>
          <w:b w:val="0"/>
          <w:bCs w:val="0"/>
        </w:rPr>
      </w:r>
    </w:p>
    <w:p>
      <w:pPr>
        <w:pStyle w:val="BodyText"/>
        <w:spacing w:line="256" w:lineRule="auto" w:before="21"/>
        <w:ind w:right="1023" w:firstLine="420"/>
        <w:jc w:val="left"/>
      </w:pPr>
      <w:r>
        <w:rPr>
          <w:spacing w:val="-4"/>
        </w:rPr>
        <w:t>梁萍女士：中国国籍，无永久境外居留权，</w:t>
      </w:r>
      <w:r>
        <w:rPr>
          <w:rFonts w:ascii="Times New Roman" w:hAnsi="Times New Roman" w:cs="Times New Roman" w:eastAsia="Times New Roman" w:hint="default"/>
          <w:spacing w:val="-4"/>
        </w:rPr>
        <w:t>1960</w:t>
      </w:r>
      <w:r>
        <w:rPr>
          <w:spacing w:val="-4"/>
        </w:rPr>
        <w:t>年出生，大学学历。</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-2009</w:t>
      </w:r>
      <w:r>
        <w:rPr>
          <w:spacing w:val="-4"/>
        </w:rPr>
        <w:t>年任武汉金运激光股</w:t>
      </w:r>
      <w:r>
        <w:rPr>
          <w:w w:val="100"/>
        </w:rPr>
        <w:t> </w:t>
      </w:r>
      <w:r>
        <w:rPr>
          <w:spacing w:val="-5"/>
          <w:w w:val="100"/>
        </w:rPr>
        <w:t>份有限公司销售部经理、</w:t>
      </w:r>
      <w:r>
        <w:rPr>
          <w:rFonts w:ascii="Times New Roman" w:hAnsi="Times New Roman" w:cs="Times New Roman" w:eastAsia="Times New Roman" w:hint="default"/>
          <w:spacing w:val="-5"/>
          <w:w w:val="100"/>
        </w:rPr>
        <w:t>2009</w:t>
      </w:r>
      <w:r>
        <w:rPr>
          <w:spacing w:val="-5"/>
          <w:w w:val="100"/>
        </w:rPr>
        <w:t>年</w:t>
      </w:r>
      <w:r>
        <w:rPr>
          <w:rFonts w:ascii="Times New Roman" w:hAnsi="Times New Roman" w:cs="Times New Roman" w:eastAsia="Times New Roman" w:hint="default"/>
          <w:spacing w:val="-5"/>
          <w:w w:val="100"/>
        </w:rPr>
        <w:t>-2014</w:t>
      </w:r>
      <w:r>
        <w:rPr>
          <w:spacing w:val="-5"/>
          <w:w w:val="100"/>
        </w:rPr>
        <w:t>年任公司国内销售中心副总经理，</w:t>
      </w:r>
      <w:r>
        <w:rPr>
          <w:rFonts w:ascii="Times New Roman" w:hAnsi="Times New Roman" w:cs="Times New Roman" w:eastAsia="Times New Roman" w:hint="default"/>
          <w:spacing w:val="-5"/>
          <w:w w:val="100"/>
        </w:rPr>
        <w:t>2014</w:t>
      </w:r>
      <w:r>
        <w:rPr>
          <w:spacing w:val="-5"/>
          <w:w w:val="100"/>
        </w:rPr>
        <w:t>年至今任公司营运中心副总监。</w:t>
      </w:r>
      <w:r>
        <w:rPr>
          <w:spacing w:val="-102"/>
          <w:w w:val="100"/>
        </w:rPr>
        <w:t> </w:t>
      </w:r>
      <w:r>
        <w:rPr>
          <w:spacing w:val="-102"/>
          <w:w w:val="100"/>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日至今任公司董事长、总经理职务</w:t>
      </w:r>
    </w:p>
    <w:p>
      <w:pPr>
        <w:pStyle w:val="BodyText"/>
        <w:spacing w:line="240" w:lineRule="auto" w:before="5"/>
        <w:ind w:left="573" w:right="998"/>
        <w:jc w:val="left"/>
      </w:pPr>
      <w:r>
        <w:rPr/>
        <w:t>肖璇女士：中国国籍，无永久境外居留权，</w:t>
      </w:r>
      <w:r>
        <w:rPr>
          <w:rFonts w:ascii="Times New Roman" w:hAnsi="Times New Roman" w:cs="Times New Roman" w:eastAsia="Times New Roman" w:hint="default"/>
        </w:rPr>
        <w:t>1987</w:t>
      </w:r>
      <w:r>
        <w:rPr/>
        <w:t>年出生，大学学历。</w:t>
      </w:r>
      <w:r>
        <w:rPr>
          <w:rFonts w:ascii="Times New Roman" w:hAnsi="Times New Roman" w:cs="Times New Roman" w:eastAsia="Times New Roman" w:hint="default"/>
        </w:rPr>
        <w:t>2014</w:t>
      </w:r>
      <w:r>
        <w:rPr/>
        <w:t>年至今任湖北高投金运激光</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633" w:right="998" w:hanging="481"/>
        <w:jc w:val="left"/>
      </w:pPr>
      <w:r>
        <w:rPr/>
        <w:t>产业投资管理有限公司行政主管。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w:t>
      </w:r>
      <w:r>
        <w:rPr>
          <w:w w:val="100"/>
        </w:rPr>
        <w:t> </w:t>
      </w:r>
      <w:r>
        <w:rPr>
          <w:spacing w:val="-5"/>
        </w:rPr>
        <w:t>胡锋先生：中国国籍，无永久境外居留权，</w:t>
      </w:r>
      <w:r>
        <w:rPr>
          <w:rFonts w:ascii="Times New Roman" w:hAnsi="Times New Roman" w:cs="Times New Roman" w:eastAsia="Times New Roman" w:hint="default"/>
          <w:spacing w:val="-5"/>
        </w:rPr>
        <w:t>1984</w:t>
      </w:r>
      <w:r>
        <w:rPr>
          <w:spacing w:val="-5"/>
        </w:rPr>
        <w:t>年出生，大学学历。</w:t>
      </w:r>
      <w:r>
        <w:rPr>
          <w:rFonts w:ascii="Times New Roman" w:hAnsi="Times New Roman" w:cs="Times New Roman" w:eastAsia="Times New Roman" w:hint="default"/>
          <w:spacing w:val="-5"/>
        </w:rPr>
        <w:t>2010</w:t>
      </w:r>
      <w:r>
        <w:rPr>
          <w:spacing w:val="-5"/>
        </w:rPr>
        <w:t>至</w:t>
      </w:r>
      <w:r>
        <w:rPr>
          <w:rFonts w:ascii="Times New Roman" w:hAnsi="Times New Roman" w:cs="Times New Roman" w:eastAsia="Times New Roman" w:hint="default"/>
          <w:spacing w:val="-5"/>
        </w:rPr>
        <w:t>2016</w:t>
      </w:r>
      <w:r>
        <w:rPr>
          <w:spacing w:val="-5"/>
        </w:rPr>
        <w:t>年任公司品管部经理，</w:t>
      </w:r>
    </w:p>
    <w:p>
      <w:pPr>
        <w:pStyle w:val="BodyText"/>
        <w:spacing w:line="256" w:lineRule="auto" w:before="5"/>
        <w:ind w:left="573" w:right="1116" w:hanging="421"/>
        <w:jc w:val="left"/>
      </w:pPr>
      <w:r>
        <w:rPr>
          <w:rFonts w:ascii="Times New Roman" w:hAnsi="Times New Roman" w:cs="Times New Roman" w:eastAsia="Times New Roman" w:hint="default"/>
        </w:rPr>
        <w:t>2017</w:t>
      </w:r>
      <w:r>
        <w:rPr/>
        <w:t>年担任公司智能零售终端部经理</w:t>
      </w:r>
      <w:r>
        <w:rPr>
          <w:spacing w:val="-3"/>
        </w:rPr>
        <w:t> </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日至今任公司董事</w:t>
      </w:r>
      <w:r>
        <w:rPr>
          <w:w w:val="100"/>
        </w:rPr>
        <w:t> </w:t>
      </w:r>
      <w:r>
        <w:rPr>
          <w:spacing w:val="-2"/>
        </w:rPr>
        <w:t>施先旺先生：中国国籍，无永久境外居留权，</w:t>
      </w:r>
      <w:r>
        <w:rPr>
          <w:rFonts w:ascii="Times New Roman" w:hAnsi="Times New Roman" w:cs="Times New Roman" w:eastAsia="Times New Roman" w:hint="default"/>
          <w:spacing w:val="-2"/>
        </w:rPr>
        <w:t>1968</w:t>
      </w:r>
      <w:r>
        <w:rPr>
          <w:spacing w:val="-2"/>
        </w:rPr>
        <w:t>年出生，管理学博士。曾任湖北潜江供销职工中专</w:t>
      </w:r>
    </w:p>
    <w:p>
      <w:pPr>
        <w:pStyle w:val="BodyText"/>
        <w:spacing w:line="273" w:lineRule="auto" w:before="5"/>
        <w:ind w:right="1116"/>
        <w:jc w:val="left"/>
      </w:pPr>
      <w:r>
        <w:rPr>
          <w:spacing w:val="-2"/>
        </w:rPr>
        <w:t>学校教师，现任中南财经政法大学会计学教授、博导，兼任湖北省国家税务局和湖北省地方税务局，主要</w:t>
      </w:r>
      <w:r>
        <w:rPr>
          <w:spacing w:val="-50"/>
        </w:rPr>
        <w:t> </w:t>
      </w:r>
      <w:r>
        <w:rPr>
          <w:spacing w:val="-50"/>
        </w:rPr>
      </w:r>
      <w:r>
        <w:rPr/>
        <w:t>培训专家之一。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日至今任公司独立董事。</w:t>
      </w:r>
    </w:p>
    <w:p>
      <w:pPr>
        <w:pStyle w:val="BodyText"/>
        <w:spacing w:line="261" w:lineRule="auto"/>
        <w:ind w:right="1126" w:firstLine="420"/>
        <w:jc w:val="both"/>
      </w:pPr>
      <w:r>
        <w:rPr>
          <w:spacing w:val="-2"/>
        </w:rPr>
        <w:t>李秉成先生：中国国籍，无永久境外居留权，</w:t>
      </w:r>
      <w:r>
        <w:rPr>
          <w:rFonts w:ascii="Times New Roman" w:hAnsi="Times New Roman" w:cs="Times New Roman" w:eastAsia="Times New Roman" w:hint="default"/>
          <w:spacing w:val="-2"/>
        </w:rPr>
        <w:t>1964</w:t>
      </w:r>
      <w:r>
        <w:rPr>
          <w:spacing w:val="-2"/>
        </w:rPr>
        <w:t>年出生，管理学博士后、注册会计师。曾任第一治</w:t>
      </w:r>
      <w:r>
        <w:rPr>
          <w:w w:val="100"/>
        </w:rPr>
        <w:t> </w:t>
      </w:r>
      <w:r>
        <w:rPr>
          <w:spacing w:val="-2"/>
        </w:rPr>
        <w:t>金建设公司机械动力公司助理工程师、武汉科技大学管理学教师、现任中南财经政法大学会计学教授、博</w:t>
      </w:r>
      <w:r>
        <w:rPr>
          <w:spacing w:val="-43"/>
        </w:rPr>
        <w:t> </w:t>
      </w:r>
      <w:r>
        <w:rPr>
          <w:spacing w:val="-43"/>
        </w:rPr>
      </w:r>
      <w:r>
        <w:rPr>
          <w:spacing w:val="-2"/>
        </w:rPr>
        <w:t>导。有限公司独立董事（</w:t>
      </w:r>
      <w:r>
        <w:rPr>
          <w:rFonts w:ascii="Times New Roman" w:hAnsi="Times New Roman" w:cs="Times New Roman" w:eastAsia="Times New Roman" w:hint="default"/>
          <w:spacing w:val="-2"/>
        </w:rPr>
        <w:t>2009</w:t>
      </w:r>
      <w:r>
        <w:rPr>
          <w:spacing w:val="-2"/>
        </w:rPr>
        <w:t>年至今）、武汉理工光科股份有限公司独立董事（</w:t>
      </w:r>
      <w:r>
        <w:rPr>
          <w:rFonts w:ascii="Times New Roman" w:hAnsi="Times New Roman" w:cs="Times New Roman" w:eastAsia="Times New Roman" w:hint="default"/>
          <w:spacing w:val="-2"/>
        </w:rPr>
        <w:t>2012</w:t>
      </w:r>
      <w:r>
        <w:rPr>
          <w:spacing w:val="-2"/>
        </w:rPr>
        <w:t>年至今）、湖北绿色</w:t>
      </w:r>
      <w:r>
        <w:rPr>
          <w:spacing w:val="-39"/>
        </w:rPr>
        <w:t> </w:t>
      </w:r>
      <w:r>
        <w:rPr>
          <w:spacing w:val="-39"/>
        </w:rPr>
      </w:r>
      <w:r>
        <w:rPr/>
        <w:t>家园精细化工股份有限公司独立董事（</w:t>
      </w:r>
      <w:r>
        <w:rPr>
          <w:rFonts w:ascii="Times New Roman" w:hAnsi="Times New Roman" w:cs="Times New Roman" w:eastAsia="Times New Roman" w:hint="default"/>
        </w:rPr>
        <w:t>2015</w:t>
      </w:r>
      <w:r>
        <w:rPr/>
        <w:t>年至今）。</w:t>
      </w:r>
      <w:r>
        <w:rPr>
          <w:spacing w:val="-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日至今任公司独立董事。</w:t>
      </w:r>
    </w:p>
    <w:p>
      <w:pPr>
        <w:pStyle w:val="BodyText"/>
        <w:spacing w:line="259" w:lineRule="auto"/>
        <w:ind w:left="573" w:right="1116" w:firstLine="2"/>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100"/>
        </w:rPr>
        <w:t> </w:t>
      </w:r>
      <w:r>
        <w:rPr>
          <w:spacing w:val="-2"/>
        </w:rPr>
        <w:t>李爱静女士：监事，中国国籍，无永久境外居留权，</w:t>
      </w:r>
      <w:r>
        <w:rPr>
          <w:rFonts w:ascii="Times New Roman" w:hAnsi="Times New Roman" w:cs="Times New Roman" w:eastAsia="Times New Roman" w:hint="default"/>
          <w:spacing w:val="-2"/>
        </w:rPr>
        <w:t>1985</w:t>
      </w:r>
      <w:r>
        <w:rPr>
          <w:spacing w:val="-2"/>
        </w:rPr>
        <w:t>年出生，大学学历。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2008</w:t>
      </w:r>
      <w:r>
        <w:rPr>
          <w:spacing w:val="-2"/>
        </w:rPr>
        <w:t>年</w:t>
      </w:r>
    </w:p>
    <w:p>
      <w:pPr>
        <w:pStyle w:val="BodyText"/>
        <w:spacing w:line="240" w:lineRule="auto" w:before="2"/>
        <w:ind w:right="998"/>
        <w:jc w:val="left"/>
        <w:rPr>
          <w:rFonts w:ascii="Times New Roman" w:hAnsi="Times New Roman" w:cs="Times New Roman" w:eastAsia="Times New Roman" w:hint="default"/>
        </w:rPr>
      </w:pPr>
      <w:r>
        <w:rPr>
          <w:rFonts w:ascii="Times New Roman" w:hAnsi="Times New Roman" w:cs="Times New Roman" w:eastAsia="Times New Roman" w:hint="default"/>
        </w:rPr>
        <w:t>02</w:t>
      </w:r>
      <w:r>
        <w:rPr/>
        <w:t>月曾任武汉大西洋广告有限公司；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05</w:t>
      </w:r>
      <w:r>
        <w:rPr/>
        <w:t>月曾任武汉市承志汽车销售有限公司。</w:t>
      </w:r>
      <w:r>
        <w:rPr>
          <w:rFonts w:ascii="Times New Roman" w:hAnsi="Times New Roman" w:cs="Times New Roman" w:eastAsia="Times New Roman" w:hint="default"/>
        </w:rPr>
        <w:t>2009</w:t>
      </w:r>
    </w:p>
    <w:p>
      <w:pPr>
        <w:pStyle w:val="BodyText"/>
        <w:spacing w:line="273" w:lineRule="auto" w:before="21"/>
        <w:ind w:left="573" w:right="1116" w:hanging="421"/>
        <w:jc w:val="left"/>
      </w:pPr>
      <w:r>
        <w:rPr/>
        <w:t>年至今在武汉市金运激光股份有限公司任资讯管理专员。</w:t>
      </w:r>
      <w:r>
        <w:rPr>
          <w:w w:val="100"/>
        </w:rPr>
        <w:t> </w:t>
      </w:r>
      <w:r>
        <w:rPr>
          <w:spacing w:val="-2"/>
        </w:rPr>
        <w:t>聂金萍女士：监事，中国国籍，无永久境外居留权，</w:t>
      </w:r>
      <w:r>
        <w:rPr>
          <w:rFonts w:ascii="Times New Roman" w:hAnsi="Times New Roman" w:cs="Times New Roman" w:eastAsia="Times New Roman" w:hint="default"/>
          <w:spacing w:val="-2"/>
        </w:rPr>
        <w:t>1985</w:t>
      </w:r>
      <w:r>
        <w:rPr>
          <w:spacing w:val="-2"/>
        </w:rPr>
        <w:t>年出生，大学学历。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p>
    <w:p>
      <w:pPr>
        <w:pStyle w:val="BodyText"/>
        <w:spacing w:line="256" w:lineRule="auto"/>
        <w:ind w:right="998"/>
        <w:jc w:val="left"/>
      </w:pPr>
      <w:r>
        <w:rPr>
          <w:spacing w:val="-4"/>
          <w:w w:val="100"/>
        </w:rPr>
        <w:t>曾任金马凯旋家居</w:t>
      </w:r>
      <w:r>
        <w:rPr>
          <w:rFonts w:ascii="Times New Roman" w:hAnsi="Times New Roman" w:cs="Times New Roman" w:eastAsia="Times New Roman" w:hint="default"/>
          <w:spacing w:val="-4"/>
          <w:w w:val="100"/>
        </w:rPr>
        <w:t>-</w:t>
      </w:r>
      <w:r>
        <w:rPr>
          <w:spacing w:val="-4"/>
          <w:w w:val="100"/>
        </w:rPr>
        <w:t>中国家俱</w:t>
      </w:r>
      <w:r>
        <w:rPr>
          <w:rFonts w:ascii="Times New Roman" w:hAnsi="Times New Roman" w:cs="Times New Roman" w:eastAsia="Times New Roman" w:hint="default"/>
          <w:spacing w:val="-4"/>
          <w:w w:val="100"/>
        </w:rPr>
        <w:t>CBD</w:t>
      </w:r>
      <w:r>
        <w:rPr>
          <w:spacing w:val="-4"/>
          <w:w w:val="100"/>
        </w:rPr>
        <w:t>公司人事主管，</w:t>
      </w:r>
      <w:r>
        <w:rPr>
          <w:rFonts w:ascii="Times New Roman" w:hAnsi="Times New Roman" w:cs="Times New Roman" w:eastAsia="Times New Roman" w:hint="default"/>
          <w:spacing w:val="-4"/>
          <w:w w:val="100"/>
        </w:rPr>
        <w:t>2010</w:t>
      </w:r>
      <w:r>
        <w:rPr>
          <w:spacing w:val="-4"/>
          <w:w w:val="100"/>
        </w:rPr>
        <w:t>年</w:t>
      </w:r>
      <w:r>
        <w:rPr>
          <w:rFonts w:ascii="Times New Roman" w:hAnsi="Times New Roman" w:cs="Times New Roman" w:eastAsia="Times New Roman" w:hint="default"/>
          <w:spacing w:val="-4"/>
          <w:w w:val="100"/>
        </w:rPr>
        <w:t>9</w:t>
      </w:r>
      <w:r>
        <w:rPr>
          <w:spacing w:val="-4"/>
          <w:w w:val="100"/>
        </w:rPr>
        <w:t>月至今任武汉金运激光股份有限公司董事长助理；</w:t>
      </w:r>
      <w:r>
        <w:rPr>
          <w:spacing w:val="-74"/>
          <w:w w:val="100"/>
        </w:rPr>
        <w:t> </w:t>
      </w:r>
      <w:r>
        <w:rPr>
          <w:spacing w:val="-74"/>
          <w:w w:val="100"/>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日任公司监事会主席。</w:t>
      </w:r>
    </w:p>
    <w:p>
      <w:pPr>
        <w:pStyle w:val="BodyText"/>
        <w:spacing w:line="256" w:lineRule="auto" w:before="5"/>
        <w:ind w:right="1126" w:firstLine="420"/>
        <w:jc w:val="both"/>
      </w:pPr>
      <w:r>
        <w:rPr>
          <w:spacing w:val="-2"/>
        </w:rPr>
        <w:t>黄海霞女士：中国国籍，无永久境外居留权，</w:t>
      </w:r>
      <w:r>
        <w:rPr>
          <w:rFonts w:ascii="Times New Roman" w:hAnsi="Times New Roman" w:cs="Times New Roman" w:eastAsia="Times New Roman" w:hint="default"/>
          <w:spacing w:val="-2"/>
        </w:rPr>
        <w:t>1987</w:t>
      </w:r>
      <w:r>
        <w:rPr>
          <w:spacing w:val="-2"/>
        </w:rPr>
        <w:t>年出生，大学学历。</w:t>
      </w:r>
      <w:r>
        <w:rPr>
          <w:rFonts w:ascii="Times New Roman" w:hAnsi="Times New Roman" w:cs="Times New Roman" w:eastAsia="Times New Roman" w:hint="default"/>
          <w:spacing w:val="-2"/>
        </w:rPr>
        <w:t>2010</w:t>
      </w:r>
      <w:r>
        <w:rPr>
          <w:spacing w:val="-2"/>
        </w:rPr>
        <w:t>年至今任职武汉金运激光</w:t>
      </w:r>
      <w:r>
        <w:rPr>
          <w:w w:val="100"/>
        </w:rPr>
        <w:t> </w:t>
      </w:r>
      <w:r>
        <w:rPr/>
        <w:t>股份有限公司财务部。于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日任公司职工监事。</w:t>
      </w:r>
    </w:p>
    <w:p>
      <w:pPr>
        <w:spacing w:line="256" w:lineRule="auto" w:before="5"/>
        <w:ind w:left="573" w:right="424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w w:val="100"/>
          <w:sz w:val="21"/>
          <w:szCs w:val="21"/>
        </w:rPr>
        <w:t> </w:t>
      </w:r>
      <w:r>
        <w:rPr>
          <w:rFonts w:ascii="宋体" w:hAnsi="宋体" w:cs="宋体" w:eastAsia="宋体" w:hint="default"/>
          <w:spacing w:val="-2"/>
          <w:sz w:val="21"/>
          <w:szCs w:val="21"/>
        </w:rPr>
        <w:t>梁萍女士：公司总经理，详见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本节中的董事会成员</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pStyle w:val="BodyText"/>
        <w:spacing w:line="256" w:lineRule="auto" w:before="5"/>
        <w:ind w:right="1126" w:firstLine="420"/>
        <w:jc w:val="both"/>
      </w:pPr>
      <w:r>
        <w:rPr/>
        <w:t>李丹女士：公司副总经理、董秘，中国国籍，经济师，无永久境外居留权，</w:t>
      </w:r>
      <w:r>
        <w:rPr>
          <w:rFonts w:ascii="Times New Roman" w:hAnsi="Times New Roman" w:cs="Times New Roman" w:eastAsia="Times New Roman" w:hint="default"/>
        </w:rPr>
        <w:t>1975 </w:t>
      </w:r>
      <w:r>
        <w:rPr/>
        <w:t>年出生，</w:t>
      </w:r>
      <w:r>
        <w:rPr>
          <w:rFonts w:ascii="Times New Roman" w:hAnsi="Times New Roman" w:cs="Times New Roman" w:eastAsia="Times New Roman" w:hint="default"/>
        </w:rPr>
        <w:t>1997</w:t>
      </w:r>
      <w:r>
        <w:rPr>
          <w:rFonts w:ascii="Times New Roman" w:hAnsi="Times New Roman" w:cs="Times New Roman" w:eastAsia="Times New Roman" w:hint="default"/>
          <w:spacing w:val="25"/>
        </w:rPr>
        <w:t> </w:t>
      </w:r>
      <w:r>
        <w:rPr/>
        <w:t>年毕</w:t>
      </w:r>
      <w:r>
        <w:rPr>
          <w:w w:val="100"/>
        </w:rPr>
        <w:t> </w:t>
      </w:r>
      <w:r>
        <w:rPr/>
        <w:t>业于武汉大学国际金融专业，</w:t>
      </w:r>
      <w:r>
        <w:rPr>
          <w:rFonts w:ascii="Times New Roman" w:hAnsi="Times New Roman" w:cs="Times New Roman" w:eastAsia="Times New Roman" w:hint="default"/>
        </w:rPr>
        <w:t>2006 </w:t>
      </w:r>
      <w:r>
        <w:rPr/>
        <w:t>年毕业于华中科技大学西方经济学专业，获经济学硕士学位。</w:t>
      </w:r>
      <w:r>
        <w:rPr>
          <w:rFonts w:ascii="Times New Roman" w:hAnsi="Times New Roman" w:cs="Times New Roman" w:eastAsia="Times New Roman" w:hint="default"/>
        </w:rPr>
        <w:t>1999</w:t>
      </w:r>
      <w:r>
        <w:rPr>
          <w:rFonts w:ascii="Times New Roman" w:hAnsi="Times New Roman" w:cs="Times New Roman" w:eastAsia="Times New Roman" w:hint="default"/>
          <w:spacing w:val="24"/>
        </w:rPr>
        <w:t> </w:t>
      </w:r>
      <w:r>
        <w:rPr/>
        <w:t>年</w:t>
      </w:r>
      <w:r>
        <w:rPr>
          <w:w w:val="100"/>
        </w:rPr>
        <w:t> </w:t>
      </w:r>
      <w:r>
        <w:rPr/>
        <w:t>至</w:t>
      </w:r>
      <w:r>
        <w:rPr>
          <w:spacing w:val="2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3"/>
        </w:rPr>
        <w:t> </w:t>
      </w:r>
      <w:r>
        <w:rPr/>
        <w:t>年曾任武汉三镇实业控股股份有限公司监事、证券事务代表；</w:t>
      </w:r>
      <w:r>
        <w:rPr>
          <w:rFonts w:ascii="Times New Roman" w:hAnsi="Times New Roman" w:cs="Times New Roman" w:eastAsia="Times New Roman" w:hint="default"/>
        </w:rPr>
        <w:t>2005</w:t>
      </w:r>
      <w:r>
        <w:rPr>
          <w:rFonts w:ascii="Times New Roman" w:hAnsi="Times New Roman" w:cs="Times New Roman" w:eastAsia="Times New Roman" w:hint="default"/>
          <w:spacing w:val="23"/>
        </w:rPr>
        <w:t> </w:t>
      </w:r>
      <w:r>
        <w:rPr/>
        <w:t>年至</w:t>
      </w:r>
      <w:r>
        <w:rPr>
          <w:rFonts w:ascii="Times New Roman" w:hAnsi="Times New Roman" w:cs="Times New Roman" w:eastAsia="Times New Roman" w:hint="default"/>
        </w:rPr>
        <w:t>2014</w:t>
      </w:r>
      <w:r>
        <w:rPr/>
        <w:t>年曾任武汉三镇实</w:t>
      </w:r>
      <w:r>
        <w:rPr>
          <w:spacing w:val="-102"/>
        </w:rPr>
        <w:t> </w:t>
      </w:r>
      <w:r>
        <w:rPr>
          <w:spacing w:val="-102"/>
        </w:rPr>
      </w:r>
      <w:r>
        <w:rPr>
          <w:spacing w:val="-2"/>
        </w:rPr>
        <w:t>业控股股份有限公司董事会秘书、团委书记；湖北华昌达智能装备股份有限公司副总、董秘。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spacing w:val="-39"/>
        </w:rPr>
        <w:t> </w:t>
      </w:r>
      <w:r>
        <w:rPr/>
        <w:t>至今任公司副总经理、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月至今任董事会秘书。</w:t>
      </w:r>
    </w:p>
    <w:p>
      <w:pPr>
        <w:pStyle w:val="BodyText"/>
        <w:spacing w:line="256" w:lineRule="auto" w:before="5"/>
        <w:ind w:right="1126" w:firstLine="420"/>
        <w:jc w:val="both"/>
      </w:pPr>
      <w:r>
        <w:rPr>
          <w:spacing w:val="-2"/>
        </w:rPr>
        <w:t>廖琨先生：中国国籍，</w:t>
      </w:r>
      <w:r>
        <w:rPr>
          <w:rFonts w:ascii="Times New Roman" w:hAnsi="Times New Roman" w:cs="Times New Roman" w:eastAsia="Times New Roman" w:hint="default"/>
          <w:spacing w:val="-2"/>
        </w:rPr>
        <w:t>1973</w:t>
      </w:r>
      <w:r>
        <w:rPr>
          <w:spacing w:val="-2"/>
        </w:rPr>
        <w:t>年出生，注册会计师，无永久境外居留权，大学本科学历。曾任中勤万信</w:t>
      </w:r>
      <w:r>
        <w:rPr>
          <w:w w:val="100"/>
        </w:rPr>
        <w:t> </w:t>
      </w:r>
      <w:r>
        <w:rPr>
          <w:spacing w:val="-2"/>
        </w:rPr>
        <w:t>会计师事务所项目经理、深圳亿铖达工业有限公司副总经理、安徽欣意电缆有限公司财务总监。于</w:t>
      </w:r>
      <w:r>
        <w:rPr>
          <w:rFonts w:ascii="Times New Roman" w:hAnsi="Times New Roman" w:cs="Times New Roman" w:eastAsia="Times New Roman" w:hint="default"/>
          <w:spacing w:val="-2"/>
        </w:rPr>
        <w:t>2018</w:t>
      </w:r>
      <w:r>
        <w:rPr>
          <w:spacing w:val="-2"/>
        </w:rPr>
        <w:t>年</w:t>
      </w:r>
      <w:r>
        <w:rPr>
          <w:spacing w:val="-40"/>
        </w:rPr>
        <w:t> </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日任公司财务总监。</w:t>
      </w:r>
    </w:p>
    <w:p>
      <w:pPr>
        <w:pStyle w:val="BodyText"/>
        <w:spacing w:line="240" w:lineRule="auto" w:before="46"/>
        <w:ind w:right="1116"/>
        <w:jc w:val="left"/>
      </w:pPr>
      <w:r>
        <w:rPr/>
        <w:t>在股东单位任职情况</w:t>
      </w:r>
    </w:p>
    <w:p>
      <w:pPr>
        <w:pStyle w:val="BodyText"/>
        <w:spacing w:line="292" w:lineRule="auto" w:before="75"/>
        <w:ind w:right="8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在其他单位任职情况</w:t>
      </w:r>
    </w:p>
    <w:p>
      <w:pPr>
        <w:pStyle w:val="BodyText"/>
        <w:spacing w:line="240" w:lineRule="auto" w:before="31"/>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1200"/>
        <w:gridCol w:w="2345"/>
        <w:gridCol w:w="1700"/>
        <w:gridCol w:w="1560"/>
        <w:gridCol w:w="1172"/>
        <w:gridCol w:w="1594"/>
      </w:tblGrid>
      <w:tr>
        <w:trPr>
          <w:trHeight w:val="715" w:hRule="exact"/>
        </w:trPr>
        <w:tc>
          <w:tcPr>
            <w:tcW w:w="12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56" w:right="33"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28"/>
        <w:ind w:right="1116"/>
        <w:jc w:val="left"/>
      </w:pPr>
      <w:r>
        <w:rPr/>
        <w:t>公司现任及报告期内离任董事、监事和高级管理人员近三年证券监管机构处罚的情况</w:t>
      </w:r>
    </w:p>
    <w:p>
      <w:pPr>
        <w:pStyle w:val="BodyText"/>
        <w:spacing w:line="240" w:lineRule="auto" w:before="75"/>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ind w:right="1116"/>
        <w:jc w:val="left"/>
        <w:rPr>
          <w:b w:val="0"/>
          <w:bCs w:val="0"/>
        </w:rPr>
      </w:pPr>
      <w:r>
        <w:rPr/>
        <w:t>四、董事、监事、高级管理人员报酬情况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董事、监事、高级管理人员报酬的决策程序、确定依据、实际支付情况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16" w:firstLine="360"/>
        <w:jc w:val="left"/>
      </w:pPr>
      <w:r>
        <w:rPr>
          <w:spacing w:val="-1"/>
        </w:rPr>
        <w:t>公司董事、监事的津贴由薪酬与考核委员会提出，经董事会、监事会批准后，提交股东大会审议通过</w:t>
      </w:r>
      <w:r>
        <w:rPr>
          <w:w w:val="100"/>
        </w:rPr>
        <w:t> </w:t>
      </w:r>
      <w:r>
        <w:rPr/>
        <w:t>后实施；高级管理人员的绩效考核方案由董事会批准后实施。</w:t>
      </w:r>
    </w:p>
    <w:p>
      <w:pPr>
        <w:pStyle w:val="BodyText"/>
        <w:spacing w:line="295" w:lineRule="auto" w:before="7"/>
        <w:ind w:right="1116" w:firstLine="360"/>
        <w:jc w:val="left"/>
      </w:pPr>
      <w:r>
        <w:rPr>
          <w:spacing w:val="-1"/>
        </w:rPr>
        <w:t>公司薪酬与考核委员会依据公司每年度财务指标和经营目标的完成情况以及公司董事、监事、高级管</w:t>
      </w:r>
      <w:r>
        <w:rPr>
          <w:w w:val="100"/>
        </w:rPr>
        <w:t> </w:t>
      </w:r>
      <w:r>
        <w:rPr/>
        <w:t>理人员的履职情况，对董事、监事、高级管理人员公司薪酬与考核委员人员的薪酬进行了考核。</w:t>
      </w:r>
      <w:r>
        <w:rPr>
          <w:w w:val="100"/>
        </w:rPr>
        <w:t> </w:t>
      </w:r>
      <w:r>
        <w:rPr/>
        <w:t>报告期内，公司已向董事、监事和高级管理人员支付全部薪酬。</w:t>
      </w:r>
      <w:r>
        <w:rPr>
          <w:w w:val="100"/>
        </w:rPr>
        <w:t> </w:t>
      </w:r>
      <w:r>
        <w:rPr/>
        <w:t>公司报告期内董事、监事和高级管理人员报酬情况</w:t>
      </w:r>
    </w:p>
    <w:p>
      <w:pPr>
        <w:spacing w:before="5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4" w:lineRule="auto" w:before="49"/>
              <w:ind w:left="227" w:right="5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4"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20.12</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20.11</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聂金萍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12.77</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黄海霞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21.15</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廖琨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29.33</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胡锋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12.39</w:t>
            </w: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136.83</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1116"/>
        <w:jc w:val="left"/>
      </w:pPr>
      <w:r>
        <w:rPr/>
        <w:t>公司董事、高级管理人员报告期内被授予的股权激励情况</w:t>
      </w:r>
    </w:p>
    <w:p>
      <w:pPr>
        <w:spacing w:line="484" w:lineRule="auto" w:before="78"/>
        <w:ind w:left="152" w:right="73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8"/>
        <w:rPr>
          <w:rFonts w:ascii="宋体" w:hAnsi="宋体" w:cs="宋体" w:eastAsia="宋体" w:hint="default"/>
          <w:b/>
          <w:bCs/>
          <w:sz w:val="7"/>
          <w:szCs w:val="7"/>
        </w:rPr>
      </w:pPr>
    </w:p>
    <w:tbl>
      <w:tblPr>
        <w:tblW w:w="0" w:type="auto"/>
        <w:jc w:val="left"/>
        <w:tblInd w:w="162" w:type="dxa"/>
        <w:tblLayout w:type="fixed"/>
        <w:tblCellMar>
          <w:top w:w="0" w:type="dxa"/>
          <w:left w:w="0" w:type="dxa"/>
          <w:bottom w:w="0" w:type="dxa"/>
          <w:right w:w="0" w:type="dxa"/>
        </w:tblCellMar>
        <w:tblLook w:val="01E0"/>
      </w:tblPr>
      <w:tblGrid>
        <w:gridCol w:w="4759"/>
        <w:gridCol w:w="4783"/>
      </w:tblGrid>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288</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288</w:t>
            </w:r>
          </w:p>
        </w:tc>
      </w:tr>
      <w:tr>
        <w:trPr>
          <w:trHeight w:val="406"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w:t>
            </w:r>
          </w:p>
        </w:tc>
      </w:tr>
      <w:tr>
        <w:trPr>
          <w:trHeight w:val="394" w:hRule="exact"/>
        </w:trPr>
        <w:tc>
          <w:tcPr>
            <w:tcW w:w="9542"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4"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55" w:type="dxa"/>
        <w:tblLayout w:type="fixed"/>
        <w:tblCellMar>
          <w:top w:w="0" w:type="dxa"/>
          <w:left w:w="0" w:type="dxa"/>
          <w:bottom w:w="0" w:type="dxa"/>
          <w:right w:w="0" w:type="dxa"/>
        </w:tblCellMar>
        <w:tblLook w:val="01E0"/>
      </w:tblPr>
      <w:tblGrid>
        <w:gridCol w:w="4772"/>
        <w:gridCol w:w="4778"/>
      </w:tblGrid>
      <w:tr>
        <w:trPr>
          <w:trHeight w:val="402" w:hRule="exact"/>
        </w:trPr>
        <w:tc>
          <w:tcPr>
            <w:tcW w:w="47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7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7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7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7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w:t>
            </w:r>
          </w:p>
        </w:tc>
      </w:tr>
      <w:tr>
        <w:trPr>
          <w:trHeight w:val="407" w:hRule="exact"/>
        </w:trPr>
        <w:tc>
          <w:tcPr>
            <w:tcW w:w="47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288</w:t>
            </w:r>
          </w:p>
        </w:tc>
      </w:tr>
      <w:tr>
        <w:trPr>
          <w:trHeight w:val="391" w:hRule="exact"/>
        </w:trPr>
        <w:tc>
          <w:tcPr>
            <w:tcW w:w="9549"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108</w:t>
            </w:r>
          </w:p>
        </w:tc>
      </w:tr>
      <w:tr>
        <w:trPr>
          <w:trHeight w:val="401" w:hRule="exact"/>
        </w:trPr>
        <w:tc>
          <w:tcPr>
            <w:tcW w:w="4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3" w:hRule="exact"/>
        </w:trPr>
        <w:tc>
          <w:tcPr>
            <w:tcW w:w="4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477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288</w:t>
            </w:r>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05" w:firstLine="360"/>
        <w:jc w:val="both"/>
      </w:pPr>
      <w:r>
        <w:rPr>
          <w:spacing w:val="-2"/>
        </w:rPr>
        <w:t>公司员工薪酬主要分为基本薪酬、岗位工资和绩效资金三部分，基本薪酬根据当地工资标准的和物价</w:t>
      </w:r>
      <w:r>
        <w:rPr>
          <w:w w:val="100"/>
        </w:rPr>
        <w:t> </w:t>
      </w:r>
      <w:r>
        <w:rPr>
          <w:spacing w:val="-2"/>
        </w:rPr>
        <w:t>指数、劳动力市场薪资水平综合确定，岗位薪酬部分由岗位价值、职级水平等因素确定；绩效资金部分，</w:t>
      </w:r>
      <w:r>
        <w:rPr>
          <w:spacing w:val="-21"/>
        </w:rPr>
        <w:t> </w:t>
      </w:r>
      <w:r>
        <w:rPr>
          <w:spacing w:val="-21"/>
        </w:rPr>
      </w:r>
      <w:r>
        <w:rPr/>
        <w:t>以企业年度经营目标为导向，以个人业绩为依据。</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360"/>
        <w:jc w:val="both"/>
      </w:pPr>
      <w:r>
        <w:rPr>
          <w:spacing w:val="-2"/>
        </w:rPr>
        <w:t>为了提高员工在目前和将来工作岗位上的工作效率和业绩，公司向所有员工提供平等的学习和发展机</w:t>
      </w:r>
      <w:r>
        <w:rPr>
          <w:w w:val="100"/>
        </w:rPr>
        <w:t> </w:t>
      </w:r>
      <w:r>
        <w:rPr>
          <w:spacing w:val="-2"/>
        </w:rPr>
        <w:t>会。公司将根据企业发展战略，同时结合员工个人需求制定全方位的培训计划，内容包括知识技能以及专</w:t>
      </w:r>
      <w:r>
        <w:rPr>
          <w:spacing w:val="-43"/>
        </w:rPr>
        <w:t> </w:t>
      </w:r>
      <w:r>
        <w:rPr>
          <w:spacing w:val="-43"/>
        </w:rPr>
      </w:r>
      <w:r>
        <w:rPr/>
        <w:t>业素养等方面的培训。</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6"/>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358"/>
        <w:jc w:val="both"/>
      </w:pPr>
      <w:r>
        <w:rPr>
          <w:spacing w:val="-2"/>
        </w:rPr>
        <w:t>公司严格按照《公司法》、《证券法》、《上市公司治理准则》、《深圳证券交易所创业板股票上市</w:t>
      </w:r>
      <w:r>
        <w:rPr>
          <w:w w:val="100"/>
        </w:rPr>
        <w:t> </w:t>
      </w:r>
      <w:r>
        <w:rPr>
          <w:spacing w:val="-2"/>
        </w:rPr>
        <w:t>规则》、《深圳证券交易所创业板上市公司规范运作指引》等法律、法规和中国证监会有关法律法规的要</w:t>
      </w:r>
      <w:r>
        <w:rPr>
          <w:spacing w:val="-43"/>
        </w:rPr>
        <w:t> </w:t>
      </w:r>
      <w:r>
        <w:rPr>
          <w:spacing w:val="-43"/>
        </w:rPr>
      </w:r>
      <w:r>
        <w:rPr/>
        <w:t>求，不断完善公司治理结构，建立健全公司内部控制度，促进公司规范运作，提高公司治理水平。</w:t>
      </w:r>
    </w:p>
    <w:p>
      <w:pPr>
        <w:pStyle w:val="BodyText"/>
        <w:spacing w:line="268" w:lineRule="auto" w:before="7"/>
        <w:ind w:right="1127" w:firstLine="358"/>
        <w:jc w:val="both"/>
      </w:pPr>
      <w:r>
        <w:rPr>
          <w:rFonts w:ascii="Times New Roman" w:hAnsi="Times New Roman" w:cs="Times New Roman" w:eastAsia="Times New Roman" w:hint="default"/>
          <w:spacing w:val="-3"/>
        </w:rPr>
        <w:t>1</w:t>
      </w:r>
      <w:r>
        <w:rPr>
          <w:spacing w:val="-3"/>
        </w:rPr>
        <w:t>、关于股东与股东大会：报告期内公司严格按照《公司章程》、《上市公司股东大会规则》和《公司</w:t>
      </w:r>
      <w:r>
        <w:rPr>
          <w:w w:val="100"/>
        </w:rPr>
        <w:t> </w:t>
      </w:r>
      <w:r>
        <w:rPr>
          <w:spacing w:val="-2"/>
        </w:rPr>
        <w:t>股东大会议事规则》等规定要求，召集、召开股东大会，确保股东合法行使权益，平等对待所有股东，为</w:t>
      </w:r>
      <w:r>
        <w:rPr>
          <w:spacing w:val="-45"/>
        </w:rPr>
        <w:t> </w:t>
      </w:r>
      <w:r>
        <w:rPr>
          <w:spacing w:val="-45"/>
        </w:rPr>
      </w:r>
      <w:r>
        <w:rPr>
          <w:spacing w:val="-2"/>
        </w:rPr>
        <w:t>股东参加股东大会提供便利，使其充分行使股东的权利。同时，公司聘请专业的律师见证股东大会，确保</w:t>
      </w:r>
      <w:r>
        <w:rPr>
          <w:spacing w:val="-47"/>
        </w:rPr>
        <w:t> </w:t>
      </w:r>
      <w:r>
        <w:rPr>
          <w:spacing w:val="-47"/>
        </w:rPr>
      </w:r>
      <w:r>
        <w:rPr/>
        <w:t>会议召集召开及表决程序符合相关法律法规的规定，维护股东合法权益。</w:t>
      </w:r>
    </w:p>
    <w:p>
      <w:pPr>
        <w:pStyle w:val="BodyText"/>
        <w:spacing w:line="261" w:lineRule="auto" w:before="12"/>
        <w:ind w:right="1126" w:firstLine="358"/>
        <w:jc w:val="both"/>
      </w:pPr>
      <w:r>
        <w:rPr>
          <w:rFonts w:ascii="Times New Roman" w:hAnsi="Times New Roman" w:cs="Times New Roman" w:eastAsia="Times New Roman" w:hint="default"/>
          <w:spacing w:val="-3"/>
        </w:rPr>
        <w:t>2</w:t>
      </w:r>
      <w:r>
        <w:rPr>
          <w:spacing w:val="-3"/>
        </w:rPr>
        <w:t>、关于董事与董事会：公司严格按照《公司法》、《公司章程》等有关规定选举董事，董事会的人数</w:t>
      </w:r>
      <w:r>
        <w:rPr>
          <w:w w:val="100"/>
        </w:rPr>
        <w:t> </w:t>
      </w:r>
      <w:r>
        <w:rPr>
          <w:spacing w:val="-2"/>
        </w:rPr>
        <w:t>及结构符合法律法规和公司《章程》的要求。董事严格按照《公司章程》、《董事会议事规则》认真履行</w:t>
      </w:r>
      <w:r>
        <w:rPr>
          <w:spacing w:val="-48"/>
        </w:rPr>
        <w:t> </w:t>
      </w:r>
      <w:r>
        <w:rPr>
          <w:spacing w:val="-48"/>
        </w:rPr>
      </w:r>
      <w:r>
        <w:rPr>
          <w:spacing w:val="-4"/>
        </w:rPr>
        <w:t>职责</w:t>
      </w:r>
      <w:r>
        <w:rPr>
          <w:rFonts w:ascii="Times New Roman" w:hAnsi="Times New Roman" w:cs="Times New Roman" w:eastAsia="Times New Roman" w:hint="default"/>
          <w:spacing w:val="-4"/>
        </w:rPr>
        <w:t>.</w:t>
      </w:r>
      <w:r>
        <w:rPr>
          <w:spacing w:val="-4"/>
        </w:rPr>
        <w:t>对需要董事会审议的事项，董事均能勤勉尽责、审慎决策，特别对关联交易的必要性及公允性严格遵</w:t>
      </w:r>
      <w:r>
        <w:rPr>
          <w:spacing w:val="-6"/>
        </w:rPr>
        <w:t> </w:t>
      </w:r>
      <w:r>
        <w:rPr>
          <w:spacing w:val="-6"/>
        </w:rPr>
      </w:r>
      <w:r>
        <w:rPr/>
        <w:t>循相关法律法规的规定来履行决策程序。</w:t>
      </w:r>
    </w:p>
    <w:p>
      <w:pPr>
        <w:pStyle w:val="BodyText"/>
        <w:spacing w:line="266" w:lineRule="auto" w:before="18"/>
        <w:ind w:right="998" w:firstLine="358"/>
        <w:jc w:val="left"/>
      </w:pPr>
      <w:r>
        <w:rPr>
          <w:rFonts w:ascii="Times New Roman" w:hAnsi="Times New Roman" w:cs="Times New Roman" w:eastAsia="Times New Roman" w:hint="default"/>
          <w:spacing w:val="-6"/>
        </w:rPr>
        <w:t>3</w:t>
      </w:r>
      <w:r>
        <w:rPr>
          <w:spacing w:val="-6"/>
        </w:rPr>
        <w:t>、关于监事和监事会：公司严格按照《公司法》、《公司章程》等有关规定选举监事，推举职工监事，</w:t>
      </w:r>
      <w:r>
        <w:rPr>
          <w:w w:val="100"/>
        </w:rPr>
        <w:t> </w:t>
      </w:r>
      <w:r>
        <w:rPr>
          <w:spacing w:val="-2"/>
        </w:rPr>
        <w:t>监事会的人数及结构符合法律法规和公司《章程》的要求。监事会严格按照《公司章程》、《监事会议事</w:t>
      </w:r>
      <w:r>
        <w:rPr>
          <w:spacing w:val="-46"/>
        </w:rPr>
        <w:t> </w:t>
      </w:r>
      <w:r>
        <w:rPr>
          <w:spacing w:val="-46"/>
        </w:rPr>
      </w:r>
      <w:r>
        <w:rPr>
          <w:spacing w:val="-2"/>
        </w:rPr>
        <w:t>规则》认真履行自己的职责，除审议日常事项外，对公司的关联交易、财务状况以及董事、高级管理人员</w:t>
      </w:r>
      <w:r>
        <w:rPr>
          <w:spacing w:val="-43"/>
        </w:rPr>
        <w:t> </w:t>
      </w:r>
      <w:r>
        <w:rPr>
          <w:spacing w:val="-43"/>
        </w:rPr>
      </w:r>
      <w:r>
        <w:rPr/>
        <w:t>履行职责等方面发挥了良好的监督职能，切实维护公司及股东的合法权益。</w:t>
      </w:r>
    </w:p>
    <w:p>
      <w:pPr>
        <w:pStyle w:val="BodyText"/>
        <w:spacing w:line="268" w:lineRule="auto" w:before="14"/>
        <w:ind w:right="1126" w:firstLine="358"/>
        <w:jc w:val="both"/>
      </w:pPr>
      <w:r>
        <w:rPr>
          <w:rFonts w:ascii="Times New Roman" w:hAnsi="Times New Roman" w:cs="Times New Roman" w:eastAsia="Times New Roman" w:hint="default"/>
          <w:spacing w:val="-3"/>
        </w:rPr>
        <w:t>4</w:t>
      </w:r>
      <w:r>
        <w:rPr>
          <w:spacing w:val="-3"/>
        </w:rPr>
        <w:t>、关于公司与控股股东：公司控股股东、实际控制人梁伟严格按照《上市公司治理准则》、《深圳证</w:t>
      </w:r>
      <w:r>
        <w:rPr>
          <w:w w:val="100"/>
        </w:rPr>
        <w:t> </w:t>
      </w:r>
      <w:r>
        <w:rPr>
          <w:spacing w:val="-2"/>
        </w:rPr>
        <w:t>券交易所创业板股票上市规则》、《深圳证券交易所创业板上市公司规范运作指引》、《公司章程》等有</w:t>
      </w:r>
      <w:r>
        <w:rPr>
          <w:spacing w:val="-43"/>
        </w:rPr>
        <w:t> </w:t>
      </w:r>
      <w:r>
        <w:rPr>
          <w:spacing w:val="-43"/>
        </w:rPr>
      </w:r>
      <w:r>
        <w:rPr>
          <w:spacing w:val="-2"/>
        </w:rPr>
        <w:t>关规定，公司控股股东严格规范自身行为，依法行使其权利并承担相应义务，不存在超越股东大会直接或</w:t>
      </w:r>
      <w:r>
        <w:rPr>
          <w:spacing w:val="-44"/>
        </w:rPr>
        <w:t> </w:t>
      </w:r>
      <w:r>
        <w:rPr>
          <w:spacing w:val="-44"/>
        </w:rPr>
      </w:r>
      <w:r>
        <w:rPr>
          <w:spacing w:val="-2"/>
        </w:rPr>
        <w:t>间接干预本公司的决策和经营活动。在人员、资产、财务、机构、业务上独立，亦无为控股股东占用资金</w:t>
      </w:r>
      <w:r>
        <w:rPr>
          <w:spacing w:val="-42"/>
        </w:rPr>
        <w:t> </w:t>
      </w:r>
      <w:r>
        <w:rPr>
          <w:spacing w:val="-42"/>
        </w:rPr>
      </w:r>
      <w:r>
        <w:rPr/>
        <w:t>以及公司为控股股东提供担保的情形。</w:t>
      </w:r>
    </w:p>
    <w:p>
      <w:pPr>
        <w:pStyle w:val="BodyText"/>
        <w:spacing w:line="256" w:lineRule="auto" w:before="12"/>
        <w:ind w:right="1126" w:firstLine="358"/>
        <w:jc w:val="both"/>
      </w:pPr>
      <w:r>
        <w:rPr>
          <w:rFonts w:ascii="Times New Roman" w:hAnsi="Times New Roman" w:cs="Times New Roman" w:eastAsia="Times New Roman" w:hint="default"/>
          <w:spacing w:val="-3"/>
        </w:rPr>
        <w:t>5</w:t>
      </w:r>
      <w:r>
        <w:rPr>
          <w:spacing w:val="-3"/>
        </w:rPr>
        <w:t>、关于绩效评价与激励约束机制：公司正持续完善高级管理人员绩效评价与激励约束机制。高级管理</w:t>
      </w:r>
      <w:r>
        <w:rPr>
          <w:w w:val="100"/>
        </w:rPr>
        <w:t> </w:t>
      </w:r>
      <w:r>
        <w:rPr/>
        <w:t>人员的聘任能够做到公开、透明，符合法律、法规的规定。</w:t>
      </w:r>
    </w:p>
    <w:p>
      <w:pPr>
        <w:pStyle w:val="BodyText"/>
        <w:spacing w:line="256" w:lineRule="auto" w:before="22"/>
        <w:ind w:right="1126" w:firstLine="358"/>
        <w:jc w:val="both"/>
      </w:pPr>
      <w:r>
        <w:rPr>
          <w:rFonts w:ascii="Times New Roman" w:hAnsi="Times New Roman" w:cs="Times New Roman" w:eastAsia="Times New Roman" w:hint="default"/>
          <w:spacing w:val="-3"/>
        </w:rPr>
        <w:t>6</w:t>
      </w:r>
      <w:r>
        <w:rPr>
          <w:spacing w:val="-3"/>
        </w:rPr>
        <w:t>、关于利益相关者：公司充分尊重和维护相关利益者的合法权益，积极与相关利益者合作，加强与各</w:t>
      </w:r>
      <w:r>
        <w:rPr>
          <w:w w:val="100"/>
        </w:rPr>
        <w:t> </w:t>
      </w:r>
      <w:r>
        <w:rPr/>
        <w:t>方的沟通和交流，实现股东、员工、社会等各方利益的协调平衡，共同推动公司持续、健康的发展。</w:t>
      </w:r>
    </w:p>
    <w:p>
      <w:pPr>
        <w:pStyle w:val="BodyText"/>
        <w:spacing w:line="266" w:lineRule="auto" w:before="22"/>
        <w:ind w:right="1116" w:firstLine="358"/>
        <w:jc w:val="left"/>
      </w:pPr>
      <w:r>
        <w:rPr>
          <w:rFonts w:ascii="Times New Roman" w:hAnsi="Times New Roman" w:cs="Times New Roman" w:eastAsia="Times New Roman" w:hint="default"/>
          <w:spacing w:val="-3"/>
        </w:rPr>
        <w:t>7</w:t>
      </w:r>
      <w:r>
        <w:rPr>
          <w:spacing w:val="-3"/>
        </w:rPr>
        <w:t>、关于信息披露与透明度：公司严格按照有关法律法规以及《信息披露事务管理制度》、《投资者关</w:t>
      </w:r>
      <w:r>
        <w:rPr>
          <w:w w:val="100"/>
        </w:rPr>
        <w:t> </w:t>
      </w:r>
      <w:r>
        <w:rPr>
          <w:spacing w:val="-2"/>
        </w:rPr>
        <w:t>系管理制度》等的要求，真实、准确、及时、公平、完整地披露有关信息；并指定公司董事会秘书为信息</w:t>
      </w:r>
      <w:r>
        <w:rPr>
          <w:spacing w:val="-44"/>
        </w:rPr>
        <w:t> </w:t>
      </w:r>
      <w:r>
        <w:rPr>
          <w:spacing w:val="-44"/>
        </w:rPr>
      </w:r>
      <w:r>
        <w:rPr>
          <w:spacing w:val="-2"/>
        </w:rPr>
        <w:t>披露负责人，协调公司与投资者之间的关系，接待股东来访，回答投资者咨询，向投资者提供公司已披露</w:t>
      </w:r>
      <w:r>
        <w:rPr>
          <w:spacing w:val="-49"/>
        </w:rPr>
        <w:t> </w:t>
      </w:r>
      <w:r>
        <w:rPr>
          <w:spacing w:val="-49"/>
        </w:rPr>
      </w:r>
      <w:r>
        <w:rPr>
          <w:spacing w:val="-2"/>
        </w:rPr>
        <w:t>的资料；并指定《中国证券报》、《证券时报》、《上海证券报》、《证券日报》为信息披露报纸，巨潮</w:t>
      </w:r>
      <w:r>
        <w:rPr>
          <w:spacing w:val="-46"/>
        </w:rPr>
        <w:t> </w:t>
      </w:r>
      <w:r>
        <w:rPr>
          <w:spacing w:val="-46"/>
        </w:rPr>
      </w:r>
      <w:r>
        <w:rPr/>
        <w:t>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）为信息披露的指定网站，确保公司所有股东能够以平等的机会获得信</w:t>
      </w:r>
      <w:r>
        <w:rPr>
          <w:w w:val="100"/>
        </w:rPr>
        <w:t> </w:t>
      </w:r>
      <w:r>
        <w:rPr/>
        <w:t>息。</w:t>
      </w:r>
    </w:p>
    <w:p>
      <w:pPr>
        <w:spacing w:line="240" w:lineRule="auto" w:before="0"/>
        <w:rPr>
          <w:rFonts w:ascii="宋体" w:hAnsi="宋体" w:cs="宋体" w:eastAsia="宋体" w:hint="default"/>
          <w:sz w:val="28"/>
          <w:szCs w:val="28"/>
        </w:rPr>
      </w:pPr>
    </w:p>
    <w:p>
      <w:pPr>
        <w:pStyle w:val="BodyText"/>
        <w:spacing w:line="240" w:lineRule="auto"/>
        <w:ind w:right="1116"/>
        <w:jc w:val="left"/>
      </w:pPr>
      <w:r>
        <w:rPr/>
        <w:t>公司治理的实际状况与中国证监会发布的有关上市公司治理的规范性文件是否存在重大差异</w:t>
      </w:r>
    </w:p>
    <w:p>
      <w:pPr>
        <w:pStyle w:val="BodyText"/>
        <w:spacing w:line="290" w:lineRule="auto" w:before="75"/>
        <w:ind w:right="24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公司治理的实际状况与中国证监会发布的有关上市公司治理的规范性文件不存在重大差异。</w:t>
      </w:r>
    </w:p>
    <w:p>
      <w:pPr>
        <w:spacing w:line="240" w:lineRule="auto" w:before="6"/>
        <w:rPr>
          <w:rFonts w:ascii="宋体" w:hAnsi="宋体" w:cs="宋体" w:eastAsia="宋体" w:hint="default"/>
          <w:sz w:val="20"/>
          <w:szCs w:val="20"/>
        </w:rPr>
      </w:pPr>
    </w:p>
    <w:p>
      <w:pPr>
        <w:pStyle w:val="Heading2"/>
        <w:spacing w:line="240" w:lineRule="auto"/>
        <w:ind w:right="1116"/>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13" w:right="1116"/>
        <w:jc w:val="left"/>
      </w:pPr>
      <w:r>
        <w:rPr/>
        <w:t>公司与控股股东在业务、人员、资产、机构、财务等方面已做到完全分开。</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13" w:right="1116"/>
        <w:jc w:val="left"/>
      </w:pPr>
      <w:r>
        <w:rPr>
          <w:rFonts w:ascii="Times New Roman" w:hAnsi="Times New Roman" w:cs="Times New Roman" w:eastAsia="Times New Roman" w:hint="default"/>
        </w:rPr>
        <w:t>1</w:t>
      </w:r>
      <w:r>
        <w:rPr/>
        <w:t>、业务方面：公司具有独立完整的业务与自主经营能力。</w:t>
      </w:r>
    </w:p>
    <w:p>
      <w:pPr>
        <w:pStyle w:val="BodyText"/>
        <w:spacing w:line="240" w:lineRule="auto" w:before="21"/>
        <w:ind w:left="513" w:right="1116"/>
        <w:jc w:val="left"/>
      </w:pPr>
      <w:r>
        <w:rPr>
          <w:rFonts w:ascii="Times New Roman" w:hAnsi="Times New Roman" w:cs="Times New Roman" w:eastAsia="Times New Roman" w:hint="default"/>
        </w:rPr>
        <w:t>2</w:t>
      </w:r>
      <w:r>
        <w:rPr/>
        <w:t>、人员方面：公司有独立的劳动、人事及薪酬管理制度。</w:t>
      </w:r>
    </w:p>
    <w:p>
      <w:pPr>
        <w:pStyle w:val="BodyText"/>
        <w:spacing w:line="240" w:lineRule="auto" w:before="21"/>
        <w:ind w:left="513" w:right="1116"/>
        <w:jc w:val="left"/>
      </w:pPr>
      <w:r>
        <w:rPr>
          <w:rFonts w:ascii="Times New Roman" w:hAnsi="Times New Roman" w:cs="Times New Roman" w:eastAsia="Times New Roman" w:hint="default"/>
        </w:rPr>
        <w:t>3</w:t>
      </w:r>
      <w:r>
        <w:rPr/>
        <w:t>、资产方面：公司与控股股东产权关系明晰，公司的资产与控股股东资产明确分开。</w:t>
      </w:r>
    </w:p>
    <w:p>
      <w:pPr>
        <w:pStyle w:val="BodyText"/>
        <w:spacing w:line="240" w:lineRule="auto" w:before="21"/>
        <w:ind w:left="513" w:right="1116"/>
        <w:jc w:val="left"/>
      </w:pPr>
      <w:r>
        <w:rPr>
          <w:rFonts w:ascii="Times New Roman" w:hAnsi="Times New Roman" w:cs="Times New Roman" w:eastAsia="Times New Roman" w:hint="default"/>
        </w:rPr>
        <w:t>4</w:t>
      </w:r>
      <w:r>
        <w:rPr/>
        <w:t>、机构设置：公司有自身完整、独立的机构设置，与控股股东及其职能部门之间没有上下级关系。</w:t>
      </w:r>
    </w:p>
    <w:p>
      <w:pPr>
        <w:pStyle w:val="BodyText"/>
        <w:spacing w:line="256" w:lineRule="auto" w:before="21"/>
        <w:ind w:right="1116" w:firstLine="360"/>
        <w:jc w:val="left"/>
      </w:pPr>
      <w:r>
        <w:rPr>
          <w:rFonts w:ascii="Times New Roman" w:hAnsi="Times New Roman" w:cs="Times New Roman" w:eastAsia="Times New Roman" w:hint="default"/>
          <w:spacing w:val="-3"/>
        </w:rPr>
        <w:t>5</w:t>
      </w:r>
      <w:r>
        <w:rPr>
          <w:spacing w:val="-3"/>
        </w:rPr>
        <w:t>、财务方面：公司设有独立的财会部门，建立了独立的会计核算体系和财务管理制度，独立在银行开</w:t>
      </w:r>
      <w:r>
        <w:rPr>
          <w:w w:val="100"/>
        </w:rPr>
        <w:t> </w:t>
      </w:r>
      <w:r>
        <w:rPr/>
        <w:t>设帐户。</w:t>
      </w:r>
    </w:p>
    <w:p>
      <w:pPr>
        <w:spacing w:line="240" w:lineRule="auto" w:before="9"/>
        <w:rPr>
          <w:rFonts w:ascii="宋体" w:hAnsi="宋体" w:cs="宋体" w:eastAsia="宋体" w:hint="default"/>
          <w:sz w:val="22"/>
          <w:szCs w:val="22"/>
        </w:rPr>
      </w:pPr>
    </w:p>
    <w:p>
      <w:pPr>
        <w:pStyle w:val="Heading2"/>
        <w:spacing w:line="240" w:lineRule="auto"/>
        <w:ind w:right="1116"/>
        <w:jc w:val="left"/>
        <w:rPr>
          <w:b w:val="0"/>
          <w:bCs w:val="0"/>
        </w:rPr>
      </w:pPr>
      <w:r>
        <w:rPr/>
        <w:t>三、同业竞争情况</w:t>
      </w:r>
      <w:r>
        <w:rPr>
          <w:b w:val="0"/>
          <w:bCs w:val="0"/>
        </w:rPr>
      </w:r>
    </w:p>
    <w:p>
      <w:pPr>
        <w:spacing w:line="240" w:lineRule="auto" w:before="12"/>
        <w:rPr>
          <w:rFonts w:ascii="宋体" w:hAnsi="宋体" w:cs="宋体" w:eastAsia="宋体" w:hint="default"/>
          <w:b/>
          <w:bCs/>
          <w:sz w:val="24"/>
          <w:szCs w:val="24"/>
        </w:rPr>
      </w:pPr>
    </w:p>
    <w:p>
      <w:pPr>
        <w:spacing w:line="484" w:lineRule="auto" w:before="0"/>
        <w:ind w:left="152" w:right="42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21" w:type="dxa"/>
        <w:tblLayout w:type="fixed"/>
        <w:tblCellMar>
          <w:top w:w="0" w:type="dxa"/>
          <w:left w:w="0" w:type="dxa"/>
          <w:bottom w:w="0" w:type="dxa"/>
          <w:right w:w="0" w:type="dxa"/>
        </w:tblCellMar>
        <w:tblLook w:val="01E0"/>
      </w:tblPr>
      <w:tblGrid>
        <w:gridCol w:w="2295"/>
        <w:gridCol w:w="1153"/>
        <w:gridCol w:w="833"/>
        <w:gridCol w:w="1560"/>
        <w:gridCol w:w="1637"/>
        <w:gridCol w:w="1942"/>
      </w:tblGrid>
      <w:tr>
        <w:trPr>
          <w:trHeight w:val="713" w:hRule="exact"/>
        </w:trPr>
        <w:tc>
          <w:tcPr>
            <w:tcW w:w="22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48" w:hanging="89"/>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4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center"/>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401"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center"/>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403"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center"/>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65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73"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41"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t>独立董事对公司有关事项是否提出异议</w:t>
      </w:r>
    </w:p>
    <w:p>
      <w:pPr>
        <w:pStyle w:val="BodyText"/>
        <w:spacing w:line="290" w:lineRule="auto" w:before="78"/>
        <w:ind w:right="55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after="0" w:line="29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t>独立董事对公司有关建议是否被采纳</w:t>
      </w:r>
    </w:p>
    <w:p>
      <w:pPr>
        <w:pStyle w:val="BodyText"/>
        <w:spacing w:line="290" w:lineRule="auto" w:before="75"/>
        <w:ind w:right="55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独立董事对公司有关建议被采纳或未被采纳的说明</w:t>
      </w:r>
    </w:p>
    <w:p>
      <w:pPr>
        <w:pStyle w:val="BodyText"/>
        <w:spacing w:line="273" w:lineRule="auto" w:before="34"/>
        <w:ind w:right="998" w:firstLine="360"/>
        <w:jc w:val="left"/>
      </w:pPr>
      <w:r>
        <w:rPr>
          <w:spacing w:val="-3"/>
        </w:rPr>
        <w:t>独立董事严格按照《公司法》、《关于在上市公司建立独立董事的指导意见》、《上市公司治理准则》</w:t>
      </w:r>
      <w:r>
        <w:rPr>
          <w:w w:val="100"/>
        </w:rPr>
        <w:t> </w:t>
      </w:r>
      <w:r>
        <w:rPr/>
        <w:t>等法律、法规、规范性文件以及《公司章程》、《独立董事工作制度》的规定，认真、勤勉、谨慎履行职</w:t>
      </w:r>
      <w:r>
        <w:rPr>
          <w:w w:val="100"/>
        </w:rPr>
        <w:t> </w:t>
      </w:r>
      <w:r>
        <w:rPr>
          <w:spacing w:val="-2"/>
        </w:rPr>
        <w:t>责，积极出席相关会议，对各项议案进行认真审议，对公司重大事项发表了独立意见，充分发挥了独立董</w:t>
      </w:r>
      <w:r>
        <w:rPr>
          <w:spacing w:val="-47"/>
        </w:rPr>
        <w:t> </w:t>
      </w:r>
      <w:r>
        <w:rPr>
          <w:spacing w:val="-47"/>
        </w:rPr>
      </w:r>
      <w:r>
        <w:rPr/>
        <w:t>事的作用，努力维护公司整体利益和全体股东特别是中小股东的合法权益。</w:t>
      </w:r>
    </w:p>
    <w:p>
      <w:pPr>
        <w:spacing w:line="240" w:lineRule="auto" w:before="8"/>
        <w:rPr>
          <w:rFonts w:ascii="宋体" w:hAnsi="宋体" w:cs="宋体" w:eastAsia="宋体" w:hint="default"/>
          <w:sz w:val="21"/>
          <w:szCs w:val="21"/>
        </w:rPr>
      </w:pPr>
    </w:p>
    <w:p>
      <w:pPr>
        <w:pStyle w:val="Heading2"/>
        <w:spacing w:line="240" w:lineRule="auto"/>
        <w:ind w:right="1116"/>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16" w:firstLine="358"/>
        <w:jc w:val="left"/>
      </w:pPr>
      <w:r>
        <w:rPr>
          <w:rFonts w:ascii="Times New Roman" w:hAnsi="Times New Roman" w:cs="Times New Roman" w:eastAsia="Times New Roman" w:hint="default"/>
          <w:spacing w:val="-3"/>
        </w:rPr>
        <w:t>1</w:t>
      </w:r>
      <w:r>
        <w:rPr>
          <w:spacing w:val="-3"/>
        </w:rPr>
        <w:t>、薪酬与考核委员会履职情况：报告期内，薪酬与考核委员会对公司高级管理人员的薪酬情况进行了</w:t>
      </w:r>
      <w:r>
        <w:rPr>
          <w:w w:val="100"/>
        </w:rPr>
        <w:t> </w:t>
      </w:r>
      <w:r>
        <w:rPr/>
        <w:t>审核，使公司高级管理人员的考评和激励标准化、程序化、制度化和合理化。</w:t>
      </w:r>
    </w:p>
    <w:p>
      <w:pPr>
        <w:pStyle w:val="BodyText"/>
        <w:spacing w:line="256" w:lineRule="auto" w:before="22"/>
        <w:ind w:right="1116" w:firstLine="358"/>
        <w:jc w:val="left"/>
      </w:pPr>
      <w:r>
        <w:rPr>
          <w:rFonts w:ascii="Times New Roman" w:hAnsi="Times New Roman" w:cs="Times New Roman" w:eastAsia="Times New Roman" w:hint="default"/>
          <w:spacing w:val="-3"/>
        </w:rPr>
        <w:t>2</w:t>
      </w:r>
      <w:r>
        <w:rPr>
          <w:spacing w:val="-3"/>
        </w:rPr>
        <w:t>、审计委员会履职情况：审计委员会主要负责公司内外部审计的沟通和协调，组织内部审计、续聘年</w:t>
      </w:r>
      <w:r>
        <w:rPr>
          <w:w w:val="100"/>
        </w:rPr>
        <w:t> </w:t>
      </w:r>
      <w:r>
        <w:rPr/>
        <w:t>审会计师事务所等工作，切实履行了董事会审计委员会的责任和义务。</w:t>
      </w:r>
    </w:p>
    <w:p>
      <w:pPr>
        <w:spacing w:line="240" w:lineRule="auto" w:before="9"/>
        <w:rPr>
          <w:rFonts w:ascii="宋体" w:hAnsi="宋体" w:cs="宋体" w:eastAsia="宋体" w:hint="default"/>
          <w:sz w:val="22"/>
          <w:szCs w:val="22"/>
        </w:rPr>
      </w:pPr>
    </w:p>
    <w:p>
      <w:pPr>
        <w:pStyle w:val="Heading2"/>
        <w:spacing w:line="240" w:lineRule="auto"/>
        <w:ind w:right="1116"/>
        <w:jc w:val="left"/>
        <w:rPr>
          <w:b w:val="0"/>
          <w:bCs w:val="0"/>
        </w:rPr>
      </w:pPr>
      <w:r>
        <w:rPr/>
        <w:t>七、监事会工作情况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监事会在报告期内的监督活动中发现公司是否存在风险</w:t>
      </w:r>
    </w:p>
    <w:p>
      <w:pPr>
        <w:pStyle w:val="BodyText"/>
        <w:spacing w:line="292" w:lineRule="auto" w:before="75"/>
        <w:ind w:right="66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公司监事会对报告期内的监督事项无异议。</w:t>
      </w:r>
    </w:p>
    <w:p>
      <w:pPr>
        <w:spacing w:line="240" w:lineRule="auto" w:before="4"/>
        <w:rPr>
          <w:rFonts w:ascii="宋体" w:hAnsi="宋体" w:cs="宋体" w:eastAsia="宋体" w:hint="default"/>
          <w:sz w:val="20"/>
          <w:szCs w:val="20"/>
        </w:rPr>
      </w:pPr>
    </w:p>
    <w:p>
      <w:pPr>
        <w:pStyle w:val="Heading2"/>
        <w:spacing w:line="240" w:lineRule="auto"/>
        <w:ind w:right="1116"/>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16" w:firstLine="358"/>
        <w:jc w:val="left"/>
      </w:pPr>
      <w:r>
        <w:rPr>
          <w:spacing w:val="-1"/>
        </w:rPr>
        <w:t>公司董事、监事的津贴由薪酬与考核委员会提出，经董事会、监事会批准后，提交股东大会审议通过</w:t>
      </w:r>
      <w:r>
        <w:rPr>
          <w:w w:val="100"/>
        </w:rPr>
        <w:t> </w:t>
      </w:r>
      <w:r>
        <w:rPr/>
        <w:t>后实施；高级管理人员的绩效考核方案由董事会批准后实施。</w:t>
      </w:r>
    </w:p>
    <w:p>
      <w:pPr>
        <w:pStyle w:val="BodyText"/>
        <w:spacing w:line="273" w:lineRule="auto" w:before="7"/>
        <w:ind w:right="1116" w:firstLine="358"/>
        <w:jc w:val="left"/>
      </w:pPr>
      <w:r>
        <w:rPr>
          <w:spacing w:val="-1"/>
        </w:rPr>
        <w:t>公司薪酬与考核委员会依据公司每年度财务指标和经营目标的完成情况以及公司董事、监事、高级管</w:t>
      </w:r>
      <w:r>
        <w:rPr>
          <w:w w:val="100"/>
        </w:rPr>
        <w:t> </w:t>
      </w:r>
      <w:r>
        <w:rPr/>
        <w:t>理人员的履职情况，对董事、监事、高级管理人员公司薪酬与考核委员人员的薪酬进行了考核。</w:t>
      </w:r>
    </w:p>
    <w:p>
      <w:pPr>
        <w:spacing w:line="240" w:lineRule="auto" w:before="8"/>
        <w:rPr>
          <w:rFonts w:ascii="宋体" w:hAnsi="宋体" w:cs="宋体" w:eastAsia="宋体" w:hint="default"/>
          <w:sz w:val="21"/>
          <w:szCs w:val="21"/>
        </w:rPr>
      </w:pPr>
    </w:p>
    <w:p>
      <w:pPr>
        <w:pStyle w:val="Heading2"/>
        <w:spacing w:line="240" w:lineRule="auto"/>
        <w:ind w:right="1116"/>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3195"/>
        <w:gridCol w:w="6375"/>
      </w:tblGrid>
      <w:tr>
        <w:trPr>
          <w:trHeight w:val="403" w:hRule="exact"/>
        </w:trPr>
        <w:tc>
          <w:tcPr>
            <w:tcW w:w="31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1" w:hRule="exact"/>
        </w:trPr>
        <w:tc>
          <w:tcPr>
            <w:tcW w:w="31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6" w:hRule="exact"/>
        </w:trPr>
        <w:tc>
          <w:tcPr>
            <w:tcW w:w="31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28"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2" w:type="dxa"/>
        <w:tblLayout w:type="fixed"/>
        <w:tblCellMar>
          <w:top w:w="0" w:type="dxa"/>
          <w:left w:w="0" w:type="dxa"/>
          <w:bottom w:w="0" w:type="dxa"/>
          <w:right w:w="0" w:type="dxa"/>
        </w:tblCellMar>
        <w:tblLook w:val="01E0"/>
      </w:tblPr>
      <w:tblGrid>
        <w:gridCol w:w="3170"/>
        <w:gridCol w:w="3333"/>
        <w:gridCol w:w="3039"/>
      </w:tblGrid>
      <w:tr>
        <w:trPr>
          <w:trHeight w:val="363"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72" w:type="dxa"/>
            <w:gridSpan w:val="2"/>
            <w:tcBorders>
              <w:top w:val="single" w:sz="4" w:space="0" w:color="000000"/>
              <w:left w:val="single" w:sz="9" w:space="0" w:color="D2D2D2"/>
              <w:bottom w:val="single" w:sz="4" w:space="0" w:color="000000"/>
              <w:right w:val="nil" w:sz="6" w:space="0" w:color="auto"/>
            </w:tcBorders>
          </w:tcPr>
          <w:p>
            <w:pPr/>
          </w:p>
        </w:tc>
      </w:tr>
      <w:tr>
        <w:trPr>
          <w:trHeight w:val="396" w:hRule="exact"/>
        </w:trPr>
        <w:tc>
          <w:tcPr>
            <w:tcW w:w="9542"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2"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2"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2"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2"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16"/>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16"/>
        <w:jc w:val="left"/>
      </w:pP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16"/>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
        <w:rPr>
          <w:rFonts w:ascii="宋体" w:hAnsi="宋体" w:cs="宋体" w:eastAsia="宋体" w:hint="default"/>
          <w:b/>
          <w:bCs/>
          <w:sz w:val="41"/>
          <w:szCs w:val="41"/>
        </w:rPr>
      </w:pPr>
    </w:p>
    <w:p>
      <w:pPr>
        <w:pStyle w:val="BodyText"/>
        <w:spacing w:line="273" w:lineRule="auto"/>
        <w:ind w:right="1116"/>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r>
    </w:p>
    <w:p>
      <w:pPr>
        <w:pStyle w:val="BodyText"/>
        <w:spacing w:line="240" w:lineRule="auto" w:before="46"/>
        <w:ind w:right="1116"/>
        <w:jc w:val="left"/>
      </w:pPr>
      <w:r>
        <w:rPr>
          <w:w w:val="100"/>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81" w:right="3765"/>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[2020]009545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方建新、邓清平</w:t>
            </w:r>
          </w:p>
        </w:tc>
      </w:tr>
    </w:tbl>
    <w:p>
      <w:pPr>
        <w:spacing w:line="307" w:lineRule="auto" w:before="28"/>
        <w:ind w:left="4341" w:right="5320" w:firstLine="0"/>
        <w:jc w:val="center"/>
        <w:rPr>
          <w:rFonts w:ascii="宋体" w:hAnsi="宋体" w:cs="宋体" w:eastAsia="宋体" w:hint="default"/>
          <w:sz w:val="21"/>
          <w:szCs w:val="21"/>
        </w:rPr>
      </w:pPr>
      <w:r>
        <w:rPr>
          <w:rFonts w:ascii="宋体" w:hAnsi="宋体" w:cs="宋体" w:eastAsia="宋体" w:hint="default"/>
          <w:spacing w:val="-1"/>
          <w:sz w:val="21"/>
          <w:szCs w:val="21"/>
        </w:rPr>
        <w:t>审计报告正文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审计报告</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pStyle w:val="Heading3"/>
        <w:spacing w:line="240" w:lineRule="auto" w:before="36"/>
        <w:ind w:left="0" w:right="1131"/>
        <w:jc w:val="right"/>
        <w:rPr>
          <w:b w:val="0"/>
          <w:bCs w:val="0"/>
        </w:rPr>
      </w:pPr>
      <w:r>
        <w:rPr>
          <w:spacing w:val="-1"/>
        </w:rPr>
        <w:t>大华审字</w:t>
      </w:r>
      <w:r>
        <w:rPr>
          <w:rFonts w:ascii="Times New Roman" w:hAnsi="Times New Roman" w:cs="Times New Roman" w:eastAsia="Times New Roman" w:hint="default"/>
          <w:spacing w:val="-1"/>
        </w:rPr>
        <w:t>[2020]009545</w:t>
      </w:r>
      <w:r>
        <w:rPr>
          <w:spacing w:val="-1"/>
        </w:rPr>
        <w:t>号</w:t>
      </w:r>
      <w:r>
        <w:rPr>
          <w:b w:val="0"/>
          <w:bCs w:val="0"/>
          <w:spacing w:val="-1"/>
        </w:rPr>
      </w:r>
    </w:p>
    <w:p>
      <w:pPr>
        <w:spacing w:line="240" w:lineRule="auto" w:before="6"/>
        <w:rPr>
          <w:rFonts w:ascii="宋体" w:hAnsi="宋体" w:cs="宋体" w:eastAsia="宋体" w:hint="default"/>
          <w:b/>
          <w:bCs/>
          <w:sz w:val="25"/>
          <w:szCs w:val="25"/>
        </w:rPr>
      </w:pPr>
    </w:p>
    <w:p>
      <w:pPr>
        <w:pStyle w:val="Heading3"/>
        <w:spacing w:line="273" w:lineRule="auto"/>
        <w:ind w:left="575" w:right="6658" w:hanging="423"/>
        <w:jc w:val="left"/>
        <w:rPr>
          <w:b w:val="0"/>
          <w:bCs w:val="0"/>
        </w:rPr>
      </w:pPr>
      <w:r>
        <w:rPr>
          <w:spacing w:val="-1"/>
        </w:rPr>
        <w:t>武汉金运激光股份有限公司全体股东：</w:t>
      </w:r>
      <w:r>
        <w:rPr>
          <w:spacing w:val="-89"/>
        </w:rPr>
        <w:t> </w:t>
      </w:r>
      <w:r>
        <w:rPr>
          <w:spacing w:val="-89"/>
        </w:rPr>
      </w:r>
      <w:r>
        <w:rPr/>
        <w:t>一、审计意见</w:t>
      </w:r>
      <w:r>
        <w:rPr>
          <w:b w:val="0"/>
          <w:bCs w:val="0"/>
        </w:rPr>
      </w:r>
    </w:p>
    <w:p>
      <w:pPr>
        <w:pStyle w:val="BodyText"/>
        <w:spacing w:line="225" w:lineRule="auto" w:before="41"/>
        <w:ind w:right="1128" w:firstLine="420"/>
        <w:jc w:val="both"/>
      </w:pPr>
      <w:r>
        <w:rPr/>
        <w:t>我们审计了武汉金运激光股份有限公司（以下简称金运激光</w:t>
      </w:r>
      <w:r>
        <w:rPr>
          <w:rFonts w:ascii="Times New Roman" w:hAnsi="Times New Roman" w:cs="Times New Roman" w:eastAsia="Times New Roman" w:hint="default"/>
        </w:rPr>
        <w:t>)</w:t>
      </w:r>
      <w:r>
        <w:rPr/>
        <w:t>财务报表，包括</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w:t>
      </w:r>
      <w:r>
        <w:rPr>
          <w:w w:val="100"/>
        </w:rPr>
        <w:t> </w:t>
      </w:r>
      <w:r>
        <w:rPr>
          <w:spacing w:val="-3"/>
        </w:rPr>
        <w:t>并及母公司资产负债表，</w:t>
      </w:r>
      <w:r>
        <w:rPr>
          <w:rFonts w:ascii="Times New Roman" w:hAnsi="Times New Roman" w:cs="Times New Roman" w:eastAsia="Times New Roman" w:hint="default"/>
          <w:spacing w:val="-3"/>
        </w:rPr>
        <w:t>2019 </w:t>
      </w:r>
      <w:r>
        <w:rPr>
          <w:spacing w:val="-4"/>
        </w:rPr>
        <w:t>年度的合并及母公司利润表、合并及母公司现金流量表、合并及母公司股东</w:t>
      </w:r>
      <w:r>
        <w:rPr>
          <w:spacing w:val="-62"/>
        </w:rPr>
        <w:t> </w:t>
      </w:r>
      <w:r>
        <w:rPr>
          <w:spacing w:val="-62"/>
        </w:rPr>
      </w:r>
      <w:r>
        <w:rPr/>
        <w:t>权益变动表以及相关财务报表附注。</w:t>
      </w:r>
    </w:p>
    <w:p>
      <w:pPr>
        <w:pStyle w:val="BodyText"/>
        <w:spacing w:line="281" w:lineRule="exact" w:before="39"/>
        <w:ind w:left="573" w:right="998"/>
        <w:jc w:val="left"/>
        <w:rPr>
          <w:rFonts w:ascii="Times New Roman" w:hAnsi="Times New Roman" w:cs="Times New Roman" w:eastAsia="Times New Roman" w:hint="default"/>
        </w:rPr>
      </w:pPr>
      <w:r>
        <w:rPr>
          <w:spacing w:val="-4"/>
        </w:rPr>
        <w:t>我们认为，后附的财务报表在所有重大方面按照企业会计准则的规定编制，公允反映了金运激光</w:t>
      </w:r>
      <w:r>
        <w:rPr>
          <w:spacing w:val="31"/>
        </w:rPr>
        <w:t> </w:t>
      </w:r>
      <w:r>
        <w:rPr>
          <w:rFonts w:ascii="Times New Roman" w:hAnsi="Times New Roman" w:cs="Times New Roman" w:eastAsia="Times New Roman" w:hint="default"/>
        </w:rPr>
        <w:t>2019</w:t>
      </w:r>
    </w:p>
    <w:p>
      <w:pPr>
        <w:pStyle w:val="BodyText"/>
        <w:spacing w:line="283" w:lineRule="auto"/>
        <w:ind w:left="573" w:right="1116" w:hanging="421"/>
        <w:jc w:val="left"/>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日的合并及母公司财务状况以及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年度的合并及母公司经营成果和现金流量。</w:t>
      </w:r>
      <w:r>
        <w:rPr>
          <w:w w:val="100"/>
        </w:rPr>
        <w:t> </w:t>
      </w:r>
      <w:r>
        <w:rPr>
          <w:rFonts w:ascii="宋体" w:hAnsi="宋体" w:cs="宋体" w:eastAsia="宋体" w:hint="default"/>
          <w:b/>
          <w:bCs/>
        </w:rPr>
        <w:t>二、形成审计意见的基础</w:t>
      </w:r>
      <w:r>
        <w:rPr>
          <w:rFonts w:ascii="宋体" w:hAnsi="宋体" w:cs="宋体" w:eastAsia="宋体" w:hint="default"/>
          <w:b/>
          <w:bCs/>
          <w:w w:val="100"/>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w:t>
      </w:r>
    </w:p>
    <w:p>
      <w:pPr>
        <w:pStyle w:val="BodyText"/>
        <w:spacing w:line="222" w:lineRule="exact"/>
        <w:ind w:right="1116"/>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部分进一步阐述了我们在这些准则下的责任。按照中国注册会计师职业道德守则，我们独立于金</w:t>
      </w:r>
    </w:p>
    <w:p>
      <w:pPr>
        <w:pStyle w:val="BodyText"/>
        <w:spacing w:line="274" w:lineRule="exact" w:before="16"/>
        <w:ind w:right="1126"/>
        <w:jc w:val="both"/>
      </w:pPr>
      <w:r>
        <w:rPr>
          <w:spacing w:val="-2"/>
        </w:rPr>
        <w:t>运激光，并履行了职业道德方面的其他责任。我们相信，我们获取的审计证据是充分、适当的，为发表审</w:t>
      </w:r>
      <w:r>
        <w:rPr>
          <w:spacing w:val="-42"/>
        </w:rPr>
        <w:t> </w:t>
      </w:r>
      <w:r>
        <w:rPr>
          <w:spacing w:val="-42"/>
        </w:rPr>
      </w:r>
      <w:r>
        <w:rPr/>
        <w:t>计意见提供了基础。</w:t>
      </w:r>
    </w:p>
    <w:p>
      <w:pPr>
        <w:pStyle w:val="BodyText"/>
        <w:spacing w:line="290" w:lineRule="auto" w:before="33"/>
        <w:ind w:left="573" w:right="1116"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228" w:lineRule="exact"/>
        <w:ind w:right="1116"/>
        <w:jc w:val="left"/>
      </w:pPr>
      <w:r>
        <w:rPr/>
        <w:t>财务报表整体进行审计并形成审计意见为背景，我们不对这些事项单独发表意见。</w:t>
      </w:r>
    </w:p>
    <w:p>
      <w:pPr>
        <w:pStyle w:val="BodyText"/>
        <w:spacing w:line="240" w:lineRule="auto" w:before="37"/>
        <w:ind w:left="573" w:right="1116"/>
        <w:jc w:val="left"/>
      </w:pPr>
      <w:r>
        <w:rPr/>
        <w:t>我们确定下列事项是需要在审计报告中沟通的关键审计事项：</w:t>
      </w:r>
    </w:p>
    <w:p>
      <w:pPr>
        <w:pStyle w:val="BodyText"/>
        <w:spacing w:line="240" w:lineRule="auto" w:before="37"/>
        <w:ind w:left="573" w:right="1116"/>
        <w:jc w:val="left"/>
      </w:pPr>
      <w:r>
        <w:rPr>
          <w:rFonts w:ascii="Times New Roman" w:hAnsi="Times New Roman" w:cs="Times New Roman" w:eastAsia="Times New Roman" w:hint="default"/>
        </w:rPr>
        <w:t>1</w:t>
      </w:r>
      <w:r>
        <w:rPr/>
        <w:t>．存货跌价准备</w:t>
      </w:r>
    </w:p>
    <w:p>
      <w:pPr>
        <w:pStyle w:val="BodyText"/>
        <w:spacing w:line="240" w:lineRule="auto" w:before="21"/>
        <w:ind w:left="573" w:right="1116"/>
        <w:jc w:val="left"/>
      </w:pPr>
      <w:r>
        <w:rPr>
          <w:rFonts w:ascii="Times New Roman" w:hAnsi="Times New Roman" w:cs="Times New Roman" w:eastAsia="Times New Roman" w:hint="default"/>
        </w:rPr>
        <w:t>2</w:t>
      </w:r>
      <w:r>
        <w:rPr/>
        <w:t>．新增智能零售终端业务收入的确认</w:t>
      </w:r>
    </w:p>
    <w:p>
      <w:pPr>
        <w:spacing w:line="240" w:lineRule="auto" w:before="2"/>
        <w:rPr>
          <w:rFonts w:ascii="宋体" w:hAnsi="宋体" w:cs="宋体" w:eastAsia="宋体" w:hint="default"/>
          <w:sz w:val="27"/>
          <w:szCs w:val="27"/>
        </w:rPr>
      </w:pPr>
    </w:p>
    <w:p>
      <w:pPr>
        <w:pStyle w:val="Heading3"/>
        <w:spacing w:line="240" w:lineRule="auto"/>
        <w:ind w:left="786" w:right="1116"/>
        <w:jc w:val="left"/>
        <w:rPr>
          <w:b w:val="0"/>
          <w:bCs w:val="0"/>
        </w:rPr>
      </w:pPr>
      <w:r>
        <w:rPr/>
        <w:t>（一）存货跌价准备</w:t>
      </w:r>
      <w:r>
        <w:rPr>
          <w:b w:val="0"/>
          <w:bCs w:val="0"/>
        </w:rPr>
      </w:r>
    </w:p>
    <w:p>
      <w:pPr>
        <w:pStyle w:val="Heading3"/>
        <w:spacing w:line="240" w:lineRule="auto" w:before="37"/>
        <w:ind w:left="717" w:right="1116"/>
        <w:jc w:val="left"/>
        <w:rPr>
          <w:b w:val="0"/>
          <w:bCs w:val="0"/>
        </w:rPr>
      </w:pPr>
      <w:r>
        <w:rPr>
          <w:rFonts w:ascii="Times New Roman" w:hAnsi="Times New Roman" w:cs="Times New Roman" w:eastAsia="Times New Roman" w:hint="default"/>
        </w:rPr>
        <w:t>1.  </w:t>
      </w:r>
      <w:r>
        <w:rPr/>
        <w:t>事项描述</w:t>
      </w:r>
      <w:r>
        <w:rPr>
          <w:b w:val="0"/>
          <w:bCs w:val="0"/>
        </w:rPr>
      </w:r>
    </w:p>
    <w:p>
      <w:pPr>
        <w:pStyle w:val="BodyText"/>
        <w:spacing w:line="282" w:lineRule="exact" w:before="40"/>
        <w:ind w:left="573" w:right="998"/>
        <w:jc w:val="left"/>
      </w:pPr>
      <w:r>
        <w:rPr/>
        <w:t>截至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日，如合并财务报表附注四、（十六）存货与附注六、注释</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存货所述，金运</w:t>
      </w:r>
    </w:p>
    <w:p>
      <w:pPr>
        <w:pStyle w:val="BodyText"/>
        <w:spacing w:line="225" w:lineRule="auto" w:before="6"/>
        <w:ind w:right="1126"/>
        <w:jc w:val="both"/>
      </w:pPr>
      <w:r>
        <w:rPr/>
        <w:t>激光存货余额为</w:t>
      </w:r>
      <w:r>
        <w:rPr>
          <w:spacing w:val="-40"/>
        </w:rPr>
        <w:t> </w:t>
      </w:r>
      <w:r>
        <w:rPr>
          <w:rFonts w:ascii="Times New Roman" w:hAnsi="Times New Roman" w:cs="Times New Roman" w:eastAsia="Times New Roman" w:hint="default"/>
        </w:rPr>
        <w:t>10,218.11</w:t>
      </w:r>
      <w:r>
        <w:rPr>
          <w:rFonts w:ascii="Times New Roman" w:hAnsi="Times New Roman" w:cs="Times New Roman" w:eastAsia="Times New Roman" w:hint="default"/>
          <w:spacing w:val="10"/>
        </w:rPr>
        <w:t> </w:t>
      </w:r>
      <w:r>
        <w:rPr/>
        <w:t>万元，已计提存货跌价准备为</w:t>
      </w:r>
      <w:r>
        <w:rPr>
          <w:spacing w:val="-42"/>
        </w:rPr>
        <w:t> </w:t>
      </w:r>
      <w:r>
        <w:rPr>
          <w:rFonts w:ascii="Times New Roman" w:hAnsi="Times New Roman" w:cs="Times New Roman" w:eastAsia="Times New Roman" w:hint="default"/>
        </w:rPr>
        <w:t>2,865.57</w:t>
      </w:r>
      <w:r>
        <w:rPr>
          <w:rFonts w:ascii="Times New Roman" w:hAnsi="Times New Roman" w:cs="Times New Roman" w:eastAsia="Times New Roman" w:hint="default"/>
          <w:spacing w:val="10"/>
        </w:rPr>
        <w:t> </w:t>
      </w:r>
      <w:r>
        <w:rPr/>
        <w:t>万元，账面价值为</w:t>
      </w:r>
      <w:r>
        <w:rPr>
          <w:spacing w:val="-40"/>
        </w:rPr>
        <w:t> </w:t>
      </w:r>
      <w:r>
        <w:rPr>
          <w:rFonts w:ascii="Times New Roman" w:hAnsi="Times New Roman" w:cs="Times New Roman" w:eastAsia="Times New Roman" w:hint="default"/>
        </w:rPr>
        <w:t>7,352.54</w:t>
      </w:r>
      <w:r>
        <w:rPr>
          <w:rFonts w:ascii="Times New Roman" w:hAnsi="Times New Roman" w:cs="Times New Roman" w:eastAsia="Times New Roman" w:hint="default"/>
          <w:spacing w:val="12"/>
        </w:rPr>
        <w:t> </w:t>
      </w:r>
      <w:r>
        <w:rPr/>
        <w:t>万元，占总</w:t>
      </w:r>
      <w:r>
        <w:rPr>
          <w:w w:val="100"/>
        </w:rPr>
        <w:t> </w:t>
      </w:r>
      <w:r>
        <w:rPr/>
        <w:t>资产的比重为 </w:t>
      </w:r>
      <w:r>
        <w:rPr>
          <w:rFonts w:ascii="Times New Roman" w:hAnsi="Times New Roman" w:cs="Times New Roman" w:eastAsia="Times New Roman" w:hint="default"/>
          <w:spacing w:val="-4"/>
        </w:rPr>
        <w:t>19.21%</w:t>
      </w:r>
      <w:r>
        <w:rPr>
          <w:spacing w:val="-4"/>
        </w:rPr>
        <w:t>，存货跌价准备计提充分与否对财务报表影响较大，且该事项需要管理层作出重大判</w:t>
      </w:r>
      <w:r>
        <w:rPr>
          <w:spacing w:val="-85"/>
        </w:rPr>
        <w:t> </w:t>
      </w:r>
      <w:r>
        <w:rPr>
          <w:spacing w:val="-85"/>
        </w:rPr>
      </w:r>
      <w:r>
        <w:rPr/>
        <w:t>断，因此我们将存货跌价准备作为关键审计事项。</w:t>
      </w:r>
    </w:p>
    <w:p>
      <w:pPr>
        <w:spacing w:line="256" w:lineRule="auto" w:before="61"/>
        <w:ind w:left="714" w:right="424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我们针对存货跌价准备计提是否充分执行的审计程序主要包括：</w:t>
      </w:r>
    </w:p>
    <w:p>
      <w:pPr>
        <w:spacing w:after="0" w:line="256"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3"/>
        <w:rPr>
          <w:rFonts w:ascii="宋体" w:hAnsi="宋体" w:cs="宋体" w:eastAsia="宋体" w:hint="default"/>
          <w:sz w:val="22"/>
          <w:szCs w:val="22"/>
        </w:rPr>
      </w:pPr>
    </w:p>
    <w:p>
      <w:pPr>
        <w:pStyle w:val="BodyText"/>
        <w:spacing w:line="240" w:lineRule="auto" w:before="36"/>
        <w:ind w:left="573" w:right="1116"/>
        <w:jc w:val="left"/>
      </w:pPr>
      <w:r>
        <w:rPr/>
        <w:t>我们针对存货跌价准备计提是否充分执行的审计程序主要包括：</w:t>
      </w:r>
    </w:p>
    <w:p>
      <w:pPr>
        <w:pStyle w:val="BodyText"/>
        <w:spacing w:line="240" w:lineRule="auto" w:before="39"/>
        <w:ind w:left="467" w:right="1116"/>
        <w:jc w:val="left"/>
      </w:pPr>
      <w:r>
        <w:rPr/>
        <w:t>（</w:t>
      </w:r>
      <w:r>
        <w:rPr>
          <w:rFonts w:ascii="Times New Roman" w:hAnsi="Times New Roman" w:cs="Times New Roman" w:eastAsia="Times New Roman" w:hint="default"/>
        </w:rPr>
        <w:t>1</w:t>
      </w:r>
      <w:r>
        <w:rPr/>
        <w:t>）评估并测试与库存商品跌价准备相关的关键内部控制；</w:t>
      </w:r>
    </w:p>
    <w:p>
      <w:pPr>
        <w:pStyle w:val="BodyText"/>
        <w:spacing w:line="240" w:lineRule="auto" w:before="21"/>
        <w:ind w:left="467" w:right="1116"/>
        <w:jc w:val="left"/>
      </w:pPr>
      <w:r>
        <w:rPr/>
        <w:t>（</w:t>
      </w:r>
      <w:r>
        <w:rPr>
          <w:rFonts w:ascii="Times New Roman" w:hAnsi="Times New Roman" w:cs="Times New Roman" w:eastAsia="Times New Roman" w:hint="default"/>
        </w:rPr>
        <w:t>2</w:t>
      </w:r>
      <w:r>
        <w:rPr/>
        <w:t>）对存货实施监盘程序，检查库存商品的数量及状况，并重点对长库龄库存商品进行了检查；</w:t>
      </w:r>
    </w:p>
    <w:p>
      <w:pPr>
        <w:pStyle w:val="BodyText"/>
        <w:spacing w:line="274" w:lineRule="exact" w:before="47"/>
        <w:ind w:right="1116" w:firstLine="314"/>
        <w:jc w:val="left"/>
      </w:pPr>
      <w:r>
        <w:rPr>
          <w:spacing w:val="-2"/>
        </w:rPr>
        <w:t>（</w:t>
      </w:r>
      <w:r>
        <w:rPr>
          <w:rFonts w:ascii="Times New Roman" w:hAnsi="Times New Roman" w:cs="Times New Roman" w:eastAsia="Times New Roman" w:hint="default"/>
          <w:spacing w:val="-2"/>
        </w:rPr>
        <w:t>3</w:t>
      </w:r>
      <w:r>
        <w:rPr>
          <w:spacing w:val="-2"/>
        </w:rPr>
        <w:t>）获取存货跌价准备计算表，抽取部分型号产品比较其在该表中记载的状态和库龄与通过监盘获知</w:t>
      </w:r>
      <w:r>
        <w:rPr>
          <w:w w:val="100"/>
        </w:rPr>
        <w:t> </w:t>
      </w:r>
      <w:r>
        <w:rPr/>
        <w:t>的情况是否相符；</w:t>
      </w:r>
    </w:p>
    <w:p>
      <w:pPr>
        <w:pStyle w:val="BodyText"/>
        <w:spacing w:line="274" w:lineRule="exact" w:before="38"/>
        <w:ind w:right="1116" w:firstLine="314"/>
        <w:jc w:val="left"/>
      </w:pPr>
      <w:r>
        <w:rPr>
          <w:spacing w:val="-2"/>
        </w:rPr>
        <w:t>（</w:t>
      </w:r>
      <w:r>
        <w:rPr>
          <w:rFonts w:ascii="Times New Roman" w:hAnsi="Times New Roman" w:cs="Times New Roman" w:eastAsia="Times New Roman" w:hint="default"/>
          <w:spacing w:val="-2"/>
        </w:rPr>
        <w:t>4</w:t>
      </w:r>
      <w:r>
        <w:rPr>
          <w:spacing w:val="-2"/>
        </w:rPr>
        <w:t>）获取产品跌价准备计算表，执行存货减值测试，检查是否按金运激光相关会计政策执行，检查以</w:t>
      </w:r>
      <w:r>
        <w:rPr>
          <w:w w:val="100"/>
        </w:rPr>
        <w:t> </w:t>
      </w:r>
      <w:r>
        <w:rPr/>
        <w:t>前年度已计提跌价准备的存货在本期的变化情况等，分析存货跌价准备计提是否充分。</w:t>
      </w:r>
    </w:p>
    <w:p>
      <w:pPr>
        <w:pStyle w:val="BodyText"/>
        <w:spacing w:line="272" w:lineRule="exact" w:before="39"/>
        <w:ind w:right="1116" w:firstLine="420"/>
        <w:jc w:val="left"/>
      </w:pPr>
      <w:r>
        <w:rPr>
          <w:spacing w:val="-2"/>
        </w:rPr>
        <w:t>基于已执行的审计工作，我们认为，金运激光管理层对存货价值的确认符合企业会计准则及存货确认</w:t>
      </w:r>
      <w:r>
        <w:rPr>
          <w:w w:val="100"/>
        </w:rPr>
        <w:t> </w:t>
      </w:r>
      <w:r>
        <w:rPr/>
        <w:t>政策的规定，对相关信息的披露是适当的。</w:t>
      </w:r>
    </w:p>
    <w:p>
      <w:pPr>
        <w:spacing w:line="240" w:lineRule="auto" w:before="6"/>
        <w:rPr>
          <w:rFonts w:ascii="宋体" w:hAnsi="宋体" w:cs="宋体" w:eastAsia="宋体" w:hint="default"/>
          <w:sz w:val="26"/>
          <w:szCs w:val="26"/>
        </w:rPr>
      </w:pPr>
    </w:p>
    <w:p>
      <w:pPr>
        <w:pStyle w:val="Heading3"/>
        <w:spacing w:line="240" w:lineRule="auto"/>
        <w:ind w:left="717" w:right="1116"/>
        <w:jc w:val="left"/>
        <w:rPr>
          <w:b w:val="0"/>
          <w:bCs w:val="0"/>
        </w:rPr>
      </w:pPr>
      <w:r>
        <w:rPr/>
        <w:t>（二）新增智能零售终端业务收入的确认</w:t>
      </w:r>
      <w:r>
        <w:rPr>
          <w:b w:val="0"/>
          <w:bCs w:val="0"/>
        </w:rPr>
      </w:r>
    </w:p>
    <w:p>
      <w:pPr>
        <w:pStyle w:val="BodyText"/>
        <w:spacing w:line="300" w:lineRule="auto" w:before="37"/>
        <w:ind w:left="714" w:right="1116"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50"/>
        </w:rPr>
        <w:t> </w:t>
      </w:r>
      <w:r>
        <w:rPr>
          <w:rFonts w:ascii="宋体" w:hAnsi="宋体" w:cs="宋体" w:eastAsia="宋体" w:hint="default"/>
          <w:b/>
          <w:bCs/>
        </w:rPr>
        <w:t>事项描述</w:t>
      </w:r>
      <w:r>
        <w:rPr>
          <w:rFonts w:ascii="宋体" w:hAnsi="宋体" w:cs="宋体" w:eastAsia="宋体" w:hint="default"/>
          <w:b/>
          <w:bCs/>
          <w:w w:val="100"/>
        </w:rPr>
        <w:t> </w:t>
      </w:r>
      <w:r>
        <w:rPr>
          <w:spacing w:val="-5"/>
        </w:rPr>
        <w:t>如合并财务报表附注四、（二十七）收入及附注六、注释</w:t>
      </w:r>
      <w:r>
        <w:rPr>
          <w:rFonts w:ascii="Times New Roman" w:hAnsi="Times New Roman" w:cs="Times New Roman" w:eastAsia="Times New Roman" w:hint="default"/>
          <w:spacing w:val="-5"/>
        </w:rPr>
        <w:t>32</w:t>
      </w:r>
      <w:r>
        <w:rPr>
          <w:spacing w:val="-5"/>
        </w:rPr>
        <w:t>营业收入和营业成本所述，金运激光</w:t>
      </w:r>
      <w:r>
        <w:rPr>
          <w:rFonts w:ascii="Times New Roman" w:hAnsi="Times New Roman" w:cs="Times New Roman" w:eastAsia="Times New Roman" w:hint="default"/>
          <w:spacing w:val="-5"/>
        </w:rPr>
        <w:t>2019</w:t>
      </w:r>
    </w:p>
    <w:p>
      <w:pPr>
        <w:pStyle w:val="BodyText"/>
        <w:spacing w:line="254" w:lineRule="exact"/>
        <w:ind w:left="155" w:right="0"/>
        <w:jc w:val="both"/>
      </w:pPr>
      <w:r>
        <w:rPr/>
        <w:t>年度实现主营业务收入</w:t>
      </w:r>
      <w:r>
        <w:rPr>
          <w:rFonts w:ascii="Times New Roman" w:hAnsi="Times New Roman" w:cs="Times New Roman" w:eastAsia="Times New Roman" w:hint="default"/>
        </w:rPr>
        <w:t>20,722.38</w:t>
      </w:r>
      <w:r>
        <w:rPr/>
        <w:t>万元。其中本年新增智能零售终端系列业务，相关业务收入为</w:t>
      </w:r>
      <w:r>
        <w:rPr>
          <w:rFonts w:ascii="Times New Roman" w:hAnsi="Times New Roman" w:cs="Times New Roman" w:eastAsia="Times New Roman" w:hint="default"/>
        </w:rPr>
        <w:t>2,337.36</w:t>
      </w:r>
      <w:r>
        <w:rPr/>
        <w:t>万</w:t>
      </w:r>
    </w:p>
    <w:p>
      <w:pPr>
        <w:pStyle w:val="BodyText"/>
        <w:spacing w:line="264" w:lineRule="auto" w:before="21"/>
        <w:ind w:left="155" w:right="1126"/>
        <w:jc w:val="both"/>
      </w:pPr>
      <w:r>
        <w:rPr>
          <w:spacing w:val="-1"/>
        </w:rPr>
        <w:t>元，占当期主营业务收入比例为</w:t>
      </w:r>
      <w:r>
        <w:rPr>
          <w:rFonts w:ascii="Times New Roman" w:hAnsi="Times New Roman" w:cs="Times New Roman" w:eastAsia="Times New Roman" w:hint="default"/>
          <w:spacing w:val="-1"/>
        </w:rPr>
        <w:t>11.28%</w:t>
      </w:r>
      <w:r>
        <w:rPr>
          <w:spacing w:val="-1"/>
        </w:rPr>
        <w:t>；相关业务成本为</w:t>
      </w:r>
      <w:r>
        <w:rPr>
          <w:rFonts w:ascii="Times New Roman" w:hAnsi="Times New Roman" w:cs="Times New Roman" w:eastAsia="Times New Roman" w:hint="default"/>
          <w:spacing w:val="-1"/>
        </w:rPr>
        <w:t>1,151.64</w:t>
      </w:r>
      <w:r>
        <w:rPr>
          <w:spacing w:val="-1"/>
        </w:rPr>
        <w:t>万元，销售毛利率为</w:t>
      </w:r>
      <w:r>
        <w:rPr>
          <w:rFonts w:ascii="Times New Roman" w:hAnsi="Times New Roman" w:cs="Times New Roman" w:eastAsia="Times New Roman" w:hint="default"/>
          <w:spacing w:val="-1"/>
        </w:rPr>
        <w:t>50.73%</w:t>
      </w:r>
      <w:r>
        <w:rPr>
          <w:spacing w:val="-1"/>
        </w:rPr>
        <w:t>，高于本年</w:t>
      </w:r>
      <w:r>
        <w:rPr>
          <w:spacing w:val="-8"/>
        </w:rPr>
        <w:t> </w:t>
      </w:r>
      <w:r>
        <w:rPr>
          <w:spacing w:val="-3"/>
        </w:rPr>
        <w:t>其他主营产品平均毛利率</w:t>
      </w:r>
      <w:r>
        <w:rPr>
          <w:rFonts w:ascii="Times New Roman" w:hAnsi="Times New Roman" w:cs="Times New Roman" w:eastAsia="Times New Roman" w:hint="default"/>
          <w:spacing w:val="-3"/>
        </w:rPr>
        <w:t>35.10%</w:t>
      </w:r>
      <w:r>
        <w:rPr>
          <w:spacing w:val="-3"/>
        </w:rPr>
        <w:t>。因新增业务与金运激光传统业务在产品特性、销售模式、销售客户等方</w:t>
      </w:r>
      <w:r>
        <w:rPr>
          <w:spacing w:val="-10"/>
        </w:rPr>
        <w:t> </w:t>
      </w:r>
      <w:r>
        <w:rPr>
          <w:spacing w:val="-10"/>
        </w:rPr>
      </w:r>
      <w:r>
        <w:rPr>
          <w:spacing w:val="-2"/>
        </w:rPr>
        <w:t>面均存在较大差异，新增业务对本期毛利贡献较大，且收入规模增长较快，存在金运激光管理层为了达到</w:t>
      </w:r>
      <w:r>
        <w:rPr>
          <w:spacing w:val="-47"/>
        </w:rPr>
        <w:t> </w:t>
      </w:r>
      <w:r>
        <w:rPr>
          <w:spacing w:val="-47"/>
        </w:rPr>
      </w:r>
      <w:r>
        <w:rPr>
          <w:spacing w:val="-2"/>
        </w:rPr>
        <w:t>特定目标或期望而操纵虚构收入的风险，因此我们将金运激光新增智能零售终端业务收入确认识别为关键</w:t>
      </w:r>
      <w:r>
        <w:rPr>
          <w:spacing w:val="-48"/>
        </w:rPr>
        <w:t> </w:t>
      </w:r>
      <w:r>
        <w:rPr>
          <w:spacing w:val="-48"/>
        </w:rPr>
      </w:r>
      <w:r>
        <w:rPr/>
        <w:t>审计事项。</w:t>
      </w:r>
    </w:p>
    <w:p>
      <w:pPr>
        <w:spacing w:line="256" w:lineRule="auto" w:before="66"/>
        <w:ind w:left="712" w:right="32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我们就智能零售终端业务收入确认所实施的重要审计程序主要包括：</w:t>
      </w:r>
    </w:p>
    <w:p>
      <w:pPr>
        <w:pStyle w:val="BodyText"/>
        <w:spacing w:line="256" w:lineRule="auto" w:before="23"/>
        <w:ind w:right="1116" w:firstLine="559"/>
        <w:jc w:val="left"/>
      </w:pPr>
      <w:r>
        <w:rPr>
          <w:spacing w:val="-3"/>
        </w:rPr>
        <w:t>（</w:t>
      </w:r>
      <w:r>
        <w:rPr>
          <w:rFonts w:ascii="Times New Roman" w:hAnsi="Times New Roman" w:cs="Times New Roman" w:eastAsia="Times New Roman" w:hint="default"/>
          <w:spacing w:val="-3"/>
        </w:rPr>
        <w:t>1</w:t>
      </w:r>
      <w:r>
        <w:rPr>
          <w:spacing w:val="-3"/>
        </w:rPr>
        <w:t>）我们通过审阅销售合同及访谈管理层，对与该新增业务销售收入确认有关的重大风险及报酬转</w:t>
      </w:r>
      <w:r>
        <w:rPr>
          <w:w w:val="100"/>
        </w:rPr>
        <w:t> </w:t>
      </w:r>
      <w:r>
        <w:rPr/>
        <w:t>移时点进行分析，进而评估销售收入确认政策的合理性；</w:t>
      </w:r>
    </w:p>
    <w:p>
      <w:pPr>
        <w:pStyle w:val="BodyText"/>
        <w:spacing w:line="256" w:lineRule="auto" w:before="22"/>
        <w:ind w:right="1116" w:firstLine="559"/>
        <w:jc w:val="left"/>
      </w:pPr>
      <w:r>
        <w:rPr>
          <w:spacing w:val="-3"/>
        </w:rPr>
        <w:t>（</w:t>
      </w:r>
      <w:r>
        <w:rPr>
          <w:rFonts w:ascii="Times New Roman" w:hAnsi="Times New Roman" w:cs="Times New Roman" w:eastAsia="Times New Roman" w:hint="default"/>
          <w:spacing w:val="-3"/>
        </w:rPr>
        <w:t>2</w:t>
      </w:r>
      <w:r>
        <w:rPr>
          <w:spacing w:val="-3"/>
        </w:rPr>
        <w:t>）我们了解金运激光销售与收款相关的内部控制制度并对其执行控制测试，复核相关会计政策是</w:t>
      </w:r>
      <w:r>
        <w:rPr>
          <w:w w:val="100"/>
        </w:rPr>
        <w:t> </w:t>
      </w:r>
      <w:r>
        <w:rPr/>
        <w:t>否正确且一贯地运用；</w:t>
      </w:r>
    </w:p>
    <w:p>
      <w:pPr>
        <w:pStyle w:val="BodyText"/>
        <w:spacing w:line="240" w:lineRule="auto" w:before="22"/>
        <w:ind w:left="712" w:right="1116"/>
        <w:jc w:val="left"/>
      </w:pPr>
      <w:r>
        <w:rPr/>
        <w:t>（</w:t>
      </w:r>
      <w:r>
        <w:rPr>
          <w:rFonts w:ascii="Times New Roman" w:hAnsi="Times New Roman" w:cs="Times New Roman" w:eastAsia="Times New Roman" w:hint="default"/>
        </w:rPr>
        <w:t>3</w:t>
      </w:r>
      <w:r>
        <w:rPr/>
        <w:t>）我们实施分析性复核程序，分析其变动趋势是否合理，价格变动以及毛利率是否合理；</w:t>
      </w:r>
    </w:p>
    <w:p>
      <w:pPr>
        <w:pStyle w:val="BodyText"/>
        <w:spacing w:line="256" w:lineRule="auto" w:before="21"/>
        <w:ind w:right="1116" w:firstLine="559"/>
        <w:jc w:val="left"/>
      </w:pPr>
      <w:r>
        <w:rPr>
          <w:spacing w:val="-2"/>
        </w:rPr>
        <w:t>（</w:t>
      </w:r>
      <w:r>
        <w:rPr>
          <w:rFonts w:ascii="Times New Roman" w:hAnsi="Times New Roman" w:cs="Times New Roman" w:eastAsia="Times New Roman" w:hint="default"/>
          <w:spacing w:val="-2"/>
        </w:rPr>
        <w:t>4</w:t>
      </w:r>
      <w:r>
        <w:rPr>
          <w:spacing w:val="-2"/>
        </w:rPr>
        <w:t>）我们执行细节测试，采取抽样的方式检查与收入相关的销售合同、出库单、货运单、验收单、</w:t>
      </w:r>
      <w:r>
        <w:rPr>
          <w:w w:val="100"/>
        </w:rPr>
        <w:t> </w:t>
      </w:r>
      <w:r>
        <w:rPr/>
        <w:t>销售发票及收款银行回单等文件，评估产品收入的真实性；</w:t>
      </w:r>
    </w:p>
    <w:p>
      <w:pPr>
        <w:pStyle w:val="BodyText"/>
        <w:spacing w:line="256" w:lineRule="auto" w:before="22"/>
        <w:ind w:right="1116" w:firstLine="559"/>
        <w:jc w:val="left"/>
      </w:pPr>
      <w:r>
        <w:rPr>
          <w:spacing w:val="-3"/>
        </w:rPr>
        <w:t>（</w:t>
      </w:r>
      <w:r>
        <w:rPr>
          <w:rFonts w:ascii="Times New Roman" w:hAnsi="Times New Roman" w:cs="Times New Roman" w:eastAsia="Times New Roman" w:hint="default"/>
          <w:spacing w:val="-3"/>
        </w:rPr>
        <w:t>5</w:t>
      </w:r>
      <w:r>
        <w:rPr>
          <w:spacing w:val="-3"/>
        </w:rPr>
        <w:t>）我们结合应收账款执行函证程序，通过与对方核对交易额和往来余额检查营业收入及应收账款</w:t>
      </w:r>
      <w:r>
        <w:rPr>
          <w:w w:val="100"/>
        </w:rPr>
        <w:t> </w:t>
      </w:r>
      <w:r>
        <w:rPr/>
        <w:t>余额的真实性、准确性；</w:t>
      </w:r>
    </w:p>
    <w:p>
      <w:pPr>
        <w:pStyle w:val="BodyText"/>
        <w:spacing w:line="256" w:lineRule="auto" w:before="22"/>
        <w:ind w:right="1116" w:firstLine="559"/>
        <w:jc w:val="left"/>
      </w:pPr>
      <w:r>
        <w:rPr>
          <w:spacing w:val="-3"/>
        </w:rPr>
        <w:t>（</w:t>
      </w:r>
      <w:r>
        <w:rPr>
          <w:rFonts w:ascii="Times New Roman" w:hAnsi="Times New Roman" w:cs="Times New Roman" w:eastAsia="Times New Roman" w:hint="default"/>
          <w:spacing w:val="-3"/>
        </w:rPr>
        <w:t>6</w:t>
      </w:r>
      <w:r>
        <w:rPr>
          <w:spacing w:val="-3"/>
        </w:rPr>
        <w:t>）我们针对截止日前后确认的收入执行截止测试，检查其出货单及验收单据，以评估销售收入是</w:t>
      </w:r>
      <w:r>
        <w:rPr>
          <w:w w:val="100"/>
        </w:rPr>
        <w:t> </w:t>
      </w:r>
      <w:r>
        <w:rPr/>
        <w:t>否记录在恰当的期间；</w:t>
      </w:r>
    </w:p>
    <w:p>
      <w:pPr>
        <w:pStyle w:val="BodyText"/>
        <w:spacing w:line="256" w:lineRule="auto" w:before="23"/>
        <w:ind w:left="712" w:right="1116"/>
        <w:jc w:val="left"/>
      </w:pPr>
      <w:r>
        <w:rPr/>
        <w:t>（</w:t>
      </w:r>
      <w:r>
        <w:rPr>
          <w:rFonts w:ascii="Times New Roman" w:hAnsi="Times New Roman" w:cs="Times New Roman" w:eastAsia="Times New Roman" w:hint="default"/>
        </w:rPr>
        <w:t>7</w:t>
      </w:r>
      <w:r>
        <w:rPr/>
        <w:t>）我们针对主要客户执行穿行测试，销售定价分析及访谈程序，确认收入的真实性。</w:t>
      </w:r>
      <w:r>
        <w:rPr>
          <w:w w:val="100"/>
        </w:rPr>
        <w:t> </w:t>
      </w:r>
      <w:r>
        <w:rPr/>
        <w:t>基于已执行的审计工作，我们认为，金运激光管理层对新增智能零售终端业务收入的确认符合企业</w:t>
      </w:r>
    </w:p>
    <w:p>
      <w:pPr>
        <w:pStyle w:val="BodyText"/>
        <w:spacing w:line="240" w:lineRule="auto" w:before="22"/>
        <w:ind w:right="0"/>
        <w:jc w:val="both"/>
      </w:pPr>
      <w:r>
        <w:rPr/>
        <w:t>会计准则及收入确认政策的规定，对相关信息的披露是适当的。</w:t>
      </w:r>
    </w:p>
    <w:p>
      <w:pPr>
        <w:spacing w:line="240" w:lineRule="auto" w:before="0"/>
        <w:rPr>
          <w:rFonts w:ascii="宋体" w:hAnsi="宋体" w:cs="宋体" w:eastAsia="宋体" w:hint="default"/>
          <w:sz w:val="20"/>
          <w:szCs w:val="20"/>
        </w:rPr>
      </w:pPr>
    </w:p>
    <w:p>
      <w:pPr>
        <w:pStyle w:val="Heading3"/>
        <w:spacing w:line="240" w:lineRule="auto" w:before="138"/>
        <w:ind w:left="575" w:right="1116"/>
        <w:jc w:val="left"/>
        <w:rPr>
          <w:b w:val="0"/>
          <w:bCs w:val="0"/>
        </w:rPr>
      </w:pPr>
      <w:r>
        <w:rPr/>
        <w:t>四、其他信息</w:t>
      </w:r>
      <w:r>
        <w:rPr>
          <w:b w:val="0"/>
          <w:bCs w:val="0"/>
        </w:rPr>
      </w:r>
    </w:p>
    <w:p>
      <w:pPr>
        <w:pStyle w:val="BodyText"/>
        <w:spacing w:line="272" w:lineRule="exact" w:before="84"/>
        <w:ind w:right="1123" w:firstLine="420"/>
        <w:jc w:val="left"/>
      </w:pPr>
      <w:r>
        <w:rPr/>
        <w:t>金运激光管理层对其他信息负责。其他信息包括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年度报告中涵盖的信息，但不包括财务报表和</w:t>
      </w:r>
      <w:r>
        <w:rPr>
          <w:w w:val="100"/>
        </w:rPr>
        <w:t> </w:t>
      </w:r>
      <w:r>
        <w:rPr/>
        <w:t>我们的审计报告。</w:t>
      </w:r>
    </w:p>
    <w:p>
      <w:pPr>
        <w:pStyle w:val="BodyText"/>
        <w:spacing w:line="273" w:lineRule="auto" w:before="12"/>
        <w:ind w:left="573" w:right="1116"/>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44" w:lineRule="exact"/>
        <w:ind w:right="0"/>
        <w:jc w:val="both"/>
      </w:pPr>
      <w:r>
        <w:rPr/>
        <w:t>表或我们在审计过程中了解的情况存在重大不一致或者似乎存在重大错报。</w:t>
      </w:r>
    </w:p>
    <w:p>
      <w:pPr>
        <w:pStyle w:val="BodyText"/>
        <w:spacing w:line="272" w:lineRule="exact" w:before="65"/>
        <w:ind w:right="1116" w:firstLine="420"/>
        <w:jc w:val="left"/>
      </w:pPr>
      <w:r>
        <w:rPr>
          <w:spacing w:val="-2"/>
        </w:rPr>
        <w:t>基于我们已执行的工作，如果我们确定其他信息存在重大错报，我们应当报告该事实。在这方面，我</w:t>
      </w:r>
      <w:r>
        <w:rPr>
          <w:w w:val="100"/>
        </w:rPr>
        <w:t> </w:t>
      </w:r>
      <w:r>
        <w:rPr/>
        <w:t>们无任何事项需要报告。</w:t>
      </w:r>
    </w:p>
    <w:p>
      <w:pPr>
        <w:spacing w:after="0" w:line="272" w:lineRule="exact"/>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290" w:lineRule="auto" w:before="36"/>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金运激光管理层负责按照企业会计准则的规定编制财务报表，使其实现公允反映，并设计、执行和维</w:t>
      </w:r>
    </w:p>
    <w:p>
      <w:pPr>
        <w:pStyle w:val="BodyText"/>
        <w:spacing w:line="227" w:lineRule="exact"/>
        <w:ind w:right="1116"/>
        <w:jc w:val="left"/>
      </w:pPr>
      <w:r>
        <w:rPr/>
        <w:t>护必要的内部控制，以使财务报表不存在由于舞弊或错误导致的重大错报。</w:t>
      </w:r>
    </w:p>
    <w:p>
      <w:pPr>
        <w:pStyle w:val="BodyText"/>
        <w:spacing w:line="274" w:lineRule="exact" w:before="37"/>
        <w:ind w:left="573" w:right="998"/>
        <w:jc w:val="left"/>
      </w:pPr>
      <w:r>
        <w:rPr/>
        <w:t>在编制财务报表时，金运激光管理层负责评估金运激光的持续经营能力，披露与持续经营相关的事项</w:t>
      </w:r>
    </w:p>
    <w:p>
      <w:pPr>
        <w:pStyle w:val="BodyText"/>
        <w:spacing w:line="273" w:lineRule="auto"/>
        <w:ind w:left="573" w:right="1116" w:hanging="421"/>
        <w:jc w:val="left"/>
      </w:pPr>
      <w:r>
        <w:rPr>
          <w:spacing w:val="-2"/>
        </w:rPr>
        <w:t>（如适用），并运用持续经营假设，除非管理层计划清算金运激光、终止运营或别无其他现实的选择。</w:t>
      </w:r>
      <w:r>
        <w:rPr>
          <w:spacing w:val="-20"/>
        </w:rPr>
        <w:t> </w:t>
      </w:r>
      <w:r>
        <w:rPr>
          <w:spacing w:val="-20"/>
        </w:rPr>
      </w:r>
      <w:r>
        <w:rPr/>
        <w:t>治理层负责监督金运激光的财务报告过程。</w:t>
      </w:r>
    </w:p>
    <w:p>
      <w:pPr>
        <w:spacing w:line="240" w:lineRule="auto" w:before="1"/>
        <w:rPr>
          <w:rFonts w:ascii="宋体" w:hAnsi="宋体" w:cs="宋体" w:eastAsia="宋体" w:hint="default"/>
          <w:sz w:val="26"/>
          <w:szCs w:val="26"/>
        </w:rPr>
      </w:pPr>
    </w:p>
    <w:p>
      <w:pPr>
        <w:spacing w:line="290" w:lineRule="auto" w:before="0"/>
        <w:ind w:left="573" w:right="1116"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227" w:lineRule="exact"/>
        <w:ind w:right="998"/>
        <w:jc w:val="left"/>
      </w:pPr>
      <w:r>
        <w:rPr/>
        <w:t>审计意见的审计报告。合理保证是高水平的保证，但并不能保证按照审计准则执行的审计在某一重大错报</w:t>
      </w:r>
    </w:p>
    <w:p>
      <w:pPr>
        <w:pStyle w:val="BodyText"/>
        <w:spacing w:line="272" w:lineRule="exact" w:before="27"/>
        <w:ind w:right="1116"/>
        <w:jc w:val="left"/>
      </w:pP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40" w:lineRule="auto" w:before="12"/>
        <w:ind w:right="1116"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232" w:lineRule="auto" w:before="44"/>
        <w:ind w:right="998" w:firstLine="420"/>
        <w:jc w:val="left"/>
      </w:pP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t>假陈述或凌驾于内部控制之上，未能发现由于舞弊导致的重大错报的风险高于未能发现由于错误导致的重</w:t>
      </w:r>
      <w:r>
        <w:rPr>
          <w:w w:val="100"/>
        </w:rPr>
        <w:t> </w:t>
      </w:r>
      <w:r>
        <w:rPr/>
        <w:t>大错报的风险。</w:t>
      </w:r>
    </w:p>
    <w:p>
      <w:pPr>
        <w:pStyle w:val="BodyText"/>
        <w:spacing w:line="240" w:lineRule="auto" w:before="38"/>
        <w:ind w:left="573" w:right="0"/>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23"/>
        <w:ind w:left="573" w:right="1116"/>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before="26"/>
        <w:ind w:right="1126" w:firstLine="420"/>
        <w:jc w:val="both"/>
      </w:pPr>
      <w:r>
        <w:rPr>
          <w:rFonts w:ascii="Times New Roman" w:hAnsi="Times New Roman" w:cs="Times New Roman" w:eastAsia="Times New Roman" w:hint="default"/>
        </w:rPr>
        <w:t>4</w:t>
      </w:r>
      <w:r>
        <w:rPr/>
        <w:t>、对管理层使用持续经营假设的恰当性得出结论。同时，根据获取的审计证据，就可能导致对金运</w:t>
      </w:r>
      <w:r>
        <w:rPr>
          <w:w w:val="100"/>
        </w:rPr>
        <w:t> </w:t>
      </w:r>
      <w:r>
        <w:rPr>
          <w:spacing w:val="-2"/>
        </w:rPr>
        <w:t>激光持续经营能力产生重大疑虑的事项或情况是否存在重大不确定性得出结论。如果我们得出结论认为存</w:t>
      </w:r>
      <w:r>
        <w:rPr>
          <w:spacing w:val="-43"/>
        </w:rPr>
        <w:t> </w:t>
      </w:r>
      <w:r>
        <w:rPr>
          <w:spacing w:val="-43"/>
        </w:rPr>
      </w:r>
      <w:r>
        <w:rPr>
          <w:spacing w:val="-2"/>
        </w:rPr>
        <w:t>在重大不确定性，审计准则要求我们在审计报告中提请报告使用者注意财务报表中的相关披露；如果披露</w:t>
      </w:r>
      <w:r>
        <w:rPr>
          <w:spacing w:val="-43"/>
        </w:rPr>
        <w:t> </w:t>
      </w:r>
      <w:r>
        <w:rPr>
          <w:spacing w:val="-43"/>
        </w:rPr>
      </w:r>
      <w:r>
        <w:rPr>
          <w:spacing w:val="-2"/>
        </w:rPr>
        <w:t>不充分，我们应当发表非无保留意见。我们的结论基于截至审计报告日可获得的信息。然而，未来的事项</w:t>
      </w:r>
      <w:r>
        <w:rPr>
          <w:spacing w:val="-47"/>
        </w:rPr>
        <w:t> </w:t>
      </w:r>
      <w:r>
        <w:rPr>
          <w:spacing w:val="-47"/>
        </w:rPr>
      </w:r>
      <w:r>
        <w:rPr/>
        <w:t>或情况可能导致金运激光不能持续经营。</w:t>
      </w:r>
    </w:p>
    <w:p>
      <w:pPr>
        <w:pStyle w:val="BodyText"/>
        <w:spacing w:line="240" w:lineRule="auto" w:before="37"/>
        <w:ind w:left="573" w:right="1116"/>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272" w:lineRule="exact" w:before="49"/>
        <w:ind w:left="573" w:right="1116"/>
        <w:jc w:val="left"/>
      </w:pPr>
      <w:r>
        <w:rPr>
          <w:rFonts w:ascii="Times New Roman" w:hAnsi="Times New Roman" w:cs="Times New Roman" w:eastAsia="Times New Roman" w:hint="default"/>
        </w:rPr>
        <w:t>6</w:t>
      </w:r>
      <w:r>
        <w:rPr/>
        <w:t>、就金运激光中实体或业务活动的财务信息获取充分、适当的审计证据，以对合并财务报表发表审</w:t>
      </w:r>
      <w:r>
        <w:rPr>
          <w:spacing w:val="-28"/>
        </w:rPr>
        <w:t> </w:t>
      </w:r>
      <w:r>
        <w:rPr>
          <w:spacing w:val="-28"/>
        </w:rPr>
      </w:r>
      <w:r>
        <w:rPr/>
        <w:t>计意见。我们负责指导、监督和执行集团审计，并对审计意见承担全部责任。</w:t>
      </w:r>
    </w:p>
    <w:p>
      <w:pPr>
        <w:pStyle w:val="BodyText"/>
        <w:spacing w:line="272" w:lineRule="exact" w:before="42"/>
        <w:ind w:right="1116"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40" w:lineRule="auto" w:before="12"/>
        <w:ind w:right="1116" w:firstLine="420"/>
        <w:jc w:val="left"/>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237" w:lineRule="auto" w:before="39"/>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6420" w:val="left" w:leader="none"/>
        </w:tabs>
        <w:spacing w:line="240" w:lineRule="auto"/>
        <w:ind w:left="2778" w:right="1116"/>
        <w:jc w:val="left"/>
      </w:pPr>
      <w:r>
        <w:rPr>
          <w:spacing w:val="-2"/>
        </w:rPr>
        <w:t>大华会计师事务所</w:t>
      </w:r>
      <w:r>
        <w:rPr>
          <w:rFonts w:ascii="Times New Roman" w:hAnsi="Times New Roman" w:cs="Times New Roman" w:eastAsia="Times New Roman" w:hint="default"/>
          <w:spacing w:val="-2"/>
        </w:rPr>
        <w:t>(</w:t>
      </w:r>
      <w:r>
        <w:rPr>
          <w:spacing w:val="-2"/>
        </w:rPr>
        <w:t>特殊普通合伙）</w:t>
        <w:tab/>
        <w:t>中国注册会计师</w:t>
      </w:r>
      <w:r>
        <w:rPr>
          <w:rFonts w:ascii="Times New Roman" w:hAnsi="Times New Roman" w:cs="Times New Roman" w:eastAsia="Times New Roman" w:hint="default"/>
          <w:spacing w:val="-2"/>
        </w:rPr>
        <w:t>:</w:t>
      </w:r>
      <w:r>
        <w:rPr>
          <w:spacing w:val="-2"/>
        </w:rPr>
        <w:t>（项目合伙人）</w:t>
      </w:r>
    </w:p>
    <w:p>
      <w:pPr>
        <w:pStyle w:val="BodyText"/>
        <w:tabs>
          <w:tab w:pos="7752" w:val="left" w:leader="none"/>
        </w:tabs>
        <w:spacing w:line="516" w:lineRule="auto" w:before="21"/>
        <w:ind w:left="5719" w:right="1641" w:hanging="454"/>
        <w:jc w:val="left"/>
      </w:pPr>
      <w:r>
        <w:rPr>
          <w:spacing w:val="-2"/>
        </w:rPr>
        <w:t>中国</w:t>
      </w:r>
      <w:r>
        <w:rPr>
          <w:rFonts w:ascii="Times New Roman" w:hAnsi="Times New Roman" w:cs="Times New Roman" w:eastAsia="Times New Roman" w:hint="default"/>
          <w:b/>
          <w:bCs/>
          <w:spacing w:val="-2"/>
        </w:rPr>
        <w:t>·</w:t>
      </w:r>
      <w:r>
        <w:rPr>
          <w:spacing w:val="-2"/>
        </w:rPr>
        <w:t>北京</w:t>
        <w:tab/>
        <w:t>中国注册会计师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7"/>
        </w:rPr>
        <w:t> </w:t>
      </w:r>
      <w:r>
        <w:rPr/>
        <w:t>二〇二〇年五月十一日</w:t>
      </w:r>
    </w:p>
    <w:p>
      <w:pPr>
        <w:spacing w:after="0" w:line="516"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spacing w:line="511" w:lineRule="auto" w:before="26"/>
        <w:ind w:left="152" w:right="7364"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511" w:lineRule="auto"/>
        <w:jc w:val="left"/>
        <w:rPr>
          <w:rFonts w:ascii="宋体" w:hAnsi="宋体" w:cs="宋体" w:eastAsia="宋体" w:hint="default"/>
          <w:sz w:val="21"/>
          <w:szCs w:val="21"/>
        </w:rPr>
        <w:sectPr>
          <w:pgSz w:w="11910" w:h="16840"/>
          <w:pgMar w:header="745" w:footer="979" w:top="1060" w:bottom="1160" w:left="980" w:right="0"/>
        </w:sectPr>
      </w:pPr>
    </w:p>
    <w:p>
      <w:pPr>
        <w:pStyle w:val="BodyText"/>
        <w:spacing w:line="240" w:lineRule="auto" w:before="61"/>
        <w:ind w:right="0"/>
        <w:jc w:val="left"/>
      </w:pPr>
      <w:r>
        <w:rPr>
          <w:spacing w:val="-2"/>
        </w:rPr>
        <w:t>编制单位：武汉金运激光股份有限公司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5"/>
          <w:szCs w:val="15"/>
        </w:rPr>
      </w:pPr>
    </w:p>
    <w:p>
      <w:pPr>
        <w:spacing w:before="0"/>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727" w:space="349"/>
            <w:col w:w="1642" w:space="3202"/>
            <w:col w:w="2010"/>
          </w:cols>
        </w:sectPr>
      </w:pP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90,584,738.82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80,019,990.36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40,437,585.00</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23,479,957.90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3,066,379.33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4,484,150.76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8,214,770.63</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6,621,077.51</w:t>
            </w: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73,525,381.57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86,219,676.70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767,340.72</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2,597,515.04</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225,850,196.07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211,771,788.79</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8"/>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187,272.00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31,269,752.67</w:t>
            </w: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74,997,117.07</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77,725,415.19</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202,977.68</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10,926,009.96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11,379,297.38</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441,168.78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522,111.44</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676,940.37</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16,909,610.33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13,963,347.02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21,877,572.26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38,658,743.56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156,802,173.73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143,535,161.98</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382,652,369.80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355,306,950.77</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25,017,525.50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15,633,491.12</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30,128,225.81</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26,753,562.53</w:t>
            </w: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18,218,699.22</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24,267,788.33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8"/>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7,194,986.44</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6,488,525.96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1,657,745.66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1,699,437.54</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4,715,000.61</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4,776,981.48</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27,912.50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24,650.00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108,932,183.24</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96,619,786.96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1,026,459.00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1,050,828.01</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1,026,459.00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1,050,828.01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109,958,642.24</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97,670,614.97</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85,222,850.09</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85,222,850.09</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270,396.79</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265,291.36</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14,311,069.14</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11,598,381.40</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39,182,471.98</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27,518,919.06</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264,986,788.00</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250,605,441.91</w:t>
            </w:r>
          </w:p>
        </w:tc>
      </w:tr>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7,706,939.56</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7,030,893.89</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272,693,727.56</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257,636,335.80</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382,652,369.80</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355,306,950.77</w:t>
            </w:r>
          </w:p>
        </w:tc>
      </w:tr>
    </w:tbl>
    <w:p>
      <w:pPr>
        <w:spacing w:line="240" w:lineRule="auto" w:before="10"/>
        <w:rPr>
          <w:rFonts w:ascii="Times New Roman" w:hAnsi="Times New Roman" w:cs="Times New Roman" w:eastAsia="Times New Roman" w:hint="default"/>
          <w:sz w:val="21"/>
          <w:szCs w:val="21"/>
        </w:rPr>
      </w:pPr>
    </w:p>
    <w:p>
      <w:pPr>
        <w:pStyle w:val="BodyText"/>
        <w:tabs>
          <w:tab w:pos="3199" w:val="left" w:leader="none"/>
          <w:tab w:pos="7294" w:val="left" w:leader="none"/>
        </w:tabs>
        <w:spacing w:line="240" w:lineRule="auto" w:before="36"/>
        <w:ind w:right="1116"/>
        <w:jc w:val="left"/>
      </w:pPr>
      <w:r>
        <w:rPr>
          <w:spacing w:val="-2"/>
        </w:rPr>
        <w:t>法定代表人：梁萍</w:t>
        <w:tab/>
        <w:t>主管会计工作负责人：廖琨</w:t>
        <w:tab/>
        <w:t>会计机构负责人：吴学林</w:t>
      </w:r>
    </w:p>
    <w:p>
      <w:pPr>
        <w:spacing w:line="240" w:lineRule="auto" w:before="8"/>
        <w:rPr>
          <w:rFonts w:ascii="宋体" w:hAnsi="宋体" w:cs="宋体" w:eastAsia="宋体" w:hint="default"/>
          <w:sz w:val="25"/>
          <w:szCs w:val="25"/>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9"/>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82,644,340.27</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73,837,565.86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69,622,844.45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42,325,622.24</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10,498,120.15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8,928,985.92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49,226,704.85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28,790,663.38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12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12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34,307,349.89</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42,446,655.90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8"/>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45,606.45</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42,727.50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246,904,966.06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196,414,220.80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23,741,043.32</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23,741,043.32</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29,484,098.97</w:t>
            </w: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69,655,637.83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72,046,357.78</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6,535,631.03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6,249,155.54</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522,111.44</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604,571.23</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9,409,867.71</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9,447,557.13</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21,877,572.26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36,873,089.86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161,225,962.56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148,961,774.86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408,130,928.62</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345,375,995.66</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25,310,525.50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17,648,306.12</w:t>
            </w:r>
          </w:p>
        </w:tc>
      </w:tr>
      <w:tr>
        <w:trPr>
          <w:trHeight w:val="404"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16,833,558.26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11,295,467.07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2"/>
        <w:gridCol w:w="3311"/>
        <w:gridCol w:w="3288"/>
      </w:tblGrid>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15,031,662.53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15,893,315.22</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2,474,203.00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2,819,180.74</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746,739.14</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846,965.05</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20,478,025.00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963,054.68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27,912.50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24,650.00</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102,874,713.43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66,466,288.88</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1,026,459.00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1,050,828.01</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1,026,459.00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1,050,828.01</w:t>
            </w: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103,901,172.43</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67,517,116.89</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83,631,541.26</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83,631,541.26</w:t>
            </w: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14,311,069.14</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11,598,381.40</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80,287,145.79</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56,628,956.11</w:t>
            </w:r>
          </w:p>
        </w:tc>
      </w:tr>
      <w:tr>
        <w:trPr>
          <w:trHeight w:val="401"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304,229,756.19</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277,858,878.77</w:t>
            </w:r>
          </w:p>
        </w:tc>
      </w:tr>
      <w:tr>
        <w:trPr>
          <w:trHeight w:val="403"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408,130,928.62</w:t>
            </w:r>
          </w:p>
        </w:tc>
        <w:tc>
          <w:tcPr>
            <w:tcW w:w="3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345,375,995.66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370"/>
        <w:gridCol w:w="2848"/>
        <w:gridCol w:w="2324"/>
      </w:tblGrid>
      <w:tr>
        <w:trPr>
          <w:trHeight w:val="403"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219,301,161.94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212,787,605.82</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219,301,161.94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212,787,605.82</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201,358,548.08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200,181,861.69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136,069,759.30</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141,671,981.81</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1,783,708.01</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1,559,100.89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31,862,078.18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28,857,675.65</w:t>
            </w:r>
          </w:p>
        </w:tc>
      </w:tr>
      <w:tr>
        <w:trPr>
          <w:trHeight w:val="403"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18,610,549.13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17,450,444.47</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14,730,884.48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12,369,532.45</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-1,698,431.02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-1,726,873.58</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09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913,048.75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501,537.42</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73"/>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color w:val="111F2C"/>
                <w:spacing w:val="-1"/>
                <w:sz w:val="17"/>
              </w:rPr>
              <w:t>1,783,089.44</w:t>
            </w:r>
            <w:r>
              <w:rPr>
                <w:rFonts w:ascii="Times New Roman"/>
                <w:spacing w:val="-1"/>
                <w:sz w:val="17"/>
              </w:rPr>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259,097.07</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1,931,874.13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1,217,331.31</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-613,735.57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-429,767.77</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-680,259.44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-441,336.95</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4370"/>
        <w:gridCol w:w="2848"/>
        <w:gridCol w:w="2324"/>
      </w:tblGrid>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1,947,732.35</w:t>
            </w: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-5,132,319.94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-3,575,496.49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-11,768.52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-37,268.35</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16,064,396.31</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9,780,542.83</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418,912.75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233,440.47</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56,469.48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53,251.89</w:t>
            </w:r>
          </w:p>
        </w:tc>
      </w:tr>
      <w:tr>
        <w:trPr>
          <w:trHeight w:val="403"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16,426,839.58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9,960,731.41</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618,553.25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2,113,870.72</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15,808,286.33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7,846,860.69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15,808,286.33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7,846,860.69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15,132,240.66</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7,142,042.20</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676,045.67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704,818.49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5,105.43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4,434.20</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5,105.43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4,434.20</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5,105.43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4,434.20</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4370"/>
        <w:gridCol w:w="2848"/>
        <w:gridCol w:w="2324"/>
      </w:tblGrid>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5,105.43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4,434.20</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848"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15,813,391.76</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7,851,294.89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15,137,346.09</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7,146,476.40</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676,045.67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704,818.49</w:t>
            </w: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0.1201</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0.0600</w:t>
            </w:r>
          </w:p>
        </w:tc>
      </w:tr>
      <w:tr>
        <w:trPr>
          <w:trHeight w:val="404" w:hRule="exact"/>
        </w:trPr>
        <w:tc>
          <w:tcPr>
            <w:tcW w:w="4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0.1201</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0.0600</w:t>
            </w:r>
          </w:p>
        </w:tc>
      </w:tr>
    </w:tbl>
    <w:p>
      <w:pPr>
        <w:spacing w:line="240" w:lineRule="auto" w:before="10"/>
        <w:rPr>
          <w:rFonts w:ascii="Times New Roman" w:hAnsi="Times New Roman" w:cs="Times New Roman" w:eastAsia="Times New Roman" w:hint="default"/>
          <w:sz w:val="21"/>
          <w:szCs w:val="21"/>
        </w:rPr>
      </w:pPr>
    </w:p>
    <w:p>
      <w:pPr>
        <w:pStyle w:val="BodyText"/>
        <w:tabs>
          <w:tab w:pos="3297" w:val="left" w:leader="none"/>
          <w:tab w:pos="7488" w:val="left" w:leader="none"/>
        </w:tabs>
        <w:spacing w:line="240" w:lineRule="auto" w:before="36"/>
        <w:ind w:right="998"/>
        <w:jc w:val="left"/>
      </w:pPr>
      <w:r>
        <w:rPr>
          <w:spacing w:val="-2"/>
        </w:rPr>
        <w:t>法定代表人：梁萍</w:t>
        <w:tab/>
      </w:r>
      <w:r>
        <w:rPr>
          <w:spacing w:val="-3"/>
        </w:rPr>
        <w:t>主管会计工作负责人：廖琨</w:t>
        <w:tab/>
      </w:r>
      <w:r>
        <w:rPr>
          <w:spacing w:val="-2"/>
        </w:rPr>
        <w:t>会计机构负责人：吴学林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1"/>
        <w:ind w:right="111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95"/>
        <w:gridCol w:w="2423"/>
        <w:gridCol w:w="2324"/>
      </w:tblGrid>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168,771,802.58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137,191,224.78</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103,991,038.97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86,439,882.58</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1,388,320.52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1,200,655.48</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17,244,031.75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14,699,440.07</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11,164,378.35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11,423,007.17</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5,353,264.00</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5,955,955.73</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-1,706,688.43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-1,605,044.31</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913,048.75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501,537.42</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1,769,298.33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120,028.59</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1,157,072.29</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1,197,751.31</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-680,259.44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-336,223.41</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81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-680,259.44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-444,222.40</w:t>
            </w:r>
          </w:p>
        </w:tc>
      </w:tr>
      <w:tr>
        <w:trPr>
          <w:trHeight w:val="714"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0"/>
              <w:ind w:left="14" w:right="9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 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right="834"/>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1,206,760.77</w:t>
            </w: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-2,582,778.17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-1,662,565.12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4795"/>
        <w:gridCol w:w="2423"/>
        <w:gridCol w:w="2324"/>
      </w:tblGrid>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-18,527.93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-37,268.35</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30,419,724.94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18,239,022.49</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348,909.32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133,346.42</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41,311.52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52,982.05</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30,727,322.74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18,319,386.86</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3,600,445.32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2,193,918.72</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27,126,877.42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27,126,877.42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w:t>
            </w:r>
          </w:p>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27,126,877.42</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Heading3"/>
        <w:spacing w:line="240" w:lineRule="auto" w:before="36"/>
        <w:ind w:right="111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229"/>
        <w:gridCol w:w="2704"/>
        <w:gridCol w:w="2609"/>
      </w:tblGrid>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60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0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217,553,148.81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188,901,248.89</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9,203,363.15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10,041,185.31</w:t>
            </w: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6,230,785.26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5,117,630.42</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232,987,297.22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204,060,064.62</w:t>
            </w: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127,221,208.36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106,171,824.92</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146"/>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35,737,615.33</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33,269,828.77</w:t>
            </w: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9,962,493.59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6,409,024.89</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34,969,824.81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28,506,389.03</w:t>
            </w: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207,891,142.09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174,357,067.61</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25,096,155.13</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29,702,997.01</w:t>
            </w:r>
          </w:p>
        </w:tc>
      </w:tr>
      <w:tr>
        <w:trPr>
          <w:trHeight w:val="401"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0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4"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76,127,074.13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4229"/>
        <w:gridCol w:w="2704"/>
        <w:gridCol w:w="2609"/>
      </w:tblGrid>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2,469,471.72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4,580,284.11</w:t>
            </w:r>
          </w:p>
        </w:tc>
      </w:tr>
      <w:tr>
        <w:trPr>
          <w:trHeight w:val="714"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0"/>
              <w:ind w:left="14" w:right="6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27,012.63</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515,610.67</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7,334,971.72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81,249,981.54</w:t>
            </w:r>
          </w:p>
        </w:tc>
      </w:tr>
      <w:tr>
        <w:trPr>
          <w:trHeight w:val="714"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21,114,261.05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7,340,451.86</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79,400,000.00</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25,434,261.05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86,740,451.86</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-18,099,289.33</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-5,490,470.32</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09"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1,908,786.25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1,195,887.51</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2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04" w:type="dxa"/>
            <w:tcBorders>
              <w:top w:val="single" w:sz="4" w:space="0" w:color="000000"/>
              <w:left w:val="single" w:sz="12" w:space="0" w:color="D2D2D2"/>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5,890,418.40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26,310,353.50</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24,799,204.65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47,506,241.01</w:t>
            </w:r>
          </w:p>
        </w:tc>
      </w:tr>
      <w:tr>
        <w:trPr>
          <w:trHeight w:val="403"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-2,799,204.65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-30,506,241.01</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476,668.91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1,593,403.42</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4,674,330.06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-4,700,310.90</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51,243,802.86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55,944,113.76</w:t>
            </w:r>
          </w:p>
        </w:tc>
      </w:tr>
      <w:tr>
        <w:trPr>
          <w:trHeight w:val="402" w:hRule="exact"/>
        </w:trPr>
        <w:tc>
          <w:tcPr>
            <w:tcW w:w="42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55,918,132.92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51,243,802.86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Heading3"/>
        <w:spacing w:line="240" w:lineRule="auto"/>
        <w:ind w:right="111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95"/>
        <w:gridCol w:w="2423"/>
        <w:gridCol w:w="2324"/>
      </w:tblGrid>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145,798,741.47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131,583,139.74</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9,203,363.15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10,014,023.88</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3,899,369.99</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1,767,812.88</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158,901,474.61</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143,364,976.50</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94,653,281.97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79,176,185.36</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17,580,376.43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17,837,328.48</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6,321,587.53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3,856,857.23</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17,165,984.41</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15,864,889.13</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135,721,230.34</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116,735,260.20</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23,180,244.27</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26,629,716.30</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75,800,000.00</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2,410,675.85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4,580,284.11</w:t>
            </w:r>
          </w:p>
        </w:tc>
      </w:tr>
      <w:tr>
        <w:trPr>
          <w:trHeight w:val="71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2,560,675.85</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81,010,284.11</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20,469,063.73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5,496,336.78</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75,800,000.00</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20,469,063.73</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81,546,336.78</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-17,908,387.88</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-536,052.67</w:t>
            </w: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4"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2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20"/>
        <w:gridCol w:w="2412"/>
        <w:gridCol w:w="2338"/>
      </w:tblGrid>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89"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1,908,786.25</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1,195,887.51</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5,890,418.40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25,703,075.50</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24,799,204.65</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46,898,963.01</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-2,799,204.65</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-29,898,963.01</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443,704.27</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1,597,837.62</w:t>
            </w:r>
          </w:p>
        </w:tc>
      </w:tr>
      <w:tr>
        <w:trPr>
          <w:trHeight w:val="403"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2,916,356.01</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-2,207,461.76</w:t>
            </w:r>
          </w:p>
        </w:tc>
      </w:tr>
      <w:tr>
        <w:trPr>
          <w:trHeight w:val="402"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89"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45,061,378.36</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47,268,840.12</w:t>
            </w:r>
          </w:p>
        </w:tc>
      </w:tr>
      <w:tr>
        <w:trPr>
          <w:trHeight w:val="403" w:hRule="exact"/>
        </w:trPr>
        <w:tc>
          <w:tcPr>
            <w:tcW w:w="482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47,977,734.37</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45,061,378.36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14"/>
          <w:footerReference w:type="default" r:id="rId15"/>
          <w:pgSz w:w="16840" w:h="11910" w:orient="landscape"/>
          <w:pgMar w:header="867" w:footer="980" w:top="1060" w:bottom="1160" w:left="1300" w:right="1300"/>
          <w:pgNumType w:start="67"/>
        </w:sectPr>
      </w:pPr>
    </w:p>
    <w:p>
      <w:pPr>
        <w:pStyle w:val="BodyText"/>
        <w:spacing w:line="240" w:lineRule="auto" w:before="36"/>
        <w:ind w:left="140" w:right="-14"/>
        <w:jc w:val="left"/>
      </w:pPr>
      <w:r>
        <w:rPr>
          <w:spacing w:val="-1"/>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00" w:right="1300"/>
          <w:cols w:num="2" w:equalWidth="0">
            <w:col w:w="983" w:space="12159"/>
            <w:col w:w="1098"/>
          </w:cols>
        </w:sectPr>
      </w:pP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564"/>
        <w:gridCol w:w="1194"/>
        <w:gridCol w:w="437"/>
        <w:gridCol w:w="437"/>
        <w:gridCol w:w="439"/>
        <w:gridCol w:w="1092"/>
        <w:gridCol w:w="607"/>
        <w:gridCol w:w="866"/>
        <w:gridCol w:w="608"/>
        <w:gridCol w:w="1085"/>
        <w:gridCol w:w="610"/>
        <w:gridCol w:w="1093"/>
        <w:gridCol w:w="607"/>
        <w:gridCol w:w="1181"/>
        <w:gridCol w:w="1001"/>
        <w:gridCol w:w="1169"/>
      </w:tblGrid>
      <w:tr>
        <w:trPr>
          <w:trHeight w:val="402" w:hRule="exact"/>
        </w:trPr>
        <w:tc>
          <w:tcPr>
            <w:tcW w:w="1564" w:type="dxa"/>
            <w:vMerge w:val="restart"/>
            <w:tcBorders>
              <w:top w:val="single" w:sz="4" w:space="0" w:color="000000"/>
              <w:left w:val="nil" w:sz="6" w:space="0" w:color="auto"/>
              <w:right w:val="single" w:sz="4" w:space="0" w:color="000000"/>
            </w:tcBorders>
            <w:shd w:val="clear" w:color="auto" w:fill="D2D2D2"/>
          </w:tcPr>
          <w:p>
            <w:pPr/>
          </w:p>
        </w:tc>
        <w:tc>
          <w:tcPr>
            <w:tcW w:w="12426" w:type="dxa"/>
            <w:gridSpan w:val="1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564" w:type="dxa"/>
            <w:vMerge/>
            <w:tcBorders>
              <w:left w:val="nil" w:sz="6" w:space="0" w:color="auto"/>
              <w:bottom w:val="nil" w:sz="6" w:space="0" w:color="auto"/>
              <w:right w:val="single" w:sz="4" w:space="0" w:color="000000"/>
            </w:tcBorders>
            <w:shd w:val="clear" w:color="auto" w:fill="D2D2D2"/>
          </w:tcPr>
          <w:p>
            <w:pPr/>
          </w:p>
        </w:tc>
        <w:tc>
          <w:tcPr>
            <w:tcW w:w="1025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9"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205" w:hRule="exact"/>
        </w:trPr>
        <w:tc>
          <w:tcPr>
            <w:tcW w:w="156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3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60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607"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69" w:type="dxa"/>
            <w:vMerge w:val="restart"/>
            <w:tcBorders>
              <w:top w:val="nil" w:sz="6" w:space="0" w:color="auto"/>
              <w:left w:val="single" w:sz="4" w:space="0" w:color="000000"/>
              <w:right w:val="nil" w:sz="6" w:space="0" w:color="auto"/>
            </w:tcBorders>
            <w:shd w:val="clear" w:color="auto" w:fill="D2D2D2"/>
          </w:tcPr>
          <w:p>
            <w:pPr>
              <w:pStyle w:val="TableParagraph"/>
              <w:spacing w:line="316" w:lineRule="auto" w:before="55"/>
              <w:ind w:left="497" w:right="36"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4" w:hRule="exact"/>
        </w:trPr>
        <w:tc>
          <w:tcPr>
            <w:tcW w:w="1564" w:type="dxa"/>
            <w:vMerge/>
            <w:tcBorders>
              <w:left w:val="nil" w:sz="6" w:space="0" w:color="auto"/>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313" w:type="dxa"/>
            <w:gridSpan w:val="3"/>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6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7" w:right="29"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06" w:right="29"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85" w:type="dxa"/>
            <w:vMerge/>
            <w:tcBorders>
              <w:left w:val="single" w:sz="4" w:space="0" w:color="000000"/>
              <w:bottom w:val="nil" w:sz="6" w:space="0" w:color="auto"/>
              <w:right w:val="single" w:sz="4" w:space="0" w:color="000000"/>
            </w:tcBorders>
            <w:shd w:val="clear" w:color="auto" w:fill="D2D2D2"/>
          </w:tcPr>
          <w:p>
            <w:pPr/>
          </w:p>
        </w:tc>
        <w:tc>
          <w:tcPr>
            <w:tcW w:w="6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8" w:right="2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93" w:type="dxa"/>
            <w:vMerge/>
            <w:tcBorders>
              <w:left w:val="single" w:sz="4" w:space="0" w:color="000000"/>
              <w:bottom w:val="nil" w:sz="6" w:space="0" w:color="auto"/>
              <w:right w:val="single" w:sz="4" w:space="0" w:color="000000"/>
            </w:tcBorders>
            <w:shd w:val="clear" w:color="auto" w:fill="D2D2D2"/>
          </w:tcPr>
          <w:p>
            <w:pPr/>
          </w:p>
        </w:tc>
        <w:tc>
          <w:tcPr>
            <w:tcW w:w="60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nil" w:sz="6" w:space="0" w:color="auto"/>
            </w:tcBorders>
            <w:shd w:val="clear" w:color="auto" w:fill="D2D2D2"/>
          </w:tcPr>
          <w:p>
            <w:pPr/>
          </w:p>
        </w:tc>
      </w:tr>
      <w:tr>
        <w:trPr>
          <w:trHeight w:val="203" w:hRule="exact"/>
        </w:trPr>
        <w:tc>
          <w:tcPr>
            <w:tcW w:w="1564" w:type="dxa"/>
            <w:vMerge w:val="restart"/>
            <w:tcBorders>
              <w:top w:val="nil" w:sz="6" w:space="0" w:color="auto"/>
              <w:left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3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34"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7"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608"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0" w:type="dxa"/>
            <w:vMerge/>
            <w:tcBorders>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01"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nil" w:sz="6" w:space="0" w:color="auto"/>
            </w:tcBorders>
            <w:shd w:val="clear" w:color="auto" w:fill="D2D2D2"/>
          </w:tcPr>
          <w:p>
            <w:pPr/>
          </w:p>
        </w:tc>
      </w:tr>
      <w:tr>
        <w:trPr>
          <w:trHeight w:val="181" w:hRule="exact"/>
        </w:trPr>
        <w:tc>
          <w:tcPr>
            <w:tcW w:w="1564" w:type="dxa"/>
            <w:vMerge/>
            <w:tcBorders>
              <w:left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nil" w:sz="6" w:space="0" w:color="auto"/>
              <w:right w:val="single" w:sz="4" w:space="0" w:color="000000"/>
            </w:tcBorders>
            <w:shd w:val="clear" w:color="auto" w:fill="D2D2D2"/>
          </w:tcPr>
          <w:p>
            <w:pPr/>
          </w:p>
        </w:tc>
        <w:tc>
          <w:tcPr>
            <w:tcW w:w="607"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608"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bottom w:val="single" w:sz="18" w:space="0" w:color="FFFFFF"/>
              <w:right w:val="single" w:sz="4" w:space="0" w:color="000000"/>
            </w:tcBorders>
            <w:shd w:val="clear" w:color="auto" w:fill="D2D2D2"/>
          </w:tcPr>
          <w:p>
            <w:pPr/>
          </w:p>
        </w:tc>
        <w:tc>
          <w:tcPr>
            <w:tcW w:w="607" w:type="dxa"/>
            <w:vMerge/>
            <w:tcBorders>
              <w:left w:val="single" w:sz="4" w:space="0" w:color="000000"/>
              <w:bottom w:val="single" w:sz="18" w:space="0" w:color="FFFFFF"/>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01" w:type="dxa"/>
            <w:vMerge/>
            <w:tcBorders>
              <w:left w:val="single" w:sz="4" w:space="0" w:color="000000"/>
              <w:bottom w:val="single" w:sz="18" w:space="0" w:color="FFFFFF"/>
              <w:right w:val="single" w:sz="4" w:space="0" w:color="000000"/>
            </w:tcBorders>
            <w:shd w:val="clear" w:color="auto" w:fill="D2D2D2"/>
          </w:tcPr>
          <w:p>
            <w:pPr/>
          </w:p>
        </w:tc>
        <w:tc>
          <w:tcPr>
            <w:tcW w:w="1169" w:type="dxa"/>
            <w:vMerge/>
            <w:tcBorders>
              <w:left w:val="single" w:sz="4" w:space="0" w:color="000000"/>
              <w:bottom w:val="single" w:sz="18" w:space="0" w:color="FFFFFF"/>
              <w:right w:val="nil" w:sz="6" w:space="0" w:color="auto"/>
            </w:tcBorders>
            <w:shd w:val="clear" w:color="auto" w:fill="D2D2D2"/>
          </w:tcPr>
          <w:p>
            <w:pPr/>
          </w:p>
        </w:tc>
      </w:tr>
      <w:tr>
        <w:trPr>
          <w:trHeight w:val="180" w:hRule="exact"/>
        </w:trPr>
        <w:tc>
          <w:tcPr>
            <w:tcW w:w="1564" w:type="dxa"/>
            <w:vMerge/>
            <w:tcBorders>
              <w:left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39"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607"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608"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610" w:type="dxa"/>
            <w:vMerge/>
            <w:tcBorders>
              <w:left w:val="single" w:sz="4" w:space="0" w:color="000000"/>
              <w:bottom w:val="nil" w:sz="6" w:space="0" w:color="auto"/>
              <w:right w:val="single" w:sz="4" w:space="0" w:color="000000"/>
            </w:tcBorders>
            <w:shd w:val="clear" w:color="auto" w:fill="D2D2D2"/>
          </w:tcPr>
          <w:p>
            <w:pPr/>
          </w:p>
        </w:tc>
        <w:tc>
          <w:tcPr>
            <w:tcW w:w="1093" w:type="dxa"/>
            <w:vMerge w:val="restart"/>
            <w:tcBorders>
              <w:top w:val="single" w:sz="18" w:space="0" w:color="FFFFFF"/>
              <w:left w:val="single" w:sz="4" w:space="0" w:color="000000"/>
              <w:right w:val="single" w:sz="4" w:space="0" w:color="000000"/>
            </w:tcBorders>
            <w:shd w:val="clear" w:color="auto" w:fill="D2D2D2"/>
          </w:tcPr>
          <w:p>
            <w:pPr/>
          </w:p>
        </w:tc>
        <w:tc>
          <w:tcPr>
            <w:tcW w:w="607" w:type="dxa"/>
            <w:vMerge w:val="restart"/>
            <w:tcBorders>
              <w:top w:val="single" w:sz="18" w:space="0" w:color="FFFFFF"/>
              <w:left w:val="single" w:sz="4" w:space="0" w:color="000000"/>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01" w:type="dxa"/>
            <w:vMerge w:val="restart"/>
            <w:tcBorders>
              <w:top w:val="single" w:sz="18" w:space="0" w:color="FFFFFF"/>
              <w:left w:val="single" w:sz="4" w:space="0" w:color="000000"/>
              <w:right w:val="single" w:sz="4" w:space="0" w:color="000000"/>
            </w:tcBorders>
            <w:shd w:val="clear" w:color="auto" w:fill="D2D2D2"/>
          </w:tcPr>
          <w:p>
            <w:pPr/>
          </w:p>
        </w:tc>
        <w:tc>
          <w:tcPr>
            <w:tcW w:w="1169" w:type="dxa"/>
            <w:vMerge w:val="restart"/>
            <w:tcBorders>
              <w:top w:val="single" w:sz="18" w:space="0" w:color="FFFFFF"/>
              <w:left w:val="single" w:sz="4" w:space="0" w:color="000000"/>
              <w:right w:val="nil" w:sz="6" w:space="0" w:color="auto"/>
            </w:tcBorders>
            <w:shd w:val="clear" w:color="auto" w:fill="D2D2D2"/>
          </w:tcPr>
          <w:p>
            <w:pPr/>
          </w:p>
        </w:tc>
      </w:tr>
      <w:tr>
        <w:trPr>
          <w:trHeight w:val="193" w:hRule="exact"/>
        </w:trPr>
        <w:tc>
          <w:tcPr>
            <w:tcW w:w="1564" w:type="dxa"/>
            <w:vMerge/>
            <w:tcBorders>
              <w:left w:val="nil" w:sz="6" w:space="0" w:color="auto"/>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437" w:type="dxa"/>
            <w:vMerge/>
            <w:tcBorders>
              <w:left w:val="single" w:sz="4" w:space="0" w:color="000000"/>
              <w:bottom w:val="single" w:sz="4" w:space="0" w:color="000000"/>
              <w:right w:val="single" w:sz="4" w:space="0" w:color="000000"/>
            </w:tcBorders>
            <w:shd w:val="clear" w:color="auto" w:fill="D2D2D2"/>
          </w:tcPr>
          <w:p>
            <w:pPr/>
          </w:p>
        </w:tc>
        <w:tc>
          <w:tcPr>
            <w:tcW w:w="437" w:type="dxa"/>
            <w:vMerge/>
            <w:tcBorders>
              <w:left w:val="single" w:sz="4" w:space="0" w:color="000000"/>
              <w:bottom w:val="single" w:sz="4" w:space="0" w:color="000000"/>
              <w:right w:val="single" w:sz="4" w:space="0" w:color="000000"/>
            </w:tcBorders>
            <w:shd w:val="clear" w:color="auto" w:fill="D2D2D2"/>
          </w:tcPr>
          <w:p>
            <w:pPr/>
          </w:p>
        </w:tc>
        <w:tc>
          <w:tcPr>
            <w:tcW w:w="4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0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85,222,850.09</w:t>
            </w: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265,291.36</w:t>
            </w: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11,598,381.40</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27,518,919.06</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250,605,441.91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7,030,893.89</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257,636,335.80</w:t>
            </w:r>
          </w:p>
        </w:tc>
      </w:tr>
      <w:tr>
        <w:trPr>
          <w:trHeight w:val="713"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7"/>
                <w:sz w:val="18"/>
                <w:szCs w:val="18"/>
              </w:rPr>
              <w:t>：</w:t>
            </w:r>
            <w:r>
              <w:rPr>
                <w:rFonts w:ascii="宋体" w:hAnsi="宋体" w:cs="宋体" w:eastAsia="宋体" w:hint="default"/>
                <w:sz w:val="18"/>
                <w:szCs w:val="18"/>
              </w:rPr>
              <w:t>会计政策变</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02"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85,222,850.09</w:t>
            </w: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265,291.36</w:t>
            </w: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11,598,381.40</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27,518,919.06</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250,605,441.91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7,030,893.89</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257,636,335.80</w:t>
            </w:r>
          </w:p>
        </w:tc>
      </w:tr>
      <w:tr>
        <w:trPr>
          <w:trHeight w:val="1027"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7" w:lineRule="auto" w:before="51"/>
              <w:ind w:left="14" w:right="9"/>
              <w:jc w:val="both"/>
              <w:rPr>
                <w:rFonts w:ascii="宋体" w:hAnsi="宋体" w:cs="宋体" w:eastAsia="宋体" w:hint="default"/>
                <w:sz w:val="18"/>
                <w:szCs w:val="18"/>
              </w:rPr>
            </w:pPr>
            <w:r>
              <w:rPr>
                <w:rFonts w:ascii="宋体" w:hAnsi="宋体" w:cs="宋体" w:eastAsia="宋体" w:hint="default"/>
                <w:spacing w:val="-10"/>
                <w:sz w:val="18"/>
                <w:szCs w:val="18"/>
              </w:rPr>
              <w:t>三、本期增减变动金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5,105.43</w:t>
            </w: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2,712,687.74</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11,663,552.92</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14,381,346.09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676,045.67</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15,057,391.76</w:t>
            </w:r>
          </w:p>
        </w:tc>
      </w:tr>
      <w:tr>
        <w:trPr>
          <w:trHeight w:val="401"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7"/>
                <w:sz w:val="18"/>
                <w:szCs w:val="18"/>
              </w:rPr>
              <w:t>）</w:t>
            </w:r>
            <w:r>
              <w:rPr>
                <w:rFonts w:ascii="宋体" w:hAnsi="宋体" w:cs="宋体" w:eastAsia="宋体" w:hint="default"/>
                <w:sz w:val="18"/>
                <w:szCs w:val="18"/>
              </w:rPr>
              <w:t>综合收益总额</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5,105.43</w:t>
            </w: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15,132,240.66</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15,137,346.09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676,045.67</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15,813,391.76</w:t>
            </w:r>
          </w:p>
        </w:tc>
      </w:tr>
      <w:tr>
        <w:trPr>
          <w:trHeight w:val="715"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9"/>
              <w:jc w:val="left"/>
              <w:rPr>
                <w:rFonts w:ascii="宋体" w:hAnsi="宋体" w:cs="宋体" w:eastAsia="宋体" w:hint="default"/>
                <w:sz w:val="18"/>
                <w:szCs w:val="18"/>
              </w:rPr>
            </w:pPr>
            <w:r>
              <w:rPr>
                <w:rFonts w:ascii="宋体" w:hAnsi="宋体" w:cs="宋体" w:eastAsia="宋体" w:hint="default"/>
                <w:spacing w:val="-10"/>
                <w:sz w:val="18"/>
                <w:szCs w:val="18"/>
              </w:rPr>
              <w:t>（二）所有者投入和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减少资本</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1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 通股</w:t>
            </w:r>
          </w:p>
        </w:tc>
        <w:tc>
          <w:tcPr>
            <w:tcW w:w="1194" w:type="dxa"/>
            <w:tcBorders>
              <w:top w:val="single" w:sz="4" w:space="0" w:color="000000"/>
              <w:left w:val="single" w:sz="9" w:space="0" w:color="D2D2D2"/>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6840" w:h="11910" w:orient="landscape"/>
          <w:pgMar w:top="1060" w:bottom="1160" w:left="1300" w:right="130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89"/>
        <w:gridCol w:w="1183"/>
        <w:gridCol w:w="437"/>
        <w:gridCol w:w="437"/>
        <w:gridCol w:w="439"/>
        <w:gridCol w:w="1092"/>
        <w:gridCol w:w="607"/>
        <w:gridCol w:w="866"/>
        <w:gridCol w:w="608"/>
        <w:gridCol w:w="1085"/>
        <w:gridCol w:w="610"/>
        <w:gridCol w:w="1093"/>
        <w:gridCol w:w="607"/>
        <w:gridCol w:w="1181"/>
        <w:gridCol w:w="1001"/>
        <w:gridCol w:w="1184"/>
      </w:tblGrid>
      <w:tr>
        <w:trPr>
          <w:trHeight w:val="730" w:hRule="exact"/>
        </w:trPr>
        <w:tc>
          <w:tcPr>
            <w:tcW w:w="1589"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183"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9"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608"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nil" w:sz="6" w:space="0" w:color="auto"/>
            </w:tcBorders>
          </w:tcPr>
          <w:p>
            <w:pPr/>
          </w:p>
        </w:tc>
      </w:tr>
      <w:tr>
        <w:trPr>
          <w:trHeight w:val="71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2,712,687.74</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-3,468,687.74</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-756,000.00</w:t>
            </w:r>
          </w:p>
        </w:tc>
      </w:tr>
      <w:tr>
        <w:trPr>
          <w:trHeight w:val="40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2,712,687.74</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-2,712,687.74</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 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 东）的分配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-756,000.00</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-756,000.00</w:t>
            </w:r>
          </w:p>
        </w:tc>
      </w:tr>
      <w:tr>
        <w:trPr>
          <w:trHeight w:val="401"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8" w:right="21"/>
              <w:jc w:val="left"/>
              <w:rPr>
                <w:rFonts w:ascii="宋体" w:hAnsi="宋体" w:cs="宋体" w:eastAsia="宋体" w:hint="default"/>
                <w:sz w:val="18"/>
                <w:szCs w:val="18"/>
              </w:rPr>
            </w:pPr>
            <w:r>
              <w:rPr>
                <w:rFonts w:ascii="宋体" w:hAnsi="宋体" w:cs="宋体" w:eastAsia="宋体" w:hint="default"/>
                <w:spacing w:val="-10"/>
                <w:sz w:val="18"/>
                <w:szCs w:val="18"/>
              </w:rPr>
              <w:t>（四）所有者权益内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部结转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 动额结转留存收益</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 转留存收益</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200" w:left="128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89"/>
        <w:gridCol w:w="1183"/>
        <w:gridCol w:w="437"/>
        <w:gridCol w:w="437"/>
        <w:gridCol w:w="439"/>
        <w:gridCol w:w="1092"/>
        <w:gridCol w:w="607"/>
        <w:gridCol w:w="866"/>
        <w:gridCol w:w="608"/>
        <w:gridCol w:w="1085"/>
        <w:gridCol w:w="610"/>
        <w:gridCol w:w="1093"/>
        <w:gridCol w:w="607"/>
        <w:gridCol w:w="1181"/>
        <w:gridCol w:w="1001"/>
        <w:gridCol w:w="1184"/>
      </w:tblGrid>
      <w:tr>
        <w:trPr>
          <w:trHeight w:val="418" w:hRule="exact"/>
        </w:trPr>
        <w:tc>
          <w:tcPr>
            <w:tcW w:w="1589"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9"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608"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nil" w:sz="6" w:space="0" w:color="auto"/>
            </w:tcBorders>
          </w:tcPr>
          <w:p>
            <w:pPr/>
          </w:p>
        </w:tc>
      </w:tr>
      <w:tr>
        <w:trPr>
          <w:trHeight w:val="401"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85,222,850.09</w:t>
            </w:r>
          </w:p>
        </w:tc>
        <w:tc>
          <w:tcPr>
            <w:tcW w:w="6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270,396.79</w:t>
            </w:r>
          </w:p>
        </w:tc>
        <w:tc>
          <w:tcPr>
            <w:tcW w:w="6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14,311,069.14</w:t>
            </w:r>
          </w:p>
        </w:tc>
        <w:tc>
          <w:tcPr>
            <w:tcW w:w="61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39,182,471.98</w:t>
            </w:r>
          </w:p>
        </w:tc>
        <w:tc>
          <w:tcPr>
            <w:tcW w:w="6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264,986,788.00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7,706,939.56</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272,693,727.56</w:t>
            </w:r>
          </w:p>
        </w:tc>
      </w:tr>
    </w:tbl>
    <w:p>
      <w:pPr>
        <w:spacing w:before="49"/>
        <w:ind w:left="16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7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518"/>
        <w:gridCol w:w="1192"/>
        <w:gridCol w:w="430"/>
        <w:gridCol w:w="428"/>
        <w:gridCol w:w="487"/>
        <w:gridCol w:w="1092"/>
        <w:gridCol w:w="614"/>
        <w:gridCol w:w="866"/>
        <w:gridCol w:w="617"/>
        <w:gridCol w:w="1085"/>
        <w:gridCol w:w="617"/>
        <w:gridCol w:w="1090"/>
        <w:gridCol w:w="600"/>
        <w:gridCol w:w="1183"/>
        <w:gridCol w:w="1001"/>
        <w:gridCol w:w="1169"/>
      </w:tblGrid>
      <w:tr>
        <w:trPr>
          <w:trHeight w:val="401" w:hRule="exact"/>
        </w:trPr>
        <w:tc>
          <w:tcPr>
            <w:tcW w:w="1518" w:type="dxa"/>
            <w:vMerge w:val="restart"/>
            <w:tcBorders>
              <w:top w:val="single" w:sz="4" w:space="0" w:color="000000"/>
              <w:left w:val="nil" w:sz="6" w:space="0" w:color="auto"/>
              <w:right w:val="single" w:sz="4" w:space="0" w:color="000000"/>
            </w:tcBorders>
            <w:shd w:val="clear" w:color="auto" w:fill="D2D2D2"/>
          </w:tcPr>
          <w:p>
            <w:pPr/>
          </w:p>
        </w:tc>
        <w:tc>
          <w:tcPr>
            <w:tcW w:w="12471" w:type="dxa"/>
            <w:gridSpan w:val="1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98" w:hRule="exact"/>
        </w:trPr>
        <w:tc>
          <w:tcPr>
            <w:tcW w:w="1518" w:type="dxa"/>
            <w:vMerge/>
            <w:tcBorders>
              <w:left w:val="nil" w:sz="6" w:space="0" w:color="auto"/>
              <w:bottom w:val="nil" w:sz="6" w:space="0" w:color="auto"/>
              <w:right w:val="single" w:sz="4" w:space="0" w:color="000000"/>
            </w:tcBorders>
            <w:shd w:val="clear" w:color="auto" w:fill="D2D2D2"/>
          </w:tcPr>
          <w:p>
            <w:pPr/>
          </w:p>
        </w:tc>
        <w:tc>
          <w:tcPr>
            <w:tcW w:w="1030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9"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211" w:hRule="exact"/>
        </w:trPr>
        <w:tc>
          <w:tcPr>
            <w:tcW w:w="151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34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vMerge w:val="restart"/>
            <w:tcBorders>
              <w:top w:val="single" w:sz="4" w:space="0" w:color="000000"/>
              <w:left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600"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8"/>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69" w:type="dxa"/>
            <w:vMerge w:val="restart"/>
            <w:tcBorders>
              <w:top w:val="nil" w:sz="6" w:space="0" w:color="auto"/>
              <w:left w:val="single" w:sz="4" w:space="0" w:color="000000"/>
              <w:right w:val="nil" w:sz="6" w:space="0" w:color="auto"/>
            </w:tcBorders>
            <w:shd w:val="clear" w:color="auto" w:fill="D2D2D2"/>
          </w:tcPr>
          <w:p>
            <w:pPr>
              <w:pStyle w:val="TableParagraph"/>
              <w:spacing w:line="314" w:lineRule="auto" w:before="58"/>
              <w:ind w:left="497" w:right="36"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3" w:hRule="exact"/>
        </w:trPr>
        <w:tc>
          <w:tcPr>
            <w:tcW w:w="1518" w:type="dxa"/>
            <w:vMerge/>
            <w:tcBorders>
              <w:left w:val="nil" w:sz="6" w:space="0" w:color="auto"/>
              <w:bottom w:val="single" w:sz="5" w:space="0" w:color="FFFFFF"/>
              <w:right w:val="single" w:sz="4" w:space="0" w:color="000000"/>
            </w:tcBorders>
            <w:shd w:val="clear" w:color="auto" w:fill="D2D2D2"/>
          </w:tcPr>
          <w:p>
            <w:pPr/>
          </w:p>
        </w:tc>
        <w:tc>
          <w:tcPr>
            <w:tcW w:w="1192" w:type="dxa"/>
            <w:vMerge/>
            <w:tcBorders>
              <w:left w:val="single" w:sz="4" w:space="0" w:color="000000"/>
              <w:bottom w:val="single" w:sz="5" w:space="0" w:color="FFFFFF"/>
              <w:right w:val="single" w:sz="4" w:space="0" w:color="000000"/>
            </w:tcBorders>
            <w:shd w:val="clear" w:color="auto" w:fill="D2D2D2"/>
          </w:tcPr>
          <w:p>
            <w:pPr/>
          </w:p>
        </w:tc>
        <w:tc>
          <w:tcPr>
            <w:tcW w:w="1345" w:type="dxa"/>
            <w:gridSpan w:val="3"/>
            <w:vMerge/>
            <w:tcBorders>
              <w:left w:val="single" w:sz="4" w:space="0" w:color="000000"/>
              <w:bottom w:val="single" w:sz="5" w:space="0" w:color="FFFFFF"/>
              <w:right w:val="single" w:sz="4" w:space="0" w:color="000000"/>
            </w:tcBorders>
            <w:shd w:val="clear" w:color="auto" w:fill="D2D2D2"/>
          </w:tcPr>
          <w:p>
            <w:pPr/>
          </w:p>
        </w:tc>
        <w:tc>
          <w:tcPr>
            <w:tcW w:w="1092" w:type="dxa"/>
            <w:vMerge/>
            <w:tcBorders>
              <w:left w:val="single" w:sz="4" w:space="0" w:color="000000"/>
              <w:bottom w:val="single" w:sz="5" w:space="0" w:color="FFFFFF"/>
              <w:right w:val="single" w:sz="4" w:space="0" w:color="000000"/>
            </w:tcBorders>
            <w:shd w:val="clear" w:color="auto" w:fill="D2D2D2"/>
          </w:tcPr>
          <w:p>
            <w:pPr/>
          </w:p>
        </w:tc>
        <w:tc>
          <w:tcPr>
            <w:tcW w:w="61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20" w:right="31"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1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13" w:right="33"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85" w:type="dxa"/>
            <w:vMerge/>
            <w:tcBorders>
              <w:left w:val="single" w:sz="4" w:space="0" w:color="000000"/>
              <w:bottom w:val="nil" w:sz="6" w:space="0" w:color="auto"/>
              <w:right w:val="single" w:sz="4" w:space="0" w:color="000000"/>
            </w:tcBorders>
            <w:shd w:val="clear" w:color="auto" w:fill="D2D2D2"/>
          </w:tcPr>
          <w:p>
            <w:pPr/>
          </w:p>
        </w:tc>
        <w:tc>
          <w:tcPr>
            <w:tcW w:w="61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1"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600"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nil" w:sz="6" w:space="0" w:color="auto"/>
            </w:tcBorders>
            <w:shd w:val="clear" w:color="auto" w:fill="D2D2D2"/>
          </w:tcPr>
          <w:p>
            <w:pPr/>
          </w:p>
        </w:tc>
      </w:tr>
      <w:tr>
        <w:trPr>
          <w:trHeight w:val="201" w:hRule="exact"/>
        </w:trPr>
        <w:tc>
          <w:tcPr>
            <w:tcW w:w="1518" w:type="dxa"/>
            <w:vMerge w:val="restart"/>
            <w:tcBorders>
              <w:top w:val="single" w:sz="5" w:space="0" w:color="FFFFFF"/>
              <w:left w:val="nil" w:sz="6" w:space="0" w:color="auto"/>
              <w:right w:val="single" w:sz="4" w:space="0" w:color="000000"/>
            </w:tcBorders>
            <w:shd w:val="clear" w:color="auto" w:fill="D2D2D2"/>
          </w:tcPr>
          <w:p>
            <w:pPr/>
          </w:p>
        </w:tc>
        <w:tc>
          <w:tcPr>
            <w:tcW w:w="1192"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30"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89"/>
              <w:ind w:left="120" w:right="2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8" w:type="dxa"/>
            <w:vMerge w:val="restart"/>
            <w:tcBorders>
              <w:top w:val="single" w:sz="5" w:space="0" w:color="FFFFFF"/>
              <w:left w:val="single" w:sz="4" w:space="0" w:color="000000"/>
              <w:right w:val="single" w:sz="4" w:space="0" w:color="000000"/>
            </w:tcBorders>
            <w:shd w:val="clear" w:color="auto" w:fill="D2D2D2"/>
          </w:tcPr>
          <w:p>
            <w:pPr>
              <w:pStyle w:val="TableParagraph"/>
              <w:spacing w:line="316" w:lineRule="auto" w:before="89"/>
              <w:ind w:left="117" w:right="2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87" w:type="dxa"/>
            <w:tcBorders>
              <w:top w:val="single" w:sz="5" w:space="0" w:color="FFFFFF"/>
              <w:left w:val="single" w:sz="4" w:space="0" w:color="000000"/>
              <w:bottom w:val="nil" w:sz="6" w:space="0" w:color="auto"/>
              <w:right w:val="single" w:sz="4" w:space="0" w:color="000000"/>
            </w:tcBorders>
            <w:shd w:val="clear" w:color="auto" w:fill="D2D2D2"/>
          </w:tcPr>
          <w:p>
            <w:pPr/>
          </w:p>
        </w:tc>
        <w:tc>
          <w:tcPr>
            <w:tcW w:w="1092"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4"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617" w:type="dxa"/>
            <w:vMerge/>
            <w:tcBorders>
              <w:left w:val="single" w:sz="4" w:space="0" w:color="000000"/>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7"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01" w:type="dxa"/>
            <w:vMerge/>
            <w:tcBorders>
              <w:left w:val="single" w:sz="4" w:space="0" w:color="000000"/>
              <w:right w:val="single" w:sz="4" w:space="0" w:color="000000"/>
            </w:tcBorders>
            <w:shd w:val="clear" w:color="auto" w:fill="D2D2D2"/>
          </w:tcPr>
          <w:p>
            <w:pPr/>
          </w:p>
        </w:tc>
        <w:tc>
          <w:tcPr>
            <w:tcW w:w="1169" w:type="dxa"/>
            <w:vMerge/>
            <w:tcBorders>
              <w:left w:val="single" w:sz="4" w:space="0" w:color="000000"/>
              <w:right w:val="nil" w:sz="6" w:space="0" w:color="auto"/>
            </w:tcBorders>
            <w:shd w:val="clear" w:color="auto" w:fill="D2D2D2"/>
          </w:tcPr>
          <w:p>
            <w:pPr/>
          </w:p>
        </w:tc>
      </w:tr>
      <w:tr>
        <w:trPr>
          <w:trHeight w:val="181" w:hRule="exact"/>
        </w:trPr>
        <w:tc>
          <w:tcPr>
            <w:tcW w:w="1518" w:type="dxa"/>
            <w:vMerge/>
            <w:tcBorders>
              <w:left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617"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617"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600" w:type="dxa"/>
            <w:vMerge/>
            <w:tcBorders>
              <w:left w:val="single" w:sz="4" w:space="0" w:color="000000"/>
              <w:bottom w:val="single" w:sz="18" w:space="0" w:color="FFFFFF"/>
              <w:right w:val="single" w:sz="4" w:space="0" w:color="000000"/>
            </w:tcBorders>
            <w:shd w:val="clear" w:color="auto" w:fill="D2D2D2"/>
          </w:tcPr>
          <w:p>
            <w:pPr/>
          </w:p>
        </w:tc>
        <w:tc>
          <w:tcPr>
            <w:tcW w:w="1183" w:type="dxa"/>
            <w:vMerge/>
            <w:tcBorders>
              <w:left w:val="single" w:sz="4" w:space="0" w:color="000000"/>
              <w:bottom w:val="single" w:sz="18" w:space="0" w:color="FFFFFF"/>
              <w:right w:val="single" w:sz="4" w:space="0" w:color="000000"/>
            </w:tcBorders>
            <w:shd w:val="clear" w:color="auto" w:fill="D2D2D2"/>
          </w:tcPr>
          <w:p>
            <w:pPr/>
          </w:p>
        </w:tc>
        <w:tc>
          <w:tcPr>
            <w:tcW w:w="1001" w:type="dxa"/>
            <w:vMerge/>
            <w:tcBorders>
              <w:left w:val="single" w:sz="4" w:space="0" w:color="000000"/>
              <w:bottom w:val="single" w:sz="18" w:space="0" w:color="FFFFFF"/>
              <w:right w:val="single" w:sz="4" w:space="0" w:color="000000"/>
            </w:tcBorders>
            <w:shd w:val="clear" w:color="auto" w:fill="D2D2D2"/>
          </w:tcPr>
          <w:p>
            <w:pPr/>
          </w:p>
        </w:tc>
        <w:tc>
          <w:tcPr>
            <w:tcW w:w="1169" w:type="dxa"/>
            <w:vMerge/>
            <w:tcBorders>
              <w:left w:val="single" w:sz="4" w:space="0" w:color="000000"/>
              <w:bottom w:val="single" w:sz="18" w:space="0" w:color="FFFFFF"/>
              <w:right w:val="nil" w:sz="6" w:space="0" w:color="auto"/>
            </w:tcBorders>
            <w:shd w:val="clear" w:color="auto" w:fill="D2D2D2"/>
          </w:tcPr>
          <w:p>
            <w:pPr/>
          </w:p>
        </w:tc>
      </w:tr>
      <w:tr>
        <w:trPr>
          <w:trHeight w:val="182" w:hRule="exact"/>
        </w:trPr>
        <w:tc>
          <w:tcPr>
            <w:tcW w:w="1518" w:type="dxa"/>
            <w:vMerge/>
            <w:tcBorders>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c>
          <w:tcPr>
            <w:tcW w:w="428" w:type="dxa"/>
            <w:vMerge/>
            <w:tcBorders>
              <w:left w:val="single" w:sz="4" w:space="0" w:color="000000"/>
              <w:right w:val="single" w:sz="4" w:space="0" w:color="000000"/>
            </w:tcBorders>
            <w:shd w:val="clear" w:color="auto" w:fill="D2D2D2"/>
          </w:tcPr>
          <w:p>
            <w:pPr/>
          </w:p>
        </w:tc>
        <w:tc>
          <w:tcPr>
            <w:tcW w:w="487"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614"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617"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
        </w:tc>
        <w:tc>
          <w:tcPr>
            <w:tcW w:w="617"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600" w:type="dxa"/>
            <w:vMerge w:val="restart"/>
            <w:tcBorders>
              <w:top w:val="single" w:sz="18" w:space="0" w:color="FFFFFF"/>
              <w:left w:val="single" w:sz="4" w:space="0" w:color="000000"/>
              <w:right w:val="single" w:sz="4" w:space="0" w:color="000000"/>
            </w:tcBorders>
            <w:shd w:val="clear" w:color="auto" w:fill="D2D2D2"/>
          </w:tcPr>
          <w:p>
            <w:pPr/>
          </w:p>
        </w:tc>
        <w:tc>
          <w:tcPr>
            <w:tcW w:w="1183" w:type="dxa"/>
            <w:vMerge w:val="restart"/>
            <w:tcBorders>
              <w:top w:val="single" w:sz="18" w:space="0" w:color="FFFFFF"/>
              <w:left w:val="single" w:sz="4" w:space="0" w:color="000000"/>
              <w:right w:val="single" w:sz="4" w:space="0" w:color="000000"/>
            </w:tcBorders>
            <w:shd w:val="clear" w:color="auto" w:fill="D2D2D2"/>
          </w:tcPr>
          <w:p>
            <w:pPr/>
          </w:p>
        </w:tc>
        <w:tc>
          <w:tcPr>
            <w:tcW w:w="1001" w:type="dxa"/>
            <w:vMerge w:val="restart"/>
            <w:tcBorders>
              <w:top w:val="single" w:sz="18" w:space="0" w:color="FFFFFF"/>
              <w:left w:val="single" w:sz="4" w:space="0" w:color="000000"/>
              <w:right w:val="single" w:sz="4" w:space="0" w:color="000000"/>
            </w:tcBorders>
            <w:shd w:val="clear" w:color="auto" w:fill="D2D2D2"/>
          </w:tcPr>
          <w:p>
            <w:pPr/>
          </w:p>
        </w:tc>
        <w:tc>
          <w:tcPr>
            <w:tcW w:w="1169" w:type="dxa"/>
            <w:vMerge w:val="restart"/>
            <w:tcBorders>
              <w:top w:val="single" w:sz="18" w:space="0" w:color="FFFFFF"/>
              <w:left w:val="single" w:sz="4" w:space="0" w:color="000000"/>
              <w:right w:val="nil" w:sz="6" w:space="0" w:color="auto"/>
            </w:tcBorders>
            <w:shd w:val="clear" w:color="auto" w:fill="D2D2D2"/>
          </w:tcPr>
          <w:p>
            <w:pPr/>
          </w:p>
        </w:tc>
      </w:tr>
      <w:tr>
        <w:trPr>
          <w:trHeight w:val="195" w:hRule="exact"/>
        </w:trPr>
        <w:tc>
          <w:tcPr>
            <w:tcW w:w="1518" w:type="dxa"/>
            <w:vMerge/>
            <w:tcBorders>
              <w:left w:val="nil" w:sz="6" w:space="0" w:color="auto"/>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430"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4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00"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85,222,850.09</w:t>
            </w: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260,857.16</w:t>
            </w: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9,985,834.59</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21,989,423.67</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243,458,965.51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6,908,723.68</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250,367,689.19</w:t>
            </w:r>
          </w:p>
        </w:tc>
      </w:tr>
      <w:tr>
        <w:trPr>
          <w:trHeight w:val="716"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56"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85,222,850.09</w:t>
            </w: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260,857.16</w:t>
            </w: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9,985,834.59</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21,989,423.67</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243,458,965.51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6,908,723.68</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250,367,689.19</w:t>
            </w:r>
          </w:p>
        </w:tc>
      </w:tr>
      <w:tr>
        <w:trPr>
          <w:trHeight w:val="1025"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7" w:lineRule="auto" w:before="49"/>
              <w:ind w:left="14" w:right="57"/>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4,434.20</w:t>
            </w: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5,529,495.39</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7,146,476.40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122,170.21</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7,268,646.61</w:t>
            </w:r>
          </w:p>
        </w:tc>
      </w:tr>
      <w:tr>
        <w:trPr>
          <w:trHeight w:val="715" w:hRule="exact"/>
        </w:trPr>
        <w:tc>
          <w:tcPr>
            <w:tcW w:w="15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57"/>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192" w:type="dxa"/>
            <w:tcBorders>
              <w:top w:val="single" w:sz="4" w:space="0" w:color="000000"/>
              <w:left w:val="single" w:sz="12" w:space="0" w:color="D2D2D2"/>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4,434.20</w:t>
            </w: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7,142,042.20</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7,146,476.40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704,818.49</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7,851,294.89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28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44"/>
        <w:gridCol w:w="1181"/>
        <w:gridCol w:w="430"/>
        <w:gridCol w:w="428"/>
        <w:gridCol w:w="487"/>
        <w:gridCol w:w="1092"/>
        <w:gridCol w:w="614"/>
        <w:gridCol w:w="866"/>
        <w:gridCol w:w="617"/>
        <w:gridCol w:w="1085"/>
        <w:gridCol w:w="617"/>
        <w:gridCol w:w="1090"/>
        <w:gridCol w:w="600"/>
        <w:gridCol w:w="1183"/>
        <w:gridCol w:w="1001"/>
        <w:gridCol w:w="1184"/>
      </w:tblGrid>
      <w:tr>
        <w:trPr>
          <w:trHeight w:val="730" w:hRule="exact"/>
        </w:trPr>
        <w:tc>
          <w:tcPr>
            <w:tcW w:w="1544"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8" w:right="69"/>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30" w:type="dxa"/>
            <w:tcBorders>
              <w:top w:val="single" w:sz="15" w:space="0" w:color="000000"/>
              <w:left w:val="single" w:sz="4" w:space="0" w:color="000000"/>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487"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617"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61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600"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-582,648.28</w:t>
            </w:r>
          </w:p>
        </w:tc>
        <w:tc>
          <w:tcPr>
            <w:tcW w:w="1184"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-582,648.28</w:t>
            </w:r>
          </w:p>
        </w:tc>
      </w:tr>
      <w:tr>
        <w:trPr>
          <w:trHeight w:val="71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-582,648.28</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-582,648.28</w:t>
            </w:r>
          </w:p>
        </w:tc>
      </w:tr>
      <w:tr>
        <w:trPr>
          <w:trHeight w:val="401"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-1,612,546.81</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-1,612,546.81</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．提取一般风险准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8" w:right="69"/>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28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544"/>
        <w:gridCol w:w="1181"/>
        <w:gridCol w:w="430"/>
        <w:gridCol w:w="428"/>
        <w:gridCol w:w="487"/>
        <w:gridCol w:w="1092"/>
        <w:gridCol w:w="614"/>
        <w:gridCol w:w="866"/>
        <w:gridCol w:w="617"/>
        <w:gridCol w:w="1085"/>
        <w:gridCol w:w="617"/>
        <w:gridCol w:w="1090"/>
        <w:gridCol w:w="600"/>
        <w:gridCol w:w="1183"/>
        <w:gridCol w:w="1001"/>
        <w:gridCol w:w="1184"/>
      </w:tblGrid>
      <w:tr>
        <w:trPr>
          <w:trHeight w:val="730" w:hRule="exact"/>
        </w:trPr>
        <w:tc>
          <w:tcPr>
            <w:tcW w:w="1544"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97" w:lineRule="auto" w:before="51"/>
              <w:ind w:left="28"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．其他综合收益结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转留存收益</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30" w:type="dxa"/>
            <w:tcBorders>
              <w:top w:val="single" w:sz="15" w:space="0" w:color="000000"/>
              <w:left w:val="single" w:sz="4" w:space="0" w:color="000000"/>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487"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614"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617"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61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600"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nil" w:sz="6" w:space="0" w:color="auto"/>
            </w:tcBorders>
          </w:tcPr>
          <w:p>
            <w:pPr/>
          </w:p>
        </w:tc>
      </w:tr>
      <w:tr>
        <w:trPr>
          <w:trHeight w:val="401"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85,222,850.09</w:t>
            </w:r>
          </w:p>
        </w:tc>
        <w:tc>
          <w:tcPr>
            <w:tcW w:w="61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265,291.36</w:t>
            </w:r>
          </w:p>
        </w:tc>
        <w:tc>
          <w:tcPr>
            <w:tcW w:w="61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11,598,381.40</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27,518,919.06</w:t>
            </w:r>
          </w:p>
        </w:tc>
        <w:tc>
          <w:tcPr>
            <w:tcW w:w="60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250,605,441.91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7,030,893.89</w:t>
            </w:r>
          </w:p>
        </w:tc>
        <w:tc>
          <w:tcPr>
            <w:tcW w:w="1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257,636,335.80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6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27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832"/>
        <w:gridCol w:w="1193"/>
        <w:gridCol w:w="831"/>
        <w:gridCol w:w="830"/>
        <w:gridCol w:w="830"/>
        <w:gridCol w:w="1090"/>
        <w:gridCol w:w="1011"/>
        <w:gridCol w:w="1006"/>
        <w:gridCol w:w="1008"/>
        <w:gridCol w:w="1085"/>
        <w:gridCol w:w="1092"/>
        <w:gridCol w:w="984"/>
        <w:gridCol w:w="1198"/>
      </w:tblGrid>
      <w:tr>
        <w:trPr>
          <w:trHeight w:val="398" w:hRule="exact"/>
        </w:trPr>
        <w:tc>
          <w:tcPr>
            <w:tcW w:w="1832" w:type="dxa"/>
            <w:tcBorders>
              <w:top w:val="single" w:sz="4" w:space="0" w:color="000000"/>
              <w:left w:val="nil" w:sz="6" w:space="0" w:color="auto"/>
              <w:bottom w:val="nil" w:sz="6" w:space="0" w:color="auto"/>
              <w:right w:val="single" w:sz="4" w:space="0" w:color="000000"/>
            </w:tcBorders>
            <w:shd w:val="clear" w:color="auto" w:fill="D2D2D2"/>
          </w:tcPr>
          <w:p>
            <w:pPr/>
          </w:p>
        </w:tc>
        <w:tc>
          <w:tcPr>
            <w:tcW w:w="12158" w:type="dxa"/>
            <w:gridSpan w:val="1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9" w:hRule="exact"/>
        </w:trPr>
        <w:tc>
          <w:tcPr>
            <w:tcW w:w="183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5" w:right="4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97"/>
              <w:ind w:left="511" w:right="51"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1832"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92" w:type="dxa"/>
            <w:gridSpan w:val="3"/>
            <w:vMerge/>
            <w:tcBorders>
              <w:left w:val="single" w:sz="4" w:space="0" w:color="000000"/>
              <w:bottom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6" w:type="dxa"/>
            <w:vMerge/>
            <w:tcBorders>
              <w:left w:val="single" w:sz="4" w:space="0" w:color="000000"/>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right w:val="nil" w:sz="6" w:space="0" w:color="auto"/>
            </w:tcBorders>
            <w:shd w:val="clear" w:color="auto" w:fill="D2D2D2"/>
          </w:tcPr>
          <w:p>
            <w:pPr/>
          </w:p>
        </w:tc>
      </w:tr>
      <w:tr>
        <w:trPr>
          <w:trHeight w:val="202" w:hRule="exact"/>
        </w:trPr>
        <w:tc>
          <w:tcPr>
            <w:tcW w:w="1832"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4" w:space="0" w:color="000000"/>
              <w:bottom w:val="nil" w:sz="6" w:space="0" w:color="auto"/>
              <w:right w:val="single" w:sz="4" w:space="0" w:color="000000"/>
            </w:tcBorders>
            <w:shd w:val="clear" w:color="auto" w:fill="D2D2D2"/>
          </w:tcPr>
          <w:p>
            <w:pPr/>
          </w:p>
        </w:tc>
        <w:tc>
          <w:tcPr>
            <w:tcW w:w="1011" w:type="dxa"/>
            <w:vMerge/>
            <w:tcBorders>
              <w:left w:val="single" w:sz="4" w:space="0" w:color="000000"/>
              <w:bottom w:val="nil" w:sz="6" w:space="0" w:color="auto"/>
              <w:right w:val="single" w:sz="4" w:space="0" w:color="000000"/>
            </w:tcBorders>
            <w:shd w:val="clear" w:color="auto" w:fill="D2D2D2"/>
          </w:tcPr>
          <w:p>
            <w:pPr/>
          </w:p>
        </w:tc>
        <w:tc>
          <w:tcPr>
            <w:tcW w:w="100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nil" w:sz="6" w:space="0" w:color="auto"/>
            </w:tcBorders>
            <w:shd w:val="clear" w:color="auto" w:fill="D2D2D2"/>
          </w:tcPr>
          <w:p>
            <w:pPr/>
          </w:p>
        </w:tc>
      </w:tr>
      <w:tr>
        <w:trPr>
          <w:trHeight w:val="206" w:hRule="exact"/>
        </w:trPr>
        <w:tc>
          <w:tcPr>
            <w:tcW w:w="1832"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31"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126,000,000.00</w:t>
            </w: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83,631,541.26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18" w:space="0" w:color="D2D2D2"/>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11,598,381.40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56,628,956.11</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18" w:space="0" w:color="D2D2D2"/>
              <w:left w:val="single" w:sz="4" w:space="0" w:color="000000"/>
              <w:bottom w:val="single" w:sz="4" w:space="0" w:color="000000"/>
              <w:right w:val="nil" w:sz="6" w:space="0" w:color="auto"/>
            </w:tcBorders>
          </w:tcPr>
          <w:p>
            <w:pPr>
              <w:pStyle w:val="TableParagraph"/>
              <w:spacing w:line="240" w:lineRule="auto" w:before="73"/>
              <w:ind w:right="12"/>
              <w:jc w:val="right"/>
              <w:rPr>
                <w:rFonts w:ascii="Times New Roman" w:hAnsi="Times New Roman" w:cs="Times New Roman" w:eastAsia="Times New Roman" w:hint="default"/>
                <w:sz w:val="18"/>
                <w:szCs w:val="18"/>
              </w:rPr>
            </w:pPr>
            <w:r>
              <w:rPr>
                <w:rFonts w:ascii="Times New Roman"/>
                <w:spacing w:val="-1"/>
                <w:sz w:val="18"/>
              </w:rPr>
              <w:t>277,858,878.77</w:t>
            </w:r>
          </w:p>
        </w:tc>
      </w:tr>
      <w:tr>
        <w:trPr>
          <w:trHeight w:val="403"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0"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0"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126,000,000.00</w:t>
            </w: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83,631,541.26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11,598,381.40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56,628,956.11</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277,858,878.77</w:t>
            </w:r>
          </w:p>
        </w:tc>
      </w:tr>
      <w:tr>
        <w:trPr>
          <w:trHeight w:val="715"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0"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2,712,687.74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23,658,189.68</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26,370,877.42</w:t>
            </w:r>
          </w:p>
        </w:tc>
      </w:tr>
      <w:tr>
        <w:trPr>
          <w:trHeight w:val="401"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0"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27,126,877.42</w:t>
            </w: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27,126,877.42</w:t>
            </w:r>
          </w:p>
        </w:tc>
      </w:tr>
      <w:tr>
        <w:trPr>
          <w:trHeight w:val="403" w:hRule="exact"/>
        </w:trPr>
        <w:tc>
          <w:tcPr>
            <w:tcW w:w="183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0"/>
              <w:ind w:left="14"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tc>
        <w:tc>
          <w:tcPr>
            <w:tcW w:w="1193" w:type="dxa"/>
            <w:tcBorders>
              <w:top w:val="single" w:sz="4" w:space="0" w:color="000000"/>
              <w:left w:val="single" w:sz="10" w:space="0" w:color="D2D2D2"/>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280" w:right="1260"/>
        </w:sectPr>
      </w:pPr>
    </w:p>
    <w:p>
      <w:pPr>
        <w:spacing w:line="240" w:lineRule="auto" w:before="2"/>
        <w:rPr>
          <w:rFonts w:ascii="Times New Roman" w:hAnsi="Times New Roman" w:cs="Times New Roman" w:eastAsia="Times New Roman" w:hint="default"/>
          <w:sz w:val="3"/>
          <w:szCs w:val="3"/>
        </w:rPr>
      </w:pPr>
      <w:r>
        <w:rPr/>
        <w:pict>
          <v:group style="position:absolute;margin-left:163.699997pt;margin-top:227.090012pt;width:58.6pt;height:28.1pt;mso-position-horizontal-relative:page;mso-position-vertical-relative:page;z-index:-795376" coordorigin="3274,4542" coordsize="1172,562">
            <v:group style="position:absolute;left:3274;top:4542;width:1172;height:156" coordorigin="3274,4542" coordsize="1172,156">
              <v:shape style="position:absolute;left:3274;top:4542;width:1172;height:156" coordorigin="3274,4542" coordsize="1172,156" path="m3274,4698l4445,4698,4445,4542,3274,4542,3274,4698xe" filled="true" fillcolor="#ffffff" stroked="false">
                <v:path arrowok="t"/>
                <v:fill type="solid"/>
              </v:shape>
            </v:group>
            <v:group style="position:absolute;left:3286;top:4698;width:2;height:394" coordorigin="3286,4698" coordsize="2,394">
              <v:shape style="position:absolute;left:3286;top:4698;width:2;height:394" coordorigin="3286,4698" coordsize="0,394" path="m3286,4698l3286,5091e" filled="false" stroked="true" strokeweight="1.2pt" strokecolor="#ffffff">
                <v:path arrowok="t"/>
              </v:shape>
            </v:group>
            <v:group style="position:absolute;left:3298;top:4698;width:1124;height:394" coordorigin="3298,4698" coordsize="1124,394">
              <v:shape style="position:absolute;left:3298;top:4698;width:1124;height:394" coordorigin="3298,4698" coordsize="1124,394" path="m3298,5091l4421,5091,4421,4698,3298,4698,3298,5091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858"/>
        <w:gridCol w:w="1181"/>
        <w:gridCol w:w="831"/>
        <w:gridCol w:w="830"/>
        <w:gridCol w:w="830"/>
        <w:gridCol w:w="1090"/>
        <w:gridCol w:w="1011"/>
        <w:gridCol w:w="1006"/>
        <w:gridCol w:w="1008"/>
        <w:gridCol w:w="1085"/>
        <w:gridCol w:w="1092"/>
        <w:gridCol w:w="984"/>
        <w:gridCol w:w="1212"/>
      </w:tblGrid>
      <w:tr>
        <w:trPr>
          <w:trHeight w:val="377" w:hRule="exact"/>
        </w:trPr>
        <w:tc>
          <w:tcPr>
            <w:tcW w:w="1858"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31" w:type="dxa"/>
            <w:tcBorders>
              <w:top w:val="single" w:sz="15" w:space="0" w:color="000000"/>
              <w:left w:val="single" w:sz="4" w:space="0" w:color="000000"/>
              <w:bottom w:val="single" w:sz="4" w:space="0" w:color="000000"/>
              <w:right w:val="single" w:sz="4" w:space="0" w:color="000000"/>
            </w:tcBorders>
          </w:tcPr>
          <w:p>
            <w:pPr/>
          </w:p>
        </w:tc>
        <w:tc>
          <w:tcPr>
            <w:tcW w:w="830" w:type="dxa"/>
            <w:tcBorders>
              <w:top w:val="single" w:sz="15" w:space="0" w:color="000000"/>
              <w:left w:val="single" w:sz="4" w:space="0" w:color="000000"/>
              <w:bottom w:val="single" w:sz="4" w:space="0" w:color="000000"/>
              <w:right w:val="single" w:sz="4" w:space="0" w:color="000000"/>
            </w:tcBorders>
          </w:tcPr>
          <w:p>
            <w:pPr/>
          </w:p>
        </w:tc>
        <w:tc>
          <w:tcPr>
            <w:tcW w:w="830"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11" w:type="dxa"/>
            <w:tcBorders>
              <w:top w:val="single" w:sz="15" w:space="0" w:color="000000"/>
              <w:left w:val="single" w:sz="4" w:space="0" w:color="000000"/>
              <w:bottom w:val="single" w:sz="4" w:space="0" w:color="000000"/>
              <w:right w:val="single" w:sz="4" w:space="0" w:color="000000"/>
            </w:tcBorders>
          </w:tcPr>
          <w:p>
            <w:pPr/>
          </w:p>
        </w:tc>
        <w:tc>
          <w:tcPr>
            <w:tcW w:w="1006" w:type="dxa"/>
            <w:tcBorders>
              <w:top w:val="single" w:sz="15" w:space="0" w:color="000000"/>
              <w:left w:val="single" w:sz="4" w:space="0" w:color="000000"/>
              <w:bottom w:val="single" w:sz="4" w:space="0" w:color="000000"/>
              <w:right w:val="single" w:sz="4" w:space="0" w:color="000000"/>
            </w:tcBorders>
          </w:tcPr>
          <w:p>
            <w:pPr/>
          </w:p>
        </w:tc>
        <w:tc>
          <w:tcPr>
            <w:tcW w:w="1008"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984" w:type="dxa"/>
            <w:tcBorders>
              <w:top w:val="single" w:sz="15" w:space="0" w:color="000000"/>
              <w:left w:val="single" w:sz="4" w:space="0" w:color="000000"/>
              <w:bottom w:val="single" w:sz="4" w:space="0" w:color="000000"/>
              <w:right w:val="single" w:sz="4" w:space="0" w:color="000000"/>
            </w:tcBorders>
          </w:tcPr>
          <w:p>
            <w:pPr/>
          </w:p>
        </w:tc>
        <w:tc>
          <w:tcPr>
            <w:tcW w:w="1212" w:type="dxa"/>
            <w:tcBorders>
              <w:top w:val="single" w:sz="15" w:space="0" w:color="000000"/>
              <w:left w:val="single" w:sz="4" w:space="0" w:color="000000"/>
              <w:bottom w:val="single" w:sz="4" w:space="0" w:color="000000"/>
              <w:right w:val="nil" w:sz="6" w:space="0" w:color="auto"/>
            </w:tcBorders>
          </w:tcPr>
          <w:p>
            <w:pPr/>
          </w:p>
        </w:tc>
      </w:tr>
      <w:tr>
        <w:trPr>
          <w:trHeight w:val="40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z w:val="18"/>
                <w:szCs w:val="18"/>
              </w:rPr>
              <w:t>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z w:val="18"/>
                <w:szCs w:val="18"/>
              </w:rPr>
              <w:t>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2,712,687.74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-3,468,687.74</w:t>
            </w: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-756,000.00</w:t>
            </w:r>
          </w:p>
        </w:tc>
      </w:tr>
      <w:tr>
        <w:trPr>
          <w:trHeight w:val="401"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2,712,687.74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-2,712,687.74</w:t>
            </w: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-756,000.00</w:t>
            </w:r>
          </w:p>
        </w:tc>
      </w:tr>
      <w:tr>
        <w:trPr>
          <w:trHeight w:val="401"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2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．设定受益计划变动额</w:t>
            </w:r>
            <w:r>
              <w:rPr>
                <w:rFonts w:ascii="宋体" w:hAnsi="宋体" w:cs="宋体" w:eastAsia="宋体" w:hint="default"/>
                <w:sz w:val="18"/>
                <w:szCs w:val="18"/>
              </w:rPr>
              <w:t>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．其他综合收益结转留</w:t>
            </w:r>
            <w:r>
              <w:rPr>
                <w:rFonts w:ascii="宋体" w:hAnsi="宋体" w:cs="宋体" w:eastAsia="宋体" w:hint="default"/>
                <w:sz w:val="18"/>
                <w:szCs w:val="18"/>
              </w:rPr>
              <w:t> 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28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858"/>
        <w:gridCol w:w="1181"/>
        <w:gridCol w:w="831"/>
        <w:gridCol w:w="830"/>
        <w:gridCol w:w="830"/>
        <w:gridCol w:w="1090"/>
        <w:gridCol w:w="1011"/>
        <w:gridCol w:w="1006"/>
        <w:gridCol w:w="1008"/>
        <w:gridCol w:w="1085"/>
        <w:gridCol w:w="1092"/>
        <w:gridCol w:w="984"/>
        <w:gridCol w:w="1212"/>
      </w:tblGrid>
      <w:tr>
        <w:trPr>
          <w:trHeight w:val="418" w:hRule="exact"/>
        </w:trPr>
        <w:tc>
          <w:tcPr>
            <w:tcW w:w="1858"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31" w:type="dxa"/>
            <w:tcBorders>
              <w:top w:val="single" w:sz="15" w:space="0" w:color="000000"/>
              <w:left w:val="single" w:sz="4" w:space="0" w:color="000000"/>
              <w:bottom w:val="single" w:sz="4" w:space="0" w:color="000000"/>
              <w:right w:val="single" w:sz="4" w:space="0" w:color="000000"/>
            </w:tcBorders>
          </w:tcPr>
          <w:p>
            <w:pPr/>
          </w:p>
        </w:tc>
        <w:tc>
          <w:tcPr>
            <w:tcW w:w="830" w:type="dxa"/>
            <w:tcBorders>
              <w:top w:val="single" w:sz="15" w:space="0" w:color="000000"/>
              <w:left w:val="single" w:sz="4" w:space="0" w:color="000000"/>
              <w:bottom w:val="single" w:sz="4" w:space="0" w:color="000000"/>
              <w:right w:val="single" w:sz="4" w:space="0" w:color="000000"/>
            </w:tcBorders>
          </w:tcPr>
          <w:p>
            <w:pPr/>
          </w:p>
        </w:tc>
        <w:tc>
          <w:tcPr>
            <w:tcW w:w="830"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11" w:type="dxa"/>
            <w:tcBorders>
              <w:top w:val="single" w:sz="15" w:space="0" w:color="000000"/>
              <w:left w:val="single" w:sz="4" w:space="0" w:color="000000"/>
              <w:bottom w:val="single" w:sz="4" w:space="0" w:color="000000"/>
              <w:right w:val="single" w:sz="4" w:space="0" w:color="000000"/>
            </w:tcBorders>
          </w:tcPr>
          <w:p>
            <w:pPr/>
          </w:p>
        </w:tc>
        <w:tc>
          <w:tcPr>
            <w:tcW w:w="1006" w:type="dxa"/>
            <w:tcBorders>
              <w:top w:val="single" w:sz="15" w:space="0" w:color="000000"/>
              <w:left w:val="single" w:sz="4" w:space="0" w:color="000000"/>
              <w:bottom w:val="single" w:sz="4" w:space="0" w:color="000000"/>
              <w:right w:val="single" w:sz="4" w:space="0" w:color="000000"/>
            </w:tcBorders>
          </w:tcPr>
          <w:p>
            <w:pPr/>
          </w:p>
        </w:tc>
        <w:tc>
          <w:tcPr>
            <w:tcW w:w="1008"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984" w:type="dxa"/>
            <w:tcBorders>
              <w:top w:val="single" w:sz="15" w:space="0" w:color="000000"/>
              <w:left w:val="single" w:sz="4" w:space="0" w:color="000000"/>
              <w:bottom w:val="single" w:sz="4" w:space="0" w:color="000000"/>
              <w:right w:val="single" w:sz="4" w:space="0" w:color="000000"/>
            </w:tcBorders>
          </w:tcPr>
          <w:p>
            <w:pPr/>
          </w:p>
        </w:tc>
        <w:tc>
          <w:tcPr>
            <w:tcW w:w="1212" w:type="dxa"/>
            <w:tcBorders>
              <w:top w:val="single" w:sz="15" w:space="0" w:color="000000"/>
              <w:left w:val="single" w:sz="4" w:space="0" w:color="000000"/>
              <w:bottom w:val="single" w:sz="4" w:space="0" w:color="000000"/>
              <w:right w:val="nil" w:sz="6" w:space="0" w:color="auto"/>
            </w:tcBorders>
          </w:tcPr>
          <w:p>
            <w:pPr/>
          </w:p>
        </w:tc>
      </w:tr>
      <w:tr>
        <w:trPr>
          <w:trHeight w:val="401"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83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83,631,541.26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14,311,069.14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80,287,145.79</w:t>
            </w:r>
          </w:p>
        </w:tc>
        <w:tc>
          <w:tcPr>
            <w:tcW w:w="98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304,229,756.19</w:t>
            </w:r>
          </w:p>
        </w:tc>
      </w:tr>
    </w:tbl>
    <w:p>
      <w:pPr>
        <w:spacing w:before="49"/>
        <w:ind w:left="16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7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726"/>
        <w:gridCol w:w="1193"/>
        <w:gridCol w:w="788"/>
        <w:gridCol w:w="787"/>
        <w:gridCol w:w="787"/>
        <w:gridCol w:w="1090"/>
        <w:gridCol w:w="953"/>
        <w:gridCol w:w="953"/>
        <w:gridCol w:w="1092"/>
        <w:gridCol w:w="1085"/>
        <w:gridCol w:w="1118"/>
        <w:gridCol w:w="1116"/>
        <w:gridCol w:w="1301"/>
      </w:tblGrid>
      <w:tr>
        <w:trPr>
          <w:trHeight w:val="397" w:hRule="exact"/>
        </w:trPr>
        <w:tc>
          <w:tcPr>
            <w:tcW w:w="1726" w:type="dxa"/>
            <w:tcBorders>
              <w:top w:val="single" w:sz="4" w:space="0" w:color="000000"/>
              <w:left w:val="nil" w:sz="6" w:space="0" w:color="auto"/>
              <w:bottom w:val="nil" w:sz="6" w:space="0" w:color="auto"/>
              <w:right w:val="single" w:sz="4" w:space="0" w:color="000000"/>
            </w:tcBorders>
            <w:shd w:val="clear" w:color="auto" w:fill="D2D2D2"/>
          </w:tcPr>
          <w:p>
            <w:pPr/>
          </w:p>
        </w:tc>
        <w:tc>
          <w:tcPr>
            <w:tcW w:w="12264" w:type="dxa"/>
            <w:gridSpan w:val="1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11" w:hRule="exact"/>
        </w:trPr>
        <w:tc>
          <w:tcPr>
            <w:tcW w:w="1726"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9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90" w:right="11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1"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99"/>
              <w:ind w:left="561" w:right="10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1726"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62" w:type="dxa"/>
            <w:gridSpan w:val="3"/>
            <w:vMerge/>
            <w:tcBorders>
              <w:left w:val="single" w:sz="4" w:space="0" w:color="000000"/>
              <w:bottom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53"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1" w:type="dxa"/>
            <w:vMerge/>
            <w:tcBorders>
              <w:left w:val="single" w:sz="4" w:space="0" w:color="000000"/>
              <w:right w:val="nil" w:sz="6" w:space="0" w:color="auto"/>
            </w:tcBorders>
            <w:shd w:val="clear" w:color="auto" w:fill="D2D2D2"/>
          </w:tcPr>
          <w:p>
            <w:pPr/>
          </w:p>
        </w:tc>
      </w:tr>
      <w:tr>
        <w:trPr>
          <w:trHeight w:val="199" w:hRule="exact"/>
        </w:trPr>
        <w:tc>
          <w:tcPr>
            <w:tcW w:w="1726"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4" w:space="0" w:color="000000"/>
              <w:bottom w:val="nil" w:sz="6" w:space="0" w:color="auto"/>
              <w:right w:val="single" w:sz="4" w:space="0" w:color="000000"/>
            </w:tcBorders>
            <w:shd w:val="clear" w:color="auto" w:fill="D2D2D2"/>
          </w:tcPr>
          <w:p>
            <w:pPr/>
          </w:p>
        </w:tc>
        <w:tc>
          <w:tcPr>
            <w:tcW w:w="953" w:type="dxa"/>
            <w:vMerge/>
            <w:tcBorders>
              <w:left w:val="single" w:sz="4" w:space="0" w:color="000000"/>
              <w:bottom w:val="nil" w:sz="6" w:space="0" w:color="auto"/>
              <w:right w:val="single" w:sz="4" w:space="0" w:color="000000"/>
            </w:tcBorders>
            <w:shd w:val="clear" w:color="auto" w:fill="D2D2D2"/>
          </w:tcPr>
          <w:p>
            <w:pPr/>
          </w:p>
        </w:tc>
        <w:tc>
          <w:tcPr>
            <w:tcW w:w="953"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bottom w:val="nil" w:sz="6" w:space="0" w:color="auto"/>
              <w:right w:val="single" w:sz="4" w:space="0" w:color="000000"/>
            </w:tcBorders>
            <w:shd w:val="clear" w:color="auto" w:fill="D2D2D2"/>
          </w:tcPr>
          <w:p>
            <w:pPr/>
          </w:p>
        </w:tc>
        <w:tc>
          <w:tcPr>
            <w:tcW w:w="1301" w:type="dxa"/>
            <w:vMerge/>
            <w:tcBorders>
              <w:left w:val="single" w:sz="4" w:space="0" w:color="000000"/>
              <w:right w:val="nil" w:sz="6" w:space="0" w:color="auto"/>
            </w:tcBorders>
            <w:shd w:val="clear" w:color="auto" w:fill="D2D2D2"/>
          </w:tcPr>
          <w:p>
            <w:pPr/>
          </w:p>
        </w:tc>
      </w:tr>
      <w:tr>
        <w:trPr>
          <w:trHeight w:val="206" w:hRule="exact"/>
        </w:trPr>
        <w:tc>
          <w:tcPr>
            <w:tcW w:w="1726"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953"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83,631,541.26</w:t>
            </w: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22" w:space="0" w:color="D2D2D2"/>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42,116,034.78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68"/>
              <w:ind w:right="12"/>
              <w:jc w:val="right"/>
              <w:rPr>
                <w:rFonts w:ascii="Times New Roman" w:hAnsi="Times New Roman" w:cs="Times New Roman" w:eastAsia="Times New Roman" w:hint="default"/>
                <w:sz w:val="18"/>
                <w:szCs w:val="18"/>
              </w:rPr>
            </w:pPr>
            <w:r>
              <w:rPr>
                <w:rFonts w:ascii="Times New Roman"/>
                <w:spacing w:val="-1"/>
                <w:sz w:val="18"/>
              </w:rPr>
              <w:t>261,733,410.63</w:t>
            </w:r>
          </w:p>
        </w:tc>
      </w:tr>
      <w:tr>
        <w:trPr>
          <w:trHeight w:val="713"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0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83,631,541.26</w:t>
            </w: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42,116,034.78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261,733,410.63</w:t>
            </w:r>
          </w:p>
        </w:tc>
      </w:tr>
      <w:tr>
        <w:trPr>
          <w:trHeight w:val="1025"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7" w:lineRule="auto" w:before="49"/>
              <w:ind w:left="14" w:right="84"/>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14,512,921.33</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403"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16,125,468.14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713"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14"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．所有者投入的普通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68"/>
              <w:ind w:left="1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280" w:right="1260"/>
        </w:sectPr>
      </w:pPr>
    </w:p>
    <w:p>
      <w:pPr>
        <w:spacing w:line="240" w:lineRule="auto" w:before="2"/>
        <w:rPr>
          <w:rFonts w:ascii="Times New Roman" w:hAnsi="Times New Roman" w:cs="Times New Roman" w:eastAsia="Times New Roman" w:hint="default"/>
          <w:sz w:val="3"/>
          <w:szCs w:val="3"/>
        </w:rPr>
      </w:pPr>
      <w:r>
        <w:rPr/>
        <w:pict>
          <v:group style="position:absolute;margin-left:158.419998pt;margin-top:171.26001pt;width:58.6pt;height:28.15pt;mso-position-horizontal-relative:page;mso-position-vertical-relative:page;z-index:-795352" coordorigin="3168,3425" coordsize="1172,563">
            <v:group style="position:absolute;left:3168;top:3425;width:1172;height:156" coordorigin="3168,3425" coordsize="1172,156">
              <v:shape style="position:absolute;left:3168;top:3425;width:1172;height:156" coordorigin="3168,3425" coordsize="1172,156" path="m3168,3581l4340,3581,4340,3425,3168,3425,3168,3581xe" filled="true" fillcolor="#ffffff" stroked="false">
                <v:path arrowok="t"/>
                <v:fill type="solid"/>
              </v:shape>
            </v:group>
            <v:group style="position:absolute;left:3180;top:3581;width:2;height:395" coordorigin="3180,3581" coordsize="2,395">
              <v:shape style="position:absolute;left:3180;top:3581;width:2;height:395" coordorigin="3180,3581" coordsize="0,395" path="m3180,3581l3180,3975e" filled="false" stroked="true" strokeweight="1.2pt" strokecolor="#ffffff">
                <v:path arrowok="t"/>
              </v:shape>
            </v:group>
            <v:group style="position:absolute;left:3192;top:3581;width:1124;height:395" coordorigin="3192,3581" coordsize="1124,395">
              <v:shape style="position:absolute;left:3192;top:3581;width:1124;height:395" coordorigin="3192,3581" coordsize="1124,395" path="m3192,3975l4316,3975,4316,3581,3192,3581,3192,3975xe" filled="true" fillcolor="#ffffff" stroked="false">
                <v:path arrowok="t"/>
                <v:fill type="solid"/>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1752"/>
        <w:gridCol w:w="1181"/>
        <w:gridCol w:w="788"/>
        <w:gridCol w:w="787"/>
        <w:gridCol w:w="787"/>
        <w:gridCol w:w="1090"/>
        <w:gridCol w:w="953"/>
        <w:gridCol w:w="953"/>
        <w:gridCol w:w="1092"/>
        <w:gridCol w:w="1085"/>
        <w:gridCol w:w="1118"/>
        <w:gridCol w:w="1116"/>
        <w:gridCol w:w="1316"/>
      </w:tblGrid>
      <w:tr>
        <w:trPr>
          <w:trHeight w:val="377" w:hRule="exact"/>
        </w:trPr>
        <w:tc>
          <w:tcPr>
            <w:tcW w:w="1752"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788" w:type="dxa"/>
            <w:tcBorders>
              <w:top w:val="single" w:sz="15" w:space="0" w:color="000000"/>
              <w:left w:val="single" w:sz="4" w:space="0" w:color="000000"/>
              <w:bottom w:val="single" w:sz="4" w:space="0" w:color="000000"/>
              <w:right w:val="single" w:sz="4" w:space="0" w:color="000000"/>
            </w:tcBorders>
          </w:tcPr>
          <w:p>
            <w:pPr/>
          </w:p>
        </w:tc>
        <w:tc>
          <w:tcPr>
            <w:tcW w:w="787" w:type="dxa"/>
            <w:tcBorders>
              <w:top w:val="single" w:sz="15" w:space="0" w:color="000000"/>
              <w:left w:val="single" w:sz="4" w:space="0" w:color="000000"/>
              <w:bottom w:val="single" w:sz="4" w:space="0" w:color="000000"/>
              <w:right w:val="single" w:sz="4" w:space="0" w:color="000000"/>
            </w:tcBorders>
          </w:tcPr>
          <w:p>
            <w:pPr/>
          </w:p>
        </w:tc>
        <w:tc>
          <w:tcPr>
            <w:tcW w:w="78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953" w:type="dxa"/>
            <w:tcBorders>
              <w:top w:val="single" w:sz="15" w:space="0" w:color="000000"/>
              <w:left w:val="single" w:sz="4" w:space="0" w:color="000000"/>
              <w:bottom w:val="single" w:sz="4" w:space="0" w:color="000000"/>
              <w:right w:val="single" w:sz="4" w:space="0" w:color="000000"/>
            </w:tcBorders>
          </w:tcPr>
          <w:p>
            <w:pPr/>
          </w:p>
        </w:tc>
        <w:tc>
          <w:tcPr>
            <w:tcW w:w="953"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1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nil" w:sz="6" w:space="0" w:color="auto"/>
            </w:tcBorders>
          </w:tcPr>
          <w:p>
            <w:pPr/>
          </w:p>
        </w:tc>
      </w:tr>
      <w:tr>
        <w:trPr>
          <w:trHeight w:val="715"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-1,612,546.81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-1,612,546.81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11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8" w:right="96"/>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28"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．其他综合收益结转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75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28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52"/>
        <w:gridCol w:w="1181"/>
        <w:gridCol w:w="788"/>
        <w:gridCol w:w="787"/>
        <w:gridCol w:w="787"/>
        <w:gridCol w:w="1090"/>
        <w:gridCol w:w="953"/>
        <w:gridCol w:w="953"/>
        <w:gridCol w:w="1092"/>
        <w:gridCol w:w="1085"/>
        <w:gridCol w:w="1118"/>
        <w:gridCol w:w="1116"/>
        <w:gridCol w:w="1316"/>
      </w:tblGrid>
      <w:tr>
        <w:trPr>
          <w:trHeight w:val="418" w:hRule="exact"/>
        </w:trPr>
        <w:tc>
          <w:tcPr>
            <w:tcW w:w="1752"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788" w:type="dxa"/>
            <w:tcBorders>
              <w:top w:val="single" w:sz="15" w:space="0" w:color="000000"/>
              <w:left w:val="single" w:sz="4" w:space="0" w:color="000000"/>
              <w:bottom w:val="single" w:sz="4" w:space="0" w:color="000000"/>
              <w:right w:val="single" w:sz="4" w:space="0" w:color="000000"/>
            </w:tcBorders>
          </w:tcPr>
          <w:p>
            <w:pPr/>
          </w:p>
        </w:tc>
        <w:tc>
          <w:tcPr>
            <w:tcW w:w="787" w:type="dxa"/>
            <w:tcBorders>
              <w:top w:val="single" w:sz="15" w:space="0" w:color="000000"/>
              <w:left w:val="single" w:sz="4" w:space="0" w:color="000000"/>
              <w:bottom w:val="single" w:sz="4" w:space="0" w:color="000000"/>
              <w:right w:val="single" w:sz="4" w:space="0" w:color="000000"/>
            </w:tcBorders>
          </w:tcPr>
          <w:p>
            <w:pPr/>
          </w:p>
        </w:tc>
        <w:tc>
          <w:tcPr>
            <w:tcW w:w="78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83,631,541.26</w:t>
            </w:r>
          </w:p>
        </w:tc>
        <w:tc>
          <w:tcPr>
            <w:tcW w:w="953" w:type="dxa"/>
            <w:tcBorders>
              <w:top w:val="single" w:sz="15" w:space="0" w:color="000000"/>
              <w:left w:val="single" w:sz="4" w:space="0" w:color="000000"/>
              <w:bottom w:val="single" w:sz="4" w:space="0" w:color="000000"/>
              <w:right w:val="single" w:sz="4" w:space="0" w:color="000000"/>
            </w:tcBorders>
          </w:tcPr>
          <w:p>
            <w:pPr/>
          </w:p>
        </w:tc>
        <w:tc>
          <w:tcPr>
            <w:tcW w:w="953"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11,598,381.40</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56,628,956.11</w:t>
            </w:r>
          </w:p>
        </w:tc>
        <w:tc>
          <w:tcPr>
            <w:tcW w:w="111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4"/>
              <w:ind w:left="155" w:right="0"/>
              <w:jc w:val="left"/>
              <w:rPr>
                <w:rFonts w:ascii="Times New Roman" w:hAnsi="Times New Roman" w:cs="Times New Roman" w:eastAsia="Times New Roman" w:hint="default"/>
                <w:sz w:val="18"/>
                <w:szCs w:val="18"/>
              </w:rPr>
            </w:pPr>
            <w:r>
              <w:rPr>
                <w:rFonts w:ascii="Times New Roman"/>
                <w:sz w:val="18"/>
              </w:rPr>
              <w:t>277,858,878.77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16"/>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13" w:right="1116"/>
        <w:jc w:val="left"/>
        <w:rPr>
          <w:b w:val="0"/>
          <w:bCs w:val="0"/>
        </w:rPr>
      </w:pPr>
      <w:r>
        <w:rPr>
          <w:rFonts w:ascii="Times New Roman" w:hAnsi="Times New Roman" w:cs="Times New Roman" w:eastAsia="Times New Roman" w:hint="default"/>
        </w:rPr>
        <w:t>1</w:t>
      </w:r>
      <w:r>
        <w:rPr/>
        <w:t>、公司注册地、组织形式和总部地址</w:t>
      </w:r>
      <w:r>
        <w:rPr>
          <w:b w:val="0"/>
          <w:bCs w:val="0"/>
        </w:rPr>
      </w:r>
    </w:p>
    <w:p>
      <w:pPr>
        <w:pStyle w:val="BodyText"/>
        <w:spacing w:line="256" w:lineRule="auto" w:before="21"/>
        <w:ind w:left="513" w:right="998" w:firstLine="420"/>
        <w:jc w:val="left"/>
      </w:pPr>
      <w:r>
        <w:rPr/>
        <w:t>武汉金运激光股份有限公司（以下简称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19"/>
        </w:rPr>
        <w:t> </w:t>
      </w:r>
      <w:r>
        <w:rPr/>
        <w:t>前身为武汉金运激光设备制造有限公</w:t>
      </w:r>
      <w:r>
        <w:rPr>
          <w:w w:val="100"/>
        </w:rPr>
        <w:t> </w:t>
      </w:r>
      <w:r>
        <w:rPr>
          <w:spacing w:val="-3"/>
        </w:rPr>
        <w:t>司，于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月整体变更为</w:t>
      </w:r>
      <w:r>
        <w:rPr>
          <w:rFonts w:ascii="Times New Roman" w:hAnsi="Times New Roman" w:cs="Times New Roman" w:eastAsia="Times New Roman" w:hint="default"/>
          <w:spacing w:val="-3"/>
        </w:rPr>
        <w:t>“</w:t>
      </w:r>
      <w:r>
        <w:rPr>
          <w:spacing w:val="-3"/>
        </w:rPr>
        <w:t>武汉金运激光股份有限公司</w:t>
      </w:r>
      <w:r>
        <w:rPr>
          <w:rFonts w:ascii="Times New Roman" w:hAnsi="Times New Roman" w:cs="Times New Roman" w:eastAsia="Times New Roman" w:hint="default"/>
          <w:spacing w:val="-3"/>
        </w:rPr>
        <w:t>”</w:t>
      </w:r>
      <w:r>
        <w:rPr>
          <w:spacing w:val="-3"/>
        </w:rPr>
        <w:t>。公司于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月在深圳证券交易所上市，</w:t>
      </w:r>
      <w:r>
        <w:rPr>
          <w:spacing w:val="-8"/>
        </w:rPr>
        <w:t> </w:t>
      </w:r>
      <w:r>
        <w:rPr>
          <w:spacing w:val="-8"/>
        </w:rPr>
      </w:r>
      <w:r>
        <w:rPr/>
        <w:t>现持有统一社会信用代码为</w:t>
      </w:r>
      <w:r>
        <w:rPr>
          <w:rFonts w:ascii="Times New Roman" w:hAnsi="Times New Roman" w:cs="Times New Roman" w:eastAsia="Times New Roman" w:hint="default"/>
        </w:rPr>
        <w:t>91420100771373833D</w:t>
      </w:r>
      <w:r>
        <w:rPr/>
        <w:t>的营业执照。</w:t>
      </w:r>
    </w:p>
    <w:p>
      <w:pPr>
        <w:pStyle w:val="BodyText"/>
        <w:spacing w:line="256" w:lineRule="auto" w:before="5"/>
        <w:ind w:left="513" w:right="1131" w:firstLine="420"/>
        <w:jc w:val="both"/>
      </w:pPr>
      <w:r>
        <w:rPr/>
        <w:t>经过历年的派送红股及转增股本，截至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12,600</w:t>
      </w:r>
      <w:r>
        <w:rPr/>
        <w:t>万股，</w:t>
      </w:r>
      <w:r>
        <w:rPr>
          <w:w w:val="100"/>
        </w:rPr>
        <w:t> </w:t>
      </w:r>
      <w:r>
        <w:rPr/>
        <w:t>注册资本为</w:t>
      </w:r>
      <w:r>
        <w:rPr>
          <w:rFonts w:ascii="Times New Roman" w:hAnsi="Times New Roman" w:cs="Times New Roman" w:eastAsia="Times New Roman" w:hint="default"/>
        </w:rPr>
        <w:t>12,600</w:t>
      </w:r>
      <w:r>
        <w:rPr/>
        <w:t>万元；注册地址暨总部地址：武汉市江岸区后湖街石桥一路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3</w:t>
      </w:r>
      <w:r>
        <w:rPr/>
        <w:t>栋；本公司最终实</w:t>
      </w:r>
      <w:r>
        <w:rPr>
          <w:spacing w:val="-18"/>
        </w:rPr>
        <w:t> </w:t>
      </w:r>
      <w:r>
        <w:rPr>
          <w:spacing w:val="-18"/>
        </w:rPr>
      </w:r>
      <w:r>
        <w:rPr/>
        <w:t>际控制人为梁伟先生。</w:t>
      </w:r>
    </w:p>
    <w:p>
      <w:pPr>
        <w:spacing w:line="259" w:lineRule="auto" w:before="142"/>
        <w:ind w:left="933" w:right="121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、公司业务性质和主要经营活动</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本公司属计算机、通信和其他电子设备制造业行业，主要产品和服务为</w:t>
      </w:r>
      <w:r>
        <w:rPr>
          <w:rFonts w:ascii="Times New Roman" w:hAnsi="Times New Roman" w:cs="Times New Roman" w:eastAsia="Times New Roman" w:hint="default"/>
          <w:spacing w:val="-2"/>
          <w:sz w:val="21"/>
          <w:szCs w:val="21"/>
        </w:rPr>
        <w:t>X-Y</w:t>
      </w:r>
      <w:r>
        <w:rPr>
          <w:rFonts w:ascii="宋体" w:hAnsi="宋体" w:cs="宋体" w:eastAsia="宋体" w:hint="default"/>
          <w:spacing w:val="-2"/>
          <w:sz w:val="21"/>
          <w:szCs w:val="21"/>
        </w:rPr>
        <w:t>轴系列、振镜系列及</w:t>
      </w:r>
    </w:p>
    <w:p>
      <w:pPr>
        <w:pStyle w:val="BodyText"/>
        <w:spacing w:line="240" w:lineRule="auto" w:before="2"/>
        <w:ind w:left="513" w:right="998"/>
        <w:jc w:val="left"/>
      </w:pPr>
      <w:r>
        <w:rPr/>
        <w:t>雕花系列、裁床系列激光设备、自动售货机的研发、生产、销售、租赁、</w:t>
      </w:r>
      <w:r>
        <w:rPr>
          <w:rFonts w:ascii="Times New Roman" w:hAnsi="Times New Roman" w:cs="Times New Roman" w:eastAsia="Times New Roman" w:hint="default"/>
        </w:rPr>
        <w:t>3D</w:t>
      </w:r>
      <w:r>
        <w:rPr/>
        <w:t>打印设备及打印服务等。</w:t>
      </w:r>
    </w:p>
    <w:p>
      <w:pPr>
        <w:spacing w:line="256" w:lineRule="auto" w:before="141"/>
        <w:ind w:left="573" w:right="3233"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、财务报表的批准报出</w:t>
      </w:r>
      <w:r>
        <w:rPr>
          <w:rFonts w:ascii="宋体" w:hAnsi="宋体" w:cs="宋体" w:eastAsia="宋体" w:hint="default"/>
          <w:b/>
          <w:bCs/>
          <w:w w:val="100"/>
          <w:sz w:val="21"/>
          <w:szCs w:val="21"/>
        </w:rPr>
        <w:t> </w:t>
      </w:r>
      <w:r>
        <w:rPr>
          <w:rFonts w:ascii="宋体" w:hAnsi="宋体" w:cs="宋体" w:eastAsia="宋体" w:hint="default"/>
          <w:sz w:val="21"/>
          <w:szCs w:val="21"/>
        </w:rPr>
        <w:t>本财务报表业经公司董事会于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日批准报出。</w:t>
      </w:r>
    </w:p>
    <w:p>
      <w:pPr>
        <w:spacing w:line="240" w:lineRule="auto" w:before="3"/>
        <w:rPr>
          <w:rFonts w:ascii="宋体" w:hAnsi="宋体" w:cs="宋体" w:eastAsia="宋体" w:hint="default"/>
          <w:sz w:val="24"/>
          <w:szCs w:val="24"/>
        </w:rPr>
      </w:pPr>
    </w:p>
    <w:p>
      <w:pPr>
        <w:pStyle w:val="BodyText"/>
        <w:spacing w:line="240" w:lineRule="auto"/>
        <w:ind w:left="573" w:right="1116"/>
        <w:jc w:val="left"/>
      </w:pPr>
      <w:r>
        <w:rPr/>
        <w:t>本期纳入合并财务报表范围的子公司主体共</w:t>
      </w:r>
      <w:r>
        <w:rPr>
          <w:rFonts w:ascii="Times New Roman" w:hAnsi="Times New Roman" w:cs="Times New Roman" w:eastAsia="Times New Roman" w:hint="default"/>
        </w:rPr>
        <w:t>9</w:t>
      </w:r>
      <w:r>
        <w:rPr/>
        <w:t>户，具体包括：</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63"/>
        <w:gridCol w:w="1335"/>
        <w:gridCol w:w="962"/>
        <w:gridCol w:w="1445"/>
        <w:gridCol w:w="1668"/>
      </w:tblGrid>
      <w:tr>
        <w:trPr>
          <w:trHeight w:val="341"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5"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7"/>
              <w:ind w:left="24" w:right="192"/>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武汉唯 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653"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7"/>
              <w:ind w:left="24" w:right="12"/>
              <w:jc w:val="left"/>
              <w:rPr>
                <w:rFonts w:ascii="宋体" w:hAnsi="宋体" w:cs="宋体" w:eastAsia="宋体" w:hint="default"/>
                <w:sz w:val="18"/>
                <w:szCs w:val="18"/>
              </w:rPr>
            </w:pPr>
            <w:r>
              <w:rPr>
                <w:rFonts w:ascii="宋体" w:hAnsi="宋体" w:cs="宋体" w:eastAsia="宋体" w:hint="default"/>
                <w:sz w:val="18"/>
                <w:szCs w:val="18"/>
              </w:rPr>
              <w:t>武汉金之运激光工程技术有限公司（以下简称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武汉金 之运</w:t>
            </w:r>
            <w:r>
              <w:rPr>
                <w:rFonts w:ascii="Times New Roman" w:hAnsi="Times New Roman" w:cs="Times New Roman" w:eastAsia="Times New Roman" w:hint="default"/>
                <w:sz w:val="18"/>
                <w:szCs w:val="18"/>
              </w:rPr>
              <w:t>”</w:t>
            </w:r>
            <w:r>
              <w:rPr>
                <w:rFonts w:ascii="宋体" w:hAnsi="宋体" w:cs="宋体" w:eastAsia="宋体" w:hint="default"/>
                <w:sz w:val="18"/>
                <w:szCs w:val="18"/>
              </w:rPr>
              <w:t>）（曾用名辽宁金之运激光工程技术有限公司）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655"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7"/>
              <w:ind w:left="24" w:right="12"/>
              <w:jc w:val="left"/>
              <w:rPr>
                <w:rFonts w:ascii="宋体" w:hAnsi="宋体" w:cs="宋体" w:eastAsia="宋体" w:hint="default"/>
                <w:sz w:val="18"/>
                <w:szCs w:val="18"/>
              </w:rPr>
            </w:pPr>
            <w:r>
              <w:rPr>
                <w:rFonts w:ascii="宋体" w:hAnsi="宋体" w:cs="宋体" w:eastAsia="宋体" w:hint="default"/>
                <w:sz w:val="18"/>
                <w:szCs w:val="18"/>
              </w:rPr>
              <w:t>武汉斯利沃激光器技术有限公司（以下简称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武汉斯利 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w:t>
            </w:r>
          </w:p>
        </w:tc>
      </w:tr>
      <w:tr>
        <w:trPr>
          <w:trHeight w:val="341"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89"/>
              <w:jc w:val="center"/>
              <w:rPr>
                <w:rFonts w:ascii="宋体" w:hAnsi="宋体" w:cs="宋体" w:eastAsia="宋体" w:hint="default"/>
                <w:sz w:val="18"/>
                <w:szCs w:val="18"/>
              </w:rPr>
            </w:pPr>
            <w:r>
              <w:rPr>
                <w:rFonts w:ascii="宋体" w:hAnsi="宋体" w:cs="宋体" w:eastAsia="宋体" w:hint="default"/>
                <w:sz w:val="18"/>
                <w:szCs w:val="18"/>
              </w:rPr>
              <w:t>上海金萃激光技术有限公司（以下简称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上海金萃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68.5</w:t>
            </w:r>
          </w:p>
        </w:tc>
      </w:tr>
      <w:tr>
        <w:trPr>
          <w:trHeight w:val="655"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湖北高投金运激光产业投资管理有限公司（以下简称</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高投金运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参股子公司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w:t>
            </w:r>
          </w:p>
        </w:tc>
      </w:tr>
      <w:tr>
        <w:trPr>
          <w:trHeight w:val="341"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89"/>
              <w:jc w:val="center"/>
              <w:rPr>
                <w:rFonts w:ascii="宋体" w:hAnsi="宋体" w:cs="宋体" w:eastAsia="宋体" w:hint="default"/>
                <w:sz w:val="18"/>
                <w:szCs w:val="18"/>
              </w:rPr>
            </w:pPr>
            <w:r>
              <w:rPr>
                <w:rFonts w:ascii="宋体" w:hAnsi="宋体" w:cs="宋体" w:eastAsia="宋体" w:hint="default"/>
                <w:sz w:val="18"/>
                <w:szCs w:val="18"/>
              </w:rPr>
              <w:t>高汇科技（香港）有限公司（以下简称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高汇科技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69"/>
              <w:jc w:val="center"/>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金运数字技术（武汉）有限公司（以下简称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金运数字</w:t>
            </w:r>
            <w:r>
              <w:rPr>
                <w:rFonts w:ascii="Times New Roman" w:hAnsi="Times New Roman" w:cs="Times New Roman" w:eastAsia="Times New Roman" w:hint="default"/>
                <w:spacing w:val="-7"/>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6" w:right="20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653"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7"/>
              <w:ind w:left="24" w:right="12"/>
              <w:jc w:val="left"/>
              <w:rPr>
                <w:rFonts w:ascii="宋体" w:hAnsi="宋体" w:cs="宋体" w:eastAsia="宋体" w:hint="default"/>
                <w:sz w:val="18"/>
                <w:szCs w:val="18"/>
              </w:rPr>
            </w:pPr>
            <w:r>
              <w:rPr>
                <w:rFonts w:ascii="宋体" w:hAnsi="宋体" w:cs="宋体" w:eastAsia="宋体" w:hint="default"/>
                <w:sz w:val="18"/>
                <w:szCs w:val="18"/>
              </w:rPr>
              <w:t>武汉金运激光产业发展有限公司（以下简称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金运产业 发展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r>
        <w:trPr>
          <w:trHeight w:val="344" w:hRule="exact"/>
        </w:trPr>
        <w:tc>
          <w:tcPr>
            <w:tcW w:w="4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right="89"/>
              <w:jc w:val="center"/>
              <w:rPr>
                <w:rFonts w:ascii="宋体" w:hAnsi="宋体" w:cs="宋体" w:eastAsia="宋体" w:hint="default"/>
                <w:sz w:val="18"/>
                <w:szCs w:val="18"/>
              </w:rPr>
            </w:pPr>
            <w:r>
              <w:rPr>
                <w:rFonts w:ascii="宋体" w:hAnsi="宋体" w:cs="宋体" w:eastAsia="宋体" w:hint="default"/>
                <w:sz w:val="18"/>
                <w:szCs w:val="18"/>
              </w:rPr>
              <w:t>武汉金运互动传媒有限公司（以下简称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金运互动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5"/>
          <w:szCs w:val="5"/>
        </w:rPr>
      </w:pPr>
    </w:p>
    <w:p>
      <w:pPr>
        <w:pStyle w:val="BodyText"/>
        <w:spacing w:line="256" w:lineRule="auto" w:before="36"/>
        <w:ind w:right="106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高投金运持股比例不同于表决权比例的原因详见第十二节财务报告</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1</w:t>
      </w:r>
      <w:r>
        <w:rPr/>
        <w:t>）</w:t>
      </w:r>
      <w:r>
        <w:rPr>
          <w:w w:val="100"/>
        </w:rPr>
        <w:t> </w:t>
      </w:r>
      <w:r>
        <w:rPr/>
        <w:t>在子公司中的权益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1"/>
          <w:szCs w:val="21"/>
        </w:rPr>
      </w:pPr>
    </w:p>
    <w:p>
      <w:pPr>
        <w:pStyle w:val="Heading2"/>
        <w:spacing w:line="240" w:lineRule="auto"/>
        <w:ind w:right="1116"/>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6" w:firstLine="42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w:t>
      </w:r>
      <w:r>
        <w:rPr>
          <w:w w:val="100"/>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16"/>
        </w:rPr>
        <w:t> </w:t>
      </w:r>
      <w:r>
        <w:rPr>
          <w:spacing w:val="-16"/>
        </w:rPr>
      </w:r>
      <w:r>
        <w:rPr>
          <w:spacing w:val="-7"/>
        </w:rPr>
        <w:t>认和计量，在此基础上，结合中国证券监督管理委员会《公开发行证券的公司信息披露编报规则第</w:t>
      </w:r>
      <w:r>
        <w:rPr>
          <w:rFonts w:ascii="Times New Roman" w:hAnsi="Times New Roman" w:cs="Times New Roman" w:eastAsia="Times New Roman" w:hint="default"/>
          <w:spacing w:val="-7"/>
        </w:rPr>
        <w:t>15</w:t>
      </w:r>
      <w:r>
        <w:rPr>
          <w:spacing w:val="-7"/>
        </w:rPr>
        <w:t>号</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7"/>
        </w:rPr>
        <w:t> </w:t>
      </w:r>
      <w:r>
        <w:rPr/>
        <w:t>财务报告的一般规定》（</w:t>
      </w:r>
      <w:r>
        <w:rPr>
          <w:rFonts w:ascii="Times New Roman" w:hAnsi="Times New Roman" w:cs="Times New Roman" w:eastAsia="Times New Roman" w:hint="default"/>
        </w:rPr>
        <w:t>2014</w:t>
      </w:r>
      <w:r>
        <w:rPr/>
        <w:t>年修订）的规定，编制财务报表。</w:t>
      </w:r>
    </w:p>
    <w:p>
      <w:pPr>
        <w:spacing w:after="0" w:line="256" w:lineRule="auto"/>
        <w:jc w:val="both"/>
        <w:sectPr>
          <w:headerReference w:type="default" r:id="rId16"/>
          <w:footerReference w:type="default" r:id="rId17"/>
          <w:pgSz w:w="11910" w:h="16840"/>
          <w:pgMar w:header="877" w:footer="979" w:top="1100" w:bottom="1160" w:left="980" w:right="0"/>
          <w:pgNumType w:start="76"/>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16" w:firstLine="42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w:t>
      </w:r>
      <w:r>
        <w:rPr>
          <w:w w:val="100"/>
        </w:rPr>
        <w:t> </w:t>
      </w:r>
      <w:r>
        <w:rPr/>
        <w:t>或情况。因此，本财务报表系在持续经营假设的基础上编制。</w:t>
      </w:r>
    </w:p>
    <w:p>
      <w:pPr>
        <w:spacing w:line="240" w:lineRule="auto" w:before="9"/>
        <w:rPr>
          <w:rFonts w:ascii="宋体" w:hAnsi="宋体" w:cs="宋体" w:eastAsia="宋体" w:hint="default"/>
          <w:sz w:val="22"/>
          <w:szCs w:val="22"/>
        </w:rPr>
      </w:pPr>
    </w:p>
    <w:p>
      <w:pPr>
        <w:pStyle w:val="Heading2"/>
        <w:spacing w:line="240" w:lineRule="auto"/>
        <w:ind w:right="1116"/>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573" w:right="1116" w:hanging="421"/>
        <w:jc w:val="left"/>
      </w:pPr>
      <w:r>
        <w:rPr/>
        <w:t>具体会计政策和会计估计提示：</w:t>
      </w:r>
      <w:r>
        <w:rPr>
          <w:w w:val="100"/>
        </w:rPr>
        <w:t> </w:t>
      </w:r>
      <w:r>
        <w:rPr>
          <w:spacing w:val="-2"/>
        </w:rPr>
        <w:t>本公司根据实际生产经营特点制定的具体会计政策和会计估计，包括应收款项坏账准备的确认和计</w:t>
      </w:r>
    </w:p>
    <w:p>
      <w:pPr>
        <w:pStyle w:val="BodyText"/>
        <w:spacing w:line="253" w:lineRule="exact"/>
        <w:ind w:right="1116"/>
        <w:jc w:val="left"/>
      </w:pPr>
      <w:r>
        <w:rPr/>
        <w:t>量、发出存货的计量、固定资产分类及折旧方法、无形资产摊销、收入的确认和计量等。</w:t>
      </w:r>
    </w:p>
    <w:p>
      <w:pPr>
        <w:spacing w:line="590" w:lineRule="atLeast" w:before="38"/>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本公司所编制的财务报表符合企业会计准则的要求，真实、完整地反映了报告期公司的财务状况、经</w:t>
      </w:r>
    </w:p>
    <w:p>
      <w:pPr>
        <w:pStyle w:val="BodyText"/>
        <w:spacing w:line="240" w:lineRule="auto" w:before="37"/>
        <w:ind w:right="1116"/>
        <w:jc w:val="left"/>
      </w:pPr>
      <w:r>
        <w:rPr/>
        <w:t>营成果、现金流量等有关信息。</w:t>
      </w:r>
    </w:p>
    <w:p>
      <w:pPr>
        <w:spacing w:line="240" w:lineRule="auto" w:before="10"/>
        <w:rPr>
          <w:rFonts w:ascii="宋体" w:hAnsi="宋体" w:cs="宋体" w:eastAsia="宋体" w:hint="default"/>
          <w:sz w:val="25"/>
          <w:szCs w:val="25"/>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16"/>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1116"/>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16"/>
        <w:jc w:val="left"/>
      </w:pPr>
      <w:r>
        <w:rPr/>
        <w:t>采用人民币为记账本位币。</w:t>
      </w:r>
    </w:p>
    <w:p>
      <w:pPr>
        <w:spacing w:line="240" w:lineRule="auto" w:before="10"/>
        <w:rPr>
          <w:rFonts w:ascii="宋体" w:hAnsi="宋体" w:cs="宋体" w:eastAsia="宋体" w:hint="default"/>
          <w:sz w:val="25"/>
          <w:szCs w:val="25"/>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56" w:lineRule="auto"/>
        <w:ind w:right="1116"/>
        <w:jc w:val="left"/>
        <w:rPr>
          <w:b w:val="0"/>
          <w:bCs w:val="0"/>
        </w:rPr>
      </w:pPr>
      <w:r>
        <w:rPr>
          <w:rFonts w:ascii="Times New Roman" w:hAnsi="Times New Roman" w:cs="Times New Roman" w:eastAsia="Times New Roman" w:hint="default"/>
          <w:spacing w:val="-3"/>
        </w:rPr>
        <w:t>(1)</w:t>
      </w:r>
      <w:r>
        <w:rPr>
          <w:spacing w:val="-3"/>
        </w:rPr>
        <w:t>分步实现企业合并过程中的各项交易的条款、条件以及经济影响符合以下一种或多种情况，将多次交易</w:t>
      </w:r>
      <w:r>
        <w:rPr>
          <w:spacing w:val="-57"/>
        </w:rPr>
        <w:t> </w:t>
      </w:r>
      <w:r>
        <w:rPr>
          <w:spacing w:val="-57"/>
        </w:rPr>
      </w:r>
      <w:r>
        <w:rPr/>
        <w:t>事项作为一揽子交易进行会计处理</w:t>
      </w:r>
      <w:r>
        <w:rPr>
          <w:b w:val="0"/>
          <w:bCs w:val="0"/>
        </w:rPr>
      </w:r>
    </w:p>
    <w:p>
      <w:pPr>
        <w:pStyle w:val="BodyText"/>
        <w:spacing w:line="240" w:lineRule="auto" w:before="23"/>
        <w:ind w:left="573" w:right="1116"/>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73" w:right="1116"/>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21"/>
        <w:ind w:left="573" w:right="1116"/>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256" w:lineRule="auto" w:before="21"/>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本公司在企业合并中取得的资产和负债，按照合并日在被合并方资产、负债（包括最终控制方收购被</w:t>
      </w:r>
    </w:p>
    <w:p>
      <w:pPr>
        <w:pStyle w:val="BodyText"/>
        <w:spacing w:line="273" w:lineRule="auto" w:before="22"/>
        <w:ind w:right="1126"/>
        <w:jc w:val="both"/>
      </w:pPr>
      <w:r>
        <w:rPr>
          <w:spacing w:val="-2"/>
        </w:rPr>
        <w:t>合并方而形成的商誉）在最终控制方合并财务报表中的账面价值计量。在合并中取得的净资产账面价值与</w:t>
      </w:r>
      <w:r>
        <w:rPr>
          <w:spacing w:val="-43"/>
        </w:rPr>
        <w:t> </w:t>
      </w:r>
      <w:r>
        <w:rPr>
          <w:spacing w:val="-43"/>
        </w:rPr>
      </w:r>
      <w:r>
        <w:rPr>
          <w:spacing w:val="-2"/>
        </w:rPr>
        <w:t>支付的合并对价账面价值（或发行股份面值总额）的差额，调整资本公积中的股本溢价，资本公积中的股</w:t>
      </w:r>
      <w:r>
        <w:rPr>
          <w:spacing w:val="-47"/>
        </w:rPr>
        <w:t> </w:t>
      </w:r>
      <w:r>
        <w:rPr>
          <w:spacing w:val="-47"/>
        </w:rPr>
      </w:r>
      <w:r>
        <w:rPr/>
        <w:t>本溢价不足冲减的，调整留存收益。</w:t>
      </w:r>
    </w:p>
    <w:p>
      <w:pPr>
        <w:pStyle w:val="BodyText"/>
        <w:spacing w:line="273" w:lineRule="auto" w:before="7"/>
        <w:ind w:right="1116" w:firstLine="420"/>
        <w:jc w:val="left"/>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BodyText"/>
        <w:spacing w:line="273" w:lineRule="auto" w:before="8"/>
        <w:ind w:right="1116" w:firstLine="420"/>
        <w:jc w:val="left"/>
      </w:pPr>
      <w:r>
        <w:rPr>
          <w:spacing w:val="-2"/>
        </w:rPr>
        <w:t>对于通过多次交易最终实现企业合并的，属于一揽子交易的，将各项交易作为一项取得控制权的交易</w:t>
      </w:r>
      <w:r>
        <w:rPr>
          <w:w w:val="100"/>
        </w:rPr>
        <w:t> </w:t>
      </w:r>
      <w:r>
        <w:rPr>
          <w:spacing w:val="-2"/>
        </w:rPr>
        <w:t>进行会计处理；不属于一揽子交易的，在取得控制权日，长期股权投资初始投资成本，与达到合并前的长</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05"/>
        <w:jc w:val="both"/>
      </w:pP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4"/>
        </w:rPr>
        <w:t> </w:t>
      </w:r>
      <w:r>
        <w:rPr>
          <w:spacing w:val="-44"/>
        </w:rPr>
      </w: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spacing w:line="256" w:lineRule="auto" w:before="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购买日是指本公司实际取得对被购买方控制权的日期，即被购买方的净资产或生产经营决策的控制权</w:t>
      </w:r>
    </w:p>
    <w:p>
      <w:pPr>
        <w:pStyle w:val="BodyText"/>
        <w:spacing w:line="240" w:lineRule="auto" w:before="22"/>
        <w:ind w:right="1116"/>
        <w:jc w:val="left"/>
      </w:pPr>
      <w:r>
        <w:rPr/>
        <w:t>转移给本公司的日期。同时满足下列条件时，本公司一般认为实现了控制权的转移：</w:t>
      </w:r>
    </w:p>
    <w:p>
      <w:pPr>
        <w:pStyle w:val="BodyText"/>
        <w:spacing w:line="240" w:lineRule="auto" w:before="37"/>
        <w:ind w:left="573" w:right="1116"/>
        <w:jc w:val="left"/>
      </w:pPr>
      <w:r>
        <w:rPr/>
        <w:t>①企业合并合同或协议已获本公司内部权力机构通过。</w:t>
      </w:r>
    </w:p>
    <w:p>
      <w:pPr>
        <w:pStyle w:val="BodyText"/>
        <w:spacing w:line="240" w:lineRule="auto" w:before="37"/>
        <w:ind w:left="573" w:right="1116"/>
        <w:jc w:val="left"/>
      </w:pPr>
      <w:r>
        <w:rPr/>
        <w:t>②企业合并事项需要经过国家有关主管部门审批的，已获得批准。</w:t>
      </w:r>
    </w:p>
    <w:p>
      <w:pPr>
        <w:pStyle w:val="BodyText"/>
        <w:spacing w:line="240" w:lineRule="auto" w:before="37"/>
        <w:ind w:left="573" w:right="1116"/>
        <w:jc w:val="left"/>
      </w:pPr>
      <w:r>
        <w:rPr/>
        <w:t>③已办理了必要的财产权转移手续。</w:t>
      </w:r>
    </w:p>
    <w:p>
      <w:pPr>
        <w:pStyle w:val="BodyText"/>
        <w:spacing w:line="240" w:lineRule="auto" w:before="37"/>
        <w:ind w:left="573" w:right="1116"/>
        <w:jc w:val="left"/>
      </w:pPr>
      <w:r>
        <w:rPr/>
        <w:t>④本公司已支付了合并价款的大部分，并且有能力、有计划支付剩余款项。</w:t>
      </w:r>
    </w:p>
    <w:p>
      <w:pPr>
        <w:pStyle w:val="BodyText"/>
        <w:spacing w:line="273" w:lineRule="auto" w:before="37"/>
        <w:ind w:left="573" w:right="1116"/>
        <w:jc w:val="left"/>
      </w:pPr>
      <w:r>
        <w:rPr/>
        <w:t>⑤本公司实际上已经控制了被购买方的财务和经营政策，并享有相应的利益、承担相应的风险。</w:t>
      </w:r>
      <w:r>
        <w:rPr>
          <w:w w:val="100"/>
        </w:rPr>
        <w:t> </w:t>
      </w:r>
      <w:r>
        <w:rPr>
          <w:spacing w:val="-2"/>
        </w:rPr>
        <w:t>本公司在购买日对作为企业合并对价付出的资产、发生或承担的负债按照公允价值计量，公允价值与</w:t>
      </w:r>
    </w:p>
    <w:p>
      <w:pPr>
        <w:pStyle w:val="BodyText"/>
        <w:spacing w:line="273" w:lineRule="auto" w:before="7"/>
        <w:ind w:left="573" w:right="1116" w:hanging="421"/>
        <w:jc w:val="left"/>
      </w:pPr>
      <w:r>
        <w:rPr/>
        <w:t>其账面价值的差额，计入当期损益。</w:t>
      </w:r>
      <w:r>
        <w:rPr>
          <w:w w:val="100"/>
        </w:rPr>
        <w:t> </w:t>
      </w:r>
      <w:r>
        <w:rPr>
          <w:spacing w:val="-2"/>
        </w:rPr>
        <w:t>本公司对合并成本大于合并中取得的被购买方可辨认净资产公允价值份额的差额，确认为商誉；合并</w:t>
      </w:r>
    </w:p>
    <w:p>
      <w:pPr>
        <w:pStyle w:val="BodyText"/>
        <w:spacing w:line="273" w:lineRule="auto" w:before="7"/>
        <w:ind w:left="573" w:right="1116" w:hanging="421"/>
        <w:jc w:val="left"/>
      </w:pPr>
      <w:r>
        <w:rPr/>
        <w:t>成本小于合并中取得的被购买方可辨认净资产公允价值份额的差额，经复核后，计入当期损益。</w:t>
      </w:r>
      <w:r>
        <w:rPr>
          <w:w w:val="100"/>
        </w:rPr>
        <w:t> </w:t>
      </w:r>
      <w:r>
        <w:rPr>
          <w:spacing w:val="-2"/>
        </w:rPr>
        <w:t>通过多次交换交易分步实现的非同一控制下企业合并，属于一揽子交易的，将各项交易作为一项取得</w:t>
      </w:r>
    </w:p>
    <w:p>
      <w:pPr>
        <w:pStyle w:val="BodyText"/>
        <w:spacing w:line="273" w:lineRule="auto" w:before="7"/>
        <w:ind w:right="1126"/>
        <w:jc w:val="both"/>
      </w:pPr>
      <w:r>
        <w:rPr>
          <w:spacing w:val="-2"/>
        </w:rPr>
        <w:t>控制权的交易进行会计处理；不属于一揽子交易的，合并日之前持有的股权投资采用权益法核算的，以购</w:t>
      </w:r>
      <w:r>
        <w:rPr>
          <w:spacing w:val="-43"/>
        </w:rPr>
        <w:t> </w:t>
      </w:r>
      <w:r>
        <w:rPr>
          <w:spacing w:val="-43"/>
        </w:rPr>
      </w:r>
      <w:r>
        <w:rPr>
          <w:spacing w:val="2"/>
        </w:rPr>
        <w:t>买日之前所持被购买方的股权投资的账面价值与购买日新增投资成本之和，作为该项投资的初始投资成</w:t>
      </w:r>
      <w:r>
        <w:rPr>
          <w:spacing w:val="-30"/>
        </w:rPr>
        <w:t> </w:t>
      </w:r>
      <w:r>
        <w:rPr>
          <w:spacing w:val="-30"/>
        </w:rPr>
      </w:r>
      <w:r>
        <w:rPr>
          <w:spacing w:val="-2"/>
        </w:rPr>
        <w:t>本；购买日之前持有的股权投资因采用权益法核算而确认的其他综合收益，在处置该项投资时采用与被投</w:t>
      </w:r>
      <w:r>
        <w:rPr>
          <w:spacing w:val="-43"/>
        </w:rPr>
        <w:t> </w:t>
      </w:r>
      <w:r>
        <w:rPr>
          <w:spacing w:val="-43"/>
        </w:rPr>
      </w:r>
      <w:r>
        <w:rPr>
          <w:spacing w:val="-2"/>
        </w:rPr>
        <w:t>资单位直接处置相关资产或负债相同的基础进行会计处理。合并日之前持有的股权投资采用金融工具确认</w:t>
      </w:r>
      <w:r>
        <w:rPr>
          <w:spacing w:val="-43"/>
        </w:rPr>
        <w:t> </w:t>
      </w:r>
      <w:r>
        <w:rPr>
          <w:spacing w:val="-43"/>
        </w:rPr>
      </w:r>
      <w:r>
        <w:rPr>
          <w:spacing w:val="-2"/>
        </w:rPr>
        <w:t>和计量准则核算的，以该股权投资在合并日的公允价值加上新增投资成本之和，作为合并日的初始投资成</w:t>
      </w:r>
      <w:r>
        <w:rPr>
          <w:spacing w:val="-43"/>
        </w:rPr>
        <w:t> </w:t>
      </w:r>
      <w:r>
        <w:rPr>
          <w:spacing w:val="-43"/>
        </w:rPr>
      </w:r>
      <w:r>
        <w:rPr>
          <w:spacing w:val="-2"/>
        </w:rPr>
        <w:t>本。原持有股权的公允价值与账面价值之间的差额以及原计入其他综合收益的累计公允价值变动应全部转</w:t>
      </w:r>
      <w:r>
        <w:rPr>
          <w:spacing w:val="-43"/>
        </w:rPr>
        <w:t> </w:t>
      </w:r>
      <w:r>
        <w:rPr>
          <w:spacing w:val="-43"/>
        </w:rPr>
      </w:r>
      <w:r>
        <w:rPr/>
        <w:t>入合并日当期的投资收益。</w:t>
      </w:r>
    </w:p>
    <w:p>
      <w:pPr>
        <w:spacing w:line="256" w:lineRule="auto" w:before="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spacing w:val="-103"/>
          <w:sz w:val="21"/>
          <w:szCs w:val="21"/>
        </w:rPr>
        <w:t> </w:t>
      </w:r>
      <w:r>
        <w:rPr>
          <w:rFonts w:ascii="宋体" w:hAnsi="宋体" w:cs="宋体" w:eastAsia="宋体" w:hint="default"/>
          <w:spacing w:val="-2"/>
          <w:sz w:val="21"/>
          <w:szCs w:val="21"/>
        </w:rPr>
        <w:t>为企业合并发生的审计、法律服务、评估咨询等中介费用以及其他直接相关费用，于发生时计入当期</w:t>
      </w:r>
    </w:p>
    <w:p>
      <w:pPr>
        <w:pStyle w:val="BodyText"/>
        <w:spacing w:line="240" w:lineRule="auto" w:before="22"/>
        <w:ind w:right="1116"/>
        <w:jc w:val="left"/>
      </w:pPr>
      <w:r>
        <w:rPr/>
        <w:t>损益；为企业合并而发行权益性证券的交易费用，可直接归属于权益性交易的从权益中扣减。</w:t>
      </w:r>
    </w:p>
    <w:p>
      <w:pPr>
        <w:pStyle w:val="Heading3"/>
        <w:spacing w:line="610" w:lineRule="atLeast" w:before="18"/>
        <w:ind w:left="546" w:right="8133" w:hanging="395"/>
        <w:jc w:val="left"/>
        <w:rPr>
          <w:b w:val="0"/>
          <w:bCs w:val="0"/>
        </w:rPr>
      </w:pPr>
      <w:r>
        <w:rPr>
          <w:rFonts w:ascii="Times New Roman" w:hAnsi="Times New Roman" w:cs="Times New Roman" w:eastAsia="Times New Roman" w:hint="default"/>
          <w:spacing w:val="-1"/>
        </w:rPr>
        <w:t>6</w:t>
      </w:r>
      <w:r>
        <w:rPr>
          <w:spacing w:val="-1"/>
        </w:rPr>
        <w:t>、合并财务报表的编制方法</w:t>
      </w:r>
      <w:r>
        <w:rPr>
          <w:spacing w:val="-94"/>
        </w:rPr>
        <w:t> </w:t>
      </w:r>
      <w:r>
        <w:rPr>
          <w:spacing w:val="-94"/>
        </w:rPr>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1)</w:t>
      </w:r>
      <w:r>
        <w:rPr/>
        <w:t>合并范围</w:t>
      </w:r>
      <w:r>
        <w:rPr>
          <w:b w:val="0"/>
          <w:bCs w:val="0"/>
        </w:rPr>
      </w:r>
    </w:p>
    <w:p>
      <w:pPr>
        <w:pStyle w:val="BodyText"/>
        <w:spacing w:line="273" w:lineRule="auto" w:before="21"/>
        <w:ind w:right="1116" w:firstLine="420"/>
        <w:jc w:val="left"/>
      </w:pPr>
      <w:r>
        <w:rPr>
          <w:spacing w:val="-2"/>
        </w:rPr>
        <w:t>本公司合并财务报表的合并范围以控制为基础确定，所有子公司（包括本公司所控制的单独主体）均</w:t>
      </w:r>
      <w:r>
        <w:rPr>
          <w:w w:val="100"/>
        </w:rPr>
        <w:t> </w:t>
      </w:r>
      <w:r>
        <w:rPr/>
        <w:t>纳入合并财务报表。</w:t>
      </w:r>
    </w:p>
    <w:p>
      <w:pPr>
        <w:pStyle w:val="BodyText"/>
        <w:spacing w:line="256" w:lineRule="auto" w:before="7"/>
        <w:ind w:left="573" w:right="1116" w:firstLine="2"/>
        <w:jc w:val="left"/>
      </w:pPr>
      <w:r>
        <w:rPr>
          <w:rFonts w:ascii="Times New Roman" w:hAnsi="Times New Roman" w:cs="Times New Roman" w:eastAsia="Times New Roman" w:hint="default"/>
          <w:b/>
          <w:bCs/>
        </w:rPr>
        <w:t>(</w:t>
      </w:r>
      <w:r>
        <w:rPr>
          <w:rFonts w:ascii="Times New Roman" w:hAnsi="Times New Roman" w:cs="Times New Roman" w:eastAsia="Times New Roman" w:hint="default"/>
          <w:b/>
          <w:bCs/>
          <w:spacing w:val="-1"/>
        </w:rPr>
        <w:t> </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w:t>
      </w:r>
    </w:p>
    <w:p>
      <w:pPr>
        <w:pStyle w:val="BodyText"/>
        <w:spacing w:line="273" w:lineRule="auto" w:before="22"/>
        <w:ind w:right="1129"/>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273" w:lineRule="auto" w:before="7"/>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273" w:lineRule="auto" w:before="8"/>
        <w:ind w:right="1116" w:firstLine="420"/>
        <w:jc w:val="left"/>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left="573" w:right="1116" w:hanging="421"/>
        <w:jc w:val="left"/>
      </w:pPr>
      <w:r>
        <w:rPr/>
        <w:t>或子公司为会计主体对同一交易的认定不同时，从企业集团的角度对该交易予以调整。</w:t>
      </w:r>
      <w:r>
        <w:rPr>
          <w:w w:val="100"/>
        </w:rPr>
        <w:t> </w:t>
      </w:r>
      <w:r>
        <w:rPr>
          <w:spacing w:val="-2"/>
        </w:rPr>
        <w:t>子公司所有者权益、当期净损益和当期综合收益中属于少数股东的份额分别在合并资产负债表中所有</w:t>
      </w:r>
    </w:p>
    <w:p>
      <w:pPr>
        <w:pStyle w:val="BodyText"/>
        <w:spacing w:line="273" w:lineRule="auto" w:before="7"/>
        <w:ind w:right="1126"/>
        <w:jc w:val="both"/>
      </w:pP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273" w:lineRule="auto" w:before="7"/>
        <w:ind w:right="1126" w:firstLine="420"/>
        <w:jc w:val="both"/>
      </w:pPr>
      <w:r>
        <w:rPr>
          <w:spacing w:val="-2"/>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BodyText"/>
        <w:spacing w:line="273" w:lineRule="auto" w:before="7"/>
        <w:ind w:right="1126" w:firstLine="420"/>
        <w:jc w:val="both"/>
      </w:pPr>
      <w:r>
        <w:rPr>
          <w:spacing w:val="-2"/>
        </w:rPr>
        <w:t>对于非同一控制下企业合并取得的子公司，以购买日可辨认净资产公允价值为基础对其财务报表进行</w:t>
      </w:r>
      <w:r>
        <w:rPr>
          <w:w w:val="100"/>
        </w:rPr>
        <w:t> </w:t>
      </w:r>
      <w:r>
        <w:rPr/>
        <w:t>调整</w:t>
      </w:r>
    </w:p>
    <w:p>
      <w:pPr>
        <w:pStyle w:val="BodyText"/>
        <w:spacing w:line="256" w:lineRule="auto" w:before="7"/>
        <w:ind w:left="573" w:right="1116" w:hanging="104"/>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273" w:lineRule="auto" w:before="22"/>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273" w:lineRule="auto" w:before="7"/>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273" w:lineRule="auto" w:before="7"/>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273" w:lineRule="auto" w:before="7"/>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240" w:lineRule="auto" w:before="7"/>
        <w:ind w:left="470" w:right="1116"/>
        <w:jc w:val="left"/>
      </w:pPr>
      <w:r>
        <w:rPr/>
        <w:t>（</w:t>
      </w:r>
      <w:r>
        <w:rPr>
          <w:rFonts w:ascii="Times New Roman" w:hAnsi="Times New Roman" w:cs="Times New Roman" w:eastAsia="Times New Roman" w:hint="default"/>
        </w:rPr>
        <w:t>2</w:t>
      </w:r>
      <w:r>
        <w:rPr/>
        <w:t>）处置子公司或业务</w:t>
      </w:r>
    </w:p>
    <w:p>
      <w:pPr>
        <w:pStyle w:val="BodyText"/>
        <w:spacing w:line="256" w:lineRule="auto" w:before="21"/>
        <w:ind w:left="573" w:right="1116"/>
        <w:jc w:val="left"/>
      </w:pPr>
      <w:r>
        <w:rPr>
          <w:rFonts w:ascii="Times New Roman" w:hAnsi="Times New Roman" w:cs="Times New Roman" w:eastAsia="Times New Roman" w:hint="default"/>
        </w:rPr>
        <w:t>1</w:t>
      </w:r>
      <w:r>
        <w:rPr/>
        <w:t>）一般处理方法</w:t>
      </w:r>
      <w:r>
        <w:rPr>
          <w:w w:val="100"/>
        </w:rPr>
        <w:t> </w:t>
      </w:r>
      <w:r>
        <w:rPr>
          <w:spacing w:val="-2"/>
        </w:rPr>
        <w:t>在报告期内，本公司处置子公司或业务，则该子公司或业务期初至处置日的收入、费用、利润纳入合</w:t>
      </w:r>
    </w:p>
    <w:p>
      <w:pPr>
        <w:pStyle w:val="BodyText"/>
        <w:spacing w:line="273" w:lineRule="auto" w:before="22"/>
        <w:ind w:left="573" w:right="1116" w:hanging="421"/>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BodyText"/>
        <w:spacing w:line="273" w:lineRule="auto" w:before="7"/>
        <w:ind w:right="1126"/>
        <w:jc w:val="both"/>
      </w:pP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2"/>
        </w:rPr>
        <w:t> </w:t>
      </w:r>
      <w:r>
        <w:rPr>
          <w:spacing w:val="-42"/>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256" w:lineRule="auto" w:before="7"/>
        <w:ind w:left="573" w:right="1116"/>
        <w:jc w:val="left"/>
      </w:pPr>
      <w:r>
        <w:rPr>
          <w:rFonts w:ascii="Times New Roman" w:hAnsi="Times New Roman" w:cs="Times New Roman" w:eastAsia="Times New Roman" w:hint="default"/>
        </w:rPr>
        <w:t>2</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273" w:lineRule="auto" w:before="22"/>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256" w:lineRule="auto" w:before="7"/>
        <w:ind w:left="573" w:right="2410"/>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2"/>
        </w:rPr>
        <w:t>D.</w:t>
      </w:r>
      <w:r>
        <w:rPr>
          <w:spacing w:val="-2"/>
        </w:rPr>
        <w:t>一项交易单独看是不经济的，但是和其他交易一并考虑时是经济的。</w:t>
      </w:r>
    </w:p>
    <w:p>
      <w:pPr>
        <w:pStyle w:val="BodyText"/>
        <w:spacing w:line="240" w:lineRule="auto" w:before="5"/>
        <w:ind w:left="573" w:right="998"/>
        <w:jc w:val="left"/>
      </w:pPr>
      <w:r>
        <w:rPr/>
        <w:t>处置对子公司股权投资直至丧失控制权的各项交易属于一揽子交易的，本公司将各项交易作为一项处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273" w:lineRule="auto" w:before="7"/>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256" w:lineRule="auto" w:before="7"/>
        <w:ind w:left="573" w:right="1116" w:hanging="104"/>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273" w:lineRule="auto" w:before="22"/>
        <w:ind w:right="112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268" w:lineRule="auto" w:before="7"/>
        <w:ind w:right="1116" w:firstLine="317"/>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在不丧失控制权的情况下因部分处置对子公司的长期股权投资而取得的处置价款与处置长期股权投资相</w:t>
      </w:r>
      <w:r>
        <w:rPr>
          <w:w w:val="100"/>
        </w:rPr>
        <w:t> </w:t>
      </w:r>
      <w:r>
        <w:rPr>
          <w:spacing w:val="-2"/>
        </w:rPr>
        <w:t>对应享有子公司自购买日或合并日开始持续计算的净资产份额之间的差额，调整合并资产负债表中的资本</w:t>
      </w:r>
      <w:r>
        <w:rPr>
          <w:spacing w:val="-43"/>
        </w:rPr>
        <w:t> </w:t>
      </w:r>
      <w:r>
        <w:rPr>
          <w:spacing w:val="-43"/>
        </w:rPr>
      </w:r>
      <w:r>
        <w:rPr/>
        <w:t>公积中的股本溢价，资本公积中的股本溢价不足冲减的，调整留存收益。</w:t>
      </w:r>
    </w:p>
    <w:p>
      <w:pPr>
        <w:spacing w:line="240" w:lineRule="auto" w:before="11"/>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16" w:firstLine="79"/>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100"/>
        </w:rPr>
        <w:t> </w:t>
      </w:r>
      <w:r>
        <w:rPr>
          <w:spacing w:val="-2"/>
        </w:rPr>
        <w:t>本公司根据合营安排的结构、法律形式以及合营安排中约定的条款、其他相关事实和情况等因素，将</w:t>
      </w:r>
    </w:p>
    <w:p>
      <w:pPr>
        <w:pStyle w:val="BodyText"/>
        <w:spacing w:line="273" w:lineRule="auto" w:before="22"/>
        <w:ind w:left="573" w:right="1116" w:hanging="421"/>
        <w:jc w:val="left"/>
      </w:pPr>
      <w:r>
        <w:rPr/>
        <w:t>合营安排分为共同经营和合营企业。</w:t>
      </w:r>
      <w:r>
        <w:rPr>
          <w:w w:val="100"/>
        </w:rPr>
        <w:t> </w:t>
      </w:r>
      <w:r>
        <w:rPr>
          <w:spacing w:val="-2"/>
        </w:rPr>
        <w:t>未通过单独主体达成的合营安排，划分为共同经营；通过单独主体达成的合营安排，通常划分为合营</w:t>
      </w:r>
    </w:p>
    <w:p>
      <w:pPr>
        <w:pStyle w:val="BodyText"/>
        <w:spacing w:line="240" w:lineRule="auto" w:before="8"/>
        <w:ind w:right="0"/>
        <w:jc w:val="both"/>
      </w:pPr>
      <w:r>
        <w:rPr/>
        <w:t>企业；但有确凿证据表明满足下列任一条件并且符合相关法律法规规定的合营安排划分为共同经营：</w:t>
      </w:r>
    </w:p>
    <w:p>
      <w:pPr>
        <w:pStyle w:val="BodyText"/>
        <w:spacing w:line="240" w:lineRule="auto" w:before="37"/>
        <w:ind w:left="470" w:right="1116"/>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21"/>
        <w:ind w:left="470" w:right="1116"/>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256" w:lineRule="auto" w:before="21"/>
        <w:ind w:right="1116" w:firstLine="317"/>
        <w:jc w:val="left"/>
      </w:pPr>
      <w:r>
        <w:rPr>
          <w:spacing w:val="-2"/>
        </w:rPr>
        <w:t>（</w:t>
      </w:r>
      <w:r>
        <w:rPr>
          <w:rFonts w:ascii="Times New Roman" w:hAnsi="Times New Roman" w:cs="Times New Roman" w:eastAsia="Times New Roman" w:hint="default"/>
          <w:spacing w:val="-2"/>
        </w:rPr>
        <w:t>3</w:t>
      </w:r>
      <w:r>
        <w:rPr>
          <w:spacing w:val="-2"/>
        </w:rPr>
        <w:t>）其他相关事实和情况表明，合营方对该安排中的相关资产和负债分别享有权利和承担义务，如合</w:t>
      </w:r>
      <w:r>
        <w:rPr>
          <w:w w:val="100"/>
        </w:rPr>
        <w:t> </w:t>
      </w:r>
      <w:r>
        <w:rPr/>
        <w:t>营方享有与合营安排相关的几乎所有产出，并且该安排中负债的清偿持续依赖于合营方的支持。</w:t>
      </w:r>
    </w:p>
    <w:p>
      <w:pPr>
        <w:spacing w:line="256" w:lineRule="auto" w:before="22"/>
        <w:ind w:left="470" w:right="1116" w:firstLine="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本公司确认共同经营中利益份额中与本公司相关的下列项目，并按照相关企业会计准则的规定进行会</w:t>
      </w:r>
    </w:p>
    <w:p>
      <w:pPr>
        <w:pStyle w:val="BodyText"/>
        <w:spacing w:line="240" w:lineRule="auto" w:before="22"/>
        <w:ind w:right="0"/>
        <w:jc w:val="both"/>
      </w:pPr>
      <w:r>
        <w:rPr/>
        <w:t>计处理：</w:t>
      </w:r>
    </w:p>
    <w:p>
      <w:pPr>
        <w:pStyle w:val="BodyText"/>
        <w:spacing w:line="240" w:lineRule="auto" w:before="37"/>
        <w:ind w:left="470" w:right="1116"/>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left="470" w:right="1116"/>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left="470" w:right="1116"/>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22"/>
        <w:ind w:left="470" w:right="1116"/>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56" w:lineRule="auto" w:before="21"/>
        <w:ind w:left="573" w:right="1116" w:hanging="104"/>
        <w:jc w:val="left"/>
      </w:pPr>
      <w:r>
        <w:rPr/>
        <w:t>（</w:t>
      </w: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2"/>
        </w:rPr>
        <w:t>本公司向共同经营投出或出售资产等（该资产构成业务的除外），在该资产等由共同经营出售给第三</w:t>
      </w:r>
    </w:p>
    <w:p>
      <w:pPr>
        <w:pStyle w:val="BodyText"/>
        <w:spacing w:line="271" w:lineRule="auto" w:before="22"/>
        <w:ind w:right="1126"/>
        <w:jc w:val="both"/>
      </w:pPr>
      <w:r>
        <w:rPr>
          <w:spacing w:val="-7"/>
        </w:rPr>
        <w:t>方之前，仅确认因该交易产生的损益中归属于共同经营其他参与方的部分。投出或出售的资产发生符合《企</w:t>
      </w:r>
      <w:r>
        <w:rPr>
          <w:spacing w:val="-17"/>
        </w:rPr>
        <w:t> </w:t>
      </w:r>
      <w:r>
        <w:rPr>
          <w:spacing w:val="-17"/>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资产减值》等规定的资产减值损失的，本公司全额确认该损失。</w:t>
      </w:r>
    </w:p>
    <w:p>
      <w:pPr>
        <w:pStyle w:val="BodyText"/>
        <w:spacing w:line="264" w:lineRule="auto"/>
        <w:ind w:right="1126" w:firstLine="420"/>
        <w:jc w:val="both"/>
      </w:pPr>
      <w:r>
        <w:rPr>
          <w:spacing w:val="-2"/>
        </w:rPr>
        <w:t>本公司自共同经营购买资产等（该资产构成业务的除外），在将该资产等出售给第三方之前，仅确认</w:t>
      </w:r>
      <w:r>
        <w:rPr>
          <w:w w:val="100"/>
        </w:rPr>
        <w:t> </w:t>
      </w:r>
      <w:r>
        <w:rPr>
          <w:spacing w:val="-5"/>
        </w:rPr>
        <w:t>因该交易产生的损益中归属于共同经营其他参与方的部分。购入的资产发生符合《企业会计准则第</w:t>
      </w:r>
      <w:r>
        <w:rPr>
          <w:rFonts w:ascii="Times New Roman" w:hAnsi="Times New Roman" w:cs="Times New Roman" w:eastAsia="Times New Roman" w:hint="default"/>
          <w:spacing w:val="-5"/>
        </w:rPr>
        <w:t>8</w:t>
      </w:r>
      <w:r>
        <w:rPr>
          <w:spacing w:val="-5"/>
        </w:rPr>
        <w:t>号</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
        </w:rPr>
        <w:t> </w:t>
      </w:r>
      <w:r>
        <w:rPr/>
        <w:t>资产减值》等规定的资产减值损失的，本公司按承担的份额确认该部分损失。</w:t>
      </w:r>
    </w:p>
    <w:p>
      <w:pPr>
        <w:pStyle w:val="BodyText"/>
        <w:spacing w:line="273" w:lineRule="auto" w:before="16"/>
        <w:ind w:right="1126" w:firstLine="420"/>
        <w:jc w:val="both"/>
      </w:pPr>
      <w:r>
        <w:rPr>
          <w:spacing w:val="-2"/>
        </w:rPr>
        <w:t>本公司对共同经营不享有共同控制，如果本公司享有该共同经营相关资产且承担该共同经营相关负债</w:t>
      </w:r>
      <w:r>
        <w:rPr>
          <w:w w:val="100"/>
        </w:rPr>
        <w:t> </w:t>
      </w:r>
      <w:r>
        <w:rPr/>
        <w:t>的，仍按上述原则进行会计处理，否则，应当按照相关企业会计准则的规定进行会计处理。</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在编制现金流量表时，将本公司库存现金以及可以随时用于支付的存款确认为现金。将同时具备期限</w:t>
      </w:r>
      <w:r>
        <w:rPr>
          <w:w w:val="100"/>
        </w:rPr>
        <w:t> </w:t>
      </w:r>
      <w:r>
        <w:rPr>
          <w:spacing w:val="-2"/>
        </w:rPr>
        <w:t>短（一般从购买日起三个月内到期）、流动性强、易于转换为已知金额的现金、价值变动风险很小四个条</w:t>
      </w:r>
      <w:r>
        <w:rPr>
          <w:spacing w:val="-43"/>
        </w:rPr>
        <w:t> </w:t>
      </w:r>
      <w:r>
        <w:rPr>
          <w:spacing w:val="-43"/>
        </w:rPr>
      </w:r>
      <w:r>
        <w:rPr/>
        <w:t>件的投资，确定为现金等价物。</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573" w:right="1116" w:hanging="12"/>
        <w:jc w:val="left"/>
      </w:pPr>
      <w:r>
        <w:rPr>
          <w:rFonts w:ascii="Times New Roman" w:hAnsi="Times New Roman" w:cs="Times New Roman" w:eastAsia="Times New Roman" w:hint="default"/>
        </w:rPr>
        <w:t>1</w:t>
      </w:r>
      <w:r>
        <w:rPr/>
        <w:t>、外币业务</w:t>
      </w:r>
      <w:r>
        <w:rPr>
          <w:w w:val="100"/>
        </w:rPr>
        <w:t> </w:t>
      </w: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r>
        <w:rPr/>
      </w:r>
    </w:p>
    <w:p>
      <w:pPr>
        <w:pStyle w:val="BodyText"/>
        <w:spacing w:line="273" w:lineRule="auto" w:before="16"/>
        <w:ind w:right="112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273" w:lineRule="auto" w:before="7"/>
        <w:ind w:right="1126" w:firstLine="422"/>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pStyle w:val="BodyText"/>
        <w:spacing w:line="256" w:lineRule="auto" w:before="7"/>
        <w:ind w:left="575" w:right="1116"/>
        <w:jc w:val="left"/>
      </w:pPr>
      <w:r>
        <w:rPr>
          <w:rFonts w:ascii="Times New Roman" w:hAnsi="Times New Roman" w:cs="Times New Roman" w:eastAsia="Times New Roman" w:hint="default"/>
        </w:rPr>
        <w:t>2</w:t>
      </w:r>
      <w:r>
        <w:rPr/>
        <w:t>、外币财务报表的折算</w:t>
      </w:r>
      <w:r>
        <w:rPr>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p>
    <w:p>
      <w:pPr>
        <w:pStyle w:val="BodyText"/>
        <w:spacing w:line="256" w:lineRule="auto" w:before="5"/>
        <w:ind w:right="1116"/>
        <w:jc w:val="left"/>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项目外，其他项目采用发生时的即期汇率折算。利润表中的收入和费用项目，采用交易发生日的即期</w:t>
      </w:r>
      <w:r>
        <w:rPr>
          <w:spacing w:val="-23"/>
        </w:rPr>
        <w:t> </w:t>
      </w:r>
      <w:r>
        <w:rPr>
          <w:spacing w:val="-23"/>
        </w:rPr>
      </w:r>
      <w:r>
        <w:rPr/>
        <w:t>汇率折算。按照上述折算产生的外币财务报表折算差额计入其他综合收益。</w:t>
      </w:r>
    </w:p>
    <w:p>
      <w:pPr>
        <w:pStyle w:val="BodyText"/>
        <w:spacing w:line="273" w:lineRule="auto" w:before="23"/>
        <w:ind w:right="1126" w:firstLine="420"/>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43"/>
        </w:rPr>
        <w:t> </w:t>
      </w:r>
      <w:r>
        <w:rPr>
          <w:spacing w:val="-43"/>
        </w:rPr>
      </w:r>
      <w:r>
        <w:rPr>
          <w:spacing w:val="-2"/>
        </w:rPr>
        <w:t>比例降低但不丧失对境外经营控制权时，与该境外经营处置部分相关的外币报表折算差额将归属于少数股</w:t>
      </w:r>
      <w:r>
        <w:rPr>
          <w:spacing w:val="-43"/>
        </w:rPr>
        <w:t> </w:t>
      </w:r>
      <w:r>
        <w:rPr>
          <w:spacing w:val="-43"/>
        </w:rPr>
      </w:r>
      <w:r>
        <w:rPr>
          <w:spacing w:val="-2"/>
        </w:rPr>
        <w:t>东权益，不转入当期损益。在处置境外经营为联营企业或合营企业的部分股权时，与该境外经营相关的外</w:t>
      </w:r>
      <w:r>
        <w:rPr>
          <w:spacing w:val="-44"/>
        </w:rPr>
        <w:t> </w:t>
      </w:r>
      <w:r>
        <w:rPr>
          <w:spacing w:val="-44"/>
        </w:rPr>
      </w:r>
      <w:r>
        <w:rPr/>
        <w:t>币报表折算差额，按处置该境外经营的比例转入处置当期损益。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16"/>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BodyText"/>
        <w:spacing w:line="240" w:lineRule="auto" w:before="7"/>
        <w:ind w:right="0"/>
        <w:jc w:val="both"/>
      </w:pPr>
      <w:r>
        <w:rPr/>
        <w:t>间的方法。</w:t>
      </w:r>
    </w:p>
    <w:p>
      <w:pPr>
        <w:pStyle w:val="BodyText"/>
        <w:spacing w:line="264" w:lineRule="auto" w:before="37"/>
        <w:ind w:right="1126" w:firstLine="420"/>
        <w:jc w:val="both"/>
      </w:pPr>
      <w:r>
        <w:rPr>
          <w:spacing w:val="-2"/>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Times New Roman" w:hAnsi="Times New Roman" w:cs="Times New Roman" w:eastAsia="Times New Roman" w:hint="default"/>
          <w:spacing w:val="-4"/>
        </w:rPr>
        <w:t>(</w:t>
      </w:r>
      <w:r>
        <w:rPr>
          <w:spacing w:val="-4"/>
        </w:rPr>
        <w:t>如</w:t>
      </w:r>
      <w:r>
        <w:rPr>
          <w:spacing w:val="-21"/>
        </w:rPr>
        <w:t> </w:t>
      </w:r>
      <w:r>
        <w:rPr/>
        <w:t>提前还款、展期、看涨期权或其他类似期权等</w:t>
      </w:r>
      <w:r>
        <w:rPr>
          <w:rFonts w:ascii="Times New Roman" w:hAnsi="Times New Roman" w:cs="Times New Roman" w:eastAsia="Times New Roman" w:hint="default"/>
        </w:rPr>
        <w:t>)</w:t>
      </w:r>
      <w:r>
        <w:rPr/>
        <w:t>的基础上估计预期现金流量，但不考虑预期信用损失。</w:t>
      </w:r>
    </w:p>
    <w:p>
      <w:pPr>
        <w:pStyle w:val="BodyText"/>
        <w:spacing w:line="273" w:lineRule="auto"/>
        <w:ind w:right="1126" w:firstLine="420"/>
        <w:jc w:val="both"/>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43"/>
        </w:rPr>
        <w:t> </w:t>
      </w:r>
      <w:r>
        <w:rPr>
          <w:spacing w:val="-43"/>
        </w:rPr>
      </w:r>
      <w:r>
        <w:rPr/>
        <w:t>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spacing w:line="256" w:lineRule="auto" w:before="0"/>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、金融资产分类和计量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本公司根据所管理金融资产的业务模式和金融资产的合同现金流量特征，将金融资产划分为以下三</w:t>
      </w:r>
    </w:p>
    <w:p>
      <w:pPr>
        <w:pStyle w:val="BodyText"/>
        <w:spacing w:line="240" w:lineRule="auto" w:before="22"/>
        <w:ind w:right="0"/>
        <w:jc w:val="both"/>
      </w:pPr>
      <w:r>
        <w:rPr/>
        <w:t>类：</w:t>
      </w:r>
    </w:p>
    <w:p>
      <w:pPr>
        <w:pStyle w:val="BodyText"/>
        <w:spacing w:line="240" w:lineRule="auto" w:before="37"/>
        <w:ind w:left="573" w:right="1116"/>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240" w:lineRule="auto" w:before="21"/>
        <w:ind w:left="573" w:right="1116"/>
        <w:jc w:val="left"/>
      </w:pPr>
      <w:r>
        <w:rPr/>
        <w:t>（</w:t>
      </w:r>
      <w:r>
        <w:rPr>
          <w:rFonts w:ascii="Times New Roman" w:hAnsi="Times New Roman" w:cs="Times New Roman" w:eastAsia="Times New Roman" w:hint="default"/>
        </w:rPr>
        <w:t>3</w:t>
      </w:r>
      <w:r>
        <w:rPr/>
        <w:t>）以公允价值计量且其变动计入当期损益的金融资产。</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6" w:firstLine="420"/>
        <w:jc w:val="both"/>
      </w:pPr>
      <w:r>
        <w:rPr>
          <w:spacing w:val="-2"/>
        </w:rPr>
        <w:t>金融资产在初始确认时以公允价值计量，但是因销售商品或提供服务等产生的应收账款或应收票据未</w:t>
      </w:r>
      <w:r>
        <w:rPr>
          <w:w w:val="100"/>
        </w:rPr>
        <w:t> </w:t>
      </w:r>
      <w:r>
        <w:rPr/>
        <w:t>包含重大融资成分或不考虑不超过一年的融资成分的，按照交易价格进行初始计量。</w:t>
      </w:r>
    </w:p>
    <w:p>
      <w:pPr>
        <w:pStyle w:val="BodyText"/>
        <w:spacing w:line="273" w:lineRule="auto" w:before="7"/>
        <w:ind w:right="1126" w:firstLine="420"/>
        <w:jc w:val="both"/>
      </w:pPr>
      <w:r>
        <w:rPr>
          <w:spacing w:val="-2"/>
        </w:rPr>
        <w:t>对于以公允价值计量且其变动计入当期损益的金融资产，相关交易费用直接计入当期损益，其他类别</w:t>
      </w:r>
      <w:r>
        <w:rPr>
          <w:w w:val="100"/>
        </w:rPr>
        <w:t> </w:t>
      </w:r>
      <w:r>
        <w:rPr/>
        <w:t>的金融资产相关交易费用计入其初始确认金额。</w:t>
      </w:r>
    </w:p>
    <w:p>
      <w:pPr>
        <w:pStyle w:val="BodyText"/>
        <w:spacing w:line="273" w:lineRule="auto" w:before="7"/>
        <w:ind w:right="1126" w:firstLine="420"/>
        <w:jc w:val="both"/>
      </w:pPr>
      <w:r>
        <w:rPr>
          <w:spacing w:val="-2"/>
        </w:rPr>
        <w:t>金融资产的后续计量取决于其分类，当且仅当本公司改变管理金融资产的业务模式时，才对所有受影</w:t>
      </w:r>
      <w:r>
        <w:rPr>
          <w:w w:val="100"/>
        </w:rPr>
        <w:t> </w:t>
      </w:r>
      <w:r>
        <w:rPr/>
        <w:t>响的相关金融资产进行重分类：</w:t>
      </w:r>
    </w:p>
    <w:p>
      <w:pPr>
        <w:pStyle w:val="BodyText"/>
        <w:spacing w:line="256" w:lineRule="auto" w:before="7"/>
        <w:ind w:left="573" w:right="1116"/>
        <w:jc w:val="left"/>
      </w:pPr>
      <w:r>
        <w:rPr/>
        <w:t>（</w:t>
      </w:r>
      <w:r>
        <w:rPr>
          <w:rFonts w:ascii="Times New Roman" w:hAnsi="Times New Roman" w:cs="Times New Roman" w:eastAsia="Times New Roman" w:hint="default"/>
        </w:rPr>
        <w:t>1</w:t>
      </w:r>
      <w:r>
        <w:rPr/>
        <w:t>）分类为以摊余成本计量的金融资产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before="22"/>
        <w:ind w:right="1105"/>
        <w:jc w:val="both"/>
      </w:pPr>
      <w:r>
        <w:rPr>
          <w:spacing w:val="-2"/>
        </w:rPr>
        <w:t>的支付，且管理该金融资产的业务模式是以收取合同现金流量为目标，则本公司将该金融资产分类为以摊</w:t>
      </w:r>
      <w:r>
        <w:rPr>
          <w:spacing w:val="-43"/>
        </w:rPr>
        <w:t> </w:t>
      </w:r>
      <w:r>
        <w:rPr>
          <w:spacing w:val="-43"/>
        </w:rPr>
      </w:r>
      <w:r>
        <w:rPr>
          <w:spacing w:val="-2"/>
        </w:rPr>
        <w:t>余成本计量的金融资产。本公司分类为以摊余成本计量的金融资产包括货币资金、应收票据及应收账款、</w:t>
      </w:r>
      <w:r>
        <w:rPr>
          <w:spacing w:val="-21"/>
        </w:rPr>
        <w:t> </w:t>
      </w:r>
      <w:r>
        <w:rPr>
          <w:spacing w:val="-21"/>
        </w:rPr>
      </w:r>
      <w:r>
        <w:rPr/>
        <w:t>其他应收款、长期应收款等。</w:t>
      </w:r>
    </w:p>
    <w:p>
      <w:pPr>
        <w:pStyle w:val="BodyText"/>
        <w:spacing w:line="273" w:lineRule="auto" w:before="8"/>
        <w:ind w:right="1126" w:firstLine="420"/>
        <w:jc w:val="both"/>
      </w:pPr>
      <w:r>
        <w:rPr>
          <w:spacing w:val="-2"/>
        </w:rPr>
        <w:t>本公司对此类金融资产采用实际利率法确认利息收入，按摊余成本进行后续计量，其发生减值时或终</w:t>
      </w:r>
      <w:r>
        <w:rPr>
          <w:w w:val="100"/>
        </w:rPr>
        <w:t> </w:t>
      </w:r>
      <w:r>
        <w:rPr>
          <w:spacing w:val="-2"/>
        </w:rPr>
        <w:t>止确认、修改产生的利得或损失，计入当期损益。除下列情况外，本公司根据金融资产账面余额乘以实际</w:t>
      </w:r>
      <w:r>
        <w:rPr>
          <w:spacing w:val="-47"/>
        </w:rPr>
        <w:t> </w:t>
      </w:r>
      <w:r>
        <w:rPr>
          <w:spacing w:val="-47"/>
        </w:rPr>
      </w:r>
      <w:r>
        <w:rPr/>
        <w:t>利率计算确定利息收入：</w:t>
      </w:r>
    </w:p>
    <w:p>
      <w:pPr>
        <w:pStyle w:val="BodyText"/>
        <w:spacing w:line="256" w:lineRule="auto" w:before="7"/>
        <w:ind w:right="1131" w:firstLine="420"/>
        <w:jc w:val="both"/>
      </w:pPr>
      <w:r>
        <w:rPr>
          <w:rFonts w:ascii="Times New Roman" w:hAnsi="Times New Roman" w:cs="Times New Roman" w:eastAsia="Times New Roman" w:hint="default"/>
        </w:rPr>
        <w:t>1</w:t>
      </w:r>
      <w:r>
        <w:rPr/>
        <w:t>）对于购入或源生的已发生信用减值的金融资产，本公司自初始确认起，按照该金融资产的摊余成</w:t>
      </w:r>
      <w:r>
        <w:rPr>
          <w:w w:val="100"/>
        </w:rPr>
        <w:t> </w:t>
      </w:r>
      <w:r>
        <w:rPr/>
        <w:t>本和经信用调整的实际利率计算确定其利息收入。</w:t>
      </w:r>
    </w:p>
    <w:p>
      <w:pPr>
        <w:pStyle w:val="BodyText"/>
        <w:spacing w:line="264" w:lineRule="auto" w:before="22"/>
        <w:ind w:right="1107" w:firstLine="420"/>
        <w:jc w:val="both"/>
      </w:pPr>
      <w:r>
        <w:rPr>
          <w:rFonts w:ascii="Times New Roman" w:hAnsi="Times New Roman" w:cs="Times New Roman" w:eastAsia="Times New Roman" w:hint="default"/>
        </w:rPr>
        <w:t>2</w:t>
      </w:r>
      <w:r>
        <w:rPr/>
        <w:t>）对于购入或源生的未发生信用减值、但在后续期间成为已发生信用减值的金融资产，本公司在后</w:t>
      </w:r>
      <w:r>
        <w:rPr>
          <w:w w:val="100"/>
        </w:rPr>
        <w:t> </w:t>
      </w:r>
      <w:r>
        <w:rPr>
          <w:spacing w:val="-2"/>
        </w:rPr>
        <w:t>续期间，按照该金融资产的摊余成本和实际利率计算确定其利息收入。若该金融工具在后续期间因其信用</w:t>
      </w:r>
      <w:r>
        <w:rPr>
          <w:spacing w:val="-43"/>
        </w:rPr>
        <w:t> </w:t>
      </w:r>
      <w:r>
        <w:rPr>
          <w:spacing w:val="-43"/>
        </w:rPr>
      </w:r>
      <w:r>
        <w:rPr>
          <w:spacing w:val="-2"/>
        </w:rPr>
        <w:t>风险有所改善而不再存在信用减值，本公司转按实际利率乘以该金融资产账面余额来计算确定利息收入。</w:t>
      </w:r>
    </w:p>
    <w:p>
      <w:pPr>
        <w:pStyle w:val="BodyText"/>
        <w:spacing w:line="256" w:lineRule="auto" w:before="16"/>
        <w:ind w:left="573" w:right="1116"/>
        <w:jc w:val="left"/>
      </w:pPr>
      <w:r>
        <w:rPr/>
        <w:t>（</w:t>
      </w:r>
      <w:r>
        <w:rPr>
          <w:rFonts w:ascii="Times New Roman" w:hAnsi="Times New Roman" w:cs="Times New Roman" w:eastAsia="Times New Roman"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before="23"/>
        <w:ind w:right="1126"/>
        <w:jc w:val="both"/>
      </w:pPr>
      <w:r>
        <w:rPr>
          <w:spacing w:val="-2"/>
        </w:rPr>
        <w:t>的支付，且管理该金融资产的业务模式既以收取合同现金流量为目标又以出售该金融资产为目标，则本公</w:t>
      </w:r>
      <w:r>
        <w:rPr>
          <w:spacing w:val="-44"/>
        </w:rPr>
        <w:t> </w:t>
      </w:r>
      <w:r>
        <w:rPr>
          <w:spacing w:val="-44"/>
        </w:rPr>
      </w:r>
      <w:r>
        <w:rPr/>
        <w:t>司将该金融资产分类为以公允价值计量且其变动计入其他综合收益的金融资产。</w:t>
      </w:r>
    </w:p>
    <w:p>
      <w:pPr>
        <w:pStyle w:val="BodyText"/>
        <w:spacing w:line="273" w:lineRule="auto" w:before="7"/>
        <w:ind w:right="1126" w:firstLine="420"/>
        <w:jc w:val="both"/>
      </w:pPr>
      <w:r>
        <w:rPr>
          <w:spacing w:val="-2"/>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43"/>
        </w:rPr>
        <w:t> </w:t>
      </w:r>
      <w:r>
        <w:rPr>
          <w:spacing w:val="-43"/>
        </w:rPr>
      </w:r>
      <w:r>
        <w:rPr/>
        <w:t>利得或损失从其他综合收益中转出，计入当期损益。</w:t>
      </w:r>
    </w:p>
    <w:p>
      <w:pPr>
        <w:pStyle w:val="BodyText"/>
        <w:spacing w:line="273" w:lineRule="auto" w:before="7"/>
        <w:ind w:right="1126" w:firstLine="420"/>
        <w:jc w:val="both"/>
      </w:pPr>
      <w:r>
        <w:rPr>
          <w:spacing w:val="-2"/>
        </w:rPr>
        <w:t>以公允价值计量且变动计入其他综合收益的应收票据及应收账款列报为应收款项融资，其他此类金融</w:t>
      </w:r>
      <w:r>
        <w:rPr>
          <w:w w:val="100"/>
        </w:rPr>
        <w:t> </w:t>
      </w:r>
      <w:r>
        <w:rPr>
          <w:spacing w:val="-2"/>
        </w:rPr>
        <w:t>资产列报为其他债权投资，其中：自资产负债表日起一年内到期的其他债权投资列报为一年内到期的非流</w:t>
      </w:r>
      <w:r>
        <w:rPr>
          <w:spacing w:val="-42"/>
        </w:rPr>
        <w:t> </w:t>
      </w:r>
      <w:r>
        <w:rPr>
          <w:spacing w:val="-42"/>
        </w:rPr>
      </w:r>
      <w:r>
        <w:rPr/>
        <w:t>动资产，原到期日在一年以内的其他债权投资列报为其他流动资产。</w:t>
      </w:r>
    </w:p>
    <w:p>
      <w:pPr>
        <w:pStyle w:val="BodyText"/>
        <w:spacing w:line="256" w:lineRule="auto" w:before="7"/>
        <w:ind w:left="573" w:right="1116"/>
        <w:jc w:val="left"/>
      </w:pPr>
      <w:r>
        <w:rPr/>
        <w:t>（</w:t>
      </w:r>
      <w:r>
        <w:rPr>
          <w:rFonts w:ascii="Times New Roman" w:hAnsi="Times New Roman" w:cs="Times New Roman" w:eastAsia="Times New Roman"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在初始确认时，本公司可以单项金融资产为基础不可撤销地将非交易性权益工具投资指定为以公允价</w:t>
      </w:r>
    </w:p>
    <w:p>
      <w:pPr>
        <w:pStyle w:val="BodyText"/>
        <w:spacing w:line="273" w:lineRule="auto" w:before="22"/>
        <w:ind w:left="573" w:right="1116" w:hanging="421"/>
        <w:jc w:val="left"/>
      </w:pPr>
      <w:r>
        <w:rPr/>
        <w:t>值计量且其变动计入其他综合收益的金融资产。</w:t>
      </w:r>
      <w:r>
        <w:rPr>
          <w:w w:val="100"/>
        </w:rPr>
        <w:t> </w:t>
      </w:r>
      <w:r>
        <w:rPr>
          <w:spacing w:val="-2"/>
        </w:rPr>
        <w:t>此类金融资产的公允价值变动计入其他综合收益，不需计提减值准备。该金融资产终止确认时，之前</w:t>
      </w:r>
    </w:p>
    <w:p>
      <w:pPr>
        <w:pStyle w:val="BodyText"/>
        <w:spacing w:line="273" w:lineRule="auto" w:before="7"/>
        <w:ind w:right="1126"/>
        <w:jc w:val="both"/>
      </w:pPr>
      <w:r>
        <w:rPr>
          <w:spacing w:val="-2"/>
        </w:rPr>
        <w:t>计入其他综合收益的累计利得或损失从其他综合收益中转出，计入留存收益。本公司持有该权益工具投资</w:t>
      </w:r>
      <w:r>
        <w:rPr>
          <w:spacing w:val="-43"/>
        </w:rPr>
        <w:t> </w:t>
      </w:r>
      <w:r>
        <w:rPr>
          <w:spacing w:val="-43"/>
        </w:rPr>
      </w:r>
      <w:r>
        <w:rPr>
          <w:spacing w:val="-2"/>
        </w:rPr>
        <w:t>期间，在本公司收取股利的权利已经确立，与股利相关的经济利益很可能流入本公司，且股利的金额能够</w:t>
      </w:r>
      <w:r>
        <w:rPr>
          <w:spacing w:val="-44"/>
        </w:rPr>
        <w:t> </w:t>
      </w:r>
      <w:r>
        <w:rPr>
          <w:spacing w:val="-44"/>
        </w:rPr>
      </w:r>
      <w:r>
        <w:rPr/>
        <w:t>可靠计量时，确认股利收入并计入当期损益。本公司对此类金融资产在其他权益工具投资项目下列报。</w:t>
      </w:r>
    </w:p>
    <w:p>
      <w:pPr>
        <w:pStyle w:val="BodyText"/>
        <w:spacing w:line="273" w:lineRule="auto" w:before="7"/>
        <w:ind w:right="1126" w:firstLine="420"/>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44"/>
        </w:rPr>
        <w:t> </w:t>
      </w:r>
      <w:r>
        <w:rPr>
          <w:spacing w:val="-44"/>
        </w:rPr>
      </w:r>
      <w:r>
        <w:rPr>
          <w:spacing w:val="-2"/>
        </w:rPr>
        <w:t>有客观证据表明近期实际存在短期获利模式；属于衍生工具（符合财务担保合同定义的以及被指定为有效</w:t>
      </w:r>
      <w:r>
        <w:rPr>
          <w:spacing w:val="-43"/>
        </w:rPr>
        <w:t> </w:t>
      </w:r>
      <w:r>
        <w:rPr>
          <w:spacing w:val="-43"/>
        </w:rPr>
      </w:r>
      <w:r>
        <w:rPr/>
        <w:t>套期工具的衍生工具除外）。</w:t>
      </w:r>
    </w:p>
    <w:p>
      <w:pPr>
        <w:pStyle w:val="BodyText"/>
        <w:spacing w:line="256" w:lineRule="auto" w:before="7"/>
        <w:ind w:left="573" w:right="1116"/>
        <w:jc w:val="left"/>
      </w:pPr>
      <w:r>
        <w:rPr/>
        <w:t>（</w:t>
      </w:r>
      <w:r>
        <w:rPr>
          <w:rFonts w:ascii="Times New Roman" w:hAnsi="Times New Roman" w:cs="Times New Roman" w:eastAsia="Times New Roman" w:hint="default"/>
        </w:rPr>
        <w:t>4</w:t>
      </w:r>
      <w:r>
        <w:rPr/>
        <w:t>）分类为以公允价值计量且其变动计入当期损益的金融资产</w:t>
      </w:r>
      <w:r>
        <w:rPr>
          <w:w w:val="100"/>
        </w:rPr>
        <w:t> </w:t>
      </w:r>
      <w:r>
        <w:rPr>
          <w:spacing w:val="-2"/>
        </w:rPr>
        <w:t>不符合分类为以摊余成本计量或以公允价值计量且其变动计入其他综合收益的金融资产条件、亦不指</w:t>
      </w:r>
    </w:p>
    <w:p>
      <w:pPr>
        <w:pStyle w:val="BodyText"/>
        <w:spacing w:line="273" w:lineRule="auto" w:before="23"/>
        <w:ind w:right="1144"/>
        <w:jc w:val="both"/>
      </w:pPr>
      <w:r>
        <w:rPr>
          <w:spacing w:val="2"/>
        </w:rPr>
        <w:t>定为以公允价值计量且其变动计入其他综合收益的金融资产均分类为以公允价值计量且其变动计入当期</w:t>
      </w:r>
      <w:r>
        <w:rPr>
          <w:spacing w:val="-30"/>
        </w:rPr>
        <w:t> </w:t>
      </w:r>
      <w:r>
        <w:rPr>
          <w:spacing w:val="-30"/>
        </w:rPr>
      </w:r>
      <w:r>
        <w:rPr/>
        <w:t>损益的金融资产。</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6" w:firstLine="420"/>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before="7"/>
        <w:ind w:left="573" w:right="1116"/>
        <w:jc w:val="left"/>
      </w:pPr>
      <w:r>
        <w:rPr/>
        <w:t>本公司对此类金融资产根据其流动性在交易性金融资产、其他非流动金融资产项目列报。</w:t>
      </w:r>
    </w:p>
    <w:p>
      <w:pPr>
        <w:pStyle w:val="BodyText"/>
        <w:spacing w:line="256" w:lineRule="auto" w:before="37"/>
        <w:ind w:left="573" w:right="1116"/>
        <w:jc w:val="left"/>
      </w:pPr>
      <w:r>
        <w:rPr/>
        <w:t>（</w:t>
      </w:r>
      <w:r>
        <w:rPr>
          <w:rFonts w:ascii="Times New Roman" w:hAnsi="Times New Roman" w:cs="Times New Roman" w:eastAsia="Times New Roman" w:hint="default"/>
        </w:rPr>
        <w:t>5</w:t>
      </w:r>
      <w:r>
        <w:rPr/>
        <w:t>）指定为以公允价值计量且其变动计入当期损益的金融资产</w:t>
      </w:r>
      <w:r>
        <w:rPr>
          <w:w w:val="100"/>
        </w:rPr>
        <w:t> </w:t>
      </w:r>
      <w:r>
        <w:rPr>
          <w:spacing w:val="-2"/>
        </w:rPr>
        <w:t>在初始确认时，本公司为了消除或显著减少会计错配，可以单项金融资产为基础不可撤销地将金融资</w:t>
      </w:r>
    </w:p>
    <w:p>
      <w:pPr>
        <w:pStyle w:val="BodyText"/>
        <w:spacing w:line="273" w:lineRule="auto" w:before="22"/>
        <w:ind w:left="573" w:right="1116" w:hanging="421"/>
        <w:jc w:val="left"/>
      </w:pPr>
      <w:r>
        <w:rPr/>
        <w:t>产指定为以公允价值计量且其变动计入当期损益的金融资产。</w:t>
      </w:r>
      <w:r>
        <w:rPr>
          <w:w w:val="100"/>
        </w:rPr>
        <w:t> </w:t>
      </w:r>
      <w:r>
        <w:rPr>
          <w:spacing w:val="-2"/>
        </w:rPr>
        <w:t>混合合同包含一项或多项嵌入衍生工具，且其主合同不属于以上金融资产的，本公司可以将其整体指</w:t>
      </w:r>
    </w:p>
    <w:p>
      <w:pPr>
        <w:pStyle w:val="BodyText"/>
        <w:spacing w:line="240" w:lineRule="auto" w:before="7"/>
        <w:ind w:right="0"/>
        <w:jc w:val="both"/>
      </w:pPr>
      <w:r>
        <w:rPr/>
        <w:t>定为以公允价值计量且其变动计入当期损益的金融工具。但下列情况除外：</w:t>
      </w:r>
    </w:p>
    <w:p>
      <w:pPr>
        <w:pStyle w:val="BodyText"/>
        <w:spacing w:line="240" w:lineRule="auto" w:before="37"/>
        <w:ind w:left="573" w:right="1116"/>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266" w:lineRule="auto" w:before="21"/>
        <w:ind w:right="1126" w:firstLine="420"/>
        <w:jc w:val="both"/>
      </w:pPr>
      <w:r>
        <w:rPr>
          <w:rFonts w:ascii="Times New Roman" w:hAnsi="Times New Roman" w:cs="Times New Roman" w:eastAsia="Times New Roman" w:hint="default"/>
        </w:rPr>
        <w:t>2</w:t>
      </w:r>
      <w:r>
        <w:rPr/>
        <w:t>）在初次确定类似的混合合同是否需要分拆时，几乎不需分析就能明确其包含的嵌入衍生工具不应</w:t>
      </w:r>
      <w:r>
        <w:rPr>
          <w:w w:val="100"/>
        </w:rPr>
        <w:t> </w:t>
      </w:r>
      <w:r>
        <w:rPr>
          <w:spacing w:val="-2"/>
        </w:rPr>
        <w:t>分拆。如嵌入贷款的提前还款权，允许持有人以接近摊余成本的金额提前偿还贷款，该提前还款权不需要</w:t>
      </w:r>
      <w:r>
        <w:rPr>
          <w:spacing w:val="-43"/>
        </w:rPr>
        <w:t> </w:t>
      </w:r>
      <w:r>
        <w:rPr>
          <w:spacing w:val="-43"/>
        </w:rPr>
      </w:r>
      <w:r>
        <w:rPr/>
        <w:t>分拆。</w:t>
      </w:r>
    </w:p>
    <w:p>
      <w:pPr>
        <w:pStyle w:val="BodyText"/>
        <w:spacing w:line="273" w:lineRule="auto" w:before="14"/>
        <w:ind w:right="1126" w:firstLine="420"/>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before="7"/>
        <w:ind w:left="573" w:right="1116"/>
        <w:jc w:val="left"/>
      </w:pPr>
      <w:r>
        <w:rPr/>
        <w:t>本公司对此类金融资产根据其流动性在交易性金融资产、其他非流动金融资产项目列报。</w:t>
      </w:r>
    </w:p>
    <w:p>
      <w:pPr>
        <w:spacing w:line="256" w:lineRule="auto" w:before="3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、金融负债分类和计量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本公司根据所发行金融工具的合同条款及其所反映的经济实质而非仅以法律形式，结合金融负债和权</w:t>
      </w:r>
    </w:p>
    <w:p>
      <w:pPr>
        <w:pStyle w:val="BodyText"/>
        <w:spacing w:line="273" w:lineRule="auto" w:before="22"/>
        <w:ind w:right="1126"/>
        <w:jc w:val="both"/>
      </w:pPr>
      <w:r>
        <w:rPr>
          <w:spacing w:val="-2"/>
        </w:rPr>
        <w:t>益工具的定义，在初始确认时将该金融工具或其组成部分分类为金融负债或权益工具。金融负债在初始确</w:t>
      </w:r>
      <w:r>
        <w:rPr>
          <w:spacing w:val="-42"/>
        </w:rPr>
        <w:t> </w:t>
      </w:r>
      <w:r>
        <w:rPr>
          <w:spacing w:val="-42"/>
        </w:rPr>
      </w:r>
      <w:r>
        <w:rPr>
          <w:spacing w:val="-2"/>
        </w:rPr>
        <w:t>认时分类为：以公允价值计量且其变动计入当期损益的金融负债、其他金融负债、被指定为有效套期工具</w:t>
      </w:r>
      <w:r>
        <w:rPr>
          <w:spacing w:val="-44"/>
        </w:rPr>
        <w:t> </w:t>
      </w:r>
      <w:r>
        <w:rPr>
          <w:spacing w:val="-44"/>
        </w:rPr>
      </w:r>
      <w:r>
        <w:rPr/>
        <w:t>的衍生工具。</w:t>
      </w:r>
    </w:p>
    <w:p>
      <w:pPr>
        <w:pStyle w:val="BodyText"/>
        <w:spacing w:line="273" w:lineRule="auto" w:before="7"/>
        <w:ind w:right="1126" w:firstLine="420"/>
        <w:jc w:val="both"/>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BodyText"/>
        <w:spacing w:line="240" w:lineRule="auto" w:before="7"/>
        <w:ind w:left="573" w:right="1116"/>
        <w:jc w:val="left"/>
      </w:pPr>
      <w:r>
        <w:rPr/>
        <w:t>金融负债的后续计量取决于其分类：</w:t>
      </w:r>
    </w:p>
    <w:p>
      <w:pPr>
        <w:pStyle w:val="BodyText"/>
        <w:spacing w:line="256" w:lineRule="auto" w:before="37"/>
        <w:ind w:left="573" w:right="1116" w:firstLine="422"/>
        <w:jc w:val="left"/>
      </w:pPr>
      <w:r>
        <w:rPr/>
        <w:t>（</w:t>
      </w:r>
      <w:r>
        <w:rPr>
          <w:rFonts w:ascii="Times New Roman" w:hAnsi="Times New Roman" w:cs="Times New Roman" w:eastAsia="Times New Roman"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BodyText"/>
        <w:spacing w:line="273" w:lineRule="auto" w:before="22"/>
        <w:ind w:left="573" w:right="1116" w:hanging="421"/>
        <w:jc w:val="left"/>
      </w:pPr>
      <w:r>
        <w:rPr/>
        <w:t>量且其变动计入当期损益的金融负债。</w:t>
      </w:r>
      <w:r>
        <w:rPr>
          <w:w w:val="100"/>
        </w:rPr>
        <w:t> </w:t>
      </w:r>
      <w:r>
        <w:rPr>
          <w:spacing w:val="-2"/>
        </w:rPr>
        <w:t>满足下列条件之一的，属于交易性金融负债：承担相关金融负债的目的主要是为了在近期内出售或回</w:t>
      </w:r>
    </w:p>
    <w:p>
      <w:pPr>
        <w:pStyle w:val="BodyText"/>
        <w:spacing w:line="273" w:lineRule="auto" w:before="7"/>
        <w:ind w:right="1104"/>
        <w:jc w:val="both"/>
      </w:pPr>
      <w:r>
        <w:rPr>
          <w:spacing w:val="-2"/>
        </w:rPr>
        <w:t>购；属于集中管理的可辨认金融工具组合的一部分，且有客观证据表明企业近期采用短期获利方式模式；</w:t>
      </w:r>
      <w:r>
        <w:rPr>
          <w:spacing w:val="-21"/>
        </w:rPr>
        <w:t> </w:t>
      </w:r>
      <w:r>
        <w:rPr>
          <w:spacing w:val="-21"/>
        </w:rPr>
      </w:r>
      <w:r>
        <w:rPr>
          <w:spacing w:val="-2"/>
        </w:rPr>
        <w:t>属于衍生工具，但是，被指定且为有效套期工具的衍生工具、符合财务担保合同的衍生工具除外。交易性</w:t>
      </w:r>
      <w:r>
        <w:rPr>
          <w:spacing w:val="-47"/>
        </w:rPr>
        <w:t> </w:t>
      </w:r>
      <w:r>
        <w:rPr>
          <w:spacing w:val="-47"/>
        </w:rPr>
      </w:r>
      <w:r>
        <w:rPr>
          <w:spacing w:val="-2"/>
        </w:rPr>
        <w:t>金融负债（含属于金融负债的衍生工具），按照公允价值进行后续计量，除与套期会计有关外，所有公允</w:t>
      </w:r>
      <w:r>
        <w:rPr>
          <w:spacing w:val="-43"/>
        </w:rPr>
        <w:t> </w:t>
      </w:r>
      <w:r>
        <w:rPr>
          <w:spacing w:val="-43"/>
        </w:rPr>
      </w:r>
      <w:r>
        <w:rPr/>
        <w:t>价值变动均计入当期损益。</w:t>
      </w:r>
    </w:p>
    <w:p>
      <w:pPr>
        <w:pStyle w:val="BodyText"/>
        <w:spacing w:line="273" w:lineRule="auto" w:before="7"/>
        <w:ind w:right="1126" w:firstLine="420"/>
        <w:jc w:val="both"/>
      </w:pPr>
      <w:r>
        <w:rPr>
          <w:spacing w:val="-2"/>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BodyText"/>
        <w:spacing w:line="240" w:lineRule="auto" w:before="7"/>
        <w:ind w:left="995" w:right="1116"/>
        <w:jc w:val="left"/>
      </w:pPr>
      <w:r>
        <w:rPr>
          <w:rFonts w:ascii="Times New Roman" w:hAnsi="Times New Roman" w:cs="Times New Roman" w:eastAsia="Times New Roman" w:hint="default"/>
        </w:rPr>
        <w:t>1</w:t>
      </w:r>
      <w:r>
        <w:rPr/>
        <w:t>）能够消除或显著减少会计错配。</w:t>
      </w:r>
    </w:p>
    <w:p>
      <w:pPr>
        <w:pStyle w:val="BodyText"/>
        <w:spacing w:line="256" w:lineRule="auto" w:before="21"/>
        <w:ind w:right="1116" w:firstLine="842"/>
        <w:jc w:val="left"/>
      </w:pPr>
      <w:r>
        <w:rPr>
          <w:rFonts w:ascii="Times New Roman" w:hAnsi="Times New Roman" w:cs="Times New Roman" w:eastAsia="Times New Roman" w:hint="default"/>
          <w:spacing w:val="-2"/>
        </w:rPr>
        <w:t>2</w:t>
      </w:r>
      <w:r>
        <w:rPr>
          <w:spacing w:val="-2"/>
        </w:rPr>
        <w:t>）根据正式书面文件载明的企业风险管理或投资策略，以公允价值为基础对金融负债组合或金</w:t>
      </w:r>
      <w:r>
        <w:rPr>
          <w:w w:val="100"/>
        </w:rPr>
        <w:t> </w:t>
      </w:r>
      <w:r>
        <w:rPr/>
        <w:t>融资产和金融负债组合进行管理和业绩评价，并在企业内部以此为基础向关键管理人员报告。</w:t>
      </w:r>
    </w:p>
    <w:p>
      <w:pPr>
        <w:pStyle w:val="BodyText"/>
        <w:spacing w:line="273" w:lineRule="auto" w:before="22"/>
        <w:ind w:right="1126" w:firstLine="420"/>
        <w:jc w:val="both"/>
      </w:pPr>
      <w:r>
        <w:rPr>
          <w:spacing w:val="-2"/>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43"/>
        </w:rPr>
        <w:t> </w:t>
      </w:r>
      <w:r>
        <w:rPr>
          <w:spacing w:val="-43"/>
        </w:rPr>
      </w:r>
      <w:r>
        <w:rPr>
          <w:spacing w:val="-2"/>
        </w:rPr>
        <w:t>价值变动计入其他综合收益会造成或扩大损益中的会计错配，本公司将所有公允价值变动（包括自身信用</w:t>
      </w:r>
      <w:r>
        <w:rPr>
          <w:spacing w:val="-43"/>
        </w:rPr>
        <w:t> </w:t>
      </w:r>
      <w:r>
        <w:rPr>
          <w:spacing w:val="-43"/>
        </w:rPr>
      </w:r>
      <w:r>
        <w:rPr/>
        <w:t>风险变动的影响金额）计入当期损益。</w:t>
      </w:r>
    </w:p>
    <w:p>
      <w:pPr>
        <w:pStyle w:val="BodyText"/>
        <w:spacing w:line="256" w:lineRule="auto" w:before="7"/>
        <w:ind w:left="573" w:right="998" w:firstLine="316"/>
        <w:jc w:val="left"/>
      </w:pPr>
      <w:r>
        <w:rPr/>
        <w:t>（</w:t>
      </w:r>
      <w:r>
        <w:rPr>
          <w:rFonts w:ascii="Times New Roman" w:hAnsi="Times New Roman" w:cs="Times New Roman" w:eastAsia="Times New Roman" w:hint="default"/>
        </w:rPr>
        <w:t>2</w:t>
      </w:r>
      <w:r>
        <w:rPr/>
        <w:t>）其他金融负债</w:t>
      </w:r>
      <w:r>
        <w:rPr>
          <w:w w:val="100"/>
        </w:rPr>
        <w:t> </w:t>
      </w:r>
      <w:r>
        <w:rPr>
          <w:spacing w:val="-5"/>
        </w:rPr>
        <w:t>除下列各项外，公司将金融负债分类为以摊余成本计量的金融负债，对此类金融负债采用实际利率法，</w:t>
      </w:r>
    </w:p>
    <w:p>
      <w:pPr>
        <w:pStyle w:val="BodyText"/>
        <w:spacing w:line="240" w:lineRule="auto" w:before="23"/>
        <w:ind w:right="0"/>
        <w:jc w:val="both"/>
      </w:pPr>
      <w:r>
        <w:rPr/>
        <w:t>按照摊余成本进行后续计量，终止确认或摊销产生的利得或损失计入当期损益：</w:t>
      </w:r>
    </w:p>
    <w:p>
      <w:pPr>
        <w:pStyle w:val="BodyText"/>
        <w:spacing w:line="240" w:lineRule="auto" w:before="37"/>
        <w:ind w:left="995" w:right="1116"/>
        <w:jc w:val="left"/>
      </w:pPr>
      <w:r>
        <w:rPr>
          <w:rFonts w:ascii="Times New Roman" w:hAnsi="Times New Roman" w:cs="Times New Roman" w:eastAsia="Times New Roman" w:hint="default"/>
        </w:rPr>
        <w:t>1</w:t>
      </w:r>
      <w:r>
        <w:rPr/>
        <w:t>）以公允价值计量且其变动计入当期损益的金融负债。</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left="995" w:right="1116"/>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256" w:lineRule="auto" w:before="21"/>
        <w:ind w:right="1128" w:firstLine="842"/>
        <w:jc w:val="both"/>
      </w:pPr>
      <w:r>
        <w:rPr>
          <w:rFonts w:ascii="Times New Roman" w:hAnsi="Times New Roman" w:cs="Times New Roman" w:eastAsia="Times New Roman" w:hint="default"/>
          <w:spacing w:val="-2"/>
        </w:rPr>
        <w:t>3</w:t>
      </w:r>
      <w:r>
        <w:rPr>
          <w:spacing w:val="-2"/>
        </w:rPr>
        <w:t>）不属于本条前两类情形的财务担保合同，以及不属于本条第</w:t>
      </w:r>
      <w:r>
        <w:rPr>
          <w:rFonts w:ascii="Times New Roman" w:hAnsi="Times New Roman" w:cs="Times New Roman" w:eastAsia="Times New Roman" w:hint="default"/>
          <w:spacing w:val="-2"/>
        </w:rPr>
        <w:t>1</w:t>
      </w:r>
      <w:r>
        <w:rPr>
          <w:spacing w:val="-2"/>
        </w:rPr>
        <w:t>）类情形的以低于市场利率贷款</w:t>
      </w:r>
      <w:r>
        <w:rPr>
          <w:w w:val="100"/>
        </w:rPr>
        <w:t> </w:t>
      </w:r>
      <w:r>
        <w:rPr/>
        <w:t>的贷款承诺。</w:t>
      </w:r>
    </w:p>
    <w:p>
      <w:pPr>
        <w:pStyle w:val="BodyText"/>
        <w:spacing w:line="273" w:lineRule="auto" w:before="22"/>
        <w:ind w:right="1126" w:firstLine="842"/>
        <w:jc w:val="both"/>
      </w:pPr>
      <w:r>
        <w:rPr>
          <w:spacing w:val="-2"/>
        </w:rPr>
        <w:t>财务担保合同是指当特定债务人到期不能按照最初或修改后的债务工具条款偿付债务时，要求发</w:t>
      </w:r>
      <w:r>
        <w:rPr>
          <w:w w:val="100"/>
        </w:rPr>
        <w:t> </w:t>
      </w:r>
      <w:r>
        <w:rPr>
          <w:spacing w:val="-2"/>
        </w:rPr>
        <w:t>行方向蒙受损失的合同持有人赔付特定金额的合同。不属于指定为以公允价值计量且其变动计入当期损益</w:t>
      </w:r>
      <w:r>
        <w:rPr>
          <w:spacing w:val="-43"/>
        </w:rPr>
        <w:t> </w:t>
      </w:r>
      <w:r>
        <w:rPr>
          <w:spacing w:val="-43"/>
        </w:rPr>
      </w:r>
      <w:r>
        <w:rPr>
          <w:spacing w:val="-2"/>
        </w:rPr>
        <w:t>的金融负债的财务担保合同，在初始确认后按照损失准备金额以及初始确认金额扣除担保期内的累计摊销</w:t>
      </w:r>
      <w:r>
        <w:rPr>
          <w:spacing w:val="-43"/>
        </w:rPr>
        <w:t> </w:t>
      </w:r>
      <w:r>
        <w:rPr>
          <w:spacing w:val="-43"/>
        </w:rPr>
      </w:r>
      <w:r>
        <w:rPr/>
        <w:t>额后的余额孰高进行计量。</w:t>
      </w:r>
    </w:p>
    <w:p>
      <w:pPr>
        <w:pStyle w:val="Heading3"/>
        <w:spacing w:line="240" w:lineRule="auto" w:before="7"/>
        <w:ind w:left="681" w:right="1116"/>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240" w:lineRule="auto" w:before="21"/>
        <w:ind w:left="573" w:right="1116"/>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21"/>
        <w:ind w:left="1204" w:right="1116"/>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21"/>
        <w:ind w:left="1204" w:right="1116"/>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264" w:lineRule="auto" w:before="22"/>
        <w:ind w:left="573" w:right="1116" w:firstLine="422"/>
        <w:jc w:val="left"/>
      </w:pPr>
      <w:r>
        <w:rPr/>
        <w:t>（</w:t>
      </w:r>
      <w:r>
        <w:rPr>
          <w:rFonts w:ascii="Times New Roman" w:hAnsi="Times New Roman" w:cs="Times New Roman" w:eastAsia="Times New Roman" w:hint="default"/>
        </w:rPr>
        <w:t>2</w:t>
      </w:r>
      <w:r>
        <w:rPr/>
        <w:t>）金融负债终止确认条件</w:t>
      </w:r>
      <w:r>
        <w:rPr>
          <w:w w:val="100"/>
        </w:rPr>
        <w:t> </w:t>
      </w:r>
      <w:r>
        <w:rPr/>
        <w:t>金融负债（或其一部分）的现时义务已经解除的，则终止确认该金融负债（或该部分金融负债）。</w:t>
      </w:r>
      <w:r>
        <w:rPr>
          <w:w w:val="100"/>
        </w:rPr>
        <w:t> </w:t>
      </w:r>
      <w:r>
        <w:rPr>
          <w:spacing w:val="-2"/>
        </w:rPr>
        <w:t>本公司与借出方之间签订协议，以承担新金融负债方式替换原金融负债，且新金融负债与原金融负债</w:t>
      </w:r>
    </w:p>
    <w:p>
      <w:pPr>
        <w:pStyle w:val="BodyText"/>
        <w:spacing w:line="273" w:lineRule="auto" w:before="16"/>
        <w:ind w:right="1129"/>
        <w:jc w:val="both"/>
      </w:pPr>
      <w:r>
        <w:rPr>
          <w:spacing w:val="-2"/>
        </w:rPr>
        <w:t>的合同条款实质上不同的，或对原金融负债（或其一部分）的合同条款做出实质性修改的，则终止确认原</w:t>
      </w:r>
      <w:r>
        <w:rPr>
          <w:spacing w:val="-47"/>
        </w:rPr>
        <w:t> </w:t>
      </w:r>
      <w:r>
        <w:rPr>
          <w:spacing w:val="-47"/>
        </w:rPr>
      </w:r>
      <w:r>
        <w:rPr>
          <w:spacing w:val="-2"/>
        </w:rPr>
        <w:t>金融负债，同时确认一项新金融负债，账面价值与支付的对价（包括转出的非现金资产或承担的负债）之</w:t>
      </w:r>
      <w:r>
        <w:rPr>
          <w:spacing w:val="-47"/>
        </w:rPr>
        <w:t> </w:t>
      </w:r>
      <w:r>
        <w:rPr>
          <w:spacing w:val="-47"/>
        </w:rPr>
      </w:r>
      <w:r>
        <w:rPr/>
        <w:t>间的差额，计入当期损益。</w:t>
      </w:r>
    </w:p>
    <w:p>
      <w:pPr>
        <w:pStyle w:val="BodyText"/>
        <w:spacing w:line="273" w:lineRule="auto" w:before="7"/>
        <w:ind w:right="1116" w:firstLine="420"/>
        <w:jc w:val="left"/>
        <w:rPr>
          <w:rFonts w:ascii="宋体" w:hAnsi="宋体" w:cs="宋体" w:eastAsia="宋体" w:hint="default"/>
        </w:rPr>
      </w:pPr>
      <w:r>
        <w:rPr>
          <w:spacing w:val="-2"/>
        </w:rPr>
        <w:t>本公司回购金融负债一部分的，按照继续确认部分和终止确认部分在回购日各自的公允价值占整体公</w:t>
      </w:r>
      <w:r>
        <w:rPr>
          <w:w w:val="100"/>
        </w:rPr>
        <w:t> </w:t>
      </w:r>
      <w:r>
        <w:rPr>
          <w:spacing w:val="-7"/>
        </w:rPr>
        <w:t>允价值的比例，对该金融负债整体的账面价值进行分配。分配给终止确认部分的账面价值与支付的对价（包</w:t>
      </w:r>
      <w:r>
        <w:rPr>
          <w:spacing w:val="-17"/>
        </w:rPr>
        <w:t> </w:t>
      </w:r>
      <w:r>
        <w:rPr>
          <w:spacing w:val="-17"/>
        </w:rPr>
      </w:r>
      <w:r>
        <w:rPr/>
        <w:t>括转出的非现金资产或承担的负债）之间的差额，应当计入当期损益。</w:t>
      </w:r>
      <w:r>
        <w:rPr>
          <w:w w:val="100"/>
        </w:rPr>
        <w:t> </w:t>
      </w:r>
      <w:r>
        <w:rPr>
          <w:rFonts w:ascii="Times New Roman" w:hAnsi="Times New Roman" w:cs="Times New Roman" w:eastAsia="Times New Roman" w:hint="default"/>
          <w:b/>
          <w:bCs/>
        </w:rPr>
        <w:t>4</w:t>
      </w:r>
      <w:r>
        <w:rPr>
          <w:rFonts w:ascii="宋体" w:hAnsi="宋体" w:cs="宋体" w:eastAsia="宋体" w:hint="default"/>
          <w:b/>
          <w:bCs/>
        </w:rPr>
        <w:t>、金融资产转移的确认依据和计量方法</w:t>
      </w:r>
      <w:r>
        <w:rPr>
          <w:rFonts w:ascii="宋体" w:hAnsi="宋体" w:cs="宋体" w:eastAsia="宋体" w:hint="default"/>
        </w:rPr>
      </w:r>
    </w:p>
    <w:p>
      <w:pPr>
        <w:pStyle w:val="BodyText"/>
        <w:spacing w:line="273" w:lineRule="auto"/>
        <w:ind w:right="1116" w:firstLine="420"/>
        <w:jc w:val="left"/>
      </w:pPr>
      <w:r>
        <w:rPr>
          <w:spacing w:val="-2"/>
        </w:rPr>
        <w:t>本公司在发生金融资产转移时，评估其保留金融资产所有权上的风险和报酬的程度，并分别下列情形</w:t>
      </w:r>
      <w:r>
        <w:rPr>
          <w:w w:val="100"/>
        </w:rPr>
        <w:t> </w:t>
      </w:r>
      <w:r>
        <w:rPr/>
        <w:t>处理：</w:t>
      </w:r>
    </w:p>
    <w:p>
      <w:pPr>
        <w:pStyle w:val="BodyText"/>
        <w:spacing w:line="256" w:lineRule="auto" w:before="7"/>
        <w:ind w:right="1116" w:firstLine="420"/>
        <w:jc w:val="left"/>
      </w:pPr>
      <w:r>
        <w:rPr/>
        <w:t>（</w:t>
      </w:r>
      <w:r>
        <w:rPr>
          <w:rFonts w:ascii="Times New Roman" w:hAnsi="Times New Roman" w:cs="Times New Roman" w:eastAsia="Times New Roman" w:hint="default"/>
        </w:rPr>
        <w:t>1</w:t>
      </w:r>
      <w:r>
        <w:rPr/>
        <w:t>）转移了金融资产所有权上几乎所有风险和报酬的，则终止确认该金融资产，并将转移中产生或</w:t>
      </w:r>
      <w:r>
        <w:rPr>
          <w:w w:val="100"/>
        </w:rPr>
        <w:t> </w:t>
      </w:r>
      <w:r>
        <w:rPr/>
        <w:t>保留的权利和义务单独确认为资产或负债。</w:t>
      </w:r>
    </w:p>
    <w:p>
      <w:pPr>
        <w:pStyle w:val="BodyText"/>
        <w:spacing w:line="240" w:lineRule="auto" w:before="22"/>
        <w:ind w:left="573" w:right="1116"/>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256" w:lineRule="auto" w:before="21"/>
        <w:ind w:right="1116" w:firstLine="420"/>
        <w:jc w:val="left"/>
      </w:pPr>
      <w:r>
        <w:rPr/>
        <w:t>（</w:t>
      </w:r>
      <w:r>
        <w:rPr>
          <w:rFonts w:ascii="Times New Roman" w:hAnsi="Times New Roman" w:cs="Times New Roman" w:eastAsia="Times New Roman" w:hint="default"/>
        </w:rPr>
        <w:t>3</w:t>
      </w:r>
      <w:r>
        <w:rPr/>
        <w:t>）既没有转移也没有保留金融资产所有权上几乎所有风险和报酬的（即除本条（</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）之外</w:t>
      </w:r>
      <w:r>
        <w:rPr>
          <w:w w:val="100"/>
        </w:rPr>
        <w:t> </w:t>
      </w:r>
      <w:r>
        <w:rPr/>
        <w:t>的其他情形），则根据其是否保留了对金融资产的控制，分别下列情形处理：</w:t>
      </w:r>
    </w:p>
    <w:p>
      <w:pPr>
        <w:pStyle w:val="BodyText"/>
        <w:spacing w:line="256" w:lineRule="auto" w:before="22"/>
        <w:ind w:right="1126" w:firstLine="526"/>
        <w:jc w:val="both"/>
      </w:pPr>
      <w:r>
        <w:rPr>
          <w:rFonts w:ascii="Times New Roman" w:hAnsi="Times New Roman" w:cs="Times New Roman" w:eastAsia="Times New Roman" w:hint="default"/>
          <w:spacing w:val="-2"/>
        </w:rPr>
        <w:t>1</w:t>
      </w:r>
      <w:r>
        <w:rPr>
          <w:spacing w:val="-2"/>
        </w:rPr>
        <w:t>）未保留对该金融资产控制的，则终止确认该金融资产，并将转移中产生或保留的权利和义务单独</w:t>
      </w:r>
      <w:r>
        <w:rPr>
          <w:w w:val="100"/>
        </w:rPr>
        <w:t> </w:t>
      </w:r>
      <w:r>
        <w:rPr/>
        <w:t>确认为资产或负债。</w:t>
      </w:r>
    </w:p>
    <w:p>
      <w:pPr>
        <w:pStyle w:val="BodyText"/>
        <w:spacing w:line="266" w:lineRule="auto" w:before="22"/>
        <w:ind w:right="1104" w:firstLine="526"/>
        <w:jc w:val="both"/>
      </w:pPr>
      <w:r>
        <w:rPr>
          <w:rFonts w:ascii="Times New Roman" w:hAnsi="Times New Roman" w:cs="Times New Roman" w:eastAsia="Times New Roman" w:hint="default"/>
          <w:spacing w:val="-2"/>
        </w:rPr>
        <w:t>2</w:t>
      </w:r>
      <w:r>
        <w:rPr>
          <w:spacing w:val="-2"/>
        </w:rPr>
        <w:t>）保留了对该金融资产控制的，则按照其继续涉入被转移金融资产的程度继续确认有关金融资产，</w:t>
      </w:r>
      <w:r>
        <w:rPr>
          <w:w w:val="100"/>
        </w:rPr>
        <w:t> </w:t>
      </w:r>
      <w:r>
        <w:rPr>
          <w:spacing w:val="-2"/>
        </w:rPr>
        <w:t>并相应确认相关负债。继续涉入被转移金融资产的程度，是指本公司承担的被转移金融资产价值变动风险</w:t>
      </w:r>
      <w:r>
        <w:rPr>
          <w:spacing w:val="-43"/>
        </w:rPr>
        <w:t> </w:t>
      </w:r>
      <w:r>
        <w:rPr>
          <w:spacing w:val="-43"/>
        </w:rPr>
      </w:r>
      <w:r>
        <w:rPr/>
        <w:t>或报酬的程度。</w:t>
      </w:r>
    </w:p>
    <w:p>
      <w:pPr>
        <w:pStyle w:val="BodyText"/>
        <w:spacing w:line="273" w:lineRule="auto" w:before="14"/>
        <w:ind w:right="1116" w:firstLine="420"/>
        <w:jc w:val="left"/>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BodyText"/>
        <w:spacing w:line="240" w:lineRule="auto" w:before="7"/>
        <w:ind w:left="573" w:right="1116"/>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BodyText"/>
        <w:spacing w:line="240" w:lineRule="auto" w:before="21"/>
        <w:ind w:left="678" w:right="1116"/>
        <w:jc w:val="left"/>
      </w:pPr>
      <w:r>
        <w:rPr>
          <w:rFonts w:ascii="Times New Roman" w:hAnsi="Times New Roman" w:cs="Times New Roman" w:eastAsia="Times New Roman" w:hint="default"/>
        </w:rPr>
        <w:t>1</w:t>
      </w:r>
      <w:r>
        <w:rPr/>
        <w:t>）被转移金融资产在终止确认日的账面价值。</w:t>
      </w:r>
    </w:p>
    <w:p>
      <w:pPr>
        <w:pStyle w:val="BodyText"/>
        <w:spacing w:line="256" w:lineRule="auto" w:before="21"/>
        <w:ind w:right="1126" w:firstLine="526"/>
        <w:jc w:val="both"/>
      </w:pPr>
      <w:r>
        <w:rPr>
          <w:rFonts w:ascii="Times New Roman" w:hAnsi="Times New Roman" w:cs="Times New Roman" w:eastAsia="Times New Roman" w:hint="default"/>
          <w:spacing w:val="-2"/>
        </w:rPr>
        <w:t>2</w:t>
      </w:r>
      <w:r>
        <w:rPr>
          <w:spacing w:val="-2"/>
        </w:rPr>
        <w:t>）因转移金融资产而收到的对价，与原直接计入其他综合收益的公允价值变动累计额中对应终止确</w:t>
      </w:r>
      <w:r>
        <w:rPr>
          <w:w w:val="100"/>
        </w:rPr>
        <w:t> </w:t>
      </w:r>
      <w:r>
        <w:rPr/>
        <w:t>认部分的金额（涉及转移的金融资产为以公允价值计量且其变动计入其他综合收益的金融资产）之和。</w:t>
      </w:r>
    </w:p>
    <w:p>
      <w:pPr>
        <w:pStyle w:val="BodyText"/>
        <w:spacing w:line="264" w:lineRule="auto" w:before="22"/>
        <w:ind w:right="1126" w:firstLine="420"/>
        <w:jc w:val="both"/>
      </w:pPr>
      <w:r>
        <w:rPr/>
        <w:t>（</w:t>
      </w:r>
      <w:r>
        <w:rPr>
          <w:rFonts w:ascii="Times New Roman" w:hAnsi="Times New Roman" w:cs="Times New Roman" w:eastAsia="Times New Roman" w:hint="default"/>
        </w:rPr>
        <w:t>2</w:t>
      </w:r>
      <w:r>
        <w:rPr/>
        <w:t>）金融资产部分转移且该被转移部分整体满足终止确认条件的，将转移前金融资产整体的账面价</w:t>
      </w:r>
      <w:r>
        <w:rPr>
          <w:w w:val="100"/>
        </w:rPr>
        <w:t> </w:t>
      </w:r>
      <w:r>
        <w:rPr>
          <w:spacing w:val="-2"/>
        </w:rPr>
        <w:t>值，在终止确认部分和继续确认部分（在此种情形下，所保留的服务资产应当视同继续确认金融资产的一</w:t>
      </w:r>
      <w:r>
        <w:rPr>
          <w:spacing w:val="-42"/>
        </w:rPr>
        <w:t> </w:t>
      </w:r>
      <w:r>
        <w:rPr>
          <w:spacing w:val="-42"/>
        </w:rPr>
      </w:r>
      <w:r>
        <w:rPr/>
        <w:t>部分）之间，按照转移日各自的相对公允价值进行分摊，并将下列两项金额的差额计入当期损益：</w:t>
      </w:r>
    </w:p>
    <w:p>
      <w:pPr>
        <w:pStyle w:val="BodyText"/>
        <w:spacing w:line="240" w:lineRule="auto" w:before="16"/>
        <w:ind w:left="573" w:right="1116"/>
        <w:jc w:val="left"/>
      </w:pPr>
      <w:r>
        <w:rPr>
          <w:rFonts w:ascii="Times New Roman" w:hAnsi="Times New Roman" w:cs="Times New Roman" w:eastAsia="Times New Roman" w:hint="default"/>
        </w:rPr>
        <w:t>1</w:t>
      </w:r>
      <w:r>
        <w:rPr/>
        <w:t>）终止确认部分在终止确认日的账面价值。</w:t>
      </w:r>
    </w:p>
    <w:p>
      <w:pPr>
        <w:pStyle w:val="BodyText"/>
        <w:spacing w:line="240" w:lineRule="auto" w:before="21"/>
        <w:ind w:left="573" w:right="1116"/>
        <w:jc w:val="left"/>
      </w:pPr>
      <w:r>
        <w:rPr>
          <w:rFonts w:ascii="Times New Roman" w:hAnsi="Times New Roman" w:cs="Times New Roman" w:eastAsia="Times New Roman" w:hint="default"/>
        </w:rPr>
        <w:t>2</w:t>
      </w:r>
      <w:r>
        <w:rPr/>
        <w:t>）终止确认部分收到的对价，与原计入其他综合收益的公允价值变动累计额中对应终止确认部分的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left="573" w:right="1116" w:hanging="421"/>
        <w:jc w:val="left"/>
      </w:pPr>
      <w:r>
        <w:rPr/>
        <w:t>金额（涉及转移的金融资产为以公允价值计量且其变动计入其他综合收益的金融资产）之和。</w:t>
      </w:r>
      <w:r>
        <w:rPr>
          <w:w w:val="100"/>
        </w:rPr>
        <w:t> </w:t>
      </w:r>
      <w:r>
        <w:rPr>
          <w:spacing w:val="-2"/>
        </w:rPr>
        <w:t>金融资产转移不满足终止确认条件的，继续确认该金融资产，所收到的对价确认为一项金融负债。</w:t>
      </w:r>
    </w:p>
    <w:p>
      <w:pPr>
        <w:spacing w:line="256" w:lineRule="auto" w:before="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存在活跃市场的金融资产或金融负债，以活跃市场的报价确定其公允价值，除非该项金融资产存在针</w:t>
      </w:r>
    </w:p>
    <w:p>
      <w:pPr>
        <w:pStyle w:val="BodyText"/>
        <w:spacing w:line="273" w:lineRule="auto" w:before="22"/>
        <w:ind w:right="998"/>
        <w:jc w:val="left"/>
      </w:pPr>
      <w:r>
        <w:rPr>
          <w:spacing w:val="-2"/>
        </w:rPr>
        <w:t>对资产本身的限售期。对于针对资产本身的限售的金融资产，按照活跃市场的报价扣除市场参与者因承担</w:t>
      </w:r>
      <w:r>
        <w:rPr>
          <w:spacing w:val="-43"/>
        </w:rPr>
        <w:t> </w:t>
      </w:r>
      <w:r>
        <w:rPr>
          <w:spacing w:val="-43"/>
        </w:rPr>
      </w:r>
      <w:r>
        <w:rPr>
          <w:spacing w:val="-2"/>
        </w:rPr>
        <w:t>指定期间内无法在公开市场上出售该金融资产的风险而要求获得的补偿金额后确定。活跃市场的报价包括</w:t>
      </w:r>
      <w:r>
        <w:rPr>
          <w:spacing w:val="-42"/>
        </w:rPr>
        <w:t> </w:t>
      </w:r>
      <w:r>
        <w:rPr>
          <w:spacing w:val="-42"/>
        </w:rPr>
      </w:r>
      <w:r>
        <w:rPr>
          <w:spacing w:val="-5"/>
        </w:rPr>
        <w:t>易于且可定期从交易所、交易商、经纪人、行业集团、定价机构或监管机构等获得相关资产或负债的报价，</w:t>
      </w:r>
      <w:r>
        <w:rPr>
          <w:spacing w:val="-7"/>
        </w:rPr>
        <w:t> </w:t>
      </w:r>
      <w:r>
        <w:rPr>
          <w:spacing w:val="-7"/>
        </w:rPr>
      </w:r>
      <w:r>
        <w:rPr/>
        <w:t>且能代表在公平交易基础上实际并经常发生的市场交易。</w:t>
      </w:r>
    </w:p>
    <w:p>
      <w:pPr>
        <w:pStyle w:val="BodyText"/>
        <w:spacing w:line="273" w:lineRule="auto" w:before="7"/>
        <w:ind w:left="573" w:right="1116"/>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BodyText"/>
        <w:spacing w:line="273" w:lineRule="auto" w:before="7"/>
        <w:ind w:right="1126"/>
        <w:jc w:val="both"/>
      </w:pPr>
      <w:r>
        <w:rPr>
          <w:spacing w:val="-2"/>
        </w:rPr>
        <w:t>前情况下适用并且有足够可利用数据和其他信息支持的估值技术，选择与市场参与者在相关资产或负债的</w:t>
      </w:r>
      <w:r>
        <w:rPr>
          <w:spacing w:val="-43"/>
        </w:rPr>
        <w:t> </w:t>
      </w:r>
      <w:r>
        <w:rPr>
          <w:spacing w:val="-43"/>
        </w:rPr>
      </w:r>
      <w:r>
        <w:rPr>
          <w:spacing w:val="-2"/>
        </w:rPr>
        <w:t>交易中所考虑的资产或负债特征相一致的输入值，并尽可能优先使用相关可观察输入值。在相关可观察输</w:t>
      </w:r>
      <w:r>
        <w:rPr>
          <w:spacing w:val="-43"/>
        </w:rPr>
        <w:t> </w:t>
      </w:r>
      <w:r>
        <w:rPr>
          <w:spacing w:val="-43"/>
        </w:rPr>
      </w:r>
      <w:r>
        <w:rPr/>
        <w:t>入值无法取得或取得不切实可行的情况下，使用不可观察输入值。</w:t>
      </w:r>
    </w:p>
    <w:p>
      <w:pPr>
        <w:pStyle w:val="BodyText"/>
        <w:spacing w:line="256" w:lineRule="auto" w:before="7"/>
        <w:ind w:left="573" w:right="1116" w:hanging="421"/>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spacing w:val="-103"/>
        </w:rPr>
        <w:t> </w:t>
      </w:r>
      <w:r>
        <w:rPr>
          <w:spacing w:val="-2"/>
        </w:rPr>
        <w:t>本公司以预期信用损失为基础，对分类为以摊余成本计量的金融资产、分类为以公允价值计量且其变</w:t>
      </w:r>
    </w:p>
    <w:p>
      <w:pPr>
        <w:pStyle w:val="BodyText"/>
        <w:spacing w:line="273" w:lineRule="auto" w:before="22"/>
        <w:ind w:left="573" w:right="1116" w:hanging="421"/>
        <w:jc w:val="left"/>
      </w:pPr>
      <w:r>
        <w:rPr/>
        <w:t>动计入其他综合收益的金融资产以及财务担保合同，进行减值会计处理并确认损失准备。</w:t>
      </w:r>
      <w:r>
        <w:rPr>
          <w:w w:val="100"/>
        </w:rPr>
        <w:t> </w:t>
      </w:r>
      <w:r>
        <w:rPr>
          <w:spacing w:val="-2"/>
        </w:rPr>
        <w:t>预期信用损失，是指以发生违约的风险为权重的金融工具信用损失的加权平均值。信用损失，是指本</w:t>
      </w:r>
    </w:p>
    <w:p>
      <w:pPr>
        <w:pStyle w:val="BodyText"/>
        <w:spacing w:line="273" w:lineRule="auto" w:before="7"/>
        <w:ind w:right="1105"/>
        <w:jc w:val="both"/>
      </w:pPr>
      <w:r>
        <w:rPr>
          <w:spacing w:val="-2"/>
        </w:rPr>
        <w:t>公司按照原实际利率折现的、根据合同应收的所有合同现金流量与预期收取的所有现金流量之间的差额，</w:t>
      </w:r>
      <w:r>
        <w:rPr>
          <w:spacing w:val="-21"/>
        </w:rPr>
        <w:t> </w:t>
      </w:r>
      <w:r>
        <w:rPr>
          <w:spacing w:val="-21"/>
        </w:rPr>
      </w:r>
      <w:r>
        <w:rPr>
          <w:spacing w:val="-2"/>
        </w:rPr>
        <w:t>及全部现金短缺的现值。其中，对于本公司购买或源生的已发生信用减值的金融资产，应按照该金融资产</w:t>
      </w:r>
      <w:r>
        <w:rPr>
          <w:spacing w:val="-44"/>
        </w:rPr>
        <w:t> </w:t>
      </w:r>
      <w:r>
        <w:rPr>
          <w:spacing w:val="-44"/>
        </w:rPr>
      </w:r>
      <w:r>
        <w:rPr/>
        <w:t>经信用调整的实际利率折现。</w:t>
      </w:r>
    </w:p>
    <w:p>
      <w:pPr>
        <w:pStyle w:val="BodyText"/>
        <w:spacing w:line="273" w:lineRule="auto" w:before="7"/>
        <w:ind w:right="1126" w:firstLine="420"/>
        <w:jc w:val="both"/>
      </w:pPr>
      <w:r>
        <w:rPr>
          <w:spacing w:val="-2"/>
        </w:rPr>
        <w:t>对由收入准则规范的交易形成的应收款项，本公司运用简化计量方法，按照相当于整个存续期内预期</w:t>
      </w:r>
      <w:r>
        <w:rPr>
          <w:w w:val="100"/>
        </w:rPr>
        <w:t> </w:t>
      </w:r>
      <w:r>
        <w:rPr/>
        <w:t>信用损失的金额计量损失准备。</w:t>
      </w:r>
    </w:p>
    <w:p>
      <w:pPr>
        <w:pStyle w:val="BodyText"/>
        <w:spacing w:line="273" w:lineRule="auto" w:before="7"/>
        <w:ind w:right="1126" w:firstLine="420"/>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43"/>
        </w:rPr>
        <w:t> </w:t>
      </w:r>
      <w:r>
        <w:rPr>
          <w:spacing w:val="-43"/>
        </w:rPr>
      </w:r>
      <w:r>
        <w:rPr>
          <w:spacing w:val="-2"/>
        </w:rPr>
        <w:t>为减值损失或利得计入当期损益。即使该资产负债表日确定的整个存续期内预期信用损失小于初始确认时</w:t>
      </w:r>
      <w:r>
        <w:rPr>
          <w:spacing w:val="-43"/>
        </w:rPr>
        <w:t> </w:t>
      </w:r>
      <w:r>
        <w:rPr>
          <w:spacing w:val="-43"/>
        </w:rPr>
      </w:r>
      <w:r>
        <w:rPr/>
        <w:t>估计现金流量所反映的预期信用损失的金额，也将预期信用损失的有利变动确认为减值利得。</w:t>
      </w:r>
    </w:p>
    <w:p>
      <w:pPr>
        <w:pStyle w:val="BodyText"/>
        <w:spacing w:line="273" w:lineRule="auto" w:before="7"/>
        <w:ind w:right="1126" w:firstLine="420"/>
        <w:jc w:val="both"/>
      </w:pPr>
      <w:r>
        <w:rPr>
          <w:spacing w:val="-2"/>
        </w:rPr>
        <w:t>除上述采用简化计量方法和购买或源生的已发生信用减值以外的其他金融资产，本公司在每个资产负</w:t>
      </w:r>
      <w:r>
        <w:rPr>
          <w:w w:val="100"/>
        </w:rPr>
        <w:t> </w:t>
      </w:r>
      <w:r>
        <w:rPr>
          <w:spacing w:val="2"/>
        </w:rPr>
        <w:t>债表日评估相关金融工具的信用风险自初始确认后是否已显著增加，并按照下列情形分别计量其损失准</w:t>
      </w:r>
      <w:r>
        <w:rPr>
          <w:spacing w:val="-30"/>
        </w:rPr>
        <w:t> </w:t>
      </w:r>
      <w:r>
        <w:rPr>
          <w:spacing w:val="-30"/>
        </w:rPr>
      </w:r>
      <w:r>
        <w:rPr/>
        <w:t>备、确认预期信用损失及其变动：</w:t>
      </w:r>
    </w:p>
    <w:p>
      <w:pPr>
        <w:pStyle w:val="BodyText"/>
        <w:spacing w:line="256" w:lineRule="auto" w:before="7"/>
        <w:ind w:right="1136" w:firstLine="420"/>
        <w:jc w:val="both"/>
      </w:pPr>
      <w:r>
        <w:rPr/>
        <w:t>（</w:t>
      </w:r>
      <w:r>
        <w:rPr>
          <w:rFonts w:ascii="Times New Roman" w:hAnsi="Times New Roman" w:cs="Times New Roman" w:eastAsia="Times New Roman" w:hint="default"/>
        </w:rPr>
        <w:t>1</w:t>
      </w:r>
      <w:r>
        <w:rPr/>
        <w:t>）如果该金融工具的信用风险自初始确认后并未显著增加，处于第一阶段，则按照相当于该金融</w:t>
      </w:r>
      <w:r>
        <w:rPr>
          <w:w w:val="100"/>
        </w:rPr>
        <w:t> </w:t>
      </w:r>
      <w:r>
        <w:rPr/>
        <w:t>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45"/>
        </w:rPr>
        <w:t> </w:t>
      </w:r>
      <w:r>
        <w:rPr/>
        <w:t>个月内预期信用损失的金额计量其损失准备，并按照账面余额和实际利率计算利息收入。</w:t>
      </w:r>
    </w:p>
    <w:p>
      <w:pPr>
        <w:pStyle w:val="BodyText"/>
        <w:spacing w:line="266" w:lineRule="auto" w:before="5"/>
        <w:ind w:right="1126" w:firstLine="420"/>
        <w:jc w:val="both"/>
      </w:pPr>
      <w:r>
        <w:rPr/>
        <w:t>（</w:t>
      </w:r>
      <w:r>
        <w:rPr>
          <w:rFonts w:ascii="Times New Roman" w:hAnsi="Times New Roman" w:cs="Times New Roman" w:eastAsia="Times New Roman" w:hint="default"/>
        </w:rPr>
        <w:t>2</w:t>
      </w:r>
      <w:r>
        <w:rPr/>
        <w:t>）如果该金融工具的信用风险自初始确认后已显著增加但尚未发生信用减值的，处于第二阶段，</w:t>
      </w:r>
      <w:r>
        <w:rPr>
          <w:w w:val="100"/>
        </w:rPr>
        <w:t> </w:t>
      </w:r>
      <w:r>
        <w:rPr>
          <w:spacing w:val="-2"/>
        </w:rPr>
        <w:t>则按照相当于该金融工具整个存续期内预期信用损失的金额计量其损失准备，并按照账面余额和实际利率</w:t>
      </w:r>
      <w:r>
        <w:rPr>
          <w:spacing w:val="-43"/>
        </w:rPr>
        <w:t> </w:t>
      </w:r>
      <w:r>
        <w:rPr>
          <w:spacing w:val="-43"/>
        </w:rPr>
      </w:r>
      <w:r>
        <w:rPr/>
        <w:t>计算利息收入。</w:t>
      </w:r>
    </w:p>
    <w:p>
      <w:pPr>
        <w:pStyle w:val="BodyText"/>
        <w:spacing w:line="256" w:lineRule="auto" w:before="14"/>
        <w:ind w:right="1136" w:firstLine="420"/>
        <w:jc w:val="both"/>
      </w:pPr>
      <w:r>
        <w:rPr/>
        <w:t>（</w:t>
      </w:r>
      <w:r>
        <w:rPr>
          <w:rFonts w:ascii="Times New Roman" w:hAnsi="Times New Roman" w:cs="Times New Roman" w:eastAsia="Times New Roman" w:hint="default"/>
        </w:rPr>
        <w:t>3</w:t>
      </w:r>
      <w:r>
        <w:rPr/>
        <w:t>）如果该金融工具自初始确认后已经发生信用减值的，处于第三阶段，本公司按照相当于该金融</w:t>
      </w:r>
      <w:r>
        <w:rPr>
          <w:w w:val="100"/>
        </w:rPr>
        <w:t> </w:t>
      </w:r>
      <w:r>
        <w:rPr/>
        <w:t>工具整个存续期内预期信用损失的金额计量其损失准备，并按照摊余成本和实际利率计算利息收入。</w:t>
      </w:r>
    </w:p>
    <w:p>
      <w:pPr>
        <w:pStyle w:val="BodyText"/>
        <w:spacing w:line="273" w:lineRule="auto" w:before="22"/>
        <w:ind w:right="1126" w:firstLine="420"/>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44"/>
        </w:rPr>
        <w:t> </w:t>
      </w:r>
      <w:r>
        <w:rPr>
          <w:spacing w:val="-44"/>
        </w:rPr>
      </w:r>
      <w:r>
        <w:rPr>
          <w:spacing w:val="-2"/>
        </w:rPr>
        <w:t>允价值计量且其变动计入其他综合收益的金融资产，本公司在其他综合收益中确认其信用损失准备，不减</w:t>
      </w:r>
      <w:r>
        <w:rPr>
          <w:spacing w:val="-43"/>
        </w:rPr>
        <w:t> </w:t>
      </w:r>
      <w:r>
        <w:rPr>
          <w:spacing w:val="-43"/>
        </w:rPr>
      </w:r>
      <w:r>
        <w:rPr/>
        <w:t>少该金融资产在资产负债表中列示的账面价值。</w:t>
      </w:r>
    </w:p>
    <w:p>
      <w:pPr>
        <w:pStyle w:val="BodyText"/>
        <w:spacing w:line="268" w:lineRule="auto" w:before="7"/>
        <w:ind w:right="1104" w:firstLine="420"/>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42"/>
        </w:rPr>
        <w:t> </w:t>
      </w:r>
      <w:r>
        <w:rPr>
          <w:spacing w:val="-42"/>
        </w:rPr>
      </w:r>
      <w:r>
        <w:rPr>
          <w:spacing w:val="-2"/>
        </w:rPr>
        <w:t>资产负债表日按照相当于未来</w:t>
      </w:r>
      <w:r>
        <w:rPr>
          <w:rFonts w:ascii="Times New Roman" w:hAnsi="Times New Roman" w:cs="Times New Roman" w:eastAsia="Times New Roman" w:hint="default"/>
          <w:spacing w:val="-2"/>
        </w:rPr>
        <w:t>12</w:t>
      </w:r>
      <w:r>
        <w:rPr>
          <w:spacing w:val="-2"/>
        </w:rPr>
        <w:t>个月内预期信用损失的金额计量该金融工具的损失准备，由此形成的损失</w:t>
      </w:r>
      <w:r>
        <w:rPr>
          <w:spacing w:val="-41"/>
        </w:rPr>
        <w:t> </w:t>
      </w:r>
      <w:r>
        <w:rPr>
          <w:spacing w:val="-41"/>
        </w:rPr>
      </w:r>
      <w:r>
        <w:rPr/>
        <w:t>准备的转回金额作为减值利得计入当期损益。</w:t>
      </w:r>
    </w:p>
    <w:p>
      <w:pPr>
        <w:spacing w:after="0" w:line="268"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56" w:lineRule="auto" w:before="36"/>
        <w:ind w:left="573" w:right="1116"/>
        <w:jc w:val="left"/>
      </w:pPr>
      <w:r>
        <w:rPr/>
        <w:t>（</w:t>
      </w:r>
      <w:r>
        <w:rPr>
          <w:rFonts w:ascii="Times New Roman" w:hAnsi="Times New Roman" w:cs="Times New Roman" w:eastAsia="Times New Roman" w:hint="default"/>
        </w:rPr>
        <w:t>1</w:t>
      </w:r>
      <w:r>
        <w:rPr/>
        <w:t>）信用风险显著增加</w:t>
      </w:r>
      <w:r>
        <w:rPr>
          <w:w w:val="100"/>
        </w:rPr>
        <w:t> </w:t>
      </w:r>
      <w:r>
        <w:rPr>
          <w:spacing w:val="-2"/>
        </w:rPr>
        <w:t>本公司利用可获得的合理且有依据的前瞻性信息，通过比较金融工具在资产负债表日发生违约的风险</w:t>
      </w:r>
    </w:p>
    <w:p>
      <w:pPr>
        <w:pStyle w:val="BodyText"/>
        <w:spacing w:line="273" w:lineRule="auto" w:before="22"/>
        <w:ind w:right="998"/>
        <w:jc w:val="left"/>
      </w:pPr>
      <w:r>
        <w:rPr>
          <w:spacing w:val="-2"/>
        </w:rPr>
        <w:t>与在初始确认日发生违约的风险，以确定金融工具的信用风险自初始确认后是否已显著增加。对于财务担</w:t>
      </w:r>
      <w:r>
        <w:rPr>
          <w:spacing w:val="-44"/>
        </w:rPr>
        <w:t> </w:t>
      </w:r>
      <w:r>
        <w:rPr>
          <w:spacing w:val="-44"/>
        </w:rPr>
      </w:r>
      <w:r>
        <w:rPr>
          <w:spacing w:val="-5"/>
        </w:rPr>
        <w:t>保合同，本公司在应用金融工具减值规定时，将本公司成为做出不可撤销承诺的一方之日作为初始确认日。</w:t>
      </w:r>
    </w:p>
    <w:p>
      <w:pPr>
        <w:pStyle w:val="BodyText"/>
        <w:spacing w:line="240" w:lineRule="auto" w:before="7"/>
        <w:ind w:left="573" w:right="1116"/>
        <w:jc w:val="left"/>
      </w:pPr>
      <w:r>
        <w:rPr/>
        <w:t>本公司在评估信用风险是否显著增加时会考虑如下因素：</w:t>
      </w:r>
    </w:p>
    <w:p>
      <w:pPr>
        <w:pStyle w:val="BodyText"/>
        <w:spacing w:line="240" w:lineRule="auto" w:before="37"/>
        <w:ind w:left="995" w:right="1116"/>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21"/>
        <w:ind w:left="995" w:right="1116"/>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256" w:lineRule="auto" w:before="21"/>
        <w:ind w:right="1116" w:firstLine="842"/>
        <w:jc w:val="left"/>
      </w:pPr>
      <w:r>
        <w:rPr>
          <w:rFonts w:ascii="Times New Roman" w:hAnsi="Times New Roman" w:cs="Times New Roman" w:eastAsia="Times New Roman" w:hint="default"/>
        </w:rPr>
        <w:t>3</w:t>
      </w:r>
      <w:r>
        <w:rPr/>
        <w:t>）作为债务抵押的担保物价值或第三方提供的担保或信用增级质量是否发生显著变化，这些变</w:t>
      </w:r>
      <w:r>
        <w:rPr>
          <w:w w:val="100"/>
        </w:rPr>
        <w:t> </w:t>
      </w:r>
      <w:r>
        <w:rPr/>
        <w:t>化预期将降低债务人按合同规定期限还款的经济动机或者影响违约概率；</w:t>
      </w:r>
    </w:p>
    <w:p>
      <w:pPr>
        <w:pStyle w:val="BodyText"/>
        <w:spacing w:line="240" w:lineRule="auto" w:before="22"/>
        <w:ind w:left="995" w:right="1116"/>
        <w:jc w:val="left"/>
      </w:pPr>
      <w:r>
        <w:rPr>
          <w:rFonts w:ascii="Times New Roman" w:hAnsi="Times New Roman" w:cs="Times New Roman" w:eastAsia="Times New Roman" w:hint="default"/>
        </w:rPr>
        <w:t>4</w:t>
      </w:r>
      <w:r>
        <w:rPr/>
        <w:t>）债务人预期表现和还款行为是否发生显著变化；</w:t>
      </w:r>
    </w:p>
    <w:p>
      <w:pPr>
        <w:pStyle w:val="BodyText"/>
        <w:spacing w:line="259" w:lineRule="auto" w:before="21"/>
        <w:ind w:left="573" w:right="1116" w:firstLine="422"/>
        <w:jc w:val="left"/>
      </w:pPr>
      <w:r>
        <w:rPr>
          <w:rFonts w:ascii="Times New Roman" w:hAnsi="Times New Roman" w:cs="Times New Roman" w:eastAsia="Times New Roman" w:hint="default"/>
        </w:rPr>
        <w:t>5</w:t>
      </w:r>
      <w:r>
        <w:rPr/>
        <w:t>）本公司对金融工具信用管理方法是否发生变化等。</w:t>
      </w:r>
      <w:r>
        <w:rPr>
          <w:w w:val="100"/>
        </w:rPr>
        <w:t> </w:t>
      </w:r>
      <w:r>
        <w:rPr>
          <w:spacing w:val="-2"/>
        </w:rPr>
        <w:t>于资产负债表日，若本公司判断金融工具只具有较低的信用风险，则本公司假定该金融工具的信用风</w:t>
      </w:r>
    </w:p>
    <w:p>
      <w:pPr>
        <w:pStyle w:val="BodyText"/>
        <w:spacing w:line="273" w:lineRule="auto" w:before="20"/>
        <w:ind w:right="1126"/>
        <w:jc w:val="both"/>
      </w:pPr>
      <w:r>
        <w:rPr>
          <w:spacing w:val="-2"/>
        </w:rPr>
        <w:t>险自初始确认后并未显著增加。如果金融工具的违约风险较低，借款人在短期内履行其合同现金流量义务</w:t>
      </w:r>
      <w:r>
        <w:rPr>
          <w:spacing w:val="-43"/>
        </w:rPr>
        <w:t> </w:t>
      </w:r>
      <w:r>
        <w:rPr>
          <w:spacing w:val="-43"/>
        </w:rPr>
      </w:r>
      <w:r>
        <w:rPr>
          <w:spacing w:val="-2"/>
        </w:rPr>
        <w:t>的能力很强，并且即使较长时期内经济形势和经营环境存在不利变化但未必一定降低借款人履行其合同现</w:t>
      </w:r>
      <w:r>
        <w:rPr>
          <w:spacing w:val="-43"/>
        </w:rPr>
        <w:t> </w:t>
      </w:r>
      <w:r>
        <w:rPr>
          <w:spacing w:val="-43"/>
        </w:rPr>
      </w:r>
      <w:r>
        <w:rPr/>
        <w:t>金义务，则该金融工具被视为具有较低的信用风险。</w:t>
      </w:r>
    </w:p>
    <w:p>
      <w:pPr>
        <w:pStyle w:val="BodyText"/>
        <w:spacing w:line="256" w:lineRule="auto" w:before="7"/>
        <w:ind w:left="890" w:right="1116"/>
        <w:jc w:val="left"/>
      </w:pPr>
      <w:r>
        <w:rPr/>
        <w:t>（</w:t>
      </w:r>
      <w:r>
        <w:rPr>
          <w:rFonts w:ascii="Times New Roman" w:hAnsi="Times New Roman" w:cs="Times New Roman" w:eastAsia="Times New Roman" w:hint="default"/>
        </w:rPr>
        <w:t>2</w:t>
      </w:r>
      <w:r>
        <w:rPr/>
        <w:t>）已发生信用减值的金融资产</w:t>
      </w:r>
      <w:r>
        <w:rPr>
          <w:w w:val="100"/>
        </w:rPr>
        <w:t> </w:t>
      </w:r>
      <w:r>
        <w:rPr/>
        <w:t>当对金融资产预期未来现金流量具有不利影响的一项或多项事件发生时，该金融资产成为已发生</w:t>
      </w:r>
    </w:p>
    <w:p>
      <w:pPr>
        <w:pStyle w:val="BodyText"/>
        <w:spacing w:line="240" w:lineRule="auto" w:before="22"/>
        <w:ind w:right="0"/>
        <w:jc w:val="both"/>
      </w:pPr>
      <w:r>
        <w:rPr/>
        <w:t>信用减值的金融资产。金融资产已发生信用减值的证据包括下列可观察信息：</w:t>
      </w:r>
    </w:p>
    <w:p>
      <w:pPr>
        <w:pStyle w:val="BodyText"/>
        <w:spacing w:line="240" w:lineRule="auto" w:before="37"/>
        <w:ind w:left="890" w:right="1116"/>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21"/>
        <w:ind w:left="890" w:right="1116"/>
        <w:jc w:val="left"/>
      </w:pPr>
      <w:r>
        <w:rPr>
          <w:rFonts w:ascii="Times New Roman" w:hAnsi="Times New Roman" w:cs="Times New Roman" w:eastAsia="Times New Roman" w:hint="default"/>
        </w:rPr>
        <w:t>2</w:t>
      </w:r>
      <w:r>
        <w:rPr/>
        <w:t>）债务人违反合同，如偿付利息或本金违约或逾期等；</w:t>
      </w:r>
    </w:p>
    <w:p>
      <w:pPr>
        <w:pStyle w:val="BodyText"/>
        <w:spacing w:line="256" w:lineRule="auto" w:before="21"/>
        <w:ind w:right="1116" w:firstLine="737"/>
        <w:jc w:val="left"/>
      </w:pPr>
      <w:r>
        <w:rPr>
          <w:rFonts w:ascii="Times New Roman" w:hAnsi="Times New Roman" w:cs="Times New Roman" w:eastAsia="Times New Roman" w:hint="default"/>
          <w:spacing w:val="-2"/>
        </w:rPr>
        <w:t>3</w:t>
      </w:r>
      <w:r>
        <w:rPr>
          <w:spacing w:val="-2"/>
        </w:rPr>
        <w:t>）债权人出于与债务人财务困难有关的经济或合同考虑，给予债务人在任何其他情况下都不会做</w:t>
      </w:r>
      <w:r>
        <w:rPr>
          <w:w w:val="100"/>
        </w:rPr>
        <w:t> </w:t>
      </w:r>
      <w:r>
        <w:rPr/>
        <w:t>出的让步；</w:t>
      </w:r>
    </w:p>
    <w:p>
      <w:pPr>
        <w:pStyle w:val="BodyText"/>
        <w:spacing w:line="240" w:lineRule="auto" w:before="22"/>
        <w:ind w:left="890" w:right="1116"/>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21"/>
        <w:ind w:left="890" w:right="1116"/>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256" w:lineRule="auto" w:before="21"/>
        <w:ind w:left="573" w:right="1116" w:firstLine="316"/>
        <w:jc w:val="left"/>
      </w:pPr>
      <w:r>
        <w:rPr>
          <w:rFonts w:ascii="Times New Roman" w:hAnsi="Times New Roman" w:cs="Times New Roman" w:eastAsia="Times New Roman" w:hint="default"/>
        </w:rPr>
        <w:t>6</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BodyText"/>
        <w:spacing w:line="256" w:lineRule="auto" w:before="22"/>
        <w:ind w:left="573" w:right="1116" w:firstLine="316"/>
        <w:jc w:val="left"/>
      </w:pPr>
      <w:r>
        <w:rPr/>
        <w:t>（</w:t>
      </w:r>
      <w:r>
        <w:rPr>
          <w:rFonts w:ascii="Times New Roman" w:hAnsi="Times New Roman" w:cs="Times New Roman" w:eastAsia="Times New Roman" w:hint="default"/>
        </w:rPr>
        <w:t>3</w:t>
      </w:r>
      <w:r>
        <w:rPr/>
        <w:t>）预期信用损失的确定</w:t>
      </w:r>
      <w:r>
        <w:rPr>
          <w:w w:val="100"/>
        </w:rPr>
        <w:t> </w:t>
      </w:r>
      <w:r>
        <w:rPr>
          <w:spacing w:val="-2"/>
        </w:rPr>
        <w:t>本公司基于单项和组合评估金融工具的预期信用损失，在评估预期信用损失时，考虑有关过去事项、</w:t>
      </w:r>
    </w:p>
    <w:p>
      <w:pPr>
        <w:pStyle w:val="BodyText"/>
        <w:spacing w:line="273" w:lineRule="auto" w:before="22"/>
        <w:ind w:left="573" w:right="998" w:hanging="421"/>
        <w:jc w:val="left"/>
      </w:pPr>
      <w:r>
        <w:rPr/>
        <w:t>当前状况以及未来经济状况预测的合理且有依据的信息。</w:t>
      </w:r>
      <w:r>
        <w:rPr>
          <w:w w:val="100"/>
        </w:rPr>
        <w:t> </w:t>
      </w:r>
      <w:r>
        <w:rPr>
          <w:spacing w:val="-5"/>
        </w:rPr>
        <w:t>本公司以共同信用风险特征为依据，将金融工具分为不同组合。本公司采用的共同信用风险特征包括：</w:t>
      </w:r>
    </w:p>
    <w:p>
      <w:pPr>
        <w:pStyle w:val="BodyText"/>
        <w:spacing w:line="273" w:lineRule="auto" w:before="7"/>
        <w:ind w:right="1127"/>
        <w:jc w:val="both"/>
      </w:pPr>
      <w:r>
        <w:rPr>
          <w:spacing w:val="-2"/>
        </w:rPr>
        <w:t>金融工具类型、信用风险评级、账龄组合、逾期账龄组合、合同结算周期、债务人所处行业等。相关金融</w:t>
      </w:r>
      <w:r>
        <w:rPr>
          <w:spacing w:val="-42"/>
        </w:rPr>
        <w:t> </w:t>
      </w:r>
      <w:r>
        <w:rPr>
          <w:spacing w:val="-42"/>
        </w:rPr>
      </w:r>
      <w:r>
        <w:rPr/>
        <w:t>工具的单项评估标准和组合信用风险特征详见相关金融工具的会计政策。</w:t>
      </w:r>
    </w:p>
    <w:p>
      <w:pPr>
        <w:pStyle w:val="BodyText"/>
        <w:spacing w:line="240" w:lineRule="auto" w:before="8"/>
        <w:ind w:left="573" w:right="1116"/>
        <w:jc w:val="left"/>
      </w:pPr>
      <w:r>
        <w:rPr/>
        <w:t>本公司按照下列方法确定相关金融工具的预期信用损失：</w:t>
      </w:r>
    </w:p>
    <w:p>
      <w:pPr>
        <w:pStyle w:val="BodyText"/>
        <w:spacing w:line="240" w:lineRule="auto" w:before="37"/>
        <w:ind w:left="573" w:right="0"/>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256" w:lineRule="auto" w:before="21"/>
        <w:ind w:right="1136" w:firstLine="420"/>
        <w:jc w:val="both"/>
      </w:pPr>
      <w:r>
        <w:rPr>
          <w:rFonts w:ascii="Times New Roman" w:hAnsi="Times New Roman" w:cs="Times New Roman" w:eastAsia="Times New Roman" w:hint="default"/>
        </w:rPr>
        <w:t>2</w:t>
      </w:r>
      <w:r>
        <w:rPr/>
        <w:t>）对于财务担保合同，信用损失为本公司就该合同持有人发生的信用损失向其做出赔付的预计付款</w:t>
      </w:r>
      <w:r>
        <w:rPr>
          <w:w w:val="100"/>
        </w:rPr>
        <w:t> </w:t>
      </w:r>
      <w:r>
        <w:rPr/>
        <w:t>额，减去本公司预期向该合同持有人、债务人或任何其他方收取的金额之间差额的现值。</w:t>
      </w:r>
    </w:p>
    <w:p>
      <w:pPr>
        <w:pStyle w:val="BodyText"/>
        <w:spacing w:line="256" w:lineRule="auto" w:before="22"/>
        <w:ind w:right="1136" w:firstLine="420"/>
        <w:jc w:val="both"/>
      </w:pPr>
      <w:r>
        <w:rPr>
          <w:rFonts w:ascii="Times New Roman" w:hAnsi="Times New Roman" w:cs="Times New Roman" w:eastAsia="Times New Roman" w:hint="default"/>
        </w:rPr>
        <w:t>3</w:t>
      </w:r>
      <w:r>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BodyText"/>
        <w:spacing w:line="273" w:lineRule="auto" w:before="22"/>
        <w:ind w:right="1126" w:firstLine="420"/>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42"/>
        </w:rPr>
        <w:t> </w:t>
      </w:r>
      <w:r>
        <w:rPr>
          <w:spacing w:val="-42"/>
        </w:rPr>
      </w:r>
      <w:r>
        <w:rPr/>
        <w:t>去事项、当前状况以及未来经济状况预测的合理且有依据的信息。</w:t>
      </w:r>
    </w:p>
    <w:p>
      <w:pPr>
        <w:pStyle w:val="BodyText"/>
        <w:spacing w:line="256" w:lineRule="auto" w:before="7"/>
        <w:ind w:left="573" w:right="1116"/>
        <w:jc w:val="left"/>
      </w:pPr>
      <w:r>
        <w:rPr/>
        <w:t>（</w:t>
      </w:r>
      <w:r>
        <w:rPr>
          <w:rFonts w:ascii="Times New Roman" w:hAnsi="Times New Roman" w:cs="Times New Roman" w:eastAsia="Times New Roman" w:hint="default"/>
        </w:rPr>
        <w:t>4</w:t>
      </w:r>
      <w:r>
        <w:rPr/>
        <w:t>）减记金融资产</w:t>
      </w:r>
      <w:r>
        <w:rPr>
          <w:w w:val="100"/>
        </w:rPr>
        <w:t> </w:t>
      </w:r>
      <w:r>
        <w:rPr>
          <w:spacing w:val="-2"/>
        </w:rPr>
        <w:t>当本公司不再合理预期金融资产合同现金流量能够全部或部分收回的，直接减记该金融资产的账面余</w:t>
      </w:r>
    </w:p>
    <w:p>
      <w:pPr>
        <w:pStyle w:val="BodyText"/>
        <w:spacing w:line="240" w:lineRule="auto" w:before="22"/>
        <w:ind w:right="0"/>
        <w:jc w:val="both"/>
      </w:pPr>
      <w:r>
        <w:rPr/>
        <w:t>额。这种减记构成相关金融资产的终止确认。</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spacing w:line="256" w:lineRule="auto" w:before="36"/>
        <w:ind w:left="573" w:right="1116" w:hanging="3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、金融资产及金融负债的抵消</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BodyText"/>
        <w:spacing w:line="240" w:lineRule="auto" w:before="22"/>
        <w:ind w:right="0"/>
        <w:jc w:val="both"/>
      </w:pPr>
      <w:r>
        <w:rPr/>
        <w:t>抵销后的净额在资产负债表内列示：</w:t>
      </w:r>
    </w:p>
    <w:p>
      <w:pPr>
        <w:pStyle w:val="BodyText"/>
        <w:spacing w:line="240" w:lineRule="auto" w:before="37"/>
        <w:ind w:left="573" w:right="1116"/>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998"/>
        <w:jc w:val="left"/>
      </w:pPr>
      <w:r>
        <w:rPr>
          <w:spacing w:val="-3"/>
        </w:rPr>
        <w:t>本公司对应收票据的预期信用损失的确定方法及会计处理方法详见本附注五／（十）</w:t>
      </w:r>
      <w:r>
        <w:rPr>
          <w:rFonts w:ascii="Times New Roman" w:hAnsi="Times New Roman" w:cs="Times New Roman" w:eastAsia="Times New Roman" w:hint="default"/>
          <w:spacing w:val="-3"/>
        </w:rPr>
        <w:t>6.</w:t>
      </w:r>
      <w:r>
        <w:rPr>
          <w:spacing w:val="-3"/>
        </w:rPr>
        <w:t>金融工具减值。</w:t>
      </w:r>
      <w:r>
        <w:rPr>
          <w:spacing w:val="-51"/>
        </w:rPr>
        <w:t> </w:t>
      </w:r>
      <w:r>
        <w:rPr>
          <w:spacing w:val="-51"/>
        </w:rPr>
      </w:r>
      <w:r>
        <w:rPr>
          <w:spacing w:val="2"/>
        </w:rPr>
        <w:t>本公司对在单项工具层面能以合理成本评估预期信用损失的充分证据的应收票据单独确定其信用损</w:t>
      </w:r>
    </w:p>
    <w:p>
      <w:pPr>
        <w:pStyle w:val="BodyText"/>
        <w:spacing w:line="273" w:lineRule="auto" w:before="22"/>
        <w:ind w:right="1105"/>
        <w:jc w:val="both"/>
      </w:pPr>
      <w:r>
        <w:rPr>
          <w:spacing w:val="-2"/>
        </w:rPr>
        <w:t>失。当在单项工具层面无法以合理成本评估预期信用损失的充分证据时，本公司参考历史信用损失经验，</w:t>
      </w:r>
      <w:r>
        <w:rPr>
          <w:spacing w:val="-21"/>
        </w:rPr>
        <w:t> </w:t>
      </w:r>
      <w:r>
        <w:rPr>
          <w:spacing w:val="-21"/>
        </w:rPr>
      </w:r>
      <w:r>
        <w:rPr>
          <w:spacing w:val="-2"/>
        </w:rPr>
        <w:t>结合当前状况以及对未来经济状况的判断，依据信用风险特征将应收票据划分为若干组合，在组合基础上</w:t>
      </w:r>
      <w:r>
        <w:rPr>
          <w:spacing w:val="-42"/>
        </w:rPr>
        <w:t> </w:t>
      </w:r>
      <w:r>
        <w:rPr>
          <w:spacing w:val="-42"/>
        </w:rPr>
      </w:r>
      <w:r>
        <w:rPr/>
        <w:t>计算预期信用损失。确定组合的依据如下：</w:t>
      </w:r>
    </w:p>
    <w:tbl>
      <w:tblPr>
        <w:tblW w:w="0" w:type="auto"/>
        <w:jc w:val="left"/>
        <w:tblInd w:w="123" w:type="dxa"/>
        <w:tblLayout w:type="fixed"/>
        <w:tblCellMar>
          <w:top w:w="0" w:type="dxa"/>
          <w:left w:w="0" w:type="dxa"/>
          <w:bottom w:w="0" w:type="dxa"/>
          <w:right w:w="0" w:type="dxa"/>
        </w:tblCellMar>
        <w:tblLook w:val="01E0"/>
      </w:tblPr>
      <w:tblGrid>
        <w:gridCol w:w="1541"/>
        <w:gridCol w:w="4201"/>
        <w:gridCol w:w="3932"/>
      </w:tblGrid>
      <w:tr>
        <w:trPr>
          <w:trHeight w:val="34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396"/>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64"/>
              <w:jc w:val="right"/>
              <w:rPr>
                <w:rFonts w:ascii="宋体" w:hAnsi="宋体" w:cs="宋体" w:eastAsia="宋体" w:hint="default"/>
                <w:sz w:val="18"/>
                <w:szCs w:val="18"/>
              </w:rPr>
            </w:pPr>
            <w:r>
              <w:rPr>
                <w:rFonts w:ascii="宋体" w:hAnsi="宋体" w:cs="宋体" w:eastAsia="宋体" w:hint="default"/>
                <w:sz w:val="18"/>
                <w:szCs w:val="18"/>
              </w:rPr>
              <w:t>确定组合的依据</w:t>
            </w:r>
          </w:p>
        </w:tc>
        <w:tc>
          <w:tcPr>
            <w:tcW w:w="3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6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7"/>
              <w:ind w:left="24" w:right="-5"/>
              <w:jc w:val="left"/>
              <w:rPr>
                <w:rFonts w:ascii="宋体" w:hAnsi="宋体" w:cs="宋体" w:eastAsia="宋体" w:hint="default"/>
                <w:sz w:val="18"/>
                <w:szCs w:val="18"/>
              </w:rPr>
            </w:pPr>
            <w:r>
              <w:rPr>
                <w:rFonts w:ascii="宋体" w:hAnsi="宋体" w:cs="宋体" w:eastAsia="宋体" w:hint="default"/>
                <w:spacing w:val="9"/>
                <w:sz w:val="18"/>
                <w:szCs w:val="18"/>
              </w:rPr>
              <w:t>无风险银行承兑票 </w:t>
            </w:r>
            <w:r>
              <w:rPr>
                <w:rFonts w:ascii="宋体" w:hAnsi="宋体" w:cs="宋体" w:eastAsia="宋体" w:hint="default"/>
                <w:sz w:val="18"/>
                <w:szCs w:val="18"/>
              </w:rPr>
              <w:t>据组合</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17"/>
              <w:jc w:val="both"/>
              <w:rPr>
                <w:rFonts w:ascii="宋体" w:hAnsi="宋体" w:cs="宋体" w:eastAsia="宋体" w:hint="default"/>
                <w:sz w:val="18"/>
                <w:szCs w:val="18"/>
              </w:rPr>
            </w:pPr>
            <w:r>
              <w:rPr>
                <w:rFonts w:ascii="宋体" w:hAnsi="宋体" w:cs="宋体" w:eastAsia="宋体" w:hint="default"/>
                <w:spacing w:val="-5"/>
                <w:sz w:val="18"/>
                <w:szCs w:val="18"/>
              </w:rPr>
              <w:t>出票人具有较高的信用评级，历史上未发生票据违约，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信用损失风险极低，在短期内履行其支付合同现金流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量义务的能力很强</w:t>
            </w:r>
          </w:p>
        </w:tc>
        <w:tc>
          <w:tcPr>
            <w:tcW w:w="393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经济状况的预期计量坏账准备</w:t>
            </w:r>
          </w:p>
        </w:tc>
      </w:tr>
      <w:tr>
        <w:trPr>
          <w:trHeight w:val="965"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430"/>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84"/>
              <w:jc w:val="right"/>
              <w:rPr>
                <w:rFonts w:ascii="宋体" w:hAnsi="宋体" w:cs="宋体" w:eastAsia="宋体" w:hint="default"/>
                <w:sz w:val="18"/>
                <w:szCs w:val="18"/>
              </w:rPr>
            </w:pPr>
            <w:r>
              <w:rPr>
                <w:rFonts w:ascii="宋体" w:hAnsi="宋体" w:cs="宋体" w:eastAsia="宋体" w:hint="default"/>
                <w:sz w:val="18"/>
                <w:szCs w:val="18"/>
              </w:rPr>
              <w:t>按照整个存续期预期信用损失计量</w:t>
            </w:r>
          </w:p>
        </w:tc>
        <w:tc>
          <w:tcPr>
            <w:tcW w:w="393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5"/>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经济状况的预测，通过违约风险敞口和整个存续期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预期信用损失率，计算预期信用损失。</w:t>
            </w:r>
          </w:p>
        </w:tc>
      </w:tr>
    </w:tbl>
    <w:p>
      <w:pPr>
        <w:spacing w:line="240" w:lineRule="auto" w:before="10"/>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998"/>
        <w:jc w:val="left"/>
      </w:pPr>
      <w:r>
        <w:rPr>
          <w:spacing w:val="-3"/>
        </w:rPr>
        <w:t>本公司对应收账款的预期信用损失的确定方法及会计处理方法详见本附注五／（十）</w:t>
      </w:r>
      <w:r>
        <w:rPr>
          <w:rFonts w:ascii="Times New Roman" w:hAnsi="Times New Roman" w:cs="Times New Roman" w:eastAsia="Times New Roman" w:hint="default"/>
          <w:spacing w:val="-3"/>
        </w:rPr>
        <w:t>6.</w:t>
      </w:r>
      <w:r>
        <w:rPr>
          <w:spacing w:val="-3"/>
        </w:rPr>
        <w:t>金融工具减值。</w:t>
      </w:r>
      <w:r>
        <w:rPr>
          <w:spacing w:val="-51"/>
        </w:rPr>
        <w:t> </w:t>
      </w:r>
      <w:r>
        <w:rPr>
          <w:spacing w:val="-51"/>
        </w:rPr>
      </w:r>
      <w:r>
        <w:rPr>
          <w:rFonts w:ascii="Times New Roman" w:hAnsi="Times New Roman" w:cs="Times New Roman" w:eastAsia="Times New Roman" w:hint="default"/>
        </w:rPr>
        <w:t>1</w:t>
      </w:r>
      <w:r>
        <w:rPr/>
        <w:t>、单项计提坏账准备的应收款项</w:t>
      </w:r>
      <w:r>
        <w:rPr>
          <w:w w:val="100"/>
        </w:rPr>
        <w:t> </w:t>
      </w:r>
      <w:r>
        <w:rPr>
          <w:spacing w:val="2"/>
        </w:rPr>
        <w:t>本公司对单项金额重大且在初始确认后已经发生信用减值或能以合理成本评估预期信用损失的充分</w:t>
      </w:r>
    </w:p>
    <w:p>
      <w:pPr>
        <w:pStyle w:val="BodyText"/>
        <w:spacing w:line="240" w:lineRule="auto" w:before="22"/>
        <w:ind w:right="1116"/>
        <w:jc w:val="left"/>
      </w:pPr>
      <w:r>
        <w:rPr/>
        <w:t>证据的应收账款单独确定其信用损失。</w:t>
      </w:r>
    </w:p>
    <w:p>
      <w:pPr>
        <w:pStyle w:val="BodyText"/>
        <w:spacing w:line="240" w:lineRule="auto" w:before="37"/>
        <w:ind w:left="575" w:right="1116"/>
        <w:jc w:val="left"/>
      </w:pPr>
      <w:r>
        <w:rPr>
          <w:rFonts w:ascii="Times New Roman" w:hAnsi="Times New Roman" w:cs="Times New Roman" w:eastAsia="Times New Roman" w:hint="default"/>
        </w:rPr>
        <w:t>2</w:t>
      </w:r>
      <w:r>
        <w:rPr/>
        <w:t>、按信用风险特征组合计提坏账准备的应收款项</w:t>
      </w:r>
    </w:p>
    <w:p>
      <w:pPr>
        <w:pStyle w:val="BodyText"/>
        <w:spacing w:line="256" w:lineRule="auto" w:before="21"/>
        <w:ind w:left="573" w:right="1116"/>
        <w:jc w:val="left"/>
      </w:pPr>
      <w:r>
        <w:rPr/>
        <w:t>（</w:t>
      </w:r>
      <w:r>
        <w:rPr>
          <w:rFonts w:ascii="Times New Roman" w:hAnsi="Times New Roman" w:cs="Times New Roman" w:eastAsia="Times New Roman" w:hint="default"/>
        </w:rPr>
        <w:t>1</w:t>
      </w:r>
      <w:r>
        <w:rPr/>
        <w:t>）信用风险特征组合的确定依据：</w:t>
      </w:r>
      <w:r>
        <w:rPr>
          <w:w w:val="100"/>
        </w:rPr>
        <w:t> </w:t>
      </w:r>
      <w:r>
        <w:rPr>
          <w:spacing w:val="-2"/>
        </w:rPr>
        <w:t>当在单项工具层面无法以合理成本评估预期信用损失的充分证据时，本公司参考历史信用损失经验，</w:t>
      </w:r>
    </w:p>
    <w:p>
      <w:pPr>
        <w:pStyle w:val="BodyText"/>
        <w:spacing w:line="273" w:lineRule="auto" w:before="22"/>
        <w:ind w:right="1116"/>
        <w:jc w:val="left"/>
      </w:pPr>
      <w:r>
        <w:rPr>
          <w:spacing w:val="-2"/>
        </w:rPr>
        <w:t>结合当前状况以及对未来经济状况的判断，依据信用风险特征将应收账款划分为若干组合，在组合基础上</w:t>
      </w:r>
      <w:r>
        <w:rPr>
          <w:spacing w:val="-43"/>
        </w:rPr>
        <w:t> </w:t>
      </w:r>
      <w:r>
        <w:rPr>
          <w:spacing w:val="-43"/>
        </w:rPr>
      </w:r>
      <w:r>
        <w:rPr/>
        <w:t>计算预期信用损失。确定组合的依据如下：</w:t>
      </w:r>
    </w:p>
    <w:tbl>
      <w:tblPr>
        <w:tblW w:w="0" w:type="auto"/>
        <w:jc w:val="left"/>
        <w:tblInd w:w="124" w:type="dxa"/>
        <w:tblLayout w:type="fixed"/>
        <w:tblCellMar>
          <w:top w:w="0" w:type="dxa"/>
          <w:left w:w="0" w:type="dxa"/>
          <w:bottom w:w="0" w:type="dxa"/>
          <w:right w:w="0" w:type="dxa"/>
        </w:tblCellMar>
        <w:tblLook w:val="01E0"/>
      </w:tblPr>
      <w:tblGrid>
        <w:gridCol w:w="2751"/>
        <w:gridCol w:w="6923"/>
      </w:tblGrid>
      <w:tr>
        <w:trPr>
          <w:trHeight w:val="341"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无风险及关联方组合</w:t>
            </w:r>
          </w:p>
        </w:tc>
        <w:tc>
          <w:tcPr>
            <w:tcW w:w="6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纳入合并范围的关联方组合</w:t>
            </w:r>
          </w:p>
        </w:tc>
      </w:tr>
      <w:tr>
        <w:trPr>
          <w:trHeight w:val="655"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9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7" w:right="10"/>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本公司根据以往的历史经验对应收款项计提比例作出最佳估计，参考应收款项的账龄与</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整个存续期预期信用损失率对照表计提</w:t>
            </w:r>
          </w:p>
        </w:tc>
      </w:tr>
    </w:tbl>
    <w:p>
      <w:pPr>
        <w:spacing w:line="240" w:lineRule="auto" w:before="10"/>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16" w:firstLine="420"/>
        <w:jc w:val="left"/>
      </w:pPr>
      <w:r>
        <w:rPr>
          <w:spacing w:val="-1"/>
        </w:rPr>
        <w:t>本公司对应收款项融资的预期信用损失的确定方法及会计处理方法详见本附注五／（十）</w:t>
      </w:r>
      <w:r>
        <w:rPr>
          <w:rFonts w:ascii="Times New Roman" w:hAnsi="Times New Roman" w:cs="Times New Roman" w:eastAsia="Times New Roman" w:hint="default"/>
          <w:spacing w:val="-1"/>
        </w:rPr>
        <w:t>6.</w:t>
      </w:r>
      <w:r>
        <w:rPr>
          <w:spacing w:val="-1"/>
        </w:rPr>
        <w:t>金融工具</w:t>
      </w:r>
      <w:r>
        <w:rPr>
          <w:w w:val="100"/>
        </w:rPr>
        <w:t> </w:t>
      </w:r>
      <w:r>
        <w:rPr/>
        <w:t>减值。</w:t>
      </w:r>
    </w:p>
    <w:p>
      <w:pPr>
        <w:spacing w:line="240" w:lineRule="auto" w:before="8"/>
        <w:rPr>
          <w:rFonts w:ascii="宋体" w:hAnsi="宋体" w:cs="宋体" w:eastAsia="宋体" w:hint="default"/>
          <w:sz w:val="24"/>
          <w:szCs w:val="24"/>
        </w:rPr>
      </w:pPr>
    </w:p>
    <w:p>
      <w:pPr>
        <w:spacing w:line="506" w:lineRule="auto" w:before="0"/>
        <w:ind w:left="152" w:right="55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其他应收款的预期信用损失的确定方法及会计处理方法</w:t>
      </w:r>
    </w:p>
    <w:p>
      <w:pPr>
        <w:spacing w:after="0" w:line="50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56" w:lineRule="auto" w:before="36"/>
        <w:ind w:right="1126" w:firstLine="420"/>
        <w:jc w:val="both"/>
      </w:pPr>
      <w:r>
        <w:rPr>
          <w:spacing w:val="-1"/>
        </w:rPr>
        <w:t>本公司对其他应收款的预期信用损失的确定方法及会计处理方法详见本附注五／（十）</w:t>
      </w:r>
      <w:r>
        <w:rPr>
          <w:rFonts w:ascii="Times New Roman" w:hAnsi="Times New Roman" w:cs="Times New Roman" w:eastAsia="Times New Roman" w:hint="default"/>
          <w:spacing w:val="-1"/>
        </w:rPr>
        <w:t>6.</w:t>
      </w:r>
      <w:r>
        <w:rPr>
          <w:spacing w:val="-1"/>
        </w:rPr>
        <w:t>金融工具减</w:t>
      </w:r>
      <w:r>
        <w:rPr>
          <w:w w:val="100"/>
        </w:rPr>
        <w:t> </w:t>
      </w:r>
      <w:r>
        <w:rPr/>
        <w:t>值。</w:t>
      </w:r>
    </w:p>
    <w:p>
      <w:pPr>
        <w:pStyle w:val="BodyText"/>
        <w:spacing w:line="273" w:lineRule="auto" w:before="22"/>
        <w:ind w:right="1140" w:firstLine="420"/>
        <w:jc w:val="both"/>
      </w:pPr>
      <w:r>
        <w:rPr>
          <w:spacing w:val="2"/>
        </w:rPr>
        <w:t>本公司对单项金额重大且在初始确认后已经发生信用减值或在单项工具层面能以合理成本评估预期</w:t>
      </w:r>
      <w:r>
        <w:rPr>
          <w:w w:val="100"/>
        </w:rPr>
        <w:t> </w:t>
      </w:r>
      <w:r>
        <w:rPr/>
        <w:t>信用损失的充分证据的其他应收款单独确定其信用损失。</w:t>
      </w:r>
    </w:p>
    <w:p>
      <w:pPr>
        <w:pStyle w:val="BodyText"/>
        <w:spacing w:line="273" w:lineRule="auto" w:before="7"/>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结合当前状况以及对未来经济状况的判断，依据信用风险特征将其他应收款划分为若干组合，在组合基础</w:t>
      </w:r>
      <w:r>
        <w:rPr>
          <w:spacing w:val="-44"/>
        </w:rPr>
        <w:t> </w:t>
      </w:r>
      <w:r>
        <w:rPr>
          <w:spacing w:val="-44"/>
        </w:rPr>
      </w:r>
      <w:r>
        <w:rPr/>
        <w:t>上计算预期信用损失。确定组合的依据如下：</w:t>
      </w:r>
    </w:p>
    <w:tbl>
      <w:tblPr>
        <w:tblW w:w="0" w:type="auto"/>
        <w:jc w:val="left"/>
        <w:tblInd w:w="123" w:type="dxa"/>
        <w:tblLayout w:type="fixed"/>
        <w:tblCellMar>
          <w:top w:w="0" w:type="dxa"/>
          <w:left w:w="0" w:type="dxa"/>
          <w:bottom w:w="0" w:type="dxa"/>
          <w:right w:w="0" w:type="dxa"/>
        </w:tblCellMar>
        <w:tblLook w:val="01E0"/>
      </w:tblPr>
      <w:tblGrid>
        <w:gridCol w:w="2751"/>
        <w:gridCol w:w="6923"/>
      </w:tblGrid>
      <w:tr>
        <w:trPr>
          <w:trHeight w:val="653"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9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7"/>
              <w:ind w:left="7" w:right="10"/>
              <w:jc w:val="left"/>
              <w:rPr>
                <w:rFonts w:ascii="宋体" w:hAnsi="宋体" w:cs="宋体" w:eastAsia="宋体" w:hint="default"/>
                <w:sz w:val="18"/>
                <w:szCs w:val="18"/>
              </w:rPr>
            </w:pPr>
            <w:r>
              <w:rPr>
                <w:rFonts w:ascii="宋体" w:hAnsi="宋体" w:cs="宋体" w:eastAsia="宋体" w:hint="default"/>
                <w:sz w:val="18"/>
                <w:szCs w:val="18"/>
              </w:rPr>
              <w:t>根据业务性质进行分类，将款项分为保证金及押金、备用金、代垫费用及往来款等，按</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照账龄与整个存续期预期信用损失率对照表计提。</w:t>
            </w:r>
          </w:p>
        </w:tc>
      </w:tr>
      <w:tr>
        <w:trPr>
          <w:trHeight w:val="656" w:hRule="exact"/>
        </w:trPr>
        <w:tc>
          <w:tcPr>
            <w:tcW w:w="2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692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20"/>
              <w:ind w:left="7" w:right="10"/>
              <w:jc w:val="left"/>
              <w:rPr>
                <w:rFonts w:ascii="宋体" w:hAnsi="宋体" w:cs="宋体" w:eastAsia="宋体" w:hint="default"/>
                <w:sz w:val="18"/>
                <w:szCs w:val="18"/>
              </w:rPr>
            </w:pPr>
            <w:r>
              <w:rPr>
                <w:rFonts w:ascii="宋体" w:hAnsi="宋体" w:cs="宋体" w:eastAsia="宋体" w:hint="default"/>
                <w:sz w:val="18"/>
                <w:szCs w:val="18"/>
              </w:rPr>
              <w:t>考历史信用损失经验，结合当前状况以及对未来经济状况的根据业务性质，认定无信用</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风险，主要包括代扣代缴的社保、应收出口退税。</w:t>
            </w:r>
          </w:p>
        </w:tc>
      </w:tr>
    </w:tbl>
    <w:p>
      <w:pPr>
        <w:spacing w:line="240" w:lineRule="auto" w:before="10"/>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273" w:lineRule="auto" w:before="21"/>
        <w:ind w:right="1126" w:firstLine="420"/>
        <w:jc w:val="both"/>
      </w:pPr>
      <w:r>
        <w:rPr>
          <w:spacing w:val="-2"/>
        </w:rPr>
        <w:t>存货是指本公司在日常活动中持有以备出售的产成品或商品、处在生产过程中的在产品、在生产过程</w:t>
      </w:r>
      <w:r>
        <w:rPr>
          <w:w w:val="100"/>
        </w:rPr>
        <w:t> </w:t>
      </w:r>
      <w:r>
        <w:rPr>
          <w:spacing w:val="-2"/>
        </w:rPr>
        <w:t>或提供劳务过程中耗用的材料和物料等。主要包括原材料、周转材料、在产品、自制半成品、产成品（库</w:t>
      </w:r>
      <w:r>
        <w:rPr>
          <w:spacing w:val="-42"/>
        </w:rPr>
        <w:t> </w:t>
      </w:r>
      <w:r>
        <w:rPr>
          <w:spacing w:val="-42"/>
        </w:rPr>
      </w:r>
      <w:r>
        <w:rPr/>
        <w:t>存商品）、发出商品等。</w:t>
      </w:r>
    </w:p>
    <w:p>
      <w:pPr>
        <w:pStyle w:val="BodyText"/>
        <w:spacing w:line="256" w:lineRule="auto" w:before="7"/>
        <w:ind w:left="573" w:right="1116" w:hanging="421"/>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spacing w:val="-103"/>
        </w:rPr>
        <w:t> </w:t>
      </w:r>
      <w:r>
        <w:rPr>
          <w:spacing w:val="-3"/>
        </w:rPr>
        <w:t>存货在取得时，按成本进行初始计量，包括采购成本、加工成本和其他成本。存货发出时按月末一次</w:t>
      </w:r>
    </w:p>
    <w:p>
      <w:pPr>
        <w:pStyle w:val="BodyText"/>
        <w:spacing w:line="240" w:lineRule="auto" w:before="22"/>
        <w:ind w:right="1116"/>
        <w:jc w:val="left"/>
      </w:pPr>
      <w:r>
        <w:rPr/>
        <w:t>加权平均法计价。</w:t>
      </w:r>
    </w:p>
    <w:p>
      <w:pPr>
        <w:spacing w:line="256" w:lineRule="auto" w:before="3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期末对存货进行全面清查后，按存货的成本与可变现净值孰低提取或调整存货跌价准备。产成品、库</w:t>
      </w:r>
    </w:p>
    <w:p>
      <w:pPr>
        <w:pStyle w:val="BodyText"/>
        <w:spacing w:line="273" w:lineRule="auto" w:before="22"/>
        <w:ind w:right="1126"/>
        <w:jc w:val="both"/>
      </w:pPr>
      <w:r>
        <w:rPr>
          <w:spacing w:val="-2"/>
        </w:rPr>
        <w:t>存商品和用于出售的材料等直接用于出售的商品存货，在正常生产经营过程中，以该存货的估计售价减去</w:t>
      </w:r>
      <w:r>
        <w:rPr>
          <w:spacing w:val="-44"/>
        </w:rPr>
        <w:t> </w:t>
      </w:r>
      <w:r>
        <w:rPr>
          <w:spacing w:val="-44"/>
        </w:rPr>
      </w:r>
      <w:r>
        <w:rPr>
          <w:spacing w:val="-2"/>
        </w:rPr>
        <w:t>估计的销售费用和相关税费后的金额，确定其可变现净值；需要经过加工的材料存货，在正常生产经营过</w:t>
      </w:r>
      <w:r>
        <w:rPr>
          <w:spacing w:val="-43"/>
        </w:rPr>
        <w:t> </w:t>
      </w:r>
      <w:r>
        <w:rPr>
          <w:spacing w:val="-43"/>
        </w:rPr>
      </w:r>
      <w:r>
        <w:rPr>
          <w:spacing w:val="-2"/>
        </w:rPr>
        <w:t>程中，以所生产的产成品的估计售价减去至完工时估计将要发生的成本、估计的销售费用和相关税费后的</w:t>
      </w:r>
      <w:r>
        <w:rPr>
          <w:spacing w:val="-43"/>
        </w:rPr>
        <w:t> </w:t>
      </w:r>
      <w:r>
        <w:rPr>
          <w:spacing w:val="-43"/>
        </w:rPr>
      </w:r>
      <w:r>
        <w:rPr>
          <w:spacing w:val="-2"/>
        </w:rPr>
        <w:t>金额，确定其可变现净值；为执行销售合同或者劳务合同而持有的存货，其可变现净值以合同价格为基础</w:t>
      </w:r>
      <w:r>
        <w:rPr>
          <w:spacing w:val="-45"/>
        </w:rPr>
        <w:t> </w:t>
      </w:r>
      <w:r>
        <w:rPr>
          <w:spacing w:val="-45"/>
        </w:rPr>
      </w:r>
      <w:r>
        <w:rPr>
          <w:spacing w:val="-2"/>
        </w:rPr>
        <w:t>计算，若持有存货的数量多于销售合同订购数量的，超出部分的存货的可变现净值以一般销售价格为基础</w:t>
      </w:r>
      <w:r>
        <w:rPr>
          <w:spacing w:val="-43"/>
        </w:rPr>
        <w:t> </w:t>
      </w:r>
      <w:r>
        <w:rPr>
          <w:spacing w:val="-43"/>
        </w:rPr>
      </w:r>
      <w:r>
        <w:rPr/>
        <w:t>计算。</w:t>
      </w:r>
    </w:p>
    <w:p>
      <w:pPr>
        <w:pStyle w:val="BodyText"/>
        <w:spacing w:line="273" w:lineRule="auto" w:before="7"/>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273" w:lineRule="auto" w:before="8"/>
        <w:ind w:right="112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256" w:lineRule="auto" w:before="7"/>
        <w:ind w:left="573" w:right="7364" w:hanging="3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采用永续盘存制。</w:t>
      </w:r>
    </w:p>
    <w:p>
      <w:pPr>
        <w:pStyle w:val="Heading3"/>
        <w:spacing w:line="240" w:lineRule="auto" w:before="22"/>
        <w:ind w:left="258" w:right="1116"/>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21"/>
        <w:ind w:left="573" w:right="1116"/>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21"/>
        <w:ind w:left="573" w:right="1116"/>
        <w:jc w:val="left"/>
      </w:pPr>
      <w:r>
        <w:rPr/>
        <w:t>（</w:t>
      </w:r>
      <w:r>
        <w:rPr>
          <w:rFonts w:ascii="Times New Roman" w:hAnsi="Times New Roman" w:cs="Times New Roman" w:eastAsia="Times New Roman" w:hint="default"/>
        </w:rPr>
        <w:t>3</w:t>
      </w:r>
      <w:r>
        <w:rPr/>
        <w:t>）其他周转材料采用一次转销法摊销。</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16</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、划分为持有待售确认标准</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BodyText"/>
        <w:spacing w:line="240" w:lineRule="auto" w:before="36"/>
        <w:ind w:left="573" w:right="1116"/>
        <w:jc w:val="left"/>
      </w:pPr>
      <w:r>
        <w:rPr/>
        <w:t>本公司将同时满足下列条件的非流动资产或处置组确认为持有待售组成部分：</w:t>
      </w:r>
    </w:p>
    <w:p>
      <w:pPr>
        <w:pStyle w:val="BodyText"/>
        <w:spacing w:line="240" w:lineRule="auto" w:before="37"/>
        <w:ind w:left="573" w:right="1116"/>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56" w:lineRule="auto" w:before="21"/>
        <w:ind w:right="998" w:firstLine="420"/>
        <w:jc w:val="left"/>
      </w:pPr>
      <w:r>
        <w:rPr>
          <w:spacing w:val="-2"/>
        </w:rPr>
        <w:t>（</w:t>
      </w:r>
      <w:r>
        <w:rPr>
          <w:rFonts w:ascii="Times New Roman" w:hAnsi="Times New Roman" w:cs="Times New Roman" w:eastAsia="Times New Roman" w:hint="default"/>
          <w:spacing w:val="-2"/>
        </w:rPr>
        <w:t>2</w:t>
      </w:r>
      <w:r>
        <w:rPr>
          <w:spacing w:val="-2"/>
        </w:rPr>
        <w:t>）出售极可能发生，即本公司已经就一项出售计划作出决议，并已获得监管部门批准（如适用），</w:t>
      </w:r>
      <w:r>
        <w:rPr>
          <w:w w:val="100"/>
        </w:rPr>
        <w:t> </w:t>
      </w:r>
      <w:r>
        <w:rPr/>
        <w:t>且获得确定的购买承诺，预计出售将在一年内完成。</w:t>
      </w:r>
    </w:p>
    <w:p>
      <w:pPr>
        <w:pStyle w:val="BodyText"/>
        <w:spacing w:line="273" w:lineRule="auto" w:before="22"/>
        <w:ind w:right="1116" w:firstLine="420"/>
        <w:jc w:val="left"/>
        <w:rPr>
          <w:rFonts w:ascii="宋体" w:hAnsi="宋体" w:cs="宋体" w:eastAsia="宋体" w:hint="default"/>
        </w:rPr>
      </w:pPr>
      <w:r>
        <w:rPr>
          <w:spacing w:val="-2"/>
        </w:rPr>
        <w:t>确定的购买承诺，是指本公司与其他方签订的具有法律约束力的购买协议，该协议包含交易价格、时</w:t>
      </w:r>
      <w:r>
        <w:rPr>
          <w:w w:val="100"/>
        </w:rPr>
        <w:t> </w:t>
      </w:r>
      <w:r>
        <w:rPr/>
        <w:t>间和足够严厉的违约惩罚等重要条款，使协议出现重大调整或者撤销的可能性极小。</w:t>
      </w:r>
      <w:r>
        <w:rPr>
          <w:w w:val="100"/>
        </w:rPr>
        <w:t> </w:t>
      </w: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rPr>
      </w:r>
    </w:p>
    <w:p>
      <w:pPr>
        <w:pStyle w:val="BodyText"/>
        <w:spacing w:line="273" w:lineRule="auto"/>
        <w:ind w:right="998" w:firstLine="420"/>
        <w:jc w:val="left"/>
      </w:pPr>
      <w:r>
        <w:rPr/>
        <w:t>本公司对于持有待售的非流动资产或处置组不计提折旧或摊销，其账面价值高于公允价值减去出售费</w:t>
      </w:r>
      <w:r>
        <w:rPr>
          <w:w w:val="100"/>
        </w:rPr>
        <w:t> </w:t>
      </w:r>
      <w:r>
        <w:rPr>
          <w:spacing w:val="-5"/>
        </w:rPr>
        <w:t>用后的净额的，应当将账面价值减记至公允价值减去出售费用后的净额，减记的金额确认为资产减值损失， </w:t>
      </w:r>
      <w:r>
        <w:rPr>
          <w:spacing w:val="-5"/>
        </w:rPr>
      </w:r>
      <w:r>
        <w:rPr/>
        <w:t>计入当期损益，同时计提持有待售资产减值准备。</w:t>
      </w:r>
    </w:p>
    <w:p>
      <w:pPr>
        <w:pStyle w:val="BodyText"/>
        <w:spacing w:line="273" w:lineRule="auto" w:before="7"/>
        <w:ind w:right="1116" w:firstLine="420"/>
        <w:jc w:val="left"/>
      </w:pPr>
      <w:r>
        <w:rPr>
          <w:spacing w:val="-2"/>
        </w:rPr>
        <w:t>对于取得日划分为持有待售类别的非流动资产或处置组，在初始计量时比较假定其不划分为持有待售</w:t>
      </w:r>
      <w:r>
        <w:rPr>
          <w:w w:val="100"/>
        </w:rPr>
        <w:t> </w:t>
      </w:r>
      <w:r>
        <w:rPr/>
        <w:t>类别情况下的初始计量金额和公允价值减去出售费用后的净额，以两者孰低计量。</w:t>
      </w:r>
    </w:p>
    <w:p>
      <w:pPr>
        <w:pStyle w:val="BodyText"/>
        <w:spacing w:line="273" w:lineRule="auto" w:before="7"/>
        <w:ind w:right="1126" w:firstLine="420"/>
        <w:jc w:val="both"/>
      </w:pPr>
      <w:r>
        <w:rPr>
          <w:spacing w:val="-2"/>
        </w:rPr>
        <w:t>上述原则适用于所有非流动资产，但不包括采用公允价值模式进行后续计量的投资性房地产、采用公</w:t>
      </w:r>
      <w:r>
        <w:rPr>
          <w:w w:val="100"/>
        </w:rPr>
        <w:t> </w:t>
      </w:r>
      <w:r>
        <w:rPr>
          <w:spacing w:val="-2"/>
        </w:rPr>
        <w:t>允价值减去出售费用后的净额计量的生物资产、职工薪酬形成的资产、递延所得税资产、由金融工具相关</w:t>
      </w:r>
      <w:r>
        <w:rPr>
          <w:spacing w:val="-43"/>
        </w:rPr>
        <w:t> </w:t>
      </w:r>
      <w:r>
        <w:rPr>
          <w:spacing w:val="-43"/>
        </w:rPr>
      </w:r>
      <w:r>
        <w:rPr/>
        <w:t>会计准则规范的金融资产、由保险合同相关会计准则规范的保险合同所产生的权利。</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1116"/>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256" w:lineRule="auto" w:before="21"/>
        <w:ind w:right="1116" w:firstLine="420"/>
        <w:jc w:val="left"/>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）企业合并形成的长期股权投资，具体会计政策详见本附注五／</w:t>
      </w:r>
      <w:r>
        <w:rPr>
          <w:rFonts w:ascii="Times New Roman" w:hAnsi="Times New Roman" w:cs="Times New Roman" w:eastAsia="Times New Roman" w:hint="default"/>
          <w:spacing w:val="-2"/>
        </w:rPr>
        <w:t>5</w:t>
      </w:r>
      <w:r>
        <w:rPr>
          <w:spacing w:val="-2"/>
        </w:rPr>
        <w:t>、同一控制下和非同一控制下企</w:t>
      </w:r>
      <w:r>
        <w:rPr>
          <w:w w:val="100"/>
        </w:rPr>
        <w:t> </w:t>
      </w:r>
      <w:r>
        <w:rPr/>
        <w:t>业合并的会计处理方法</w:t>
      </w:r>
    </w:p>
    <w:p>
      <w:pPr>
        <w:pStyle w:val="BodyText"/>
        <w:spacing w:line="256" w:lineRule="auto" w:before="23"/>
        <w:ind w:left="573" w:right="1116"/>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BodyText"/>
        <w:spacing w:line="273" w:lineRule="auto" w:before="22"/>
        <w:ind w:left="573" w:right="1116" w:hanging="421"/>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273" w:lineRule="auto" w:before="7"/>
        <w:ind w:left="573" w:right="1116" w:hanging="421"/>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273" w:lineRule="auto" w:before="7"/>
        <w:ind w:right="1126"/>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before="7"/>
        <w:ind w:left="573" w:right="1116"/>
        <w:jc w:val="left"/>
      </w:pPr>
      <w:r>
        <w:rPr/>
        <w:t>通过债务重组取得的长期股权投资，其初始投资成本按照公允价值为基础确定。</w:t>
      </w:r>
    </w:p>
    <w:p>
      <w:pPr>
        <w:pStyle w:val="Heading3"/>
        <w:spacing w:line="240" w:lineRule="auto" w:before="37"/>
        <w:ind w:left="678" w:right="1116"/>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256" w:lineRule="auto" w:before="22"/>
        <w:ind w:left="573" w:right="1116"/>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本公司能够对被投资单位实施控制的长期股权投资采用成本法核算，并按照初始投资成本计价，追加</w:t>
      </w:r>
    </w:p>
    <w:p>
      <w:pPr>
        <w:pStyle w:val="BodyText"/>
        <w:spacing w:line="273" w:lineRule="auto" w:before="22"/>
        <w:ind w:left="573" w:right="1116" w:hanging="421"/>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240" w:lineRule="auto" w:before="5"/>
        <w:ind w:right="1116"/>
        <w:jc w:val="left"/>
      </w:pPr>
      <w:r>
        <w:rPr/>
        <w:t>有被投资单位宣告分派的现金股利或利润确认为当期投资收益。</w:t>
      </w:r>
    </w:p>
    <w:p>
      <w:pPr>
        <w:pStyle w:val="BodyText"/>
        <w:spacing w:line="256" w:lineRule="auto" w:before="37"/>
        <w:ind w:left="573" w:right="1116"/>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本公司对联营企业和合营企业的长期股权投资采用权益法核算；对于其中一部分通过风险投资机构、</w:t>
      </w:r>
    </w:p>
    <w:p>
      <w:pPr>
        <w:pStyle w:val="BodyText"/>
        <w:spacing w:line="273" w:lineRule="auto" w:before="22"/>
        <w:ind w:right="1126"/>
        <w:jc w:val="both"/>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BodyText"/>
        <w:spacing w:line="273" w:lineRule="auto" w:before="7"/>
        <w:ind w:right="1126"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firstLine="420"/>
        <w:jc w:val="left"/>
      </w:pPr>
      <w:r>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273" w:lineRule="auto" w:before="7"/>
        <w:ind w:right="1126" w:firstLine="420"/>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273" w:lineRule="auto" w:before="7"/>
        <w:ind w:right="1126"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273" w:lineRule="auto" w:before="8"/>
        <w:ind w:right="112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3"/>
        <w:spacing w:line="240" w:lineRule="auto" w:before="7"/>
        <w:ind w:left="890" w:right="1116"/>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256" w:lineRule="auto" w:before="21"/>
        <w:ind w:left="573" w:right="1116" w:firstLine="211"/>
        <w:jc w:val="left"/>
      </w:pPr>
      <w:r>
        <w:rPr/>
        <w:t>（</w:t>
      </w: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本公司原持有的对被投资单位不具有控制、共同控制或重大影响的按金融工具确认和计量准则进行会</w:t>
      </w:r>
    </w:p>
    <w:p>
      <w:pPr>
        <w:pStyle w:val="BodyText"/>
        <w:spacing w:line="264" w:lineRule="auto" w:before="22"/>
        <w:ind w:right="1116"/>
        <w:jc w:val="left"/>
      </w:pPr>
      <w:r>
        <w:rPr/>
        <w:t>计处理的权益性投资，因追加投资等原因能够对被投资单位施加重大影响或实施共同控制但不构成控制</w:t>
      </w:r>
      <w:r>
        <w:rPr>
          <w:w w:val="100"/>
        </w:rPr>
        <w:t> </w:t>
      </w:r>
      <w:r>
        <w:rPr>
          <w:spacing w:val="-2"/>
        </w:rPr>
        <w:t>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r>
        <w:rPr>
          <w:spacing w:val="-41"/>
        </w:rPr>
        <w:t> </w:t>
      </w:r>
      <w:r>
        <w:rPr>
          <w:spacing w:val="-41"/>
        </w:rPr>
      </w:r>
      <w:r>
        <w:rPr/>
        <w:t>投资成本之和，作为改按权益法核算的初始投资成本。</w:t>
      </w:r>
    </w:p>
    <w:p>
      <w:pPr>
        <w:pStyle w:val="BodyText"/>
        <w:spacing w:line="273" w:lineRule="auto" w:before="16"/>
        <w:ind w:right="112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273" w:lineRule="auto" w:before="7"/>
        <w:ind w:right="1116" w:firstLine="420"/>
        <w:jc w:val="left"/>
      </w:pPr>
      <w:r>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256" w:lineRule="auto" w:before="7"/>
        <w:ind w:left="573" w:right="1116" w:firstLine="211"/>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w:t>
      </w:r>
    </w:p>
    <w:p>
      <w:pPr>
        <w:pStyle w:val="BodyText"/>
        <w:spacing w:line="273" w:lineRule="auto" w:before="22"/>
        <w:ind w:right="1126"/>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273" w:lineRule="auto" w:before="7"/>
        <w:ind w:right="1116" w:firstLine="420"/>
        <w:jc w:val="left"/>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256" w:lineRule="auto" w:before="8"/>
        <w:ind w:right="1116" w:firstLine="42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BodyText"/>
        <w:spacing w:line="256" w:lineRule="auto" w:before="22"/>
        <w:ind w:left="573" w:right="1116" w:firstLine="211"/>
        <w:jc w:val="left"/>
      </w:pPr>
      <w:r>
        <w:rPr/>
        <w:t>（</w:t>
      </w: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本公司因处置部分股权投资等原因丧失了对被投资单位的共同控制或重大影响的，处置后的剩余股权</w:t>
      </w:r>
    </w:p>
    <w:p>
      <w:pPr>
        <w:pStyle w:val="BodyText"/>
        <w:spacing w:line="256" w:lineRule="auto" w:before="22"/>
        <w:ind w:right="1126"/>
        <w:jc w:val="both"/>
      </w:pPr>
      <w:r>
        <w:rPr>
          <w:spacing w:val="-2"/>
        </w:rPr>
        <w:t>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w:t>
      </w:r>
      <w:r>
        <w:rPr>
          <w:spacing w:val="-40"/>
        </w:rPr>
        <w:t> </w:t>
      </w:r>
      <w:r>
        <w:rPr>
          <w:spacing w:val="-40"/>
        </w:rPr>
      </w:r>
      <w:r>
        <w:rPr/>
        <w:t>值与账面价值之间的差额计入当期损益。</w:t>
      </w:r>
    </w:p>
    <w:p>
      <w:pPr>
        <w:pStyle w:val="BodyText"/>
        <w:spacing w:line="273" w:lineRule="auto" w:before="22"/>
        <w:ind w:right="1116" w:firstLine="420"/>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256" w:lineRule="auto" w:before="7"/>
        <w:ind w:left="573" w:right="1116" w:firstLine="211"/>
        <w:jc w:val="left"/>
      </w:pPr>
      <w:r>
        <w:rPr/>
        <w:t>（</w:t>
      </w:r>
      <w:r>
        <w:rPr>
          <w:rFonts w:ascii="Times New Roman" w:hAnsi="Times New Roman" w:cs="Times New Roman" w:eastAsia="Times New Roman" w:hint="default"/>
        </w:rPr>
        <w:t>4</w:t>
      </w:r>
      <w:r>
        <w:rPr/>
        <w:t>）成本法转权益法</w:t>
      </w:r>
      <w:r>
        <w:rPr>
          <w:w w:val="100"/>
        </w:rPr>
        <w:t> </w:t>
      </w:r>
      <w:r>
        <w:rPr>
          <w:spacing w:val="-2"/>
        </w:rPr>
        <w:t>本公司因处置部分权益性投资等原因丧失了对被投资单位的控制的，在编制个别财务报表时，处置后</w:t>
      </w:r>
    </w:p>
    <w:p>
      <w:pPr>
        <w:pStyle w:val="BodyText"/>
        <w:spacing w:line="273" w:lineRule="auto" w:before="23"/>
        <w:ind w:right="1126"/>
        <w:jc w:val="both"/>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spacing w:after="0" w:line="273" w:lineRule="auto"/>
        <w:jc w:val="both"/>
        <w:sectPr>
          <w:footerReference w:type="default" r:id="rId18"/>
          <w:pgSz w:w="11910" w:h="16840"/>
          <w:pgMar w:footer="979" w:header="877" w:top="1100" w:bottom="1160" w:left="980" w:right="0"/>
          <w:pgNumType w:start="90"/>
        </w:sectPr>
      </w:pPr>
    </w:p>
    <w:p>
      <w:pPr>
        <w:spacing w:line="240" w:lineRule="auto" w:before="12"/>
        <w:rPr>
          <w:rFonts w:ascii="宋体" w:hAnsi="宋体" w:cs="宋体" w:eastAsia="宋体" w:hint="default"/>
          <w:sz w:val="20"/>
          <w:szCs w:val="20"/>
        </w:rPr>
      </w:pPr>
    </w:p>
    <w:p>
      <w:pPr>
        <w:pStyle w:val="BodyText"/>
        <w:spacing w:line="256" w:lineRule="auto" w:before="36"/>
        <w:ind w:left="573" w:right="1116" w:firstLine="211"/>
        <w:jc w:val="left"/>
      </w:pPr>
      <w:r>
        <w:rPr/>
        <w:t>（</w:t>
      </w:r>
      <w:r>
        <w:rPr>
          <w:rFonts w:ascii="Times New Roman" w:hAnsi="Times New Roman" w:cs="Times New Roman" w:eastAsia="Times New Roman" w:hint="default"/>
        </w:rPr>
        <w:t>5</w:t>
      </w:r>
      <w:r>
        <w:rPr/>
        <w:t>）成本法转公允价值计量</w:t>
      </w:r>
      <w:r>
        <w:rPr>
          <w:w w:val="100"/>
        </w:rPr>
        <w:t> </w:t>
      </w:r>
      <w:r>
        <w:rPr>
          <w:spacing w:val="-2"/>
        </w:rPr>
        <w:t>本公司因处置部分权益性投资等原因丧失了对被投资单位的控制的，在编制个别财务报表时，处置后</w:t>
      </w:r>
    </w:p>
    <w:p>
      <w:pPr>
        <w:pStyle w:val="BodyText"/>
        <w:spacing w:line="256" w:lineRule="auto" w:before="22"/>
        <w:ind w:right="998"/>
        <w:jc w:val="left"/>
      </w:pPr>
      <w:r>
        <w:rPr>
          <w:spacing w:val="-2"/>
        </w:rPr>
        <w:t>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41"/>
        </w:rPr>
        <w:t> </w:t>
      </w:r>
      <w:r>
        <w:rPr>
          <w:spacing w:val="-41"/>
        </w:rPr>
      </w:r>
      <w:r>
        <w:rPr>
          <w:spacing w:val="-5"/>
        </w:rPr>
        <w:t>确认和计量》的有关规定进行会计处理，其在丧失控制之日的公允价值与账面价值间的差额计入当期损益。</w:t>
      </w:r>
    </w:p>
    <w:p>
      <w:pPr>
        <w:spacing w:line="256" w:lineRule="auto" w:before="22"/>
        <w:ind w:left="573"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BodyText"/>
        <w:spacing w:line="273" w:lineRule="auto" w:before="22"/>
        <w:ind w:right="1116"/>
        <w:jc w:val="left"/>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BodyText"/>
        <w:spacing w:line="273" w:lineRule="auto" w:before="7"/>
        <w:ind w:right="1116" w:firstLine="420"/>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before="7"/>
        <w:ind w:left="678" w:right="1116"/>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2"/>
        <w:ind w:left="678" w:right="1116"/>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678" w:right="1116"/>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56" w:lineRule="auto" w:before="21"/>
        <w:ind w:left="573" w:right="1116" w:firstLine="105"/>
        <w:jc w:val="left"/>
      </w:pPr>
      <w:r>
        <w:rPr/>
        <w:t>（</w:t>
      </w: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before="22"/>
        <w:ind w:right="1116"/>
        <w:jc w:val="left"/>
      </w:pPr>
      <w:r>
        <w:rPr/>
        <w:t>报表和合并财务报表进行相关会计处理：</w:t>
      </w:r>
    </w:p>
    <w:p>
      <w:pPr>
        <w:pStyle w:val="BodyText"/>
        <w:spacing w:line="264" w:lineRule="auto" w:before="37"/>
        <w:ind w:right="1116"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3"/>
        </w:rPr>
        <w:t> </w:t>
      </w:r>
      <w:r>
        <w:rPr>
          <w:spacing w:val="-43"/>
        </w:rPr>
      </w:r>
      <w:r>
        <w:rPr>
          <w:spacing w:val="-2"/>
        </w:rPr>
        <w:t>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w:t>
      </w:r>
      <w:r>
        <w:rPr>
          <w:spacing w:val="-44"/>
        </w:rPr>
        <w:t> </w:t>
      </w:r>
      <w:r>
        <w:rPr>
          <w:spacing w:val="-44"/>
        </w:rPr>
      </w:r>
      <w:r>
        <w:rPr/>
        <w:t>之日的公允价值与账面价值间的差额计入当期损益。</w:t>
      </w:r>
    </w:p>
    <w:p>
      <w:pPr>
        <w:pStyle w:val="BodyText"/>
        <w:spacing w:line="268" w:lineRule="auto" w:before="16"/>
        <w:ind w:right="1116"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w:t>
      </w:r>
      <w:r>
        <w:rPr>
          <w:w w:val="100"/>
        </w:rPr>
        <w:t> </w:t>
      </w:r>
      <w:r>
        <w:rPr/>
        <w:t>资相应对享有子公司自购买日或合并日开始持续计算的净资产份额之间的差额，调整资本公积（股本溢</w:t>
      </w:r>
      <w:r>
        <w:rPr>
          <w:w w:val="100"/>
        </w:rPr>
        <w:t> </w:t>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3"/>
        </w:rPr>
        <w:t> </w:t>
      </w:r>
      <w:r>
        <w:rPr>
          <w:spacing w:val="-43"/>
        </w:rPr>
      </w:r>
      <w:r>
        <w:rPr>
          <w:spacing w:val="-2"/>
        </w:rPr>
        <w:t>应享有原有子公司自购买日开始持续计算的净资产的份额之间的差额，计入丧失控制权当期的投资收益，</w:t>
      </w:r>
      <w:r>
        <w:rPr>
          <w:spacing w:val="-21"/>
        </w:rPr>
        <w:t> </w:t>
      </w:r>
      <w:r>
        <w:rPr>
          <w:spacing w:val="-21"/>
        </w:rPr>
      </w:r>
      <w:r>
        <w:rPr/>
        <w:t>同时冲减商誉。与原有子公司股权投资相关的其他综合收益等，在丧失控制权时转为当期投资收益。</w:t>
      </w:r>
    </w:p>
    <w:p>
      <w:pPr>
        <w:pStyle w:val="BodyText"/>
        <w:spacing w:line="273" w:lineRule="auto" w:before="12"/>
        <w:ind w:right="1116" w:firstLine="420"/>
        <w:jc w:val="left"/>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256" w:lineRule="auto" w:before="7"/>
        <w:ind w:right="1116" w:firstLine="420"/>
        <w:jc w:val="left"/>
      </w:pPr>
      <w:r>
        <w:rPr>
          <w:spacing w:val="-2"/>
        </w:rPr>
        <w:t>（</w:t>
      </w:r>
      <w:r>
        <w:rPr>
          <w:rFonts w:ascii="Times New Roman" w:hAnsi="Times New Roman" w:cs="Times New Roman" w:eastAsia="Times New Roman" w:hint="default"/>
          <w:spacing w:val="-2"/>
        </w:rPr>
        <w:t>1</w:t>
      </w:r>
      <w:r>
        <w:rPr>
          <w:spacing w:val="-2"/>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259" w:lineRule="auto" w:before="22"/>
        <w:ind w:right="1116" w:firstLine="420"/>
        <w:jc w:val="left"/>
      </w:pPr>
      <w:r>
        <w:rPr>
          <w:spacing w:val="-2"/>
        </w:rPr>
        <w:t>（</w:t>
      </w:r>
      <w:r>
        <w:rPr>
          <w:rFonts w:ascii="Times New Roman" w:hAnsi="Times New Roman" w:cs="Times New Roman" w:eastAsia="Times New Roman" w:hint="default"/>
          <w:spacing w:val="-2"/>
        </w:rPr>
        <w:t>2</w:t>
      </w:r>
      <w:r>
        <w:rPr>
          <w:spacing w:val="-2"/>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256" w:lineRule="auto" w:before="20"/>
        <w:ind w:left="573" w:right="1116" w:firstLine="1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BodyText"/>
        <w:spacing w:line="273" w:lineRule="auto" w:before="22"/>
        <w:ind w:right="1116"/>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273" w:lineRule="auto" w:before="7"/>
        <w:ind w:right="1126"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273" w:lineRule="auto" w:before="7"/>
        <w:ind w:right="1126"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t>断对被投资单位具有重大影响：</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left="573" w:right="1116"/>
        <w:jc w:val="left"/>
      </w:pPr>
      <w:r>
        <w:rPr/>
        <w:t>（</w:t>
      </w:r>
      <w:r>
        <w:rPr>
          <w:rFonts w:ascii="Times New Roman" w:hAnsi="Times New Roman" w:cs="Times New Roman" w:eastAsia="Times New Roman" w:hint="default"/>
        </w:rPr>
        <w:t>1</w:t>
      </w:r>
      <w:r>
        <w:rPr/>
        <w:t>）在被投资单位的董事会或类似权力机构中派有代表；</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）参与被投资单位财务和经营政策制定过程；</w:t>
      </w:r>
    </w:p>
    <w:p>
      <w:pPr>
        <w:pStyle w:val="BodyText"/>
        <w:spacing w:line="240" w:lineRule="auto" w:before="21"/>
        <w:ind w:left="573" w:right="1116"/>
        <w:jc w:val="left"/>
      </w:pPr>
      <w:r>
        <w:rPr/>
        <w:t>（</w:t>
      </w:r>
      <w:r>
        <w:rPr>
          <w:rFonts w:ascii="Times New Roman" w:hAnsi="Times New Roman" w:cs="Times New Roman" w:eastAsia="Times New Roman" w:hint="default"/>
        </w:rPr>
        <w:t>3</w:t>
      </w:r>
      <w:r>
        <w:rPr/>
        <w:t>）与被投资单位之间发生重要交易；</w:t>
      </w:r>
    </w:p>
    <w:p>
      <w:pPr>
        <w:pStyle w:val="BodyText"/>
        <w:spacing w:line="240" w:lineRule="auto" w:before="21"/>
        <w:ind w:left="573" w:right="1116"/>
        <w:jc w:val="left"/>
      </w:pPr>
      <w:r>
        <w:rPr/>
        <w:t>（</w:t>
      </w:r>
      <w:r>
        <w:rPr>
          <w:rFonts w:ascii="Times New Roman" w:hAnsi="Times New Roman" w:cs="Times New Roman" w:eastAsia="Times New Roman" w:hint="default"/>
        </w:rPr>
        <w:t>4</w:t>
      </w:r>
      <w:r>
        <w:rPr/>
        <w:t>）向被投资单位派出管理人员；</w:t>
      </w:r>
    </w:p>
    <w:p>
      <w:pPr>
        <w:pStyle w:val="BodyText"/>
        <w:spacing w:line="240" w:lineRule="auto" w:before="21"/>
        <w:ind w:left="573" w:right="1116"/>
        <w:jc w:val="left"/>
      </w:pPr>
      <w:r>
        <w:rPr/>
        <w:t>（</w:t>
      </w:r>
      <w:r>
        <w:rPr>
          <w:rFonts w:ascii="Times New Roman" w:hAnsi="Times New Roman" w:cs="Times New Roman" w:eastAsia="Times New Roman" w:hint="default"/>
        </w:rPr>
        <w:t>5</w:t>
      </w:r>
      <w:r>
        <w:rPr/>
        <w:t>）向被投资单位提供关键技术资料。</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tabs>
          <w:tab w:pos="4968" w:val="left" w:leader="none"/>
          <w:tab w:pos="5090" w:val="left" w:leader="none"/>
          <w:tab w:pos="7486" w:val="left" w:leader="none"/>
        </w:tabs>
        <w:spacing w:line="264" w:lineRule="auto"/>
        <w:ind w:right="1043" w:firstLine="420"/>
        <w:jc w:val="left"/>
      </w:pPr>
      <w:r>
        <w:rPr>
          <w:rFonts w:ascii="Times New Roman" w:hAnsi="Times New Roman" w:cs="Times New Roman" w:eastAsia="Times New Roman" w:hint="default"/>
        </w:rPr>
        <w:t>1</w:t>
      </w:r>
      <w:r>
        <w:rPr/>
        <w:t>、固定资产确认条件</w:t>
      </w:r>
      <w:r>
        <w:rPr>
          <w:spacing w:val="26"/>
        </w:rPr>
        <w:t> </w:t>
      </w:r>
      <w:r>
        <w:rPr>
          <w:spacing w:val="-3"/>
        </w:rPr>
        <w:t>固定资产指为生产商品、提供劳务、出租或经营管理而持有，并且使用寿命超</w:t>
      </w:r>
      <w:r>
        <w:rPr>
          <w:w w:val="100"/>
        </w:rPr>
        <w:t> </w:t>
      </w:r>
      <w:r>
        <w:rPr/>
        <w:t>过一个会计年度的有形资产。固定资产在同时满足下列条件时予以确认：（</w:t>
      </w:r>
      <w:r>
        <w:rPr>
          <w:rFonts w:ascii="Times New Roman" w:hAnsi="Times New Roman" w:cs="Times New Roman" w:eastAsia="Times New Roman" w:hint="default"/>
        </w:rPr>
        <w:t>1</w:t>
      </w:r>
      <w:r>
        <w:rPr/>
        <w:t>）与该固定资产有关的经济</w:t>
      </w:r>
      <w:r>
        <w:rPr>
          <w:w w:val="100"/>
        </w:rPr>
        <w:t> </w:t>
      </w:r>
      <w:r>
        <w:rPr>
          <w:spacing w:val="-2"/>
        </w:rPr>
        <w:t>利益很可能流入企业；（</w:t>
      </w:r>
      <w:r>
        <w:rPr>
          <w:rFonts w:ascii="Times New Roman" w:hAnsi="Times New Roman" w:cs="Times New Roman" w:eastAsia="Times New Roman" w:hint="default"/>
          <w:spacing w:val="-2"/>
        </w:rPr>
        <w:t>2</w:t>
      </w:r>
      <w:r>
        <w:rPr>
          <w:spacing w:val="-2"/>
        </w:rPr>
        <w:t>）该固定资产的成本能够可靠地计量。</w:t>
      </w:r>
      <w:r>
        <w:rPr>
          <w:rFonts w:ascii="Times New Roman" w:hAnsi="Times New Roman" w:cs="Times New Roman" w:eastAsia="Times New Roman" w:hint="default"/>
          <w:spacing w:val="-2"/>
        </w:rPr>
        <w:t>2</w:t>
      </w:r>
      <w:r>
        <w:rPr>
          <w:spacing w:val="-2"/>
        </w:rPr>
        <w:t>、固定资产初始计量本公司固定资产按</w:t>
      </w:r>
      <w:r>
        <w:rPr>
          <w:spacing w:val="-44"/>
        </w:rPr>
        <w:t> </w:t>
      </w:r>
      <w:r>
        <w:rPr>
          <w:spacing w:val="-44"/>
        </w:rPr>
      </w:r>
      <w:r>
        <w:rPr/>
        <w:t>成本进行初始计量。（</w:t>
      </w:r>
      <w:r>
        <w:rPr>
          <w:rFonts w:ascii="Times New Roman" w:hAnsi="Times New Roman" w:cs="Times New Roman" w:eastAsia="Times New Roman" w:hint="default"/>
        </w:rPr>
        <w:t>1</w:t>
      </w:r>
      <w:r>
        <w:rPr/>
        <w:t>）外购的固定资产的成本包括买价、进口关税等相关税费，以及为使固定资产达</w:t>
      </w:r>
      <w:r>
        <w:rPr>
          <w:w w:val="100"/>
        </w:rPr>
        <w:t> </w:t>
      </w:r>
      <w:r>
        <w:rPr/>
        <w:t>到预定可使用状态前所发生的可直接归属于该资产的其他支出。（</w:t>
      </w:r>
      <w:r>
        <w:rPr>
          <w:rFonts w:ascii="Times New Roman" w:hAnsi="Times New Roman" w:cs="Times New Roman" w:eastAsia="Times New Roman" w:hint="default"/>
        </w:rPr>
        <w:t>2</w:t>
      </w:r>
      <w:r>
        <w:rPr/>
        <w:t>）自行建造固定资产的成本，由建造</w:t>
      </w:r>
      <w:r>
        <w:rPr>
          <w:w w:val="100"/>
        </w:rPr>
        <w:t> </w:t>
      </w:r>
      <w:r>
        <w:rPr/>
        <w:t>该项资产达到预定可使用状态前所发生的必要支出构成。（</w:t>
      </w:r>
      <w:r>
        <w:rPr>
          <w:rFonts w:ascii="Times New Roman" w:hAnsi="Times New Roman" w:cs="Times New Roman" w:eastAsia="Times New Roman" w:hint="default"/>
        </w:rPr>
        <w:t>3</w:t>
      </w:r>
      <w:r>
        <w:rPr/>
        <w:t>）投资者投入的固定资产，按投资合同或协</w:t>
      </w:r>
      <w:r>
        <w:rPr>
          <w:w w:val="100"/>
        </w:rPr>
        <w:t> </w:t>
      </w:r>
      <w:r>
        <w:rPr/>
        <w:t>议约定的价值作为入账价值，但合同或协议约定价值不公允的按公允价值入账。（</w:t>
      </w:r>
      <w:r>
        <w:rPr>
          <w:rFonts w:ascii="Times New Roman" w:hAnsi="Times New Roman" w:cs="Times New Roman" w:eastAsia="Times New Roman" w:hint="default"/>
        </w:rPr>
        <w:t>4</w:t>
      </w:r>
      <w:r>
        <w:rPr/>
        <w:t>）购买固定资产的价</w:t>
      </w:r>
      <w:r>
        <w:rPr>
          <w:spacing w:val="-3"/>
          <w:w w:val="100"/>
        </w:rPr>
        <w:t> </w:t>
      </w:r>
      <w:r>
        <w:rPr/>
        <w:t>款超过正常信用条件延期支付，实质上具有融资性质的，固定资产的成本以购买价款的现值为基础确定。</w:t>
      </w:r>
      <w:r>
        <w:rPr>
          <w:w w:val="100"/>
        </w:rPr>
        <w:t> </w:t>
      </w:r>
      <w:r>
        <w:rPr/>
        <w:t>实际支付的价款与购买价款的现值之间的差额，除应予资本化的以外，在信用期间内计入当期损益。</w:t>
      </w:r>
      <w:r>
        <w:rPr>
          <w:rFonts w:ascii="Times New Roman" w:hAnsi="Times New Roman" w:cs="Times New Roman" w:eastAsia="Times New Roman" w:hint="default"/>
        </w:rPr>
        <w:t>3</w:t>
      </w:r>
      <w:r>
        <w:rPr/>
        <w:t>、</w:t>
      </w:r>
      <w:r>
        <w:rPr>
          <w:w w:val="100"/>
        </w:rPr>
        <w:t> </w:t>
      </w:r>
      <w:r>
        <w:rPr>
          <w:spacing w:val="-2"/>
        </w:rPr>
        <w:t>固定资产后续计量及处置（</w:t>
      </w:r>
      <w:r>
        <w:rPr>
          <w:rFonts w:ascii="Times New Roman" w:hAnsi="Times New Roman" w:cs="Times New Roman" w:eastAsia="Times New Roman" w:hint="default"/>
          <w:spacing w:val="-2"/>
        </w:rPr>
        <w:t>1</w:t>
      </w:r>
      <w:r>
        <w:rPr>
          <w:spacing w:val="-2"/>
        </w:rPr>
        <w:t>）固定资产折旧</w:t>
        <w:tab/>
        <w:tab/>
        <w:t>固定资产折旧按其入账价值减去预计净残值后在预</w:t>
      </w:r>
      <w:r>
        <w:rPr>
          <w:spacing w:val="-65"/>
        </w:rPr>
        <w:t> </w:t>
      </w:r>
      <w:r>
        <w:rPr>
          <w:spacing w:val="-65"/>
        </w:rPr>
      </w:r>
      <w:r>
        <w:rPr>
          <w:spacing w:val="-2"/>
        </w:rPr>
        <w:t>计使用寿命内计提。对计提了减值准备的固定资产，则在未来期间按扣除减值准备后的账面价值及依据尚</w:t>
      </w:r>
      <w:r>
        <w:rPr>
          <w:spacing w:val="-43"/>
        </w:rPr>
        <w:t> </w:t>
      </w:r>
      <w:r>
        <w:rPr>
          <w:spacing w:val="-43"/>
        </w:rPr>
      </w:r>
      <w:r>
        <w:rPr>
          <w:spacing w:val="-2"/>
        </w:rPr>
        <w:t>可使用年限确定折旧额；已提足折旧仍继续使用的固定资产不计提折旧。</w:t>
        <w:tab/>
        <w:t>本公司根据固定资产的性</w:t>
      </w:r>
      <w:r>
        <w:rPr>
          <w:spacing w:val="-88"/>
        </w:rPr>
        <w:t> </w:t>
      </w:r>
      <w:r>
        <w:rPr>
          <w:spacing w:val="-88"/>
        </w:rPr>
      </w:r>
      <w:r>
        <w:rPr>
          <w:spacing w:val="-2"/>
        </w:rPr>
        <w:t>质和使用情况，确定固定资产的使用寿命和预计净残值。并在年度终了，对固定资产的使用寿命、预计净</w:t>
      </w:r>
      <w:r>
        <w:rPr>
          <w:spacing w:val="-46"/>
        </w:rPr>
        <w:t> </w:t>
      </w:r>
      <w:r>
        <w:rPr>
          <w:spacing w:val="-46"/>
        </w:rPr>
      </w:r>
      <w:r>
        <w:rPr/>
        <w:t>残值和折旧方法进行复核，如与原先估计数存在差异的，进行相应的调整。（</w:t>
      </w:r>
      <w:r>
        <w:rPr>
          <w:rFonts w:ascii="Times New Roman" w:hAnsi="Times New Roman" w:cs="Times New Roman" w:eastAsia="Times New Roman" w:hint="default"/>
        </w:rPr>
        <w:t>2</w:t>
      </w:r>
      <w:r>
        <w:rPr/>
        <w:t>）固定资产的后续支出</w:t>
      </w:r>
      <w:r>
        <w:rPr>
          <w:w w:val="100"/>
        </w:rPr>
        <w:t> </w:t>
      </w:r>
      <w:r>
        <w:rPr>
          <w:spacing w:val="-5"/>
        </w:rPr>
        <w:t>与固定资产有关的后续支出，符合固定资产确认条件的，计入固定资产成本；不符合固定资产确认条件的，</w:t>
      </w:r>
      <w:r>
        <w:rPr>
          <w:spacing w:val="-4"/>
        </w:rPr>
        <w:t> </w:t>
      </w:r>
      <w:r>
        <w:rPr>
          <w:spacing w:val="-4"/>
        </w:rPr>
      </w:r>
      <w:r>
        <w:rPr>
          <w:spacing w:val="-3"/>
        </w:rPr>
        <w:t>在发生时计入当期损益。（</w:t>
      </w:r>
      <w:r>
        <w:rPr>
          <w:rFonts w:ascii="Times New Roman" w:hAnsi="Times New Roman" w:cs="Times New Roman" w:eastAsia="Times New Roman" w:hint="default"/>
          <w:spacing w:val="-3"/>
        </w:rPr>
        <w:t>3</w:t>
      </w:r>
      <w:r>
        <w:rPr>
          <w:spacing w:val="-3"/>
        </w:rPr>
        <w:t>）固定资产处置</w:t>
        <w:tab/>
      </w:r>
      <w:r>
        <w:rPr/>
        <w:t>当固定资产被处置、或者预期通过使用或处置不能产</w:t>
      </w:r>
      <w:r>
        <w:rPr>
          <w:w w:val="100"/>
        </w:rPr>
        <w:t> </w:t>
      </w:r>
      <w:r>
        <w:rPr>
          <w:spacing w:val="-2"/>
        </w:rPr>
        <w:t>生经济利益时，终止确认该固定资产。固定资产出售、转让、报废或毁损的处置收入扣除其账面价值和相</w:t>
      </w:r>
      <w:r>
        <w:rPr>
          <w:spacing w:val="-47"/>
        </w:rPr>
        <w:t> </w:t>
      </w:r>
      <w:r>
        <w:rPr>
          <w:spacing w:val="-47"/>
        </w:rPr>
      </w:r>
      <w:r>
        <w:rPr/>
        <w:t>关税费后的金额计入当期损益。</w:t>
      </w:r>
    </w:p>
    <w:p>
      <w:pPr>
        <w:spacing w:line="240" w:lineRule="auto" w:before="2"/>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1916"/>
        <w:gridCol w:w="1913"/>
        <w:gridCol w:w="1916"/>
        <w:gridCol w:w="1913"/>
        <w:gridCol w:w="1901"/>
      </w:tblGrid>
      <w:tr>
        <w:trPr>
          <w:trHeight w:val="401" w:hRule="exact"/>
        </w:trPr>
        <w:tc>
          <w:tcPr>
            <w:tcW w:w="19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w:t>
            </w:r>
          </w:p>
        </w:tc>
      </w:tr>
      <w:tr>
        <w:trPr>
          <w:trHeight w:val="403"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right="1116" w:firstLine="420"/>
        <w:jc w:val="left"/>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w:t>
      </w:r>
      <w:r>
        <w:rPr>
          <w:w w:val="100"/>
        </w:rPr>
        <w:t> </w:t>
      </w:r>
      <w:r>
        <w:rPr/>
        <w:t>满时，租赁资产的所有权转移给本公司。（</w:t>
      </w:r>
      <w:r>
        <w:rPr>
          <w:rFonts w:ascii="Times New Roman" w:hAnsi="Times New Roman" w:cs="Times New Roman" w:eastAsia="Times New Roman" w:hint="default"/>
        </w:rPr>
        <w:t>2</w:t>
      </w:r>
      <w:r>
        <w:rPr/>
        <w:t>）本公司有购买租赁资产的选择权，所订立的购买价款预计</w:t>
      </w:r>
      <w:r>
        <w:rPr>
          <w:w w:val="100"/>
        </w:rPr>
        <w:t> </w:t>
      </w:r>
      <w:r>
        <w:rPr>
          <w:spacing w:val="-2"/>
        </w:rPr>
        <w:t>将远低于行使选择权时租赁资产的公允价值，因而在租赁开始日就可以合理确定本公司将会行使这种选择</w:t>
      </w:r>
      <w:r>
        <w:rPr>
          <w:spacing w:val="-43"/>
        </w:rPr>
        <w:t> </w:t>
      </w:r>
      <w:r>
        <w:rPr>
          <w:spacing w:val="-43"/>
        </w:rPr>
      </w:r>
      <w:r>
        <w:rPr>
          <w:spacing w:val="-2"/>
        </w:rPr>
        <w:t>权。（</w:t>
      </w:r>
      <w:r>
        <w:rPr>
          <w:rFonts w:ascii="Times New Roman" w:hAnsi="Times New Roman" w:cs="Times New Roman" w:eastAsia="Times New Roman" w:hint="default"/>
          <w:spacing w:val="-2"/>
        </w:rPr>
        <w:t>3</w:t>
      </w:r>
      <w:r>
        <w:rPr>
          <w:spacing w:val="-2"/>
        </w:rPr>
        <w:t>）即使资产的所有权不转移，但租赁期占租赁资产使用寿命的大部分。（</w:t>
      </w:r>
      <w:r>
        <w:rPr>
          <w:rFonts w:ascii="Times New Roman" w:hAnsi="Times New Roman" w:cs="Times New Roman" w:eastAsia="Times New Roman" w:hint="default"/>
          <w:spacing w:val="-2"/>
        </w:rPr>
        <w:t>4</w:t>
      </w:r>
      <w:r>
        <w:rPr>
          <w:spacing w:val="-2"/>
        </w:rPr>
        <w:t>）本公司在租赁开始日</w:t>
      </w:r>
    </w:p>
    <w:p>
      <w:pPr>
        <w:spacing w:after="0" w:line="261"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1" w:lineRule="auto" w:before="36"/>
        <w:ind w:right="998"/>
        <w:jc w:val="left"/>
      </w:pPr>
      <w:r>
        <w:rPr/>
        <w:t>的最低租赁付款额现值，几乎相当于租赁开始日租赁资产公允价值。（</w:t>
      </w:r>
      <w:r>
        <w:rPr>
          <w:rFonts w:ascii="Times New Roman" w:hAnsi="Times New Roman" w:cs="Times New Roman" w:eastAsia="Times New Roman" w:hint="default"/>
        </w:rPr>
        <w:t>5</w:t>
      </w:r>
      <w:r>
        <w:rPr/>
        <w:t>）租赁资产性质特殊，如果不作</w:t>
      </w:r>
      <w:r>
        <w:rPr>
          <w:w w:val="100"/>
        </w:rPr>
        <w:t> </w:t>
      </w:r>
      <w:r>
        <w:rPr>
          <w:spacing w:val="-2"/>
        </w:rPr>
        <w:t>较大改造，只有本公司才能使用。融资租赁租入的固定资产，按租赁开始日租赁资产公允价值与最低租赁</w:t>
      </w:r>
      <w:r>
        <w:rPr>
          <w:spacing w:val="-44"/>
        </w:rPr>
        <w:t> </w:t>
      </w:r>
      <w:r>
        <w:rPr>
          <w:spacing w:val="-44"/>
        </w:rPr>
      </w:r>
      <w:r>
        <w:rPr>
          <w:spacing w:val="-2"/>
        </w:rPr>
        <w:t>付款额的现值两者中较低者，作为入账价值。最低租赁付款额作为长期应付款的入账价值，其差额作为未</w:t>
      </w:r>
      <w:r>
        <w:rPr>
          <w:spacing w:val="-44"/>
        </w:rPr>
        <w:t> </w:t>
      </w:r>
      <w:r>
        <w:rPr>
          <w:spacing w:val="-44"/>
        </w:rPr>
      </w:r>
      <w:r>
        <w:rPr>
          <w:spacing w:val="-5"/>
        </w:rPr>
        <w:t>确认融资费用。在租赁谈判和签订租赁合同过程中发生的，可归属于租赁项目的手续费、律师费、差旅费、</w:t>
      </w:r>
      <w:r>
        <w:rPr>
          <w:spacing w:val="-8"/>
        </w:rPr>
        <w:t> </w:t>
      </w:r>
      <w:r>
        <w:rPr>
          <w:spacing w:val="-8"/>
        </w:rPr>
      </w:r>
      <w:r>
        <w:rPr>
          <w:spacing w:val="-2"/>
        </w:rPr>
        <w:t>印花税等初始直接费用，计入租入资产价值。未确认融资费用在租赁期内各个期间采用实际利率法进行分</w:t>
      </w:r>
      <w:r>
        <w:rPr>
          <w:spacing w:val="-42"/>
        </w:rPr>
        <w:t> </w:t>
      </w:r>
      <w:r>
        <w:rPr>
          <w:spacing w:val="-42"/>
        </w:rPr>
      </w:r>
      <w:r>
        <w:rPr>
          <w:spacing w:val="-2"/>
        </w:rPr>
        <w:t>摊。本公司采用与自有固定资产相一致的折旧政策计提融资租入固定资产折旧。能够合理确定租赁期届满</w:t>
      </w:r>
      <w:r>
        <w:rPr>
          <w:spacing w:val="-44"/>
        </w:rPr>
        <w:t> </w:t>
      </w:r>
      <w:r>
        <w:rPr>
          <w:spacing w:val="-44"/>
        </w:rPr>
      </w:r>
      <w:r>
        <w:rPr>
          <w:spacing w:val="-2"/>
        </w:rPr>
        <w:t>时取得租赁资产所有权的，在租赁资产使用寿命内计提折旧。无法合理确定租赁期届满时能够取得租赁资</w:t>
      </w:r>
      <w:r>
        <w:rPr>
          <w:spacing w:val="-43"/>
        </w:rPr>
        <w:t> </w:t>
      </w:r>
      <w:r>
        <w:rPr>
          <w:spacing w:val="-43"/>
        </w:rPr>
      </w:r>
      <w:r>
        <w:rPr/>
        <w:t>产所有权的，在租赁期与租赁资产使用寿命两者中较短的期间内计提折旧。</w:t>
      </w:r>
    </w:p>
    <w:p>
      <w:pPr>
        <w:spacing w:line="240" w:lineRule="auto" w:before="9"/>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19</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16"/>
        <w:jc w:val="left"/>
      </w:pPr>
      <w:r>
        <w:rPr>
          <w:rFonts w:ascii="Times New Roman" w:hAnsi="Times New Roman" w:cs="Times New Roman" w:eastAsia="Times New Roman" w:hint="default"/>
        </w:rPr>
        <w:t>1</w:t>
      </w:r>
      <w:r>
        <w:rPr/>
        <w:t>、在建工程初始计量</w:t>
      </w:r>
      <w:r>
        <w:rPr>
          <w:w w:val="100"/>
        </w:rPr>
        <w:t> </w:t>
      </w:r>
      <w:r>
        <w:rPr>
          <w:spacing w:val="-2"/>
        </w:rPr>
        <w:t>本公司自行建造的在建工程按实际成本计价，实际成本由建造该项资产达到预定可使用状态前所发生</w:t>
      </w:r>
    </w:p>
    <w:p>
      <w:pPr>
        <w:pStyle w:val="BodyText"/>
        <w:spacing w:line="273" w:lineRule="auto" w:before="22"/>
        <w:ind w:right="1116"/>
        <w:jc w:val="left"/>
      </w:pPr>
      <w:r>
        <w:rPr>
          <w:spacing w:val="-2"/>
        </w:rPr>
        <w:t>的必要支出构成，包括工程用物资成本、人工成本、交纳的相关税费、应予资本化的借款费用以及应分摊</w:t>
      </w:r>
      <w:r>
        <w:rPr>
          <w:spacing w:val="-47"/>
        </w:rPr>
        <w:t> </w:t>
      </w:r>
      <w:r>
        <w:rPr>
          <w:spacing w:val="-47"/>
        </w:rPr>
      </w:r>
      <w:r>
        <w:rPr/>
        <w:t>的间接费用等。</w:t>
      </w:r>
    </w:p>
    <w:p>
      <w:pPr>
        <w:pStyle w:val="BodyText"/>
        <w:spacing w:line="256" w:lineRule="auto" w:before="7"/>
        <w:ind w:left="573" w:right="1116"/>
        <w:jc w:val="left"/>
      </w:pPr>
      <w:r>
        <w:rPr>
          <w:rFonts w:ascii="Times New Roman" w:hAnsi="Times New Roman" w:cs="Times New Roman" w:eastAsia="Times New Roman"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pStyle w:val="BodyText"/>
        <w:spacing w:line="273" w:lineRule="auto" w:before="22"/>
        <w:ind w:right="112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20</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BodyText"/>
        <w:spacing w:line="273" w:lineRule="auto" w:before="22"/>
        <w:ind w:left="573" w:right="1116" w:hanging="421"/>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273" w:lineRule="auto" w:before="7"/>
        <w:ind w:left="573" w:right="5505"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256" w:lineRule="auto" w:before="7"/>
        <w:ind w:right="1116" w:firstLine="420"/>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22"/>
        <w:ind w:left="573" w:right="1116"/>
        <w:jc w:val="left"/>
      </w:pPr>
      <w:r>
        <w:rPr/>
        <w:t>（</w:t>
      </w:r>
      <w:r>
        <w:rPr>
          <w:rFonts w:ascii="Times New Roman" w:hAnsi="Times New Roman" w:cs="Times New Roman" w:eastAsia="Times New Roman" w:hint="default"/>
        </w:rPr>
        <w:t>2</w:t>
      </w:r>
      <w:r>
        <w:rPr/>
        <w:t>）借款费用已经发生；</w:t>
      </w:r>
    </w:p>
    <w:p>
      <w:pPr>
        <w:pStyle w:val="BodyText"/>
        <w:spacing w:line="240" w:lineRule="auto" w:before="22"/>
        <w:ind w:left="573" w:right="111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56" w:lineRule="auto" w:before="21"/>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before="22"/>
        <w:ind w:right="1116"/>
        <w:jc w:val="left"/>
      </w:pPr>
      <w:r>
        <w:rPr/>
        <w:t>包括在内。</w:t>
      </w:r>
    </w:p>
    <w:p>
      <w:pPr>
        <w:pStyle w:val="BodyText"/>
        <w:spacing w:line="273" w:lineRule="auto" w:before="37"/>
        <w:ind w:left="573" w:right="1116"/>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7"/>
        <w:ind w:right="1116"/>
        <w:jc w:val="left"/>
      </w:pPr>
      <w:r>
        <w:rPr/>
        <w:t>止资本化。</w:t>
      </w:r>
    </w:p>
    <w:p>
      <w:pPr>
        <w:pStyle w:val="BodyText"/>
        <w:spacing w:line="273" w:lineRule="auto" w:before="37"/>
        <w:ind w:right="1116"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256" w:lineRule="auto" w:before="7"/>
        <w:ind w:left="573" w:right="1116" w:hanging="421"/>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03"/>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w:t>
      </w:r>
    </w:p>
    <w:p>
      <w:pPr>
        <w:pStyle w:val="BodyText"/>
        <w:spacing w:line="240" w:lineRule="auto" w:before="5"/>
        <w:ind w:right="998"/>
        <w:jc w:val="left"/>
      </w:pPr>
      <w:r>
        <w:rPr/>
        <w:t>款费用暂停资本化；该项中断如是所购建或生产的符合资本化条件的资产达到预定可使用状态或者可销售</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56" w:lineRule="auto" w:before="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273" w:lineRule="auto" w:before="22"/>
        <w:ind w:right="1116"/>
        <w:jc w:val="left"/>
      </w:pPr>
      <w:r>
        <w:rPr>
          <w:spacing w:val="-2"/>
        </w:rPr>
        <w:t>投资收益）及其辅助费用在所购建或者生产的符合资本化条件的资产达到预定可使用或者可销售状态前，</w:t>
      </w:r>
      <w:r>
        <w:rPr>
          <w:spacing w:val="-20"/>
        </w:rPr>
        <w:t> </w:t>
      </w:r>
      <w:r>
        <w:rPr>
          <w:spacing w:val="-20"/>
        </w:rPr>
      </w:r>
      <w:r>
        <w:rPr/>
        <w:t>予以资本化。</w:t>
      </w:r>
    </w:p>
    <w:p>
      <w:pPr>
        <w:pStyle w:val="BodyText"/>
        <w:spacing w:line="273" w:lineRule="auto" w:before="7"/>
        <w:ind w:right="1126" w:firstLine="420"/>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273" w:lineRule="auto" w:before="7"/>
        <w:ind w:right="1126"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21</w:t>
      </w:r>
      <w:r>
        <w:rPr/>
        <w:t>、无形资产</w:t>
      </w:r>
      <w:r>
        <w:rPr>
          <w:b w:val="0"/>
          <w:bCs w:val="0"/>
        </w:rPr>
      </w:r>
    </w:p>
    <w:p>
      <w:pPr>
        <w:spacing w:line="590" w:lineRule="atLeast" w:before="24"/>
        <w:ind w:left="573" w:right="99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5"/>
          <w:sz w:val="21"/>
          <w:szCs w:val="21"/>
        </w:rPr>
        <w:t>无形资产是指本公司拥有或者控制的没有实物形态的可辨认非货币性资产，包括专利权、软件著作权、</w:t>
      </w:r>
    </w:p>
    <w:p>
      <w:pPr>
        <w:pStyle w:val="BodyText"/>
        <w:spacing w:line="240" w:lineRule="auto" w:before="37"/>
        <w:ind w:right="1116"/>
        <w:jc w:val="left"/>
      </w:pPr>
      <w:r>
        <w:rPr/>
        <w:t>商标权、软件、非专利技术。</w:t>
      </w:r>
    </w:p>
    <w:p>
      <w:pPr>
        <w:spacing w:line="256" w:lineRule="auto" w:before="3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BodyText"/>
        <w:spacing w:line="273" w:lineRule="auto" w:before="22"/>
        <w:ind w:right="1116"/>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73" w:lineRule="auto" w:before="8"/>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before="7"/>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2"/>
        </w:rPr>
        <w:t> </w:t>
      </w:r>
      <w:r>
        <w:rPr>
          <w:spacing w:val="-42"/>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73" w:lineRule="auto" w:before="7"/>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73" w:lineRule="auto" w:before="7"/>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256" w:lineRule="auto" w:before="8"/>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256" w:lineRule="auto" w:before="22"/>
        <w:ind w:left="573" w:right="1116"/>
        <w:jc w:val="left"/>
      </w:pPr>
      <w:r>
        <w:rPr/>
        <w:t>（</w:t>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22"/>
        <w:ind w:right="1116"/>
        <w:jc w:val="left"/>
      </w:pPr>
      <w:r>
        <w:rPr/>
        <w:t>资产预计寿命及依据如下：</w:t>
      </w:r>
    </w:p>
    <w:p>
      <w:pPr>
        <w:pStyle w:val="BodyText"/>
        <w:spacing w:line="240" w:lineRule="auto" w:before="37"/>
        <w:ind w:left="573" w:right="1116"/>
        <w:jc w:val="left"/>
      </w:pPr>
      <w:r>
        <w:rPr>
          <w:rFonts w:ascii="Times New Roman" w:hAnsi="Times New Roman" w:cs="Times New Roman" w:eastAsia="Times New Roman" w:hint="default"/>
        </w:rPr>
        <w:t>1</w:t>
      </w:r>
      <w:r>
        <w:rPr/>
        <w:t>）软件、专利权法律有规定的从法律，合同有规定的从合同，两者都没有规定的按</w:t>
      </w:r>
      <w:r>
        <w:rPr>
          <w:rFonts w:ascii="Times New Roman" w:hAnsi="Times New Roman" w:cs="Times New Roman" w:eastAsia="Times New Roman" w:hint="default"/>
        </w:rPr>
        <w:t>5</w:t>
      </w:r>
      <w:r>
        <w:rPr/>
        <w:t>年摊销；</w:t>
      </w:r>
    </w:p>
    <w:p>
      <w:pPr>
        <w:pStyle w:val="BodyText"/>
        <w:spacing w:line="240" w:lineRule="auto" w:before="21"/>
        <w:ind w:left="573" w:right="1116"/>
        <w:jc w:val="left"/>
      </w:pPr>
      <w:r>
        <w:rPr>
          <w:rFonts w:ascii="Times New Roman" w:hAnsi="Times New Roman" w:cs="Times New Roman" w:eastAsia="Times New Roman" w:hint="default"/>
        </w:rPr>
        <w:t>2</w:t>
      </w:r>
      <w:r>
        <w:rPr/>
        <w:t>）商标权法律有规定的从法律，合同有规定的从合同，两者都没有规定的按</w:t>
      </w:r>
      <w:r>
        <w:rPr>
          <w:rFonts w:ascii="Times New Roman" w:hAnsi="Times New Roman" w:cs="Times New Roman" w:eastAsia="Times New Roman" w:hint="default"/>
        </w:rPr>
        <w:t>10</w:t>
      </w:r>
      <w:r>
        <w:rPr/>
        <w:t>年摊销；</w:t>
      </w:r>
    </w:p>
    <w:p>
      <w:pPr>
        <w:pStyle w:val="BodyText"/>
        <w:spacing w:line="240" w:lineRule="auto" w:before="21"/>
        <w:ind w:left="573" w:right="1116"/>
        <w:jc w:val="left"/>
      </w:pPr>
      <w:r>
        <w:rPr>
          <w:rFonts w:ascii="Times New Roman" w:hAnsi="Times New Roman" w:cs="Times New Roman" w:eastAsia="Times New Roman" w:hint="default"/>
        </w:rPr>
        <w:t>3</w:t>
      </w:r>
      <w:r>
        <w:rPr/>
        <w:t>）非专利技术法律有规定的从法律，合同有规定的从合同，两者都没有规定的按</w:t>
      </w:r>
      <w:r>
        <w:rPr>
          <w:rFonts w:ascii="Times New Roman" w:hAnsi="Times New Roman" w:cs="Times New Roman" w:eastAsia="Times New Roman" w:hint="default"/>
        </w:rPr>
        <w:t>10</w:t>
      </w:r>
      <w:r>
        <w:rPr/>
        <w:t>年摊销；</w:t>
      </w:r>
    </w:p>
    <w:p>
      <w:pPr>
        <w:pStyle w:val="BodyText"/>
        <w:spacing w:line="256" w:lineRule="auto" w:before="21"/>
        <w:ind w:left="573" w:right="1116"/>
        <w:jc w:val="left"/>
      </w:pPr>
      <w:r>
        <w:rPr>
          <w:rFonts w:ascii="Times New Roman" w:hAnsi="Times New Roman" w:cs="Times New Roman" w:eastAsia="Times New Roman" w:hint="default"/>
        </w:rPr>
        <w:t>4</w:t>
      </w:r>
      <w:r>
        <w:rPr/>
        <w:t>）土地使用权按购置使用年限的规定摊销。</w:t>
      </w:r>
      <w:r>
        <w:rPr>
          <w:w w:val="100"/>
        </w:rPr>
        <w:t> </w:t>
      </w:r>
      <w:r>
        <w:rPr>
          <w:spacing w:val="-2"/>
        </w:rPr>
        <w:t>每期末，对使用寿命有限的无形资产的使用寿命及摊销方法进行复核，如与原先估计数存在差异的，</w:t>
      </w:r>
    </w:p>
    <w:p>
      <w:pPr>
        <w:pStyle w:val="BodyText"/>
        <w:spacing w:line="273" w:lineRule="auto" w:before="23"/>
        <w:ind w:left="573" w:right="3233" w:hanging="421"/>
        <w:jc w:val="left"/>
      </w:pPr>
      <w:r>
        <w:rPr/>
        <w:t>进行相应的调整。</w:t>
      </w:r>
      <w:r>
        <w:rPr>
          <w:w w:val="100"/>
        </w:rPr>
        <w:t> </w:t>
      </w:r>
      <w:r>
        <w:rPr>
          <w:spacing w:val="-2"/>
        </w:rPr>
        <w:t>经复核，本期期末无形资产的使用寿命及摊销方法与以前估计未有不同。</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56" w:lineRule="auto" w:before="36"/>
        <w:ind w:left="573" w:right="1116"/>
        <w:jc w:val="left"/>
      </w:pPr>
      <w:r>
        <w:rPr/>
        <w:t>（</w:t>
      </w:r>
      <w:r>
        <w:rPr>
          <w:rFonts w:ascii="Times New Roman" w:hAnsi="Times New Roman" w:cs="Times New Roman" w:eastAsia="Times New Roman" w:hint="default"/>
        </w:rPr>
        <w:t>2</w:t>
      </w:r>
      <w:r>
        <w:rPr/>
        <w:t>）使用寿命不确定的无形资产</w:t>
      </w:r>
      <w:r>
        <w:rPr>
          <w:w w:val="100"/>
        </w:rPr>
        <w:t> </w:t>
      </w:r>
      <w:r>
        <w:rPr>
          <w:spacing w:val="-2"/>
        </w:rPr>
        <w:t>无法预见无形资产为企业带来经济利益期限的，视为使用寿命不确定的无形资产。对于使用寿命不确</w:t>
      </w:r>
    </w:p>
    <w:p>
      <w:pPr>
        <w:pStyle w:val="BodyText"/>
        <w:spacing w:line="273" w:lineRule="auto" w:before="22"/>
        <w:ind w:right="1116"/>
        <w:jc w:val="left"/>
      </w:pPr>
      <w:r>
        <w:rPr>
          <w:spacing w:val="-2"/>
        </w:rPr>
        <w:t>定的无形资产，在持有期间内不摊销，每期末对无形资产的寿命进行复核。如果期末重新复核后仍为不确</w:t>
      </w:r>
      <w:r>
        <w:rPr>
          <w:spacing w:val="-43"/>
        </w:rPr>
        <w:t> </w:t>
      </w:r>
      <w:r>
        <w:rPr>
          <w:spacing w:val="-43"/>
        </w:rPr>
      </w:r>
      <w:r>
        <w:rPr/>
        <w:t>定的，在每个会计期间继续进行减值测试。</w:t>
      </w:r>
    </w:p>
    <w:p>
      <w:pPr>
        <w:pStyle w:val="BodyText"/>
        <w:spacing w:line="240" w:lineRule="auto" w:before="7"/>
        <w:ind w:left="573" w:right="1116"/>
        <w:jc w:val="left"/>
      </w:pPr>
      <w:r>
        <w:rPr/>
        <w:t>经复核，该类无形资产的使用寿命仍为不确定。</w:t>
      </w:r>
    </w:p>
    <w:p>
      <w:pPr>
        <w:spacing w:line="240" w:lineRule="auto" w:before="10"/>
        <w:rPr>
          <w:rFonts w:ascii="宋体" w:hAnsi="宋体" w:cs="宋体" w:eastAsia="宋体" w:hint="default"/>
          <w:sz w:val="25"/>
          <w:szCs w:val="25"/>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spacing w:line="264" w:lineRule="auto" w:before="0"/>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pStyle w:val="BodyText"/>
        <w:spacing w:line="273" w:lineRule="auto" w:before="16"/>
        <w:ind w:left="573" w:right="1116" w:hanging="421"/>
        <w:jc w:val="left"/>
      </w:pPr>
      <w:r>
        <w:rPr/>
        <w:t>的或具有实质性改进的材料、装置、产品等活动的阶段。</w:t>
      </w:r>
      <w:r>
        <w:rPr>
          <w:w w:val="100"/>
        </w:rPr>
        <w:t> </w:t>
      </w:r>
      <w:r>
        <w:rPr>
          <w:spacing w:val="-2"/>
        </w:rPr>
        <w:t>内部研究开发项目研究阶段的支出，在发生时计入当期损益。</w:t>
      </w:r>
    </w:p>
    <w:p>
      <w:pPr>
        <w:spacing w:line="256" w:lineRule="auto" w:before="7"/>
        <w:ind w:left="152" w:right="11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22"/>
        <w:ind w:left="573" w:right="111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16" w:firstLine="420"/>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1116" w:firstLine="420"/>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w:t>
      </w:r>
      <w:r>
        <w:rPr>
          <w:w w:val="100"/>
        </w:rPr>
        <w:t> </w:t>
      </w:r>
      <w:r>
        <w:rPr/>
        <w:t>无形资产；</w:t>
      </w:r>
    </w:p>
    <w:p>
      <w:pPr>
        <w:pStyle w:val="BodyText"/>
        <w:spacing w:line="264" w:lineRule="auto" w:before="23"/>
        <w:ind w:left="573" w:right="111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t>内部研究开发支出的资本化时点：研发产品小批量试制。</w:t>
      </w:r>
      <w:r>
        <w:rPr>
          <w:w w:val="100"/>
        </w:rPr>
        <w:t> </w:t>
      </w:r>
      <w:r>
        <w:rPr>
          <w:spacing w:val="-2"/>
        </w:rPr>
        <w:t>不满足上述条件的开发阶段的支出，于发生时计入当期损益。以前期间已计入损益的开发支出不在以</w:t>
      </w:r>
    </w:p>
    <w:p>
      <w:pPr>
        <w:pStyle w:val="BodyText"/>
        <w:spacing w:line="273" w:lineRule="auto" w:before="16"/>
        <w:ind w:right="1116"/>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pStyle w:val="BodyText"/>
        <w:spacing w:line="590" w:lineRule="atLeast" w:before="8"/>
        <w:ind w:left="573" w:right="1116" w:hanging="421"/>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spacing w:val="-2"/>
        </w:rPr>
        <w:t>本公司在资产负债表日判断长期资产是否存在可能发生减值的迹象。如果长期资产存在减值迹象的，</w:t>
      </w:r>
    </w:p>
    <w:p>
      <w:pPr>
        <w:pStyle w:val="BodyText"/>
        <w:spacing w:line="273" w:lineRule="auto" w:before="37"/>
        <w:ind w:right="1116"/>
        <w:jc w:val="left"/>
      </w:pP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BodyText"/>
        <w:spacing w:line="273" w:lineRule="auto" w:before="8"/>
        <w:ind w:right="1116" w:firstLine="420"/>
        <w:jc w:val="left"/>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273" w:lineRule="auto" w:before="7"/>
        <w:ind w:right="1126"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273" w:lineRule="auto" w:before="7"/>
        <w:ind w:right="1116" w:firstLine="420"/>
        <w:jc w:val="left"/>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r>
        <w:rPr>
          <w:w w:val="100"/>
        </w:rPr>
        <w:t> </w:t>
      </w:r>
      <w:r>
        <w:rPr>
          <w:spacing w:val="-2"/>
        </w:rPr>
        <w:t>因企业合并所形成的商誉和使用寿命不确定的无形资产，无论是否存在减值迹象，每年都进行减值测试。</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、摊销方法</w:t>
      </w:r>
      <w:r>
        <w:rPr>
          <w:b w:val="0"/>
          <w:bCs w:val="0"/>
        </w:rPr>
      </w:r>
    </w:p>
    <w:p>
      <w:pPr>
        <w:pStyle w:val="BodyText"/>
        <w:spacing w:line="240" w:lineRule="auto" w:before="21"/>
        <w:ind w:left="573" w:right="1116"/>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长期待摊费用在受益期内按直线法分期摊销。</w:t>
      </w:r>
    </w:p>
    <w:p>
      <w:pPr>
        <w:pStyle w:val="Heading3"/>
        <w:spacing w:line="240" w:lineRule="auto" w:before="37"/>
        <w:ind w:right="1116"/>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3234"/>
        <w:gridCol w:w="3219"/>
        <w:gridCol w:w="3221"/>
      </w:tblGrid>
      <w:tr>
        <w:trPr>
          <w:trHeight w:val="34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3"/>
        <w:spacing w:line="240" w:lineRule="auto" w:before="36"/>
        <w:ind w:right="1116"/>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4"/>
        <w:ind w:left="573" w:right="111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职工薪酬，是指本公司为获得职工提供的服务或解除劳动关系而给予的各种形式的报酬或补偿。职工</w:t>
      </w:r>
    </w:p>
    <w:p>
      <w:pPr>
        <w:pStyle w:val="BodyText"/>
        <w:spacing w:line="273" w:lineRule="auto" w:before="37"/>
        <w:ind w:left="573" w:right="1116" w:hanging="421"/>
        <w:jc w:val="left"/>
      </w:pPr>
      <w:r>
        <w:rPr/>
        <w:t>薪酬包括短期薪酬、离职后福利、辞退福利和其他长期职工福利。</w:t>
      </w:r>
      <w:r>
        <w:rPr>
          <w:w w:val="100"/>
        </w:rPr>
        <w:t> </w:t>
      </w:r>
      <w:r>
        <w:rPr>
          <w:spacing w:val="2"/>
        </w:rPr>
        <w:t>短期薪酬是指本公司在职工提供相关服务的年度报告期间结束后十二个月内需要全部予以支付的职</w:t>
      </w:r>
    </w:p>
    <w:p>
      <w:pPr>
        <w:pStyle w:val="BodyText"/>
        <w:spacing w:line="273" w:lineRule="auto" w:before="7"/>
        <w:ind w:right="998"/>
        <w:jc w:val="left"/>
      </w:pPr>
      <w:r>
        <w:rPr>
          <w:spacing w:val="-5"/>
        </w:rPr>
        <w:t>工薪酬，离职后福利和辞退福利除外。本公司在职工提供服务的会计期间，将应付的短期薪酬确认为负债， </w:t>
      </w:r>
      <w:r>
        <w:rPr/>
        <w:t>并根据职工提供服务的受益对象计入相关资产成本和费用。</w:t>
      </w:r>
    </w:p>
    <w:p>
      <w:pPr>
        <w:spacing w:line="600" w:lineRule="atLeast" w:before="0"/>
        <w:ind w:left="573" w:right="111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BodyText"/>
        <w:spacing w:line="273" w:lineRule="auto" w:before="37"/>
        <w:ind w:left="573" w:right="1116" w:hanging="421"/>
        <w:jc w:val="left"/>
      </w:pPr>
      <w:r>
        <w:rPr/>
        <w:t>式的报酬和福利，短期薪酬和辞退福利除外。</w:t>
      </w:r>
      <w:r>
        <w:rPr>
          <w:w w:val="100"/>
        </w:rPr>
        <w:t> </w:t>
      </w:r>
      <w:r>
        <w:rPr>
          <w:spacing w:val="-2"/>
        </w:rPr>
        <w:t>本公司的离职后福利计划分类为设定提存计划和设定受益计划。离职后福利设定提存计划主要为参加</w:t>
      </w:r>
    </w:p>
    <w:p>
      <w:pPr>
        <w:pStyle w:val="BodyText"/>
        <w:spacing w:line="273" w:lineRule="auto" w:before="7"/>
        <w:ind w:right="1126"/>
        <w:jc w:val="both"/>
      </w:pPr>
      <w:r>
        <w:rPr>
          <w:spacing w:val="-2"/>
        </w:rPr>
        <w:t>由各地劳动及社会保障机构组织实施的社会基本养老保险、失业保险等。在职工为本公司提供服务的会计</w:t>
      </w:r>
      <w:r>
        <w:rPr>
          <w:spacing w:val="-43"/>
        </w:rPr>
        <w:t> </w:t>
      </w:r>
      <w:r>
        <w:rPr>
          <w:spacing w:val="-43"/>
        </w:rPr>
      </w:r>
      <w:r>
        <w:rPr/>
        <w:t>期间，将根据设定提存计划计算的应缴存金额确认为负债，并计入当期损益或相关资产成本。</w:t>
      </w:r>
    </w:p>
    <w:p>
      <w:pPr>
        <w:pStyle w:val="BodyText"/>
        <w:spacing w:line="240" w:lineRule="auto" w:before="7"/>
        <w:ind w:left="573" w:right="1116"/>
        <w:jc w:val="left"/>
      </w:pPr>
      <w:r>
        <w:rPr/>
        <w:t>本公司按照国家规定的标准和年金计划定期缴付上述款项后，不再有其他的支付义务。</w:t>
      </w:r>
    </w:p>
    <w:p>
      <w:pPr>
        <w:spacing w:line="590" w:lineRule="atLeast" w:before="38"/>
        <w:ind w:left="573" w:right="111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BodyText"/>
        <w:spacing w:line="273" w:lineRule="auto" w:before="37"/>
        <w:ind w:right="1126"/>
        <w:jc w:val="both"/>
      </w:pPr>
      <w:r>
        <w:rPr>
          <w:spacing w:val="-2"/>
        </w:rPr>
        <w:t>而给予职工的补偿，在本公司不能单方面撤回解除劳动关系计划或裁减建议时和确认与涉及支付辞退福利</w:t>
      </w:r>
      <w:r>
        <w:rPr>
          <w:spacing w:val="-43"/>
        </w:rPr>
        <w:t> </w:t>
      </w:r>
      <w:r>
        <w:rPr>
          <w:spacing w:val="-43"/>
        </w:rPr>
      </w: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BodyText"/>
        <w:spacing w:line="273" w:lineRule="auto" w:before="8"/>
        <w:ind w:right="1126" w:firstLine="420"/>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42"/>
        </w:rPr>
        <w:t> </w:t>
      </w:r>
      <w:r>
        <w:rPr>
          <w:spacing w:val="-42"/>
        </w:rPr>
      </w:r>
      <w:r>
        <w:rPr>
          <w:spacing w:val="-2"/>
        </w:rPr>
        <w:t>排开始之日起至职工达到正常退休年龄止，向内退职工支付内部退养福利。对于内退福利，本公司比照辞</w:t>
      </w:r>
      <w:r>
        <w:rPr>
          <w:spacing w:val="-44"/>
        </w:rPr>
        <w:t> </w:t>
      </w:r>
      <w:r>
        <w:rPr>
          <w:spacing w:val="-44"/>
        </w:rPr>
      </w:r>
      <w:r>
        <w:rPr>
          <w:spacing w:val="-2"/>
        </w:rPr>
        <w:t>退福利进行会计处理，在符合辞退福利相关确认条件时，将自职工停止提供服务日至正常退休日期间拟支</w:t>
      </w:r>
      <w:r>
        <w:rPr>
          <w:spacing w:val="-43"/>
        </w:rPr>
        <w:t> </w:t>
      </w:r>
      <w:r>
        <w:rPr>
          <w:spacing w:val="-43"/>
        </w:rPr>
      </w:r>
      <w:r>
        <w:rPr>
          <w:spacing w:val="-2"/>
        </w:rPr>
        <w:t>付的内退职工工资和缴纳的社会保险费等，确认为负债，一次性计入当期损益。内退福利的精算假设变化</w:t>
      </w:r>
      <w:r>
        <w:rPr>
          <w:spacing w:val="-44"/>
        </w:rPr>
        <w:t> </w:t>
      </w:r>
      <w:r>
        <w:rPr>
          <w:spacing w:val="-44"/>
        </w:rPr>
      </w:r>
      <w:r>
        <w:rPr/>
        <w:t>及福利标准调整引起的差异于发生时计入当期损益。</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5" w:right="1116" w:hanging="3"/>
        <w:jc w:val="left"/>
      </w:pP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w:t>
      </w:r>
    </w:p>
    <w:p>
      <w:pPr>
        <w:pStyle w:val="BodyText"/>
        <w:spacing w:line="240" w:lineRule="auto" w:before="7"/>
        <w:ind w:right="998"/>
        <w:jc w:val="left"/>
      </w:pPr>
      <w:r>
        <w:rPr/>
        <w:t>确认为负债，并计入当期损益或相关资产成本；除上述情形外的其他长期职工福利，在资产负债表日使用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spacing w:val="-2"/>
        </w:rPr>
        <w:t>预期累计福利单位法进行精算，将设定受益计划产生的福利义务归属于职工提供服务的期间，并计入当期</w:t>
      </w:r>
      <w:r>
        <w:rPr>
          <w:spacing w:val="-43"/>
        </w:rPr>
        <w:t> </w:t>
      </w:r>
      <w:r>
        <w:rPr>
          <w:spacing w:val="-43"/>
        </w:rPr>
      </w:r>
      <w:r>
        <w:rPr/>
        <w:t>损益或相关资产成本。</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left="573" w:right="3233" w:hanging="421"/>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100"/>
        </w:rPr>
        <w:t> </w:t>
      </w:r>
      <w:r>
        <w:rPr>
          <w:spacing w:val="-2"/>
        </w:rPr>
        <w:t>与或有事项相关的义务同时满足下列条件时，本公司确认为预计负债：</w:t>
      </w:r>
      <w:r>
        <w:rPr>
          <w:w w:val="100"/>
        </w:rPr>
        <w:t> </w:t>
      </w:r>
      <w:r>
        <w:rPr/>
        <w:t>该义务是本公司承担的现时义务；</w:t>
      </w:r>
      <w:r>
        <w:rPr>
          <w:w w:val="100"/>
        </w:rPr>
        <w:t> </w:t>
      </w:r>
      <w:r>
        <w:rPr/>
        <w:t>履行该义务很可能导致经济利益流出本公司；</w:t>
      </w:r>
      <w:r>
        <w:rPr>
          <w:w w:val="100"/>
        </w:rPr>
        <w:t> </w:t>
      </w:r>
      <w:r>
        <w:rPr/>
        <w:t>该义务的金额能够可靠地计量。</w:t>
      </w:r>
    </w:p>
    <w:p>
      <w:pPr>
        <w:spacing w:line="259" w:lineRule="auto" w:before="12"/>
        <w:ind w:left="573" w:right="241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273" w:lineRule="auto" w:before="20"/>
        <w:ind w:right="1116" w:firstLine="420"/>
        <w:jc w:val="left"/>
      </w:pPr>
      <w:r>
        <w:rPr>
          <w:spacing w:val="-2"/>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273" w:lineRule="auto" w:before="7"/>
        <w:ind w:left="573" w:right="1116"/>
        <w:jc w:val="left"/>
      </w:pP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273" w:lineRule="auto" w:before="7"/>
        <w:ind w:left="573" w:right="1116"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273" w:lineRule="auto" w:before="7"/>
        <w:ind w:right="1116"/>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273" w:lineRule="auto" w:before="7"/>
        <w:ind w:right="1116"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590" w:lineRule="atLeast" w:before="8"/>
        <w:ind w:left="152" w:right="8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pacing w:val="-2"/>
          <w:sz w:val="21"/>
          <w:szCs w:val="21"/>
        </w:rPr>
        <w:t>是否已执行新收入准则</w:t>
      </w:r>
    </w:p>
    <w:p>
      <w:pPr>
        <w:pStyle w:val="BodyText"/>
        <w:spacing w:line="240" w:lineRule="auto" w:before="78"/>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56" w:lineRule="auto" w:before="59"/>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273" w:lineRule="auto" w:before="22"/>
        <w:ind w:right="998"/>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273" w:lineRule="auto" w:before="7"/>
        <w:ind w:right="1116" w:firstLine="420"/>
        <w:jc w:val="left"/>
      </w:pPr>
      <w:r>
        <w:rPr>
          <w:spacing w:val="-2"/>
        </w:rPr>
        <w:t>本公司国内直销收入确认时点为客户在《安装调试、技术培训报告单》签字确认时间；国外直销和经</w:t>
      </w:r>
      <w:r>
        <w:rPr>
          <w:w w:val="100"/>
        </w:rPr>
        <w:t> </w:t>
      </w:r>
      <w:r>
        <w:rPr/>
        <w:t>销收入确认时点均为货物报关出口时间。</w:t>
      </w:r>
    </w:p>
    <w:p>
      <w:pPr>
        <w:pStyle w:val="BodyText"/>
        <w:spacing w:line="273" w:lineRule="auto" w:before="7"/>
        <w:ind w:right="1116" w:firstLine="420"/>
        <w:jc w:val="left"/>
      </w:pPr>
      <w:r>
        <w:rPr>
          <w:spacing w:val="-2"/>
        </w:rPr>
        <w:t>合同或协议价款的收取采用递延方式，实质上具有融资性质的，按照应收的合同或协议价款的公允价</w:t>
      </w:r>
      <w:r>
        <w:rPr>
          <w:w w:val="100"/>
        </w:rPr>
        <w:t> </w:t>
      </w:r>
      <w:r>
        <w:rPr/>
        <w:t>值确定销售商品收入金额。</w:t>
      </w:r>
    </w:p>
    <w:p>
      <w:pPr>
        <w:spacing w:line="256" w:lineRule="auto" w:before="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before="22"/>
        <w:ind w:right="1116"/>
        <w:jc w:val="left"/>
      </w:pPr>
      <w:r>
        <w:rPr/>
        <w:t>使用权收入金额：</w:t>
      </w:r>
    </w:p>
    <w:p>
      <w:pPr>
        <w:pStyle w:val="BodyText"/>
        <w:spacing w:line="240" w:lineRule="auto" w:before="37"/>
        <w:ind w:left="573" w:right="111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56" w:lineRule="auto" w:before="21"/>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、提供劳务收入的确认依据和方法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273" w:lineRule="auto" w:before="23"/>
        <w:ind w:left="573" w:right="1116" w:hanging="421"/>
        <w:jc w:val="left"/>
      </w:pPr>
      <w:r>
        <w:rPr/>
        <w:t>务交易的完工进度，依据已完工作的测量确定。</w:t>
      </w:r>
      <w:r>
        <w:rPr>
          <w:w w:val="100"/>
        </w:rPr>
        <w:t> </w:t>
      </w:r>
      <w:r>
        <w:rPr>
          <w:spacing w:val="-2"/>
        </w:rPr>
        <w:t>提供劳务交易的结果能够可靠估计，是指同时满足下列条件：</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left="573" w:right="1116"/>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21"/>
        <w:ind w:left="573" w:right="1116"/>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21"/>
        <w:ind w:left="573" w:right="1116"/>
        <w:jc w:val="left"/>
      </w:pPr>
      <w:r>
        <w:rPr/>
        <w:t>（</w:t>
      </w:r>
      <w:r>
        <w:rPr>
          <w:rFonts w:ascii="Times New Roman" w:hAnsi="Times New Roman" w:cs="Times New Roman" w:eastAsia="Times New Roman" w:hint="default"/>
        </w:rPr>
        <w:t>3</w:t>
      </w:r>
      <w:r>
        <w:rPr/>
        <w:t>）交易的完工进度能够可靠地确定；</w:t>
      </w:r>
    </w:p>
    <w:p>
      <w:pPr>
        <w:pStyle w:val="BodyText"/>
        <w:spacing w:line="256" w:lineRule="auto" w:before="21"/>
        <w:ind w:left="573" w:right="1116"/>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按照已收或应收的合同或协议价款确定提供劳务收入总额，但已收或应收的合同或协议价款不公允的</w:t>
      </w:r>
    </w:p>
    <w:p>
      <w:pPr>
        <w:pStyle w:val="BodyText"/>
        <w:spacing w:line="273" w:lineRule="auto" w:before="22"/>
        <w:ind w:right="112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before="7"/>
        <w:ind w:left="573" w:right="1116"/>
        <w:jc w:val="left"/>
      </w:pPr>
      <w:r>
        <w:rPr/>
        <w:t>在资产负债表日提供劳务交易结果不能够可靠估计的，分别下列情况处理：</w:t>
      </w:r>
    </w:p>
    <w:p>
      <w:pPr>
        <w:pStyle w:val="BodyText"/>
        <w:spacing w:line="256" w:lineRule="auto" w:before="37"/>
        <w:ind w:right="1116" w:firstLine="420"/>
        <w:jc w:val="left"/>
      </w:pPr>
      <w:r>
        <w:rPr>
          <w:spacing w:val="-2"/>
        </w:rPr>
        <w:t>（</w:t>
      </w:r>
      <w:r>
        <w:rPr>
          <w:rFonts w:ascii="Times New Roman" w:hAnsi="Times New Roman" w:cs="Times New Roman" w:eastAsia="Times New Roman" w:hint="default"/>
          <w:spacing w:val="-2"/>
        </w:rPr>
        <w:t>1</w:t>
      </w:r>
      <w:r>
        <w:rPr>
          <w:spacing w:val="-2"/>
        </w:rPr>
        <w:t>）已经发生的劳务成本预计能够得到补偿的，按照已经发生的劳务成本金额确认提供劳务收入，</w:t>
      </w:r>
      <w:r>
        <w:rPr>
          <w:w w:val="100"/>
        </w:rPr>
        <w:t> </w:t>
      </w:r>
      <w:r>
        <w:rPr/>
        <w:t>并按相同金额结转劳务成本。</w:t>
      </w:r>
    </w:p>
    <w:p>
      <w:pPr>
        <w:pStyle w:val="BodyText"/>
        <w:spacing w:line="256" w:lineRule="auto" w:before="23"/>
        <w:ind w:right="1116" w:firstLine="420"/>
        <w:jc w:val="left"/>
      </w:pPr>
      <w:r>
        <w:rPr>
          <w:spacing w:val="-2"/>
        </w:rPr>
        <w:t>（</w:t>
      </w:r>
      <w:r>
        <w:rPr>
          <w:rFonts w:ascii="Times New Roman" w:hAnsi="Times New Roman" w:cs="Times New Roman" w:eastAsia="Times New Roman" w:hint="default"/>
          <w:spacing w:val="-2"/>
        </w:rPr>
        <w:t>2</w:t>
      </w:r>
      <w:r>
        <w:rPr>
          <w:spacing w:val="-2"/>
        </w:rPr>
        <w:t>）已经发生的劳务成本预计不能够得到补偿的，将已经发生的劳务成本计入当期损益，不确认提</w:t>
      </w:r>
      <w:r>
        <w:rPr>
          <w:w w:val="100"/>
        </w:rPr>
        <w:t> </w:t>
      </w:r>
      <w:r>
        <w:rPr/>
        <w:t>供劳务收入。</w:t>
      </w:r>
    </w:p>
    <w:p>
      <w:pPr>
        <w:pStyle w:val="BodyText"/>
        <w:spacing w:line="273" w:lineRule="auto" w:before="22"/>
        <w:ind w:right="1126" w:firstLine="420"/>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、类型</w:t>
      </w:r>
      <w:r>
        <w:rPr>
          <w:b w:val="0"/>
          <w:bCs w:val="0"/>
        </w:rPr>
      </w:r>
    </w:p>
    <w:p>
      <w:pPr>
        <w:pStyle w:val="BodyText"/>
        <w:spacing w:line="273" w:lineRule="auto" w:before="21"/>
        <w:ind w:right="1116" w:firstLine="420"/>
        <w:jc w:val="left"/>
      </w:pPr>
      <w:r>
        <w:rPr>
          <w:spacing w:val="-2"/>
        </w:rPr>
        <w:t>政府补助，是本公司从政府无偿取得的货币性资产与非货币性资产。根据相关政府文件规定的补助对</w:t>
      </w:r>
      <w:r>
        <w:rPr>
          <w:w w:val="100"/>
        </w:rPr>
        <w:t> </w:t>
      </w:r>
      <w:r>
        <w:rPr/>
        <w:t>象，将政府补助划分为与资产相关的政府补助和与收益相关的政府补助。</w:t>
      </w:r>
    </w:p>
    <w:p>
      <w:pPr>
        <w:pStyle w:val="BodyText"/>
        <w:spacing w:line="273" w:lineRule="auto" w:before="7"/>
        <w:ind w:right="1116" w:firstLine="420"/>
        <w:jc w:val="left"/>
      </w:pPr>
      <w:r>
        <w:rPr>
          <w:spacing w:val="-2"/>
        </w:rPr>
        <w:t>与资产相关的政府补助，是指本公司取得的、用于购建或以其他方式形成长期资产的政府补助。与收</w:t>
      </w:r>
      <w:r>
        <w:rPr>
          <w:w w:val="100"/>
        </w:rPr>
        <w:t> </w:t>
      </w:r>
      <w:r>
        <w:rPr/>
        <w:t>益相关的政府补助，是指除与资产相关的政府补助之外的政府补助。</w:t>
      </w:r>
    </w:p>
    <w:p>
      <w:pPr>
        <w:pStyle w:val="BodyText"/>
        <w:spacing w:line="256" w:lineRule="auto" w:before="7"/>
        <w:ind w:left="573" w:right="1116" w:hanging="421"/>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spacing w:val="-103"/>
        </w:rPr>
        <w:t> </w:t>
      </w:r>
      <w:r>
        <w:rPr>
          <w:spacing w:val="-2"/>
        </w:rPr>
        <w:t>对期末有证据表明公司能够符合财政扶持政策规定的相关条件且预计能够收到财政扶持资金的，按应</w:t>
      </w:r>
    </w:p>
    <w:p>
      <w:pPr>
        <w:pStyle w:val="BodyText"/>
        <w:spacing w:line="273" w:lineRule="auto" w:before="22"/>
        <w:ind w:left="573" w:right="1116" w:hanging="421"/>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p>
    <w:p>
      <w:pPr>
        <w:pStyle w:val="BodyText"/>
        <w:spacing w:line="256" w:lineRule="auto" w:before="7"/>
        <w:ind w:right="1130"/>
        <w:jc w:val="both"/>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2"/>
        </w:rPr>
        <w:t> </w:t>
      </w:r>
      <w:r>
        <w:rPr>
          <w:spacing w:val="-22"/>
        </w:rPr>
      </w:r>
      <w:r>
        <w:rPr/>
        <w:t>直接计入当期损益。</w:t>
      </w:r>
    </w:p>
    <w:p>
      <w:pPr>
        <w:pStyle w:val="BodyText"/>
        <w:spacing w:line="259" w:lineRule="auto" w:before="22"/>
        <w:ind w:left="573" w:right="1116" w:hanging="421"/>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spacing w:val="-103"/>
        </w:rPr>
        <w:t> </w:t>
      </w:r>
      <w:r>
        <w:rPr>
          <w:spacing w:val="-2"/>
        </w:rPr>
        <w:t>本公司根据经济业务的实质，确定某一类政府补助业务应当采用总额法还是净额法进行会计处理。通</w:t>
      </w:r>
    </w:p>
    <w:p>
      <w:pPr>
        <w:pStyle w:val="BodyText"/>
        <w:spacing w:line="240" w:lineRule="auto" w:before="20"/>
        <w:ind w:right="1116"/>
        <w:jc w:val="left"/>
      </w:pPr>
      <w:r>
        <w:rPr/>
        <w:t>常情况下，本公司对于同类或类似政府补助业务只选用一种方法，且对该业务一贯地运用该方法。</w:t>
      </w:r>
    </w:p>
    <w:p>
      <w:pPr>
        <w:spacing w:line="240" w:lineRule="auto" w:before="10"/>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644"/>
        <w:gridCol w:w="6030"/>
      </w:tblGrid>
      <w:tr>
        <w:trPr>
          <w:trHeight w:val="341"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55" w:right="0"/>
              <w:jc w:val="center"/>
              <w:rPr>
                <w:rFonts w:ascii="宋体" w:hAnsi="宋体" w:cs="宋体" w:eastAsia="宋体" w:hint="default"/>
                <w:sz w:val="18"/>
                <w:szCs w:val="18"/>
              </w:rPr>
            </w:pPr>
            <w:r>
              <w:rPr>
                <w:rFonts w:ascii="宋体" w:hAnsi="宋体" w:cs="宋体" w:eastAsia="宋体" w:hint="default"/>
                <w:sz w:val="18"/>
                <w:szCs w:val="18"/>
              </w:rPr>
              <w:t>核算内容</w:t>
            </w:r>
          </w:p>
        </w:tc>
      </w:tr>
      <w:tr>
        <w:trPr>
          <w:trHeight w:val="341"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采用总额法核算的政府补助类别</w:t>
            </w:r>
          </w:p>
        </w:tc>
        <w:tc>
          <w:tcPr>
            <w:tcW w:w="6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软件企业退税、研发补贴、科研经费等</w:t>
            </w:r>
          </w:p>
        </w:tc>
      </w:tr>
      <w:tr>
        <w:trPr>
          <w:trHeight w:val="343"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采用净额法核算的政府补助类别</w:t>
            </w:r>
          </w:p>
        </w:tc>
        <w:tc>
          <w:tcPr>
            <w:tcW w:w="6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贷款贴息</w:t>
            </w:r>
          </w:p>
        </w:tc>
      </w:tr>
    </w:tbl>
    <w:p>
      <w:pPr>
        <w:spacing w:line="240" w:lineRule="auto" w:before="2"/>
        <w:rPr>
          <w:rFonts w:ascii="宋体" w:hAnsi="宋体" w:cs="宋体" w:eastAsia="宋体" w:hint="default"/>
          <w:sz w:val="20"/>
          <w:szCs w:val="20"/>
        </w:rPr>
      </w:pPr>
    </w:p>
    <w:p>
      <w:pPr>
        <w:pStyle w:val="BodyText"/>
        <w:spacing w:line="273" w:lineRule="auto" w:before="36"/>
        <w:ind w:right="1126" w:firstLine="420"/>
        <w:jc w:val="both"/>
      </w:pPr>
      <w:r>
        <w:rPr>
          <w:spacing w:val="-2"/>
        </w:rPr>
        <w:t>与资产相关的政府补助确认为递延收益的，在所建造或购买资产使用寿命内按照合理、系统的方法分</w:t>
      </w:r>
      <w:r>
        <w:rPr>
          <w:w w:val="100"/>
        </w:rPr>
        <w:t> </w:t>
      </w:r>
      <w:r>
        <w:rPr/>
        <w:t>期计入损益。</w:t>
      </w:r>
    </w:p>
    <w:p>
      <w:pPr>
        <w:pStyle w:val="BodyText"/>
        <w:spacing w:line="273" w:lineRule="auto" w:before="7"/>
        <w:ind w:right="1126" w:firstLine="420"/>
        <w:jc w:val="both"/>
      </w:pPr>
      <w:r>
        <w:rPr>
          <w:spacing w:val="-2"/>
        </w:rPr>
        <w:t>与收益相关的政府补助，用于补偿企业以后期间的相关费用或损失的，确认为递延收益，在确认相关</w:t>
      </w:r>
      <w:r>
        <w:rPr>
          <w:w w:val="100"/>
        </w:rPr>
        <w:t> </w:t>
      </w:r>
      <w:r>
        <w:rPr>
          <w:spacing w:val="-2"/>
        </w:rPr>
        <w:t>费用或损失的期间计入当期损益或冲减相关成本；用于补偿企业已发生的相关费用或损失的，取得时直接</w:t>
      </w:r>
      <w:r>
        <w:rPr>
          <w:spacing w:val="-43"/>
        </w:rPr>
        <w:t> </w:t>
      </w:r>
      <w:r>
        <w:rPr>
          <w:spacing w:val="-43"/>
        </w:rPr>
      </w:r>
      <w:r>
        <w:rPr/>
        <w:t>计入当期损益或冲减相关成本。</w:t>
      </w:r>
    </w:p>
    <w:p>
      <w:pPr>
        <w:pStyle w:val="BodyText"/>
        <w:spacing w:line="240" w:lineRule="auto" w:before="7"/>
        <w:ind w:left="573" w:right="998"/>
        <w:jc w:val="left"/>
      </w:pPr>
      <w:r>
        <w:rPr/>
        <w:t>与企业日常活动相关的政府补助计入其他收益或冲减相关成本费用；与企业日常活动无关的政府补助</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left="573" w:right="1116" w:hanging="421"/>
        <w:jc w:val="left"/>
      </w:pPr>
      <w:r>
        <w:rPr/>
        <w:t>计入营业外收支。</w:t>
      </w:r>
      <w:r>
        <w:rPr>
          <w:w w:val="100"/>
        </w:rPr>
        <w:t> </w:t>
      </w:r>
      <w:r>
        <w:rPr>
          <w:spacing w:val="-2"/>
        </w:rPr>
        <w:t>收到与政策性优惠贷款贴息相关的政府补助冲减相关借款费用；取得贷款银行提供的政策性优惠利率</w:t>
      </w:r>
    </w:p>
    <w:p>
      <w:pPr>
        <w:pStyle w:val="BodyText"/>
        <w:spacing w:line="273" w:lineRule="auto" w:before="7"/>
        <w:ind w:right="1116"/>
        <w:jc w:val="left"/>
      </w:pPr>
      <w:r>
        <w:rPr>
          <w:spacing w:val="-2"/>
        </w:rPr>
        <w:t>贷款的，以实际收到的借款金额作为借款的入账价值，按照借款本金和该政策性优惠利率计算相关借款费</w:t>
      </w:r>
      <w:r>
        <w:rPr>
          <w:spacing w:val="-44"/>
        </w:rPr>
        <w:t> </w:t>
      </w:r>
      <w:r>
        <w:rPr>
          <w:spacing w:val="-44"/>
        </w:rPr>
      </w:r>
      <w:r>
        <w:rPr/>
        <w:t>用。</w:t>
      </w:r>
    </w:p>
    <w:p>
      <w:pPr>
        <w:pStyle w:val="BodyText"/>
        <w:spacing w:line="273" w:lineRule="auto" w:before="7"/>
        <w:ind w:right="1126" w:firstLine="842"/>
        <w:jc w:val="both"/>
      </w:pPr>
      <w:r>
        <w:rPr>
          <w:spacing w:val="-2"/>
        </w:rPr>
        <w:t>已确认的政府补助需要返还时，初始确认时冲减相关资产账面价值的，调整资产账面价值；存在</w:t>
      </w:r>
      <w:r>
        <w:rPr>
          <w:w w:val="100"/>
        </w:rPr>
        <w:t> </w:t>
      </w:r>
      <w:r>
        <w:rPr>
          <w:spacing w:val="-2"/>
        </w:rPr>
        <w:t>相关递延收益余额的，冲减相关递延收益账面余额，超出部分计入当期损益；不存在相关递延收益的，直</w:t>
      </w:r>
      <w:r>
        <w:rPr>
          <w:spacing w:val="-46"/>
        </w:rPr>
        <w:t> </w:t>
      </w:r>
      <w:r>
        <w:rPr>
          <w:spacing w:val="-46"/>
        </w:rPr>
      </w:r>
      <w:r>
        <w:rPr/>
        <w:t>接计入当期损益。</w:t>
      </w:r>
    </w:p>
    <w:p>
      <w:pPr>
        <w:spacing w:line="614" w:lineRule="exact" w:before="62"/>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BodyText"/>
        <w:spacing w:line="219" w:lineRule="exact"/>
        <w:ind w:right="998"/>
        <w:jc w:val="left"/>
      </w:pPr>
      <w:r>
        <w:rPr/>
        <w:t>确认。于资产负债表日，递延所得税资产和递延所得税负债，按照预期收回该资产或清偿该负债期间的适</w:t>
      </w:r>
    </w:p>
    <w:p>
      <w:pPr>
        <w:pStyle w:val="BodyText"/>
        <w:spacing w:line="240" w:lineRule="auto" w:before="37"/>
        <w:ind w:right="1116"/>
        <w:jc w:val="left"/>
      </w:pPr>
      <w:r>
        <w:rPr/>
        <w:t>用税率计量。</w:t>
      </w:r>
    </w:p>
    <w:p>
      <w:pPr>
        <w:spacing w:line="357" w:lineRule="auto" w:before="157"/>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209" w:lineRule="exact"/>
        <w:ind w:right="998"/>
        <w:jc w:val="left"/>
      </w:pPr>
      <w:r>
        <w:rPr/>
        <w:t>税所得额为限，确认由可抵扣暂时性差异产生的递延所得税资产。但是，同时具有下列特征的交易中因资</w:t>
      </w:r>
    </w:p>
    <w:p>
      <w:pPr>
        <w:pStyle w:val="BodyText"/>
        <w:spacing w:line="256" w:lineRule="auto" w:before="37"/>
        <w:ind w:right="1116"/>
        <w:jc w:val="left"/>
      </w:pPr>
      <w:r>
        <w:rPr>
          <w:spacing w:val="-2"/>
        </w:rPr>
        <w:t>产或负债的初始确认所产生的递延所得税资产不予确认：（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w:t>
      </w:r>
      <w:r>
        <w:rPr>
          <w:spacing w:val="-43"/>
        </w:rPr>
        <w:t> </w:t>
      </w:r>
      <w:r>
        <w:rPr>
          <w:spacing w:val="-43"/>
        </w:rPr>
      </w:r>
      <w:r>
        <w:rPr/>
        <w:t>不影响会计利润也不影响应纳税所得额或可抵扣亏损。</w:t>
      </w:r>
    </w:p>
    <w:p>
      <w:pPr>
        <w:pStyle w:val="BodyText"/>
        <w:spacing w:line="273" w:lineRule="auto" w:before="142"/>
        <w:ind w:right="1104" w:firstLine="420"/>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357" w:lineRule="auto" w:before="128"/>
        <w:ind w:left="573" w:right="111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54"/>
        <w:ind w:left="573" w:right="1116"/>
        <w:jc w:val="left"/>
      </w:pPr>
      <w:r>
        <w:rPr/>
        <w:t>（</w:t>
      </w:r>
      <w:r>
        <w:rPr>
          <w:rFonts w:ascii="Times New Roman" w:hAnsi="Times New Roman" w:cs="Times New Roman" w:eastAsia="Times New Roman" w:hint="default"/>
        </w:rPr>
        <w:t>1</w:t>
      </w:r>
      <w:r>
        <w:rPr/>
        <w:t>）商誉的初始确认所形成的暂时性差异；</w:t>
      </w:r>
    </w:p>
    <w:p>
      <w:pPr>
        <w:pStyle w:val="BodyText"/>
        <w:spacing w:line="256" w:lineRule="auto" w:before="141"/>
        <w:ind w:right="1136" w:firstLine="42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BodyText"/>
        <w:spacing w:line="256" w:lineRule="auto" w:before="142"/>
        <w:ind w:right="1136" w:firstLine="42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3"/>
        <w:spacing w:line="240" w:lineRule="auto" w:before="142"/>
        <w:ind w:right="1116"/>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42"/>
        <w:ind w:left="573" w:right="1116"/>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64" w:lineRule="auto" w:before="141"/>
        <w:ind w:right="1104" w:firstLine="42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21"/>
        </w:rPr>
        <w:t> </w:t>
      </w:r>
      <w:r>
        <w:rPr>
          <w:spacing w:val="-21"/>
        </w:rPr>
      </w:r>
      <w:r>
        <w:rPr/>
        <w:t>涉及的纳税主体意图以净额结算当期所得税资产及当期所得税负债或是同时取得资产、清偿债务。</w:t>
      </w:r>
    </w:p>
    <w:p>
      <w:pPr>
        <w:spacing w:line="240" w:lineRule="auto" w:before="2"/>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29</w:t>
      </w:r>
      <w:r>
        <w:rPr/>
        <w:t>、租赁</w:t>
      </w:r>
      <w:r>
        <w:rPr>
          <w:b w:val="0"/>
          <w:bCs w:val="0"/>
        </w:rPr>
      </w:r>
    </w:p>
    <w:p>
      <w:pPr>
        <w:spacing w:line="600" w:lineRule="atLeast" w:before="12"/>
        <w:ind w:left="573" w:right="111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如果租赁条款在实质上将与租赁资产所有权有关的全部风险和报酬转移给承租人，该租赁为融资租</w:t>
      </w:r>
    </w:p>
    <w:p>
      <w:pPr>
        <w:pStyle w:val="BodyText"/>
        <w:spacing w:line="273" w:lineRule="auto" w:before="37"/>
        <w:ind w:left="573" w:right="7364" w:hanging="421"/>
        <w:jc w:val="left"/>
      </w:pPr>
      <w:r>
        <w:rPr>
          <w:spacing w:val="-2"/>
        </w:rPr>
        <w:t>赁，其他租赁则为经营租赁。</w:t>
      </w:r>
      <w:r>
        <w:rPr>
          <w:spacing w:val="-79"/>
        </w:rPr>
        <w:t> </w:t>
      </w:r>
      <w:r>
        <w:rPr>
          <w:spacing w:val="-79"/>
        </w:rPr>
      </w:r>
      <w:r>
        <w:rPr/>
        <w:t>经营租赁会计处理</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56" w:lineRule="auto" w:before="36"/>
        <w:ind w:left="573" w:right="998"/>
        <w:jc w:val="left"/>
      </w:pPr>
      <w:r>
        <w:rPr/>
        <w:t>（</w:t>
      </w:r>
      <w:r>
        <w:rPr>
          <w:rFonts w:ascii="Times New Roman" w:hAnsi="Times New Roman" w:cs="Times New Roman" w:eastAsia="Times New Roman" w:hint="default"/>
        </w:rPr>
        <w:t>1</w:t>
      </w:r>
      <w:r>
        <w:rPr/>
        <w:t>）经营租入资产</w:t>
      </w:r>
      <w:r>
        <w:rPr>
          <w:w w:val="100"/>
        </w:rPr>
        <w:t> </w:t>
      </w:r>
      <w:r>
        <w:rPr>
          <w:spacing w:val="-5"/>
        </w:rPr>
        <w:t>公司租入资产所支付的租赁费，在不扣除免租期的整个租赁期内，按直线法进行分摊，计入当期费用。</w:t>
      </w:r>
    </w:p>
    <w:p>
      <w:pPr>
        <w:pStyle w:val="BodyText"/>
        <w:spacing w:line="273" w:lineRule="auto" w:before="22"/>
        <w:ind w:left="573" w:right="1116" w:hanging="421"/>
        <w:jc w:val="left"/>
      </w:pPr>
      <w:r>
        <w:rPr/>
        <w:t>公司支付的与租赁交易相关的初始直接费用，计入当期费用。</w:t>
      </w:r>
      <w:r>
        <w:rPr>
          <w:w w:val="100"/>
        </w:rPr>
        <w:t> </w:t>
      </w:r>
      <w:r>
        <w:rPr>
          <w:spacing w:val="-2"/>
        </w:rPr>
        <w:t>资产出租方承担了应由公司承担的与租赁相关的费用时，公司将该部分费用从租金总额中扣除，按扣</w:t>
      </w:r>
    </w:p>
    <w:p>
      <w:pPr>
        <w:pStyle w:val="BodyText"/>
        <w:spacing w:line="240" w:lineRule="auto" w:before="7"/>
        <w:ind w:right="1116"/>
        <w:jc w:val="left"/>
      </w:pPr>
      <w:r>
        <w:rPr/>
        <w:t>除后的租金费用在租赁期内分摊，计入当期费用。</w:t>
      </w:r>
    </w:p>
    <w:p>
      <w:pPr>
        <w:pStyle w:val="BodyText"/>
        <w:spacing w:line="256" w:lineRule="auto" w:before="37"/>
        <w:ind w:left="573" w:right="1116"/>
        <w:jc w:val="left"/>
      </w:pPr>
      <w:r>
        <w:rPr/>
        <w:t>（</w:t>
      </w:r>
      <w:r>
        <w:rPr>
          <w:rFonts w:ascii="Times New Roman" w:hAnsi="Times New Roman" w:cs="Times New Roman" w:eastAsia="Times New Roman" w:hint="default"/>
        </w:rPr>
        <w:t>2</w:t>
      </w:r>
      <w:r>
        <w:rPr/>
        <w:t>）经营租出资产</w:t>
      </w:r>
      <w:r>
        <w:rPr>
          <w:w w:val="100"/>
        </w:rPr>
        <w:t> </w:t>
      </w:r>
      <w:r>
        <w:rPr>
          <w:spacing w:val="-2"/>
        </w:rPr>
        <w:t>公司出租资产所收取的租赁费，在不扣除免租期的整个租赁期内，按直线法进行分摊，确认为租赁收</w:t>
      </w:r>
    </w:p>
    <w:p>
      <w:pPr>
        <w:pStyle w:val="BodyText"/>
        <w:spacing w:line="273" w:lineRule="auto" w:before="22"/>
        <w:ind w:right="1116"/>
        <w:jc w:val="left"/>
      </w:pPr>
      <w:r>
        <w:rPr>
          <w:spacing w:val="-2"/>
        </w:rPr>
        <w:t>入。公司支付的与租赁交易相关的初始直接费用，计入当期费用；如金额较大的，则予以资本化，在整个</w:t>
      </w:r>
      <w:r>
        <w:rPr>
          <w:spacing w:val="-43"/>
        </w:rPr>
        <w:t> </w:t>
      </w:r>
      <w:r>
        <w:rPr>
          <w:spacing w:val="-43"/>
        </w:rPr>
      </w:r>
      <w:r>
        <w:rPr/>
        <w:t>租赁期间内按照与租赁收入确认相同的基础分期计入当期收益。</w:t>
      </w:r>
    </w:p>
    <w:p>
      <w:pPr>
        <w:pStyle w:val="BodyText"/>
        <w:spacing w:line="273" w:lineRule="auto" w:before="7"/>
        <w:ind w:right="1116"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7"/>
        <w:rPr>
          <w:rFonts w:ascii="宋体" w:hAnsi="宋体" w:cs="宋体" w:eastAsia="宋体" w:hint="default"/>
          <w:sz w:val="23"/>
          <w:szCs w:val="23"/>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998"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w:t>
      </w:r>
      <w:r>
        <w:rPr>
          <w:w w:val="100"/>
        </w:rPr>
        <w:t> </w:t>
      </w:r>
      <w:r>
        <w:rPr>
          <w:spacing w:val="-5"/>
        </w:rPr>
        <w:t>作为租入资产的入账价值，将最低租赁付款额作为长期应付款的入账价值，其差额作为未确认的融资费用。</w:t>
      </w:r>
    </w:p>
    <w:p>
      <w:pPr>
        <w:spacing w:line="240" w:lineRule="auto" w:before="7"/>
        <w:rPr>
          <w:rFonts w:ascii="宋体" w:hAnsi="宋体" w:cs="宋体" w:eastAsia="宋体" w:hint="default"/>
          <w:sz w:val="25"/>
          <w:szCs w:val="25"/>
        </w:rPr>
      </w:pPr>
    </w:p>
    <w:p>
      <w:pPr>
        <w:pStyle w:val="BodyText"/>
        <w:spacing w:line="273" w:lineRule="auto"/>
        <w:ind w:left="573" w:right="1116"/>
        <w:jc w:val="left"/>
      </w:pPr>
      <w:r>
        <w:rPr/>
        <w:t>融资租入资产的认定依据、计价和折旧方法详见本附注五／（十八）固定资产。</w:t>
      </w:r>
      <w:r>
        <w:rPr>
          <w:w w:val="100"/>
        </w:rPr>
        <w:t> </w:t>
      </w:r>
      <w:r>
        <w:rPr>
          <w:spacing w:val="-2"/>
        </w:rPr>
        <w:t>公司采用实际利率法对未确认的融资费用，在资产租赁期间内摊销，计入财务费用。</w:t>
      </w:r>
    </w:p>
    <w:p>
      <w:pPr>
        <w:pStyle w:val="BodyText"/>
        <w:spacing w:line="266" w:lineRule="auto" w:before="7"/>
        <w:ind w:right="1116" w:firstLine="42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w:t>
      </w:r>
      <w:r>
        <w:rPr>
          <w:w w:val="100"/>
        </w:rPr>
        <w:t> </w:t>
      </w:r>
      <w:r>
        <w:rPr>
          <w:spacing w:val="-2"/>
        </w:rPr>
        <w:t>为未实现融资收益，在将来收到租金的各期间内确认为租赁收入，公司发生的与出租交易相关的初始直接</w:t>
      </w:r>
      <w:r>
        <w:rPr>
          <w:spacing w:val="-41"/>
        </w:rPr>
        <w:t> </w:t>
      </w:r>
      <w:r>
        <w:rPr>
          <w:spacing w:val="-41"/>
        </w:rPr>
      </w:r>
      <w:r>
        <w:rPr/>
        <w:t>费用，计入应收融资租赁款的初始计量中，并减少租赁期内确认的收益金额。</w:t>
      </w:r>
    </w:p>
    <w:p>
      <w:pPr>
        <w:spacing w:line="590" w:lineRule="atLeast" w:before="14"/>
        <w:ind w:left="573" w:right="5505"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30</w:t>
      </w:r>
      <w:r>
        <w:rPr>
          <w:rFonts w:ascii="宋体" w:hAnsi="宋体" w:cs="宋体" w:eastAsia="宋体" w:hint="default"/>
          <w:b/>
          <w:bCs/>
          <w:spacing w:val="-1"/>
          <w:sz w:val="21"/>
          <w:szCs w:val="21"/>
        </w:rPr>
        <w:t>、其他重要的会计政策和会计估计</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pacing w:val="-2"/>
          <w:sz w:val="21"/>
          <w:szCs w:val="21"/>
        </w:rPr>
        <w:t>关于财务报表列报项目变更说明</w:t>
      </w:r>
    </w:p>
    <w:p>
      <w:pPr>
        <w:pStyle w:val="BodyText"/>
        <w:spacing w:line="256" w:lineRule="auto" w:before="37"/>
        <w:ind w:right="998" w:firstLine="420"/>
        <w:jc w:val="left"/>
      </w:pPr>
      <w:r>
        <w:rPr>
          <w:spacing w:val="-6"/>
          <w:w w:val="100"/>
        </w:rPr>
        <w:t>财政部于</w:t>
      </w:r>
      <w:r>
        <w:rPr>
          <w:rFonts w:ascii="Times New Roman" w:hAnsi="Times New Roman" w:cs="Times New Roman" w:eastAsia="Times New Roman" w:hint="default"/>
          <w:spacing w:val="-6"/>
          <w:w w:val="100"/>
        </w:rPr>
        <w:t>2019</w:t>
      </w:r>
      <w:r>
        <w:rPr>
          <w:spacing w:val="-6"/>
          <w:w w:val="100"/>
        </w:rPr>
        <w:t>年</w:t>
      </w:r>
      <w:r>
        <w:rPr>
          <w:rFonts w:ascii="Times New Roman" w:hAnsi="Times New Roman" w:cs="Times New Roman" w:eastAsia="Times New Roman" w:hint="default"/>
          <w:spacing w:val="-6"/>
          <w:w w:val="100"/>
        </w:rPr>
        <w:t>4</w:t>
      </w:r>
      <w:r>
        <w:rPr>
          <w:spacing w:val="-6"/>
          <w:w w:val="100"/>
        </w:rPr>
        <w:t>月</w:t>
      </w:r>
      <w:r>
        <w:rPr>
          <w:rFonts w:ascii="Times New Roman" w:hAnsi="Times New Roman" w:cs="Times New Roman" w:eastAsia="Times New Roman" w:hint="default"/>
          <w:spacing w:val="-6"/>
          <w:w w:val="100"/>
        </w:rPr>
        <w:t>30</w:t>
      </w:r>
      <w:r>
        <w:rPr>
          <w:spacing w:val="-6"/>
          <w:w w:val="100"/>
        </w:rPr>
        <w:t>日发布了《关于修订印发</w:t>
      </w:r>
      <w:r>
        <w:rPr>
          <w:rFonts w:ascii="Times New Roman" w:hAnsi="Times New Roman" w:cs="Times New Roman" w:eastAsia="Times New Roman" w:hint="default"/>
          <w:spacing w:val="-6"/>
          <w:w w:val="100"/>
        </w:rPr>
        <w:t>2019</w:t>
      </w:r>
      <w:r>
        <w:rPr>
          <w:spacing w:val="-6"/>
          <w:w w:val="100"/>
        </w:rPr>
        <w:t>年度一般企业财务报表格式的通知》（财会〔</w:t>
      </w:r>
      <w:r>
        <w:rPr>
          <w:rFonts w:ascii="Times New Roman" w:hAnsi="Times New Roman" w:cs="Times New Roman" w:eastAsia="Times New Roman" w:hint="default"/>
          <w:spacing w:val="-6"/>
          <w:w w:val="100"/>
        </w:rPr>
        <w:t>2019</w:t>
      </w:r>
      <w:r>
        <w:rPr>
          <w:spacing w:val="-6"/>
          <w:w w:val="100"/>
        </w:rPr>
        <w:t>〕</w:t>
      </w:r>
      <w:r>
        <w:rPr>
          <w:w w:val="100"/>
        </w:rPr>
        <w:t> </w:t>
      </w:r>
      <w:r>
        <w:rPr>
          <w:rFonts w:ascii="Times New Roman" w:hAnsi="Times New Roman" w:cs="Times New Roman" w:eastAsia="Times New Roman" w:hint="default"/>
        </w:rPr>
        <w:t>6</w:t>
      </w:r>
      <w:r>
        <w:rPr/>
        <w:t>号），对一般企业财务报表格式进行了修订，拆分部分资产负债表项目，和调整部分利润表项目。本公</w:t>
      </w:r>
      <w:r>
        <w:rPr>
          <w:w w:val="100"/>
        </w:rPr>
        <w:t> </w:t>
      </w:r>
      <w:r>
        <w:rPr>
          <w:spacing w:val="-2"/>
        </w:rPr>
        <w:t>司已经根据新的企业财务报表格式的要求编制财务报表，财务报表的列报项目因此发生变更的，已经按照</w:t>
      </w:r>
    </w:p>
    <w:p>
      <w:pPr>
        <w:pStyle w:val="BodyText"/>
        <w:spacing w:line="256" w:lineRule="auto" w:before="22"/>
        <w:ind w:left="573" w:right="1116" w:hanging="421"/>
        <w:jc w:val="left"/>
      </w:pPr>
      <w:r>
        <w:rPr>
          <w:spacing w:val="-2"/>
        </w:rPr>
        <w:t>《企业会计准则第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财务报表列报》等的相关规定，对可比期间的比较数据进行调整。</w:t>
      </w:r>
      <w:r>
        <w:rPr>
          <w:spacing w:val="-25"/>
        </w:rPr>
        <w:t> </w:t>
      </w:r>
      <w:r>
        <w:rPr>
          <w:spacing w:val="-25"/>
        </w:rPr>
      </w:r>
      <w:r>
        <w:rPr/>
        <w:t>对可比期间的财务报表列报项目及金额的影响如下：</w:t>
      </w:r>
    </w:p>
    <w:p>
      <w:pPr>
        <w:spacing w:line="240" w:lineRule="auto" w:before="9"/>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369"/>
        <w:gridCol w:w="2571"/>
        <w:gridCol w:w="2381"/>
        <w:gridCol w:w="2338"/>
      </w:tblGrid>
      <w:tr>
        <w:trPr>
          <w:trHeight w:val="343" w:hRule="exact"/>
        </w:trPr>
        <w:tc>
          <w:tcPr>
            <w:tcW w:w="494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570"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7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454"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1" w:hRule="exact"/>
        </w:trPr>
        <w:tc>
          <w:tcPr>
            <w:tcW w:w="2369" w:type="dxa"/>
            <w:vMerge w:val="restart"/>
            <w:tcBorders>
              <w:top w:val="single" w:sz="4" w:space="0" w:color="000000"/>
              <w:left w:val="nil" w:sz="6" w:space="0" w:color="auto"/>
              <w:right w:val="single" w:sz="4" w:space="0" w:color="000000"/>
            </w:tcBorders>
          </w:tcPr>
          <w:p>
            <w:pPr>
              <w:pStyle w:val="TableParagraph"/>
              <w:spacing w:line="240" w:lineRule="auto" w:before="18"/>
              <w:ind w:left="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71" w:type="dxa"/>
            <w:vMerge w:val="restart"/>
            <w:tcBorders>
              <w:top w:val="single" w:sz="4" w:space="0" w:color="000000"/>
              <w:left w:val="single" w:sz="4" w:space="0" w:color="000000"/>
              <w:right w:val="single" w:sz="4" w:space="0" w:color="000000"/>
            </w:tcBorders>
          </w:tcPr>
          <w:p>
            <w:pPr>
              <w:pStyle w:val="TableParagraph"/>
              <w:spacing w:line="240" w:lineRule="auto" w:before="60"/>
              <w:ind w:left="1522" w:right="0"/>
              <w:jc w:val="left"/>
              <w:rPr>
                <w:rFonts w:ascii="Times New Roman" w:hAnsi="Times New Roman" w:cs="Times New Roman" w:eastAsia="Times New Roman" w:hint="default"/>
                <w:sz w:val="18"/>
                <w:szCs w:val="18"/>
              </w:rPr>
            </w:pPr>
            <w:r>
              <w:rPr>
                <w:rFonts w:ascii="Times New Roman"/>
                <w:sz w:val="18"/>
              </w:rPr>
              <w:t>31,829,378.42</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343" w:hRule="exact"/>
        </w:trPr>
        <w:tc>
          <w:tcPr>
            <w:tcW w:w="2369" w:type="dxa"/>
            <w:vMerge/>
            <w:tcBorders>
              <w:left w:val="nil" w:sz="6" w:space="0" w:color="auto"/>
              <w:bottom w:val="single" w:sz="4" w:space="0" w:color="000000"/>
              <w:right w:val="single" w:sz="4" w:space="0" w:color="000000"/>
            </w:tcBorders>
          </w:tcPr>
          <w:p>
            <w:pPr/>
          </w:p>
        </w:tc>
        <w:tc>
          <w:tcPr>
            <w:tcW w:w="2571" w:type="dxa"/>
            <w:vMerge/>
            <w:tcBorders>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23,479,957.90</w:t>
            </w:r>
          </w:p>
        </w:tc>
      </w:tr>
      <w:tr>
        <w:trPr>
          <w:trHeight w:val="341" w:hRule="exact"/>
        </w:trPr>
        <w:tc>
          <w:tcPr>
            <w:tcW w:w="2369" w:type="dxa"/>
            <w:vMerge w:val="restart"/>
            <w:tcBorders>
              <w:top w:val="single" w:sz="4" w:space="0" w:color="000000"/>
              <w:left w:val="nil" w:sz="6" w:space="0" w:color="auto"/>
              <w:right w:val="single" w:sz="4"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71" w:type="dxa"/>
            <w:vMerge w:val="restart"/>
            <w:tcBorders>
              <w:top w:val="single" w:sz="4" w:space="0" w:color="000000"/>
              <w:left w:val="single" w:sz="4" w:space="0" w:color="000000"/>
              <w:right w:val="single" w:sz="4" w:space="0" w:color="000000"/>
            </w:tcBorders>
          </w:tcPr>
          <w:p>
            <w:pPr>
              <w:pStyle w:val="TableParagraph"/>
              <w:spacing w:line="240" w:lineRule="auto" w:before="60"/>
              <w:ind w:left="1522" w:right="0"/>
              <w:jc w:val="left"/>
              <w:rPr>
                <w:rFonts w:ascii="Times New Roman" w:hAnsi="Times New Roman" w:cs="Times New Roman" w:eastAsia="Times New Roman" w:hint="default"/>
                <w:sz w:val="18"/>
                <w:szCs w:val="18"/>
              </w:rPr>
            </w:pPr>
            <w:r>
              <w:rPr>
                <w:rFonts w:ascii="Times New Roman"/>
                <w:sz w:val="18"/>
              </w:rPr>
              <w:t>42,387,053.65</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15,633,491.12</w:t>
            </w:r>
          </w:p>
        </w:tc>
      </w:tr>
      <w:tr>
        <w:trPr>
          <w:trHeight w:val="343" w:hRule="exact"/>
        </w:trPr>
        <w:tc>
          <w:tcPr>
            <w:tcW w:w="2369" w:type="dxa"/>
            <w:vMerge/>
            <w:tcBorders>
              <w:left w:val="nil" w:sz="6" w:space="0" w:color="auto"/>
              <w:bottom w:val="single" w:sz="4" w:space="0" w:color="000000"/>
              <w:right w:val="single" w:sz="4" w:space="0" w:color="000000"/>
            </w:tcBorders>
          </w:tcPr>
          <w:p>
            <w:pPr/>
          </w:p>
        </w:tc>
        <w:tc>
          <w:tcPr>
            <w:tcW w:w="2571" w:type="dxa"/>
            <w:vMerge/>
            <w:tcBorders>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26,753,562.53</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537"/>
        <w:gridCol w:w="3546"/>
        <w:gridCol w:w="1490"/>
      </w:tblGrid>
      <w:tr>
        <w:trPr>
          <w:trHeight w:val="324" w:hRule="exact"/>
        </w:trPr>
        <w:tc>
          <w:tcPr>
            <w:tcW w:w="453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44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4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left="44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49"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日发布《关于修订印发</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日召开第届董事会第</w:t>
            </w:r>
          </w:p>
        </w:tc>
        <w:tc>
          <w:tcPr>
            <w:tcW w:w="149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19"/>
          <w:pgSz w:w="11910" w:h="16840"/>
          <w:pgMar w:footer="979" w:header="877" w:top="1100" w:bottom="1160" w:left="980" w:right="0"/>
        </w:sectPr>
      </w:pPr>
    </w:p>
    <w:p>
      <w:pPr>
        <w:spacing w:line="240" w:lineRule="auto" w:before="8"/>
        <w:rPr>
          <w:rFonts w:ascii="宋体" w:hAnsi="宋体" w:cs="宋体" w:eastAsia="宋体" w:hint="default"/>
          <w:sz w:val="24"/>
          <w:szCs w:val="24"/>
        </w:rPr>
      </w:pPr>
      <w:r>
        <w:rPr/>
        <w:pict>
          <v:shape style="position:absolute;margin-left:241.729996pt;margin-top:182.179977pt;width:218.85pt;height:31.2pt;mso-position-horizontal-relative:page;mso-position-vertical-relative:page;z-index:-795256" type="#_x0000_t202" filled="false" stroked="false">
            <v:textbox inset="0,0,0,0">
              <w:txbxContent>
                <w:p>
                  <w:pPr>
                    <w:spacing w:line="240" w:lineRule="auto" w:before="6"/>
                    <w:rPr>
                      <w:rFonts w:ascii="宋体" w:hAnsi="宋体" w:cs="宋体" w:eastAsia="宋体" w:hint="default"/>
                      <w:b/>
                      <w:bCs/>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日起施行。</w:t>
                  </w:r>
                </w:p>
              </w:txbxContent>
            </v:textbox>
            <w10:wrap type="none"/>
          </v:shape>
        </w:pict>
      </w:r>
      <w:r>
        <w:rPr/>
        <w:pict>
          <v:shape style="position:absolute;margin-left:277.597992pt;margin-top:323.689972pt;width:182.95pt;height:132.65pt;mso-position-horizontal-relative:page;mso-position-vertical-relative:page;z-index:-79523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83.850006pt;margin-top:182.179977pt;width:176.7pt;height:31.2pt;mso-position-horizontal-relative:page;mso-position-vertical-relative:page;z-index:-795184" coordorigin="5677,3644" coordsize="3534,624">
            <v:shape style="position:absolute;left:5677;top:3644;width:3534;height:624" coordorigin="5677,3644" coordsize="3534,624" path="m5677,4268l9211,4268,9211,3644,5677,3644,5677,4268xe" filled="true" fillcolor="#ffffff" stroked="false">
              <v:path arrowok="t"/>
              <v:fill type="solid"/>
            </v:shape>
            <w10:wrap type="none"/>
          </v:group>
        </w:pict>
      </w:r>
      <w:r>
        <w:rPr/>
        <w:pict>
          <v:group style="position:absolute;margin-left:283.850006pt;margin-top:323.689972pt;width:176.7pt;height:132.65pt;mso-position-horizontal-relative:page;mso-position-vertical-relative:page;z-index:-795160" coordorigin="5677,6474" coordsize="3534,2653">
            <v:shape style="position:absolute;left:5677;top:6474;width:3534;height:2653" coordorigin="5677,6474" coordsize="3534,2653" path="m5677,9126l9211,9126,9211,6474,5677,6474,5677,9126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4551"/>
        <w:gridCol w:w="3546"/>
        <w:gridCol w:w="1488"/>
      </w:tblGrid>
      <w:tr>
        <w:trPr>
          <w:trHeight w:val="634"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8"/>
              <w:ind w:left="4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年度一般</w:t>
            </w:r>
            <w:r>
              <w:rPr>
                <w:rFonts w:ascii="宋体" w:hAnsi="宋体" w:cs="宋体" w:eastAsia="宋体" w:hint="default"/>
                <w:sz w:val="18"/>
                <w:szCs w:val="18"/>
              </w:rPr>
              <w:t>企</w:t>
            </w:r>
            <w:r>
              <w:rPr>
                <w:rFonts w:ascii="宋体" w:hAnsi="宋体" w:cs="宋体" w:eastAsia="宋体" w:hint="default"/>
                <w:spacing w:val="2"/>
                <w:sz w:val="18"/>
                <w:szCs w:val="18"/>
              </w:rPr>
              <w:t>业财务报表</w:t>
            </w:r>
            <w:r>
              <w:rPr>
                <w:rFonts w:ascii="宋体" w:hAnsi="宋体" w:cs="宋体" w:eastAsia="宋体" w:hint="default"/>
                <w:sz w:val="18"/>
                <w:szCs w:val="18"/>
              </w:rPr>
              <w:t>格</w:t>
            </w:r>
            <w:r>
              <w:rPr>
                <w:rFonts w:ascii="宋体" w:hAnsi="宋体" w:cs="宋体" w:eastAsia="宋体" w:hint="default"/>
                <w:spacing w:val="2"/>
                <w:sz w:val="18"/>
                <w:szCs w:val="18"/>
              </w:rPr>
              <w:t>式的通知</w:t>
            </w:r>
            <w:r>
              <w:rPr>
                <w:rFonts w:ascii="宋体" w:hAnsi="宋体" w:cs="宋体" w:eastAsia="宋体" w:hint="default"/>
                <w:spacing w:val="-89"/>
                <w:sz w:val="18"/>
                <w:szCs w:val="18"/>
              </w:rPr>
              <w:t>》</w:t>
            </w:r>
            <w:r>
              <w:rPr>
                <w:rFonts w:ascii="宋体" w:hAnsi="宋体" w:cs="宋体" w:eastAsia="宋体" w:hint="default"/>
                <w:spacing w:val="2"/>
                <w:sz w:val="18"/>
                <w:szCs w:val="18"/>
              </w:rPr>
              <w:t>（财</w:t>
            </w:r>
            <w:r>
              <w:rPr>
                <w:rFonts w:ascii="宋体" w:hAnsi="宋体" w:cs="宋体" w:eastAsia="宋体" w:hint="default"/>
                <w:spacing w:val="4"/>
                <w:sz w:val="18"/>
                <w:szCs w:val="18"/>
              </w:rPr>
              <w:t>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，公司根据要求对报告期</w:t>
            </w:r>
            <w:r>
              <w:rPr>
                <w:rFonts w:ascii="宋体" w:hAnsi="宋体" w:cs="宋体" w:eastAsia="宋体" w:hint="default"/>
                <w:spacing w:val="2"/>
                <w:sz w:val="18"/>
                <w:szCs w:val="18"/>
              </w:rPr>
              <w:t>内</w:t>
            </w:r>
            <w:r>
              <w:rPr>
                <w:rFonts w:ascii="宋体" w:hAnsi="宋体" w:cs="宋体" w:eastAsia="宋体" w:hint="default"/>
                <w:sz w:val="18"/>
                <w:szCs w:val="18"/>
              </w:rPr>
              <w:t>的报表格式进行了调整。</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宋体" w:hAnsi="宋体" w:cs="宋体" w:eastAsia="宋体" w:hint="default"/>
                <w:sz w:val="18"/>
                <w:szCs w:val="18"/>
              </w:rPr>
            </w:pPr>
            <w:r>
              <w:rPr>
                <w:rFonts w:ascii="宋体" w:hAnsi="宋体" w:cs="宋体" w:eastAsia="宋体" w:hint="default"/>
                <w:spacing w:val="3"/>
                <w:sz w:val="18"/>
                <w:szCs w:val="18"/>
              </w:rPr>
              <w:t>六次会议、第四届监事会第五次会议，审议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通过了《关于变更公司会计政策的议案》</w:t>
            </w:r>
          </w:p>
        </w:tc>
        <w:tc>
          <w:tcPr>
            <w:tcW w:w="1488" w:type="dxa"/>
            <w:tcBorders>
              <w:top w:val="single" w:sz="4" w:space="0" w:color="000000"/>
              <w:left w:val="single" w:sz="4" w:space="0" w:color="000000"/>
              <w:bottom w:val="single" w:sz="4" w:space="0" w:color="000000"/>
              <w:right w:val="nil" w:sz="6" w:space="0" w:color="auto"/>
            </w:tcBorders>
          </w:tcPr>
          <w:p>
            <w:pPr/>
          </w:p>
        </w:tc>
      </w:tr>
      <w:tr>
        <w:trPr>
          <w:trHeight w:val="2194" w:hRule="exact"/>
        </w:trPr>
        <w:tc>
          <w:tcPr>
            <w:tcW w:w="4551" w:type="dxa"/>
            <w:tcBorders>
              <w:top w:val="single" w:sz="4" w:space="0" w:color="000000"/>
              <w:left w:val="nil" w:sz="6" w:space="0" w:color="auto"/>
              <w:bottom w:val="single" w:sz="4" w:space="0" w:color="000000"/>
              <w:right w:val="single" w:sz="13" w:space="0" w:color="FFFFFF"/>
            </w:tcBorders>
          </w:tcPr>
          <w:p>
            <w:pPr>
              <w:pStyle w:val="TableParagraph"/>
              <w:spacing w:line="300" w:lineRule="auto" w:before="8"/>
              <w:ind w:left="43" w:right="7" w:firstLine="420"/>
              <w:jc w:val="both"/>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年修订发布了《企业会计准则第</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金融工具确认和计量》（财会〔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pacing w:val="-28"/>
                <w:sz w:val="18"/>
                <w:szCs w:val="18"/>
              </w:rPr>
              <w:t>号）、《企业会</w:t>
            </w:r>
            <w:r>
              <w:rPr>
                <w:rFonts w:ascii="宋体" w:hAnsi="宋体" w:cs="宋体" w:eastAsia="宋体" w:hint="default"/>
                <w:sz w:val="18"/>
                <w:szCs w:val="18"/>
              </w:rPr>
              <w:t> 计准则第 </w:t>
            </w:r>
            <w:r>
              <w:rPr>
                <w:rFonts w:ascii="Times New Roman" w:hAnsi="Times New Roman" w:cs="Times New Roman" w:eastAsia="Times New Roman" w:hint="default"/>
                <w:sz w:val="18"/>
                <w:szCs w:val="18"/>
              </w:rPr>
              <w:t>23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金融资产转移》</w:t>
            </w:r>
            <w:r>
              <w:rPr>
                <w:rFonts w:ascii="宋体" w:hAnsi="宋体" w:cs="宋体" w:eastAsia="宋体" w:hint="default"/>
                <w:sz w:val="18"/>
                <w:szCs w:val="18"/>
              </w:rPr>
              <w:t> </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w:t>
            </w:r>
            <w:r>
              <w:rPr>
                <w:rFonts w:ascii="Times New Roman" w:hAnsi="Times New Roman" w:cs="Times New Roman" w:eastAsia="Times New Roman" w:hint="default"/>
                <w:spacing w:val="33"/>
                <w:sz w:val="18"/>
                <w:szCs w:val="18"/>
              </w:rPr>
              <w:t> </w:t>
            </w:r>
            <w:r>
              <w:rPr>
                <w:rFonts w:ascii="宋体" w:hAnsi="宋体" w:cs="宋体" w:eastAsia="宋体" w:hint="default"/>
                <w:spacing w:val="-46"/>
                <w:sz w:val="18"/>
                <w:szCs w:val="18"/>
              </w:rPr>
              <w:t>号）</w:t>
            </w:r>
            <w:r>
              <w:rPr>
                <w:rFonts w:ascii="宋体" w:hAnsi="宋体" w:cs="宋体" w:eastAsia="宋体" w:hint="default"/>
                <w:sz w:val="18"/>
                <w:szCs w:val="18"/>
              </w:rPr>
            </w:r>
          </w:p>
          <w:p>
            <w:pPr>
              <w:pStyle w:val="TableParagraph"/>
              <w:spacing w:line="240" w:lineRule="auto" w:before="13"/>
              <w:ind w:left="43" w:right="-46"/>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套</w:t>
            </w:r>
            <w:r>
              <w:rPr>
                <w:rFonts w:ascii="宋体" w:hAnsi="宋体" w:cs="宋体" w:eastAsia="宋体" w:hint="default"/>
                <w:sz w:val="18"/>
                <w:szCs w:val="18"/>
              </w:rPr>
              <w:t>期会计</w:t>
            </w:r>
            <w:r>
              <w:rPr>
                <w:rFonts w:ascii="宋体" w:hAnsi="宋体" w:cs="宋体" w:eastAsia="宋体" w:hint="default"/>
                <w:spacing w:val="-168"/>
                <w:sz w:val="18"/>
                <w:szCs w:val="18"/>
              </w:rPr>
              <w:t>》</w:t>
            </w:r>
            <w:r>
              <w:rPr>
                <w:rFonts w:ascii="宋体" w:hAnsi="宋体" w:cs="宋体" w:eastAsia="宋体" w:hint="default"/>
                <w:sz w:val="18"/>
                <w:szCs w:val="18"/>
              </w:rPr>
              <w:t>（财</w:t>
            </w:r>
            <w:r>
              <w:rPr>
                <w:rFonts w:ascii="宋体" w:hAnsi="宋体" w:cs="宋体" w:eastAsia="宋体" w:hint="default"/>
                <w:spacing w:val="-77"/>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r>
          </w:p>
          <w:p>
            <w:pPr>
              <w:pStyle w:val="TableParagraph"/>
              <w:spacing w:line="240" w:lineRule="auto" w:before="63"/>
              <w:ind w:left="43" w:right="-44"/>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金</w:t>
            </w:r>
            <w:r>
              <w:rPr>
                <w:rFonts w:ascii="宋体" w:hAnsi="宋体" w:cs="宋体" w:eastAsia="宋体" w:hint="default"/>
                <w:sz w:val="18"/>
                <w:szCs w:val="18"/>
              </w:rPr>
              <w:t>融工具列报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sz w:val="18"/>
                <w:szCs w:val="18"/>
              </w:rPr>
              <w:t>〕</w:t>
            </w:r>
          </w:p>
          <w:p>
            <w:pPr>
              <w:pStyle w:val="TableParagraph"/>
              <w:spacing w:line="240" w:lineRule="auto" w:before="63"/>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号）等四项金融工具相关会计准则，简称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w:t>
            </w:r>
          </w:p>
          <w:p>
            <w:pPr>
              <w:pStyle w:val="TableParagraph"/>
              <w:spacing w:line="240" w:lineRule="auto" w:before="63"/>
              <w:ind w:left="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w:t>
            </w:r>
          </w:p>
        </w:tc>
        <w:tc>
          <w:tcPr>
            <w:tcW w:w="354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61"/>
              <w:ind w:left="12" w:right="1" w:hanging="145"/>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日召开第四届董事会 </w:t>
            </w:r>
            <w:r>
              <w:rPr>
                <w:rFonts w:ascii="宋体" w:hAnsi="宋体" w:cs="宋体" w:eastAsia="宋体" w:hint="default"/>
                <w:spacing w:val="3"/>
                <w:sz w:val="18"/>
                <w:szCs w:val="18"/>
              </w:rPr>
              <w:t>第七次会议、第四届监事会第六次会议，审</w:t>
            </w:r>
            <w:r>
              <w:rPr>
                <w:rFonts w:ascii="宋体" w:hAnsi="宋体" w:cs="宋体" w:eastAsia="宋体" w:hint="default"/>
                <w:sz w:val="18"/>
                <w:szCs w:val="18"/>
              </w:rPr>
              <w:t> </w:t>
            </w:r>
            <w:r>
              <w:rPr>
                <w:rFonts w:ascii="宋体" w:hAnsi="宋体" w:cs="宋体" w:eastAsia="宋体" w:hint="default"/>
                <w:spacing w:val="-5"/>
                <w:sz w:val="18"/>
                <w:szCs w:val="18"/>
              </w:rPr>
              <w:t>议通过了《关于变更公司会计政策的议案》。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624" w:lineRule="exact"/>
              <w:ind w:left="12" w:right="-27"/>
              <w:jc w:val="left"/>
              <w:rPr>
                <w:rFonts w:ascii="宋体" w:hAnsi="宋体" w:cs="宋体" w:eastAsia="宋体" w:hint="default"/>
                <w:sz w:val="20"/>
                <w:szCs w:val="20"/>
              </w:rPr>
            </w:pPr>
            <w:r>
              <w:rPr>
                <w:rFonts w:ascii="宋体" w:hAnsi="宋体" w:cs="宋体" w:eastAsia="宋体" w:hint="default"/>
                <w:position w:val="-11"/>
                <w:sz w:val="20"/>
                <w:szCs w:val="20"/>
              </w:rPr>
              <w:pict>
                <v:group style="width:174.45pt;height:31.2pt;mso-position-horizontal-relative:char;mso-position-vertical-relative:line" coordorigin="0,0" coordsize="3489,624">
                  <v:group style="position:absolute;left:0;top:0;width:3489;height:312" coordorigin="0,0" coordsize="3489,312">
                    <v:shape style="position:absolute;left:0;top:0;width:3489;height:312" coordorigin="0,0" coordsize="3489,312" path="m0,312l3488,312,3488,0,0,0,0,312xe" filled="true" fillcolor="#ffffff" stroked="false">
                      <v:path arrowok="t"/>
                      <v:fill type="solid"/>
                    </v:shape>
                  </v:group>
                  <v:group style="position:absolute;left:0;top:312;width:3489;height:312" coordorigin="0,312" coordsize="3489,312">
                    <v:shape style="position:absolute;left:0;top:312;width:3489;height:312" coordorigin="0,312" coordsize="3489,312" path="m0,624l3488,624,3488,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详见后附说明</w:t>
            </w:r>
          </w:p>
        </w:tc>
      </w:tr>
      <w:tr>
        <w:trPr>
          <w:trHeight w:val="2194" w:hRule="exact"/>
        </w:trPr>
        <w:tc>
          <w:tcPr>
            <w:tcW w:w="4551"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日发布了《关于修订印</w:t>
            </w:r>
          </w:p>
          <w:p>
            <w:pPr>
              <w:pStyle w:val="TableParagraph"/>
              <w:spacing w:line="240" w:lineRule="auto" w:before="63"/>
              <w:ind w:left="43" w:right="0"/>
              <w:jc w:val="left"/>
              <w:rPr>
                <w:rFonts w:ascii="宋体" w:hAnsi="宋体" w:cs="宋体" w:eastAsia="宋体" w:hint="default"/>
                <w:sz w:val="18"/>
                <w:szCs w:val="18"/>
              </w:rPr>
            </w:pPr>
            <w:r>
              <w:rPr>
                <w:rFonts w:ascii="宋体" w:hAnsi="宋体" w:cs="宋体" w:eastAsia="宋体" w:hint="default"/>
                <w:sz w:val="18"/>
                <w:szCs w:val="18"/>
              </w:rPr>
              <w:t>发 </w:t>
            </w:r>
            <w:r>
              <w:rPr>
                <w:rFonts w:ascii="Times New Roman" w:hAnsi="Times New Roman" w:cs="Times New Roman" w:eastAsia="Times New Roman" w:hint="default"/>
                <w:sz w:val="18"/>
                <w:szCs w:val="18"/>
              </w:rPr>
              <w:t>2019  </w:t>
            </w:r>
            <w:r>
              <w:rPr>
                <w:rFonts w:ascii="宋体" w:hAnsi="宋体" w:cs="宋体" w:eastAsia="宋体" w:hint="default"/>
                <w:spacing w:val="18"/>
                <w:sz w:val="18"/>
                <w:szCs w:val="18"/>
              </w:rPr>
              <w:t>年度一般企业财务报表格式的通知 </w:t>
            </w:r>
            <w:r>
              <w:rPr>
                <w:rFonts w:ascii="宋体" w:hAnsi="宋体" w:cs="宋体" w:eastAsia="宋体" w:hint="default"/>
                <w:spacing w:val="-36"/>
                <w:sz w:val="18"/>
                <w:szCs w:val="18"/>
              </w:rPr>
              <w:t>》（</w:t>
            </w:r>
            <w:r>
              <w:rPr>
                <w:rFonts w:ascii="宋体" w:hAnsi="宋体" w:cs="宋体" w:eastAsia="宋体" w:hint="default"/>
                <w:spacing w:val="-83"/>
                <w:sz w:val="18"/>
                <w:szCs w:val="18"/>
              </w:rPr>
              <w:t> </w:t>
            </w:r>
            <w:r>
              <w:rPr>
                <w:rFonts w:ascii="宋体" w:hAnsi="宋体" w:cs="宋体" w:eastAsia="宋体" w:hint="default"/>
                <w:spacing w:val="10"/>
                <w:sz w:val="18"/>
                <w:szCs w:val="18"/>
              </w:rPr>
              <w:t>财会</w:t>
            </w:r>
          </w:p>
          <w:p>
            <w:pPr>
              <w:pStyle w:val="TableParagraph"/>
              <w:spacing w:line="309" w:lineRule="auto" w:before="63"/>
              <w:ind w:left="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10"/>
                <w:w w:val="99"/>
                <w:sz w:val="18"/>
                <w:szCs w:val="18"/>
              </w:rPr>
              <w:t>号）（以下简称</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财会〔</w:t>
            </w:r>
            <w:r>
              <w:rPr>
                <w:rFonts w:ascii="Times New Roman" w:hAnsi="Times New Roman" w:cs="Times New Roman" w:eastAsia="Times New Roman" w:hint="default"/>
                <w:spacing w:val="-10"/>
                <w:w w:val="99"/>
                <w:sz w:val="18"/>
                <w:szCs w:val="18"/>
              </w:rPr>
              <w:t>2019</w:t>
            </w:r>
            <w:r>
              <w:rPr>
                <w:rFonts w:ascii="宋体" w:hAnsi="宋体" w:cs="宋体" w:eastAsia="宋体" w:hint="default"/>
                <w:spacing w:val="-10"/>
                <w:w w:val="99"/>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6 </w:t>
            </w:r>
            <w:r>
              <w:rPr>
                <w:rFonts w:ascii="宋体" w:hAnsi="宋体" w:cs="宋体" w:eastAsia="宋体" w:hint="default"/>
                <w:w w:val="99"/>
                <w:sz w:val="18"/>
                <w:szCs w:val="18"/>
              </w:rPr>
              <w:t>号</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9"/>
                <w:sz w:val="18"/>
                <w:szCs w:val="18"/>
              </w:rPr>
              <w:t>）的通知</w:t>
            </w:r>
            <w:r>
              <w:rPr>
                <w:rFonts w:ascii="宋体" w:hAnsi="宋体" w:cs="宋体" w:eastAsia="宋体" w:hint="default"/>
                <w:sz w:val="18"/>
                <w:szCs w:val="18"/>
              </w:rPr>
              <w:t> </w:t>
            </w:r>
            <w:r>
              <w:rPr>
                <w:rFonts w:ascii="宋体" w:hAnsi="宋体" w:cs="宋体" w:eastAsia="宋体" w:hint="default"/>
                <w:spacing w:val="6"/>
                <w:sz w:val="18"/>
                <w:szCs w:val="18"/>
              </w:rPr>
              <w:t>要求执行企业会计准则的非金融企业按照企业会计准则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号的要求编制财务报表，企业</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度中期财务报表和年度财务报表及以后期间的财务报表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均按财会〔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号要求编制执行。</w:t>
            </w:r>
          </w:p>
        </w:tc>
        <w:tc>
          <w:tcPr>
            <w:tcW w:w="354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61"/>
              <w:ind w:left="12" w:right="21" w:hanging="145"/>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日召开第四届董事会 </w:t>
            </w:r>
            <w:r>
              <w:rPr>
                <w:rFonts w:ascii="宋体" w:hAnsi="宋体" w:cs="宋体" w:eastAsia="宋体" w:hint="default"/>
                <w:spacing w:val="3"/>
                <w:sz w:val="18"/>
                <w:szCs w:val="18"/>
              </w:rPr>
              <w:t>第九次会议、第四届监事会第七次会议，审</w:t>
            </w:r>
            <w:r>
              <w:rPr>
                <w:rFonts w:ascii="宋体" w:hAnsi="宋体" w:cs="宋体" w:eastAsia="宋体" w:hint="default"/>
                <w:sz w:val="18"/>
                <w:szCs w:val="18"/>
              </w:rPr>
              <w:t> </w:t>
            </w:r>
            <w:r>
              <w:rPr>
                <w:rFonts w:ascii="宋体" w:hAnsi="宋体" w:cs="宋体" w:eastAsia="宋体" w:hint="default"/>
                <w:spacing w:val="-6"/>
                <w:sz w:val="18"/>
                <w:szCs w:val="18"/>
              </w:rPr>
              <w:t>议通过了《关于会计政策变更的议案》。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312" w:lineRule="exact"/>
              <w:ind w:left="12"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174.45pt;height:15.65pt;mso-position-horizontal-relative:char;mso-position-vertical-relative:line" coordorigin="0,0" coordsize="3489,313">
                  <v:group style="position:absolute;left:0;top:0;width:3489;height:313" coordorigin="0,0" coordsize="3489,313">
                    <v:shape style="position:absolute;left:0;top:0;width:3489;height:313" coordorigin="0,0" coordsize="3489,313" path="m0,312l3488,312,348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c>
          <w:tcPr>
            <w:tcW w:w="1488" w:type="dxa"/>
            <w:tcBorders>
              <w:top w:val="single" w:sz="4" w:space="0" w:color="000000"/>
              <w:left w:val="single" w:sz="4" w:space="0" w:color="000000"/>
              <w:bottom w:val="single" w:sz="4" w:space="0" w:color="000000"/>
              <w:right w:val="nil" w:sz="6" w:space="0" w:color="auto"/>
            </w:tcBorders>
          </w:tcPr>
          <w:p>
            <w:pPr/>
          </w:p>
        </w:tc>
      </w:tr>
      <w:tr>
        <w:trPr>
          <w:trHeight w:val="7268" w:hRule="exact"/>
        </w:trPr>
        <w:tc>
          <w:tcPr>
            <w:tcW w:w="4551" w:type="dxa"/>
            <w:tcBorders>
              <w:top w:val="single" w:sz="4" w:space="0" w:color="000000"/>
              <w:left w:val="nil" w:sz="6" w:space="0" w:color="auto"/>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、会计政策变更原因</w:t>
            </w:r>
          </w:p>
          <w:p>
            <w:pPr>
              <w:pStyle w:val="TableParagraph"/>
              <w:spacing w:line="300" w:lineRule="auto" w:before="63"/>
              <w:ind w:left="43" w:right="7"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）非货币性资产交换财政部于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日发布 关于印发修订《企业会计准则第</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p>
          <w:p>
            <w:pPr>
              <w:pStyle w:val="TableParagraph"/>
              <w:spacing w:line="300" w:lineRule="auto" w:before="13"/>
              <w:ind w:left="43" w:right="9"/>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号）的通知，规范了非货币性资产交换的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确认、计量和相关信息的披露。</w:t>
            </w:r>
          </w:p>
          <w:p>
            <w:pPr>
              <w:pStyle w:val="TableParagraph"/>
              <w:spacing w:line="240" w:lineRule="auto" w:before="3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）债务重组</w:t>
            </w:r>
          </w:p>
          <w:p>
            <w:pPr>
              <w:pStyle w:val="TableParagraph"/>
              <w:spacing w:line="240" w:lineRule="auto" w:before="63"/>
              <w:ind w:left="463" w:right="-1"/>
              <w:jc w:val="left"/>
              <w:rPr>
                <w:rFonts w:ascii="宋体" w:hAnsi="宋体" w:cs="宋体" w:eastAsia="宋体" w:hint="default"/>
                <w:sz w:val="18"/>
                <w:szCs w:val="18"/>
              </w:rPr>
            </w:pPr>
            <w:r>
              <w:rPr>
                <w:rFonts w:ascii="宋体" w:hAnsi="宋体" w:cs="宋体" w:eastAsia="宋体" w:hint="default"/>
                <w:spacing w:val="6"/>
                <w:sz w:val="18"/>
                <w:szCs w:val="18"/>
              </w:rPr>
              <w:t>财政部于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3"/>
                <w:sz w:val="18"/>
                <w:szCs w:val="18"/>
              </w:rPr>
              <w:t> </w:t>
            </w:r>
            <w:r>
              <w:rPr>
                <w:rFonts w:ascii="宋体" w:hAnsi="宋体" w:cs="宋体" w:eastAsia="宋体" w:hint="default"/>
                <w:spacing w:val="9"/>
                <w:sz w:val="18"/>
                <w:szCs w:val="18"/>
              </w:rPr>
              <w:t>日发布关于印发修订</w:t>
            </w:r>
            <w:r>
              <w:rPr>
                <w:rFonts w:ascii="宋体" w:hAnsi="宋体" w:cs="宋体" w:eastAsia="宋体" w:hint="default"/>
                <w:sz w:val="18"/>
                <w:szCs w:val="18"/>
              </w:rPr>
            </w:r>
          </w:p>
          <w:p>
            <w:pPr>
              <w:pStyle w:val="TableParagraph"/>
              <w:spacing w:line="300" w:lineRule="auto" w:before="63"/>
              <w:ind w:left="43" w:right="-46"/>
              <w:jc w:val="left"/>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债务重组》（财会</w:t>
            </w:r>
            <w:r>
              <w:rPr>
                <w:rFonts w:ascii="Times New Roman" w:hAnsi="Times New Roman" w:cs="Times New Roman" w:eastAsia="Times New Roman" w:hint="default"/>
                <w:spacing w:val="-4"/>
                <w:sz w:val="18"/>
                <w:szCs w:val="18"/>
              </w:rPr>
              <w:t>[2019]9</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号） </w:t>
            </w:r>
            <w:r>
              <w:rPr>
                <w:rFonts w:ascii="宋体" w:hAnsi="宋体" w:cs="宋体" w:eastAsia="宋体" w:hint="default"/>
                <w:spacing w:val="-6"/>
                <w:sz w:val="18"/>
                <w:szCs w:val="18"/>
              </w:rPr>
              <w:t>的通知，规范了债务重组的确认、计量和相关信息的披露。</w:t>
            </w:r>
            <w:r>
              <w:rPr>
                <w:rFonts w:ascii="宋体" w:hAnsi="宋体" w:cs="宋体" w:eastAsia="宋体" w:hint="default"/>
                <w:sz w:val="18"/>
                <w:szCs w:val="18"/>
              </w:rPr>
            </w:r>
          </w:p>
          <w:p>
            <w:pPr>
              <w:pStyle w:val="TableParagraph"/>
              <w:spacing w:line="240" w:lineRule="auto" w:before="3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）新收入准则</w:t>
            </w:r>
          </w:p>
          <w:p>
            <w:pPr>
              <w:pStyle w:val="TableParagraph"/>
              <w:spacing w:line="309" w:lineRule="auto" w:before="63"/>
              <w:ind w:left="43" w:right="-10"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spacing w:val="-11"/>
                <w:sz w:val="18"/>
                <w:szCs w:val="18"/>
              </w:rPr>
              <w:t>日，财政部发布了关于修订印发《企</w:t>
            </w:r>
            <w:r>
              <w:rPr>
                <w:rFonts w:ascii="宋体" w:hAnsi="宋体" w:cs="宋体" w:eastAsia="宋体" w:hint="default"/>
                <w:sz w:val="18"/>
                <w:szCs w:val="18"/>
              </w:rPr>
              <w:t> 业会计准则第 </w:t>
            </w:r>
            <w:r>
              <w:rPr>
                <w:rFonts w:ascii="Times New Roman" w:hAnsi="Times New Roman" w:cs="Times New Roman" w:eastAsia="Times New Roman" w:hint="default"/>
                <w:sz w:val="18"/>
                <w:szCs w:val="18"/>
              </w:rPr>
              <w:t>14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收入》的通知（财会〔</w:t>
            </w:r>
            <w:r>
              <w:rPr>
                <w:rFonts w:ascii="Times New Roman" w:hAnsi="Times New Roman" w:cs="Times New Roman" w:eastAsia="Times New Roman" w:hint="default"/>
                <w:spacing w:val="-10"/>
                <w:sz w:val="18"/>
                <w:szCs w:val="18"/>
              </w:rPr>
              <w:t>2017</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22 </w:t>
            </w:r>
            <w:r>
              <w:rPr>
                <w:rFonts w:ascii="宋体" w:hAnsi="宋体" w:cs="宋体" w:eastAsia="宋体" w:hint="default"/>
                <w:sz w:val="18"/>
                <w:szCs w:val="18"/>
              </w:rPr>
              <w:t>号）</w:t>
            </w:r>
            <w:r>
              <w:rPr>
                <w:rFonts w:ascii="宋体" w:hAnsi="宋体" w:cs="宋体" w:eastAsia="宋体" w:hint="default"/>
                <w:spacing w:val="-89"/>
                <w:sz w:val="18"/>
                <w:szCs w:val="18"/>
              </w:rPr>
              <w:t> </w:t>
            </w:r>
            <w:r>
              <w:rPr>
                <w:rFonts w:ascii="宋体" w:hAnsi="宋体" w:cs="宋体" w:eastAsia="宋体" w:hint="default"/>
                <w:spacing w:val="6"/>
                <w:sz w:val="18"/>
                <w:szCs w:val="18"/>
              </w:rPr>
              <w:t>并要求在境内外同时上市的企业以及在境外上市并采用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国际财务报告准则或企业会计准则编制财务报表的企业，</w:t>
            </w:r>
            <w:r>
              <w:rPr>
                <w:rFonts w:ascii="宋体" w:hAnsi="宋体" w:cs="宋体" w:eastAsia="宋体" w:hint="default"/>
                <w:sz w:val="18"/>
                <w:szCs w:val="18"/>
              </w:rPr>
              <w:t> 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日起施行；其他境内上</w:t>
            </w:r>
          </w:p>
          <w:p>
            <w:pPr>
              <w:pStyle w:val="TableParagraph"/>
              <w:spacing w:line="240" w:lineRule="auto" w:before="46"/>
              <w:ind w:left="463" w:right="0"/>
              <w:jc w:val="left"/>
              <w:rPr>
                <w:rFonts w:ascii="宋体" w:hAnsi="宋体" w:cs="宋体" w:eastAsia="宋体" w:hint="default"/>
                <w:sz w:val="18"/>
                <w:szCs w:val="18"/>
              </w:rPr>
            </w:pPr>
            <w:r>
              <w:rPr>
                <w:rFonts w:ascii="宋体" w:hAnsi="宋体" w:cs="宋体" w:eastAsia="宋体" w:hint="default"/>
                <w:sz w:val="18"/>
                <w:szCs w:val="18"/>
              </w:rPr>
              <w:t>市企业自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日起施行。</w:t>
            </w:r>
          </w:p>
        </w:tc>
        <w:tc>
          <w:tcPr>
            <w:tcW w:w="354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48"/>
              <w:ind w:left="12" w:right="21" w:firstLine="420"/>
              <w:jc w:val="both"/>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日召开第四届董</w:t>
            </w:r>
            <w:r>
              <w:rPr>
                <w:rFonts w:ascii="宋体" w:hAnsi="宋体" w:cs="宋体" w:eastAsia="宋体" w:hint="default"/>
                <w:sz w:val="18"/>
                <w:szCs w:val="18"/>
              </w:rPr>
              <w:t> </w:t>
            </w:r>
            <w:r>
              <w:rPr>
                <w:rFonts w:ascii="宋体" w:hAnsi="宋体" w:cs="宋体" w:eastAsia="宋体" w:hint="default"/>
                <w:spacing w:val="3"/>
                <w:sz w:val="18"/>
                <w:szCs w:val="18"/>
              </w:rPr>
              <w:t>事会第十五次会议、第四届监事会第十一次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会议，审议通过了《关于会计政策变更的议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2" w:lineRule="exact"/>
              <w:ind w:left="12"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174.45pt;height:15.6pt;mso-position-horizontal-relative:char;mso-position-vertical-relative:line" coordorigin="0,0" coordsize="3489,312">
                  <v:group style="position:absolute;left:0;top:0;width:3489;height:312" coordorigin="0,0" coordsize="3489,312">
                    <v:shape style="position:absolute;left:0;top:0;width:3489;height:312" coordorigin="0,0" coordsize="3489,312" path="m0,312l3488,312,348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tc>
        <w:tc>
          <w:tcPr>
            <w:tcW w:w="1488" w:type="dxa"/>
            <w:tcBorders>
              <w:top w:val="single" w:sz="4" w:space="0" w:color="000000"/>
              <w:left w:val="single" w:sz="4" w:space="0" w:color="000000"/>
              <w:bottom w:val="single" w:sz="4" w:space="0" w:color="000000"/>
              <w:right w:val="nil" w:sz="6" w:space="0" w:color="auto"/>
            </w:tcBorders>
          </w:tcPr>
          <w:p>
            <w:pPr/>
          </w:p>
        </w:tc>
      </w:tr>
    </w:tbl>
    <w:p>
      <w:pPr>
        <w:pStyle w:val="BodyText"/>
        <w:spacing w:line="256" w:lineRule="auto"/>
        <w:ind w:right="1126" w:firstLine="420"/>
        <w:jc w:val="both"/>
      </w:pPr>
      <w:r>
        <w:rPr/>
        <w:pict>
          <v:shape style="position:absolute;margin-left:277.606995pt;margin-top:-133.260696pt;width:182.95pt;height:133.450pt;mso-position-horizontal-relative:page;mso-position-vertical-relative:paragraph;z-index:-7952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83.850006pt;margin-top:-132.476318pt;width:176.7pt;height:132.65pt;mso-position-horizontal-relative:page;mso-position-vertical-relative:paragraph;z-index:-795136" coordorigin="5677,-2650" coordsize="3534,2653">
            <v:shape style="position:absolute;left:5677;top:-2650;width:3534;height:2653" coordorigin="5677,-2650" coordsize="3534,2653" path="m5677,3l9211,3,9211,-2650,5677,-2650,5677,3xe" filled="true" fillcolor="#ffffff" stroked="false">
              <v:path arrowok="t"/>
              <v:fill type="solid"/>
            </v:shape>
            <w10:wrap type="none"/>
          </v:group>
        </w:pict>
      </w:r>
      <w:r>
        <w:rPr>
          <w:spacing w:val="-7"/>
          <w:w w:val="100"/>
        </w:rPr>
        <w:t>本公司自</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1</w:t>
      </w:r>
      <w:r>
        <w:rPr>
          <w:spacing w:val="-7"/>
          <w:w w:val="100"/>
        </w:rPr>
        <w:t>月</w:t>
      </w:r>
      <w:r>
        <w:rPr>
          <w:rFonts w:ascii="Times New Roman" w:hAnsi="Times New Roman" w:cs="Times New Roman" w:eastAsia="Times New Roman" w:hint="default"/>
          <w:spacing w:val="-7"/>
          <w:w w:val="100"/>
        </w:rPr>
        <w:t>1</w:t>
      </w:r>
      <w:r>
        <w:rPr>
          <w:spacing w:val="-7"/>
          <w:w w:val="100"/>
        </w:rPr>
        <w:t>日起执行财政部</w:t>
      </w:r>
      <w:r>
        <w:rPr>
          <w:rFonts w:ascii="Times New Roman" w:hAnsi="Times New Roman" w:cs="Times New Roman" w:eastAsia="Times New Roman" w:hint="default"/>
          <w:spacing w:val="-7"/>
          <w:w w:val="100"/>
        </w:rPr>
        <w:t>2017</w:t>
      </w:r>
      <w:r>
        <w:rPr>
          <w:spacing w:val="-7"/>
          <w:w w:val="100"/>
        </w:rPr>
        <w:t>年修订的《企业会计准则第</w:t>
      </w:r>
      <w:r>
        <w:rPr>
          <w:rFonts w:ascii="Times New Roman" w:hAnsi="Times New Roman" w:cs="Times New Roman" w:eastAsia="Times New Roman" w:hint="default"/>
          <w:spacing w:val="-7"/>
          <w:w w:val="100"/>
        </w:rPr>
        <w:t>22</w:t>
      </w:r>
      <w:r>
        <w:rPr>
          <w:spacing w:val="-7"/>
          <w:w w:val="100"/>
        </w:rPr>
        <w:t>号</w:t>
      </w:r>
      <w:r>
        <w:rPr>
          <w:rFonts w:ascii="Times New Roman" w:hAnsi="Times New Roman" w:cs="Times New Roman" w:eastAsia="Times New Roman" w:hint="default"/>
          <w:spacing w:val="-7"/>
          <w:w w:val="100"/>
        </w:rPr>
        <w:t>-</w:t>
      </w:r>
      <w:r>
        <w:rPr>
          <w:spacing w:val="-7"/>
          <w:w w:val="100"/>
        </w:rPr>
        <w:t>金融工具确认和计量》、《企</w:t>
      </w:r>
      <w:r>
        <w:rPr>
          <w:w w:val="100"/>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w:t>
      </w:r>
      <w:r>
        <w:rPr>
          <w:spacing w:val="-34"/>
        </w:rPr>
        <w:t> </w:t>
      </w:r>
      <w:r>
        <w:rPr>
          <w:spacing w:val="-34"/>
        </w:rPr>
      </w:r>
      <w:r>
        <w:rPr/>
        <w:t>具列报》（以上四项统称</w:t>
      </w:r>
      <w:r>
        <w:rPr>
          <w:rFonts w:ascii="Times New Roman" w:hAnsi="Times New Roman" w:cs="Times New Roman" w:eastAsia="Times New Roman" w:hint="default"/>
        </w:rPr>
        <w:t>&lt;</w:t>
      </w:r>
      <w:r>
        <w:rPr/>
        <w:t>新金融工具准则</w:t>
      </w:r>
      <w:r>
        <w:rPr>
          <w:rFonts w:ascii="Times New Roman" w:hAnsi="Times New Roman" w:cs="Times New Roman" w:eastAsia="Times New Roman" w:hint="default"/>
        </w:rPr>
        <w:t>&gt;</w:t>
      </w:r>
      <w:r>
        <w:rPr/>
        <w:t>）</w:t>
      </w:r>
    </w:p>
    <w:p>
      <w:pPr>
        <w:pStyle w:val="Heading3"/>
        <w:spacing w:line="240" w:lineRule="auto" w:before="125"/>
        <w:ind w:left="566" w:right="1116"/>
        <w:jc w:val="left"/>
        <w:rPr>
          <w:b w:val="0"/>
          <w:bCs w:val="0"/>
        </w:rPr>
      </w:pPr>
      <w:r>
        <w:rPr/>
        <w:t>执行新金融工具准则对本公司的影响</w:t>
      </w:r>
      <w:r>
        <w:rPr>
          <w:b w:val="0"/>
          <w:bCs w:val="0"/>
        </w:rPr>
      </w:r>
    </w:p>
    <w:p>
      <w:pPr>
        <w:spacing w:after="0" w:line="240" w:lineRule="auto"/>
        <w:jc w:val="left"/>
        <w:sectPr>
          <w:footerReference w:type="default" r:id="rId20"/>
          <w:pgSz w:w="11910" w:h="16840"/>
          <w:pgMar w:footer="979" w:header="877" w:top="1100" w:bottom="1160" w:left="980" w:right="0"/>
          <w:pgNumType w:start="101"/>
        </w:sectPr>
      </w:pPr>
    </w:p>
    <w:p>
      <w:pPr>
        <w:spacing w:line="240" w:lineRule="auto" w:before="12"/>
        <w:rPr>
          <w:rFonts w:ascii="宋体" w:hAnsi="宋体" w:cs="宋体" w:eastAsia="宋体" w:hint="default"/>
          <w:b/>
          <w:bCs/>
          <w:sz w:val="20"/>
          <w:szCs w:val="20"/>
        </w:rPr>
      </w:pPr>
    </w:p>
    <w:p>
      <w:pPr>
        <w:pStyle w:val="BodyText"/>
        <w:spacing w:line="261" w:lineRule="auto" w:before="36"/>
        <w:ind w:right="1126" w:firstLine="413"/>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44"/>
        </w:rPr>
        <w:t> </w:t>
      </w:r>
      <w:r>
        <w:rPr>
          <w:spacing w:val="-44"/>
        </w:rPr>
      </w:r>
      <w:r>
        <w:rPr>
          <w:spacing w:val="-2"/>
        </w:rPr>
        <w:t>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spacing w:val="-37"/>
        </w:rPr>
        <w:t> </w:t>
      </w:r>
      <w:r>
        <w:rPr/>
        <w:t>留存收益或其他综合收益。</w:t>
      </w:r>
    </w:p>
    <w:p>
      <w:pPr>
        <w:pStyle w:val="BodyText"/>
        <w:spacing w:line="240" w:lineRule="auto" w:before="138"/>
        <w:ind w:left="566" w:right="1116"/>
        <w:jc w:val="left"/>
      </w:pPr>
      <w:r>
        <w:rPr/>
        <w:t>执行新金融工具准则对本期期初资产负债表相关项目的影响列示如下：</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072"/>
        <w:gridCol w:w="365"/>
        <w:gridCol w:w="1109"/>
        <w:gridCol w:w="1567"/>
        <w:gridCol w:w="1440"/>
        <w:gridCol w:w="1630"/>
        <w:gridCol w:w="1490"/>
      </w:tblGrid>
      <w:tr>
        <w:trPr>
          <w:trHeight w:val="341" w:hRule="exact"/>
        </w:trPr>
        <w:tc>
          <w:tcPr>
            <w:tcW w:w="2072" w:type="dxa"/>
            <w:vMerge w:val="restart"/>
            <w:tcBorders>
              <w:top w:val="single" w:sz="4" w:space="0" w:color="000000"/>
              <w:left w:val="nil" w:sz="6" w:space="0" w:color="auto"/>
              <w:right w:val="single" w:sz="4" w:space="0" w:color="000000"/>
            </w:tcBorders>
          </w:tcPr>
          <w:p>
            <w:pPr>
              <w:pStyle w:val="TableParagraph"/>
              <w:spacing w:line="240" w:lineRule="auto" w:before="1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gridSpan w:val="2"/>
            <w:vMerge w:val="restart"/>
            <w:tcBorders>
              <w:top w:val="single" w:sz="4" w:space="0" w:color="000000"/>
              <w:left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490" w:type="dxa"/>
            <w:vMerge w:val="restart"/>
            <w:tcBorders>
              <w:top w:val="single" w:sz="4" w:space="0" w:color="000000"/>
              <w:left w:val="single" w:sz="4" w:space="0" w:color="000000"/>
              <w:right w:val="nil" w:sz="6" w:space="0" w:color="auto"/>
            </w:tcBorders>
          </w:tcPr>
          <w:p>
            <w:pPr>
              <w:pStyle w:val="TableParagraph"/>
              <w:spacing w:line="240" w:lineRule="auto" w:before="17"/>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655" w:hRule="exact"/>
        </w:trPr>
        <w:tc>
          <w:tcPr>
            <w:tcW w:w="2072" w:type="dxa"/>
            <w:vMerge/>
            <w:tcBorders>
              <w:left w:val="nil" w:sz="6" w:space="0" w:color="auto"/>
              <w:bottom w:val="single" w:sz="4" w:space="0" w:color="000000"/>
              <w:right w:val="single" w:sz="4" w:space="0" w:color="000000"/>
            </w:tcBorders>
          </w:tcPr>
          <w:p>
            <w:pPr/>
          </w:p>
        </w:tc>
        <w:tc>
          <w:tcPr>
            <w:tcW w:w="1474" w:type="dxa"/>
            <w:gridSpan w:val="2"/>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19" w:right="415"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5" w:right="353"/>
              <w:jc w:val="left"/>
              <w:rPr>
                <w:rFonts w:ascii="宋体" w:hAnsi="宋体" w:cs="宋体" w:eastAsia="宋体" w:hint="default"/>
                <w:sz w:val="18"/>
                <w:szCs w:val="18"/>
              </w:rPr>
            </w:pPr>
            <w:r>
              <w:rPr>
                <w:rFonts w:ascii="宋体" w:hAnsi="宋体" w:cs="宋体" w:eastAsia="宋体" w:hint="default"/>
                <w:sz w:val="18"/>
                <w:szCs w:val="18"/>
              </w:rPr>
              <w:t>金融资产 减值影响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490" w:type="dxa"/>
            <w:vMerge/>
            <w:tcBorders>
              <w:left w:val="single" w:sz="4" w:space="0" w:color="000000"/>
              <w:bottom w:val="single" w:sz="4" w:space="0" w:color="000000"/>
              <w:right w:val="nil" w:sz="6" w:space="0" w:color="auto"/>
            </w:tcBorders>
          </w:tcPr>
          <w:p>
            <w:pP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74" w:type="dxa"/>
            <w:gridSpan w:val="2"/>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1" w:right="0"/>
              <w:jc w:val="left"/>
              <w:rPr>
                <w:rFonts w:ascii="Times New Roman" w:hAnsi="Times New Roman" w:cs="Times New Roman" w:eastAsia="Times New Roman" w:hint="default"/>
                <w:sz w:val="18"/>
                <w:szCs w:val="18"/>
              </w:rPr>
            </w:pPr>
            <w:r>
              <w:rPr>
                <w:rFonts w:ascii="Times New Roman"/>
                <w:sz w:val="18"/>
              </w:rPr>
              <w:t>1,800,000.00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34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5" w:right="0"/>
              <w:jc w:val="left"/>
              <w:rPr>
                <w:rFonts w:ascii="Times New Roman" w:hAnsi="Times New Roman" w:cs="Times New Roman" w:eastAsia="Times New Roman" w:hint="default"/>
                <w:sz w:val="18"/>
                <w:szCs w:val="18"/>
              </w:rPr>
            </w:pPr>
            <w:r>
              <w:rPr>
                <w:rFonts w:ascii="Times New Roman"/>
                <w:sz w:val="18"/>
              </w:rPr>
              <w:t>2,597,515.04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797,515.04</w:t>
            </w: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5" w:right="0"/>
              <w:jc w:val="left"/>
              <w:rPr>
                <w:rFonts w:ascii="Times New Roman" w:hAnsi="Times New Roman" w:cs="Times New Roman" w:eastAsia="Times New Roman" w:hint="default"/>
                <w:sz w:val="18"/>
                <w:szCs w:val="18"/>
              </w:rPr>
            </w:pPr>
            <w:r>
              <w:rPr>
                <w:rFonts w:ascii="Times New Roman"/>
                <w:sz w:val="18"/>
              </w:rPr>
              <w:t>8,349,420.52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(8,349,420.52)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(8,349,420.52)</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应收款项融资（注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8,349,420.52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12" w:right="0"/>
              <w:jc w:val="left"/>
              <w:rPr>
                <w:rFonts w:ascii="Times New Roman" w:hAnsi="Times New Roman" w:cs="Times New Roman" w:eastAsia="Times New Roman" w:hint="default"/>
                <w:sz w:val="21"/>
                <w:szCs w:val="21"/>
              </w:rPr>
            </w:pPr>
            <w:r>
              <w:rPr>
                <w:rFonts w:ascii="Times New Roman"/>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8,349,420.52</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50" w:right="0"/>
              <w:jc w:val="left"/>
              <w:rPr>
                <w:rFonts w:ascii="Times New Roman" w:hAnsi="Times New Roman" w:cs="Times New Roman" w:eastAsia="Times New Roman" w:hint="default"/>
                <w:sz w:val="18"/>
                <w:szCs w:val="18"/>
              </w:rPr>
            </w:pPr>
            <w:r>
              <w:rPr>
                <w:rFonts w:ascii="Times New Roman"/>
                <w:sz w:val="18"/>
              </w:rPr>
              <w:t>300,000.00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17" w:right="0"/>
              <w:jc w:val="left"/>
              <w:rPr>
                <w:rFonts w:ascii="Times New Roman" w:hAnsi="Times New Roman" w:cs="Times New Roman" w:eastAsia="Times New Roman" w:hint="default"/>
                <w:sz w:val="20"/>
                <w:szCs w:val="20"/>
              </w:rPr>
            </w:pPr>
            <w:r>
              <w:rPr>
                <w:rFonts w:ascii="Times New Roman"/>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其他权益工具投资</w:t>
            </w:r>
            <w:r>
              <w:rPr>
                <w:rFonts w:ascii="宋体" w:hAnsi="宋体" w:cs="宋体" w:eastAsia="宋体" w:hint="default"/>
                <w:spacing w:val="-32"/>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p>
        </w:tc>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7" w:right="0"/>
              <w:jc w:val="left"/>
              <w:rPr>
                <w:rFonts w:ascii="Times New Roman" w:hAnsi="Times New Roman" w:cs="Times New Roman" w:eastAsia="Times New Roman" w:hint="default"/>
                <w:sz w:val="20"/>
                <w:szCs w:val="20"/>
              </w:rPr>
            </w:pPr>
            <w:r>
              <w:rPr>
                <w:rFonts w:ascii="Times New Roman"/>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300,000.00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4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7" w:right="0"/>
              <w:jc w:val="left"/>
              <w:rPr>
                <w:rFonts w:ascii="Times New Roman" w:hAnsi="Times New Roman" w:cs="Times New Roman" w:eastAsia="Times New Roman" w:hint="default"/>
                <w:sz w:val="18"/>
                <w:szCs w:val="18"/>
              </w:rPr>
            </w:pPr>
            <w:r>
              <w:rPr>
                <w:rFonts w:ascii="Times New Roman"/>
                <w:sz w:val="18"/>
              </w:rPr>
              <w:t>38,658,743.56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(34,360,687.96)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17" w:right="0"/>
              <w:jc w:val="left"/>
              <w:rPr>
                <w:rFonts w:ascii="Times New Roman" w:hAnsi="Times New Roman" w:cs="Times New Roman" w:eastAsia="Times New Roman" w:hint="default"/>
                <w:sz w:val="20"/>
                <w:szCs w:val="20"/>
              </w:rPr>
            </w:pPr>
            <w:r>
              <w:rPr>
                <w:rFonts w:ascii="Times New Roman"/>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(34,360,687.96)</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4,298,055.60</w:t>
            </w:r>
          </w:p>
        </w:tc>
      </w:tr>
      <w:tr>
        <w:trPr>
          <w:trHeight w:val="655"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34,360,687.96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12" w:right="0"/>
              <w:jc w:val="left"/>
              <w:rPr>
                <w:rFonts w:ascii="Times New Roman" w:hAnsi="Times New Roman" w:cs="Times New Roman" w:eastAsia="Times New Roman" w:hint="default"/>
                <w:sz w:val="21"/>
                <w:szCs w:val="21"/>
              </w:rPr>
            </w:pPr>
            <w:r>
              <w:rPr>
                <w:rFonts w:ascii="Times New Roman"/>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34,360,687.96</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34,360,687.96</w:t>
            </w:r>
          </w:p>
        </w:tc>
      </w:tr>
    </w:tbl>
    <w:p>
      <w:pPr>
        <w:spacing w:line="240" w:lineRule="auto" w:before="6"/>
        <w:rPr>
          <w:rFonts w:ascii="宋体" w:hAnsi="宋体" w:cs="宋体" w:eastAsia="宋体" w:hint="default"/>
          <w:sz w:val="5"/>
          <w:szCs w:val="5"/>
        </w:rPr>
      </w:pPr>
    </w:p>
    <w:p>
      <w:pPr>
        <w:pStyle w:val="BodyText"/>
        <w:spacing w:line="264" w:lineRule="auto" w:before="36"/>
        <w:ind w:right="1126" w:firstLine="420"/>
        <w:jc w:val="both"/>
      </w:pPr>
      <w:r>
        <w:rPr>
          <w:spacing w:val="-1"/>
        </w:rPr>
        <w:t>注</w:t>
      </w:r>
      <w:r>
        <w:rPr>
          <w:rFonts w:ascii="Times New Roman" w:hAnsi="Times New Roman" w:cs="Times New Roman" w:eastAsia="Times New Roman" w:hint="default"/>
          <w:spacing w:val="-1"/>
        </w:rPr>
        <w:t>1</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日，本公司投资持有账面价值</w:t>
      </w:r>
      <w:r>
        <w:rPr>
          <w:rFonts w:ascii="Times New Roman" w:hAnsi="Times New Roman" w:cs="Times New Roman" w:eastAsia="Times New Roman" w:hint="default"/>
          <w:spacing w:val="-1"/>
        </w:rPr>
        <w:t>1,800,000.00</w:t>
      </w:r>
      <w:r>
        <w:rPr>
          <w:spacing w:val="-1"/>
        </w:rPr>
        <w:t>元的理财产品，为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日购买</w:t>
      </w:r>
      <w:r>
        <w:rPr>
          <w:w w:val="100"/>
        </w:rPr>
        <w:t> </w:t>
      </w:r>
      <w:r>
        <w:rPr>
          <w:spacing w:val="-1"/>
        </w:rPr>
        <w:t>建设银行乾元</w:t>
      </w:r>
      <w:r>
        <w:rPr>
          <w:rFonts w:ascii="Times New Roman" w:hAnsi="Times New Roman" w:cs="Times New Roman" w:eastAsia="Times New Roman" w:hint="default"/>
          <w:spacing w:val="-1"/>
        </w:rPr>
        <w:t>-</w:t>
      </w:r>
      <w:r>
        <w:rPr>
          <w:spacing w:val="-1"/>
        </w:rPr>
        <w:t>私享（对公专享）</w:t>
      </w:r>
      <w:r>
        <w:rPr>
          <w:rFonts w:ascii="Times New Roman" w:hAnsi="Times New Roman" w:cs="Times New Roman" w:eastAsia="Times New Roman" w:hint="default"/>
          <w:spacing w:val="-1"/>
        </w:rPr>
        <w:t>2018</w:t>
      </w:r>
      <w:r>
        <w:rPr>
          <w:spacing w:val="-1"/>
        </w:rPr>
        <w:t>年第</w:t>
      </w:r>
      <w:r>
        <w:rPr>
          <w:rFonts w:ascii="Times New Roman" w:hAnsi="Times New Roman" w:cs="Times New Roman" w:eastAsia="Times New Roman" w:hint="default"/>
          <w:spacing w:val="-1"/>
        </w:rPr>
        <w:t>70</w:t>
      </w:r>
      <w:r>
        <w:rPr>
          <w:spacing w:val="-1"/>
        </w:rPr>
        <w:t>期理财产品，期限</w:t>
      </w:r>
      <w:r>
        <w:rPr>
          <w:rFonts w:ascii="Times New Roman" w:hAnsi="Times New Roman" w:cs="Times New Roman" w:eastAsia="Times New Roman" w:hint="default"/>
          <w:spacing w:val="-1"/>
        </w:rPr>
        <w:t>100</w:t>
      </w:r>
      <w:r>
        <w:rPr>
          <w:spacing w:val="-1"/>
        </w:rPr>
        <w:t>天，</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7</w:t>
      </w:r>
      <w:r>
        <w:rPr>
          <w:spacing w:val="-1"/>
        </w:rPr>
        <w:t>日到期赎回，上年度被</w:t>
      </w:r>
      <w:r>
        <w:rPr>
          <w:spacing w:val="-47"/>
        </w:rPr>
        <w:t> </w:t>
      </w:r>
      <w:r>
        <w:rPr>
          <w:spacing w:val="-47"/>
        </w:rPr>
      </w:r>
      <w:r>
        <w:rPr>
          <w:spacing w:val="-2"/>
        </w:rPr>
        <w:t>分类为其他流动资产。该金融资产属于非保本浮动收益型，以收取合同现金流量为目的，其合同现金流量</w:t>
      </w:r>
      <w:r>
        <w:rPr>
          <w:spacing w:val="-43"/>
        </w:rPr>
        <w:t> </w:t>
      </w:r>
      <w:r>
        <w:rPr>
          <w:spacing w:val="-43"/>
        </w:rPr>
      </w:r>
      <w:r>
        <w:rPr>
          <w:spacing w:val="-2"/>
        </w:rPr>
        <w:t>代表的不仅仅为对本金和以未偿本金为基础的利息的支付，因此将该理财产品重分类为以公允价值计量且</w:t>
      </w:r>
      <w:r>
        <w:rPr>
          <w:spacing w:val="-43"/>
        </w:rPr>
        <w:t> </w:t>
      </w:r>
      <w:r>
        <w:rPr>
          <w:spacing w:val="-43"/>
        </w:rPr>
      </w:r>
      <w:r>
        <w:rPr/>
        <w:t>其变动计入当期损益的金融资产，列报为交易性金融资产。</w:t>
      </w:r>
    </w:p>
    <w:p>
      <w:pPr>
        <w:pStyle w:val="BodyText"/>
        <w:spacing w:line="264" w:lineRule="auto" w:before="136"/>
        <w:ind w:right="1126" w:firstLine="420"/>
        <w:jc w:val="both"/>
      </w:pPr>
      <w:r>
        <w:rPr/>
        <w:t>注</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日，本公司在管理应收票据时，经常性地将全部或绝大部分未到期的票据进行贴</w:t>
      </w:r>
      <w:r>
        <w:rPr>
          <w:w w:val="100"/>
        </w:rPr>
        <w:t> </w:t>
      </w:r>
      <w:r>
        <w:rPr>
          <w:spacing w:val="-2"/>
        </w:rPr>
        <w:t>现或背书，管理应收票据的业务模式既以收取合同现金流量为目标又以出售为目标，分类为以公允价值计</w:t>
      </w:r>
      <w:r>
        <w:rPr>
          <w:spacing w:val="-43"/>
        </w:rPr>
        <w:t> </w:t>
      </w:r>
      <w:r>
        <w:rPr>
          <w:spacing w:val="-43"/>
        </w:rPr>
      </w:r>
      <w:r>
        <w:rPr/>
        <w:t>量且其变动计入其他综合收益的金融资产，列报为应收款项融资项目。</w:t>
      </w:r>
    </w:p>
    <w:p>
      <w:pPr>
        <w:pStyle w:val="BodyText"/>
        <w:spacing w:line="256" w:lineRule="auto" w:before="136"/>
        <w:ind w:right="1128" w:firstLine="420"/>
        <w:jc w:val="both"/>
      </w:pPr>
      <w:r>
        <w:rPr>
          <w:spacing w:val="-4"/>
        </w:rPr>
        <w:t>注</w:t>
      </w:r>
      <w:r>
        <w:rPr>
          <w:rFonts w:ascii="Times New Roman" w:hAnsi="Times New Roman" w:cs="Times New Roman" w:eastAsia="Times New Roman" w:hint="default"/>
          <w:spacing w:val="-4"/>
        </w:rPr>
        <w:t>3</w:t>
      </w: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日，本公司对玩偶一号（武汉）科技有限公司（简称</w:t>
      </w:r>
      <w:r>
        <w:rPr>
          <w:rFonts w:ascii="Times New Roman" w:hAnsi="Times New Roman" w:cs="Times New Roman" w:eastAsia="Times New Roman" w:hint="default"/>
          <w:spacing w:val="-4"/>
        </w:rPr>
        <w:t>“</w:t>
      </w:r>
      <w:r>
        <w:rPr>
          <w:spacing w:val="-4"/>
        </w:rPr>
        <w:t>玩偶一号</w:t>
      </w:r>
      <w:r>
        <w:rPr>
          <w:rFonts w:ascii="Times New Roman" w:hAnsi="Times New Roman" w:cs="Times New Roman" w:eastAsia="Times New Roman" w:hint="default"/>
          <w:spacing w:val="-4"/>
        </w:rPr>
        <w:t>”</w:t>
      </w:r>
      <w:r>
        <w:rPr>
          <w:spacing w:val="-4"/>
        </w:rPr>
        <w:t>）的股权投资，不</w:t>
      </w:r>
      <w:r>
        <w:rPr>
          <w:w w:val="100"/>
        </w:rPr>
        <w:t> </w:t>
      </w:r>
      <w:r>
        <w:rPr/>
        <w:t>符合</w:t>
      </w:r>
      <w:r>
        <w:rPr>
          <w:rFonts w:ascii="Times New Roman" w:hAnsi="Times New Roman" w:cs="Times New Roman" w:eastAsia="Times New Roman" w:hint="default"/>
        </w:rPr>
        <w:t>“</w:t>
      </w:r>
      <w:r>
        <w:rPr/>
        <w:t>本金</w:t>
      </w:r>
      <w:r>
        <w:rPr>
          <w:rFonts w:ascii="Times New Roman" w:hAnsi="Times New Roman" w:cs="Times New Roman" w:eastAsia="Times New Roman" w:hint="default"/>
        </w:rPr>
        <w:t>+</w:t>
      </w:r>
      <w:r>
        <w:rPr/>
        <w:t>利息</w:t>
      </w:r>
      <w:r>
        <w:rPr>
          <w:rFonts w:ascii="Times New Roman" w:hAnsi="Times New Roman" w:cs="Times New Roman" w:eastAsia="Times New Roman" w:hint="default"/>
        </w:rPr>
        <w:t>”</w:t>
      </w:r>
      <w:r>
        <w:rPr/>
        <w:t>模式收取现金合同现金流量的客观迹象；持股目的为增进业务上的长期战略性合作，非</w:t>
      </w:r>
      <w:r>
        <w:rPr>
          <w:spacing w:val="-18"/>
        </w:rPr>
        <w:t> </w:t>
      </w:r>
      <w:r>
        <w:rPr>
          <w:spacing w:val="-18"/>
        </w:rPr>
      </w:r>
      <w:r>
        <w:rPr/>
        <w:t>用于交易股权；该项投资为战略性投资，意图长期持有，因此指定为其他权益工具投资。</w:t>
      </w:r>
    </w:p>
    <w:p>
      <w:pPr>
        <w:pStyle w:val="BodyText"/>
        <w:spacing w:line="256" w:lineRule="auto" w:before="142"/>
        <w:ind w:right="998" w:firstLine="420"/>
        <w:jc w:val="left"/>
      </w:pPr>
      <w:r>
        <w:rPr>
          <w:spacing w:val="-3"/>
        </w:rPr>
        <w:t>注</w:t>
      </w:r>
      <w:r>
        <w:rPr>
          <w:rFonts w:ascii="Times New Roman" w:hAnsi="Times New Roman" w:cs="Times New Roman" w:eastAsia="Times New Roman" w:hint="default"/>
          <w:spacing w:val="-3"/>
        </w:rPr>
        <w:t>4</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日，本公司认为其持有新余云尚投资合伙企业（有限合伙）的投资</w:t>
      </w:r>
      <w:r>
        <w:rPr>
          <w:rFonts w:ascii="Times New Roman" w:hAnsi="Times New Roman" w:cs="Times New Roman" w:eastAsia="Times New Roman" w:hint="default"/>
          <w:spacing w:val="-3"/>
        </w:rPr>
        <w:t>8,041,124.66</w:t>
      </w:r>
      <w:r>
        <w:rPr>
          <w:spacing w:val="-3"/>
        </w:rPr>
        <w:t>元，</w:t>
      </w:r>
      <w:r>
        <w:rPr>
          <w:w w:val="100"/>
        </w:rPr>
        <w:t> </w:t>
      </w:r>
      <w:r>
        <w:rPr/>
        <w:t>股份占比</w:t>
      </w:r>
      <w:r>
        <w:rPr>
          <w:rFonts w:ascii="Times New Roman" w:hAnsi="Times New Roman" w:cs="Times New Roman" w:eastAsia="Times New Roman" w:hint="default"/>
        </w:rPr>
        <w:t>43.05%</w:t>
      </w:r>
      <w:r>
        <w:rPr/>
        <w:t>，和持有武汉高投金运激光产业投资基金合伙企业（有限合伙）的投资</w:t>
      </w:r>
      <w:r>
        <w:rPr>
          <w:rFonts w:ascii="Times New Roman" w:hAnsi="Times New Roman" w:cs="Times New Roman" w:eastAsia="Times New Roman" w:hint="default"/>
        </w:rPr>
        <w:t>26,319,563.30</w:t>
      </w:r>
      <w:r>
        <w:rPr/>
        <w:t>元，</w:t>
      </w:r>
      <w:r>
        <w:rPr>
          <w:spacing w:val="-98"/>
        </w:rPr>
        <w:t> </w:t>
      </w:r>
      <w:r>
        <w:rPr/>
        <w:t>股份占比</w:t>
      </w:r>
      <w:r>
        <w:rPr>
          <w:rFonts w:ascii="Times New Roman" w:hAnsi="Times New Roman" w:cs="Times New Roman" w:eastAsia="Times New Roman" w:hint="default"/>
        </w:rPr>
        <w:t>52.20%</w:t>
      </w:r>
      <w:r>
        <w:rPr/>
        <w:t>，由于在发行方角度均不符合</w:t>
      </w:r>
      <w:r>
        <w:rPr>
          <w:rFonts w:ascii="Times New Roman" w:hAnsi="Times New Roman" w:cs="Times New Roman" w:eastAsia="Times New Roman" w:hint="default"/>
        </w:rPr>
        <w:t>CAS37 </w:t>
      </w:r>
      <w:r>
        <w:rPr/>
        <w:t>关于权益工具的定义，即使本公司持有这些投资的</w:t>
      </w:r>
      <w:r>
        <w:rPr>
          <w:spacing w:val="-86"/>
        </w:rPr>
        <w:t> </w:t>
      </w:r>
      <w:r>
        <w:rPr>
          <w:spacing w:val="-86"/>
        </w:rPr>
      </w:r>
      <w:r>
        <w:rPr/>
        <w:t>目的不是交易性的，也不能将其指定</w:t>
      </w:r>
      <w:r>
        <w:rPr>
          <w:rFonts w:ascii="Times New Roman" w:hAnsi="Times New Roman" w:cs="Times New Roman" w:eastAsia="Times New Roman" w:hint="default"/>
        </w:rPr>
        <w:t>FVOCI</w:t>
      </w:r>
      <w:r>
        <w:rPr/>
        <w:t>，只能为分为</w:t>
      </w:r>
      <w:r>
        <w:rPr>
          <w:spacing w:val="-7"/>
        </w:rPr>
        <w:t> </w:t>
      </w:r>
      <w:r>
        <w:rPr>
          <w:rFonts w:ascii="Times New Roman" w:hAnsi="Times New Roman" w:cs="Times New Roman" w:eastAsia="Times New Roman" w:hint="default"/>
        </w:rPr>
        <w:t>FVTPL</w:t>
      </w:r>
      <w:r>
        <w:rPr/>
        <w:t>，列报为其他非流动金融资产。</w:t>
      </w:r>
    </w:p>
    <w:p>
      <w:pPr>
        <w:spacing w:line="240" w:lineRule="auto" w:before="4"/>
        <w:rPr>
          <w:rFonts w:ascii="宋体" w:hAnsi="宋体" w:cs="宋体" w:eastAsia="宋体" w:hint="default"/>
          <w:sz w:val="23"/>
          <w:szCs w:val="23"/>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998"/>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89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w:t>
      </w:r>
      <w:r>
        <w:rPr>
          <w:w w:val="100"/>
        </w:rPr>
        <w:t> </w:t>
      </w:r>
      <w:r>
        <w:rPr/>
        <w:t>合并资产负债表</w:t>
      </w:r>
    </w:p>
    <w:p>
      <w:pPr>
        <w:spacing w:after="0" w:line="29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181"/>
        <w:gridCol w:w="2464"/>
        <w:gridCol w:w="2456"/>
        <w:gridCol w:w="2441"/>
      </w:tblGrid>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80,019,990.36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80,019,990.36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1025"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8,349,420.52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23,479,957.90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23,479,957.90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8,349,420.52</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4,484,150.76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4,484,150.76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6,621,077.51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6,621,077.51</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86,219,676.70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86,219,676.70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2,597,515.04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797,515.04</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211,771,788.79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211,771,788.79</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181"/>
        <w:gridCol w:w="2464"/>
        <w:gridCol w:w="2456"/>
        <w:gridCol w:w="2441"/>
      </w:tblGrid>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187,272.00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187,272.00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34,360,687.96</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34,360,687.96</w:t>
            </w: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77,725,415.19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77,725,415.19</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202,977.68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202,977.68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11,379,297.38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11,379,297.38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441,168.78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441,168.78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676,940.37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676,940.37</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13,963,347.02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13,963,347.02</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38,658,743.56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4,298,055.60</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-34,360,687.96</w:t>
            </w: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143,535,161.98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143,535,161.98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355,306,950.77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355,306,950.77</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1028"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4"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15,633,491.12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15,633,491.12</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26,753,562.53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26,753,562.53</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24,267,788.33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24,267,788.33</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pacing w:val="-1"/>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181"/>
        <w:gridCol w:w="2464"/>
        <w:gridCol w:w="2456"/>
        <w:gridCol w:w="2441"/>
      </w:tblGrid>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6,488,525.96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6,488,525.96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1,699,437.54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1,699,437.54</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4,776,981.48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4,776,981.48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24,650.00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96,619,786.96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96,619,786.96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1,050,828.01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1,050,828.01</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1,050,828.01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1,050,828.01</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97,670,614.97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97,670,614.97</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85,222,850.09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85,222,850.09</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265,291.36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265,291.36</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11,598,381.40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11,598,381.40</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27,518,919.06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27,518,919.06</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8"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250,605,441.91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250,605,441.91</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7,030,893.89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7,030,893.89</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257,636,335.80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257,636,335.80</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355,306,950.77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355,306,950.77</w:t>
            </w:r>
          </w:p>
        </w:tc>
        <w:tc>
          <w:tcPr>
            <w:tcW w:w="2453" w:type="dxa"/>
            <w:tcBorders>
              <w:top w:val="single" w:sz="4" w:space="0" w:color="000000"/>
              <w:left w:val="single" w:sz="4" w:space="0" w:color="000000"/>
              <w:bottom w:val="single" w:sz="4" w:space="0" w:color="000000"/>
              <w:right w:val="nil" w:sz="6" w:space="0" w:color="auto"/>
            </w:tcBorders>
          </w:tcPr>
          <w:p>
            <w:pPr/>
          </w:p>
        </w:tc>
      </w:tr>
    </w:tbl>
    <w:p>
      <w:pPr>
        <w:pStyle w:val="BodyText"/>
        <w:spacing w:line="307" w:lineRule="auto" w:before="28"/>
        <w:ind w:right="2410"/>
        <w:jc w:val="left"/>
      </w:pPr>
      <w:r>
        <w:rPr/>
        <w:t>调整情况说明</w:t>
      </w:r>
      <w:r>
        <w:rPr>
          <w:w w:val="100"/>
        </w:rPr>
        <w:t> </w:t>
      </w:r>
      <w:r>
        <w:rPr>
          <w:spacing w:val="-2"/>
        </w:rPr>
        <w:t>详见本节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）重要会计政策变更</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执行新金融工具准则对本公司的影响</w:t>
      </w:r>
      <w:r>
        <w:rPr>
          <w:rFonts w:ascii="Times New Roman" w:hAnsi="Times New Roman" w:cs="Times New Roman" w:eastAsia="Times New Roman" w:hint="default"/>
          <w:spacing w:val="-2"/>
        </w:rPr>
        <w:t>”</w:t>
      </w:r>
      <w:r>
        <w:rPr>
          <w:spacing w:val="-2"/>
        </w:rPr>
        <w:t>。</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36"/>
        <w:ind w:right="-1"/>
        <w:jc w:val="left"/>
      </w:pPr>
      <w:r>
        <w:rPr>
          <w:spacing w:val="-2"/>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36" w:space="7084"/>
            <w:col w:w="2010"/>
          </w:cols>
        </w:sectPr>
      </w:pP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181"/>
        <w:gridCol w:w="2464"/>
        <w:gridCol w:w="2456"/>
        <w:gridCol w:w="2441"/>
      </w:tblGrid>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73,837,565.86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73,837,565.86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42,325,622.24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42,325,622.24</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8,928,985.92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8,928,985.92</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28,790,663.38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28,790,663.38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42,446,655.90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42,446,655.90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42,727.50</w:t>
            </w:r>
          </w:p>
        </w:tc>
        <w:tc>
          <w:tcPr>
            <w:tcW w:w="2441"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181"/>
        <w:gridCol w:w="2464"/>
        <w:gridCol w:w="2456"/>
        <w:gridCol w:w="2441"/>
      </w:tblGrid>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196,414,220.80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196,414,220.80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23,741,043.32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23,741,043.32</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32,575,034.26</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32,575,034.26</w:t>
            </w: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72,046,357.78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72,046,357.78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6,249,155.54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6,249,155.54</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604,571.23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604,571.23</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9,447,557.13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9,447,557.13</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36,873,089.86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4,298,055.60</w:t>
            </w:r>
          </w:p>
        </w:tc>
        <w:tc>
          <w:tcPr>
            <w:tcW w:w="2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-32,575,034.26</w:t>
            </w: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148,961,774.86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148,961,774.86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345,375,995.66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345,375,995.66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4"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17,648,306.12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17,648,306.12</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11,295,467.07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11,295,467.07</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15,893,315.22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15,893,315.22</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181"/>
        <w:gridCol w:w="2464"/>
        <w:gridCol w:w="2456"/>
        <w:gridCol w:w="2441"/>
      </w:tblGrid>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2,819,180.74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2,819,180.74</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846,965.05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846,965.05</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963,054.68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963,054.68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24,650.00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66,466,288.88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66,466,288.88</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09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1,050,828.01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1,050,828.01</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1,050,828.01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1,050,828.01</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67,517,116.89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67,517,116.89</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1"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126,000,000.00</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09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83,631,541.26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83,631,541.26</w:t>
            </w: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11,598,381.40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11,598,381.40</w:t>
            </w:r>
          </w:p>
        </w:tc>
        <w:tc>
          <w:tcPr>
            <w:tcW w:w="244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56,628,956.11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56,628,956.11</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277,858,878.77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277,858,878.77</w:t>
            </w:r>
          </w:p>
        </w:tc>
        <w:tc>
          <w:tcPr>
            <w:tcW w:w="24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20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345,375,995.66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345,375,995.66</w:t>
            </w:r>
          </w:p>
        </w:tc>
        <w:tc>
          <w:tcPr>
            <w:tcW w:w="2453" w:type="dxa"/>
            <w:tcBorders>
              <w:top w:val="single" w:sz="4" w:space="0" w:color="000000"/>
              <w:left w:val="single" w:sz="4" w:space="0" w:color="000000"/>
              <w:bottom w:val="single" w:sz="4" w:space="0" w:color="000000"/>
              <w:right w:val="nil" w:sz="6" w:space="0" w:color="auto"/>
            </w:tcBorders>
          </w:tcPr>
          <w:p>
            <w:pPr/>
          </w:p>
        </w:tc>
      </w:tr>
    </w:tbl>
    <w:p>
      <w:pPr>
        <w:pStyle w:val="BodyText"/>
        <w:spacing w:line="307" w:lineRule="auto" w:before="28"/>
        <w:ind w:right="2410"/>
        <w:jc w:val="left"/>
      </w:pPr>
      <w:r>
        <w:rPr/>
        <w:t>调整情况说明</w:t>
      </w:r>
      <w:r>
        <w:rPr>
          <w:w w:val="100"/>
        </w:rPr>
        <w:t> </w:t>
      </w:r>
      <w:r>
        <w:rPr>
          <w:spacing w:val="-2"/>
        </w:rPr>
        <w:t>详见本节</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）重要会计政策变更</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执行新金融工具准则对本公司的影响</w:t>
      </w:r>
      <w:r>
        <w:rPr>
          <w:rFonts w:ascii="Times New Roman" w:hAnsi="Times New Roman" w:cs="Times New Roman" w:eastAsia="Times New Roman" w:hint="default"/>
          <w:spacing w:val="-2"/>
        </w:rPr>
        <w:t>”</w:t>
      </w:r>
      <w:r>
        <w:rPr>
          <w:spacing w:val="-2"/>
        </w:rPr>
        <w:t>。</w:t>
      </w:r>
    </w:p>
    <w:p>
      <w:pPr>
        <w:spacing w:line="240" w:lineRule="auto" w:before="8"/>
        <w:rPr>
          <w:rFonts w:ascii="宋体" w:hAnsi="宋体" w:cs="宋体" w:eastAsia="宋体" w:hint="default"/>
          <w:sz w:val="19"/>
          <w:szCs w:val="19"/>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32</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6" w:firstLine="420"/>
        <w:jc w:val="left"/>
      </w:pPr>
      <w:r>
        <w:rPr>
          <w:spacing w:val="-2"/>
        </w:rPr>
        <w:t>本公司将满足下列条件之一的，且该组成部分已经处置或划归为持有待售类别的、能够单独区分的组</w:t>
      </w:r>
      <w:r>
        <w:rPr>
          <w:w w:val="100"/>
        </w:rPr>
        <w:t> </w:t>
      </w:r>
      <w:r>
        <w:rPr/>
        <w:t>成部分确认为终止经营组成部分：</w:t>
      </w:r>
    </w:p>
    <w:p>
      <w:pPr>
        <w:pStyle w:val="BodyText"/>
        <w:spacing w:line="240" w:lineRule="auto" w:before="7"/>
        <w:ind w:left="573" w:right="1116"/>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56" w:lineRule="auto" w:before="21"/>
        <w:ind w:right="1116" w:firstLine="420"/>
        <w:jc w:val="left"/>
      </w:pPr>
      <w:r>
        <w:rPr>
          <w:spacing w:val="-2"/>
        </w:rPr>
        <w:t>（</w:t>
      </w:r>
      <w:r>
        <w:rPr>
          <w:rFonts w:ascii="Times New Roman" w:hAnsi="Times New Roman" w:cs="Times New Roman" w:eastAsia="Times New Roman" w:hint="default"/>
          <w:spacing w:val="-2"/>
        </w:rPr>
        <w:t>2</w:t>
      </w:r>
      <w:r>
        <w:rPr>
          <w:spacing w:val="-2"/>
        </w:rPr>
        <w:t>）该组成部分是拟对一项独立的主要业务或一个单独的主要经营地区进行处置的一项相关联计划</w:t>
      </w:r>
      <w:r>
        <w:rPr>
          <w:w w:val="100"/>
        </w:rPr>
        <w:t> </w:t>
      </w:r>
      <w:r>
        <w:rPr/>
        <w:t>的一部分。</w:t>
      </w:r>
    </w:p>
    <w:p>
      <w:pPr>
        <w:pStyle w:val="BodyText"/>
        <w:spacing w:line="256" w:lineRule="auto" w:before="22"/>
        <w:ind w:left="573" w:right="1116"/>
        <w:jc w:val="left"/>
      </w:pPr>
      <w:r>
        <w:rPr/>
        <w:t>（</w:t>
      </w:r>
      <w:r>
        <w:rPr>
          <w:rFonts w:ascii="Times New Roman" w:hAnsi="Times New Roman" w:cs="Times New Roman" w:eastAsia="Times New Roman" w:hint="default"/>
        </w:rPr>
        <w:t>3</w:t>
      </w:r>
      <w:r>
        <w:rPr/>
        <w:t>）该组成部分是专为转售而取得的子公司。</w:t>
      </w:r>
      <w:r>
        <w:rPr>
          <w:w w:val="100"/>
        </w:rPr>
        <w:t> </w:t>
      </w:r>
      <w:r>
        <w:rPr>
          <w:spacing w:val="-2"/>
        </w:rPr>
        <w:t>终止经营的减值损失和转回金额等经营损益及处置损益作为终止经营损益在利润表中列示。</w:t>
      </w:r>
    </w:p>
    <w:p>
      <w:pPr>
        <w:spacing w:line="240" w:lineRule="auto" w:before="10"/>
        <w:rPr>
          <w:rFonts w:ascii="宋体" w:hAnsi="宋体" w:cs="宋体" w:eastAsia="宋体" w:hint="default"/>
          <w:sz w:val="22"/>
          <w:szCs w:val="22"/>
        </w:rPr>
      </w:pPr>
    </w:p>
    <w:p>
      <w:pPr>
        <w:pStyle w:val="Heading2"/>
        <w:spacing w:line="240" w:lineRule="auto"/>
        <w:ind w:right="1116"/>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1688"/>
        <w:gridCol w:w="4679"/>
        <w:gridCol w:w="3178"/>
      </w:tblGrid>
      <w:tr>
        <w:trPr>
          <w:trHeight w:val="403"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税种</w:t>
            </w:r>
          </w:p>
        </w:tc>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33" w:hRule="exact"/>
        </w:trPr>
        <w:tc>
          <w:tcPr>
            <w:tcW w:w="1688" w:type="dxa"/>
            <w:tcBorders>
              <w:top w:val="single" w:sz="4" w:space="0" w:color="000000"/>
              <w:left w:val="nil" w:sz="6" w:space="0" w:color="auto"/>
              <w:bottom w:val="nil" w:sz="6" w:space="0" w:color="auto"/>
              <w:right w:val="single" w:sz="4" w:space="0" w:color="000000"/>
            </w:tcBorders>
            <w:shd w:val="clear" w:color="auto" w:fill="D2D2D2"/>
          </w:tcPr>
          <w:p>
            <w:pPr/>
          </w:p>
        </w:tc>
        <w:tc>
          <w:tcPr>
            <w:tcW w:w="4679" w:type="dxa"/>
            <w:vMerge w:val="restart"/>
            <w:tcBorders>
              <w:top w:val="single" w:sz="4" w:space="0" w:color="000000"/>
              <w:left w:val="single" w:sz="9" w:space="0" w:color="D2D2D2"/>
              <w:right w:val="single" w:sz="4" w:space="0" w:color="000000"/>
            </w:tcBorders>
          </w:tcPr>
          <w:p>
            <w:pPr>
              <w:pStyle w:val="TableParagraph"/>
              <w:spacing w:line="338" w:lineRule="auto" w:before="49"/>
              <w:ind w:left="17" w:right="20"/>
              <w:jc w:val="left"/>
              <w:rPr>
                <w:rFonts w:ascii="宋体" w:hAnsi="宋体" w:cs="宋体" w:eastAsia="宋体" w:hint="default"/>
                <w:sz w:val="18"/>
                <w:szCs w:val="18"/>
              </w:rPr>
            </w:pPr>
            <w:r>
              <w:rPr>
                <w:rFonts w:ascii="宋体" w:hAnsi="宋体" w:cs="宋体" w:eastAsia="宋体" w:hint="default"/>
                <w:spacing w:val="-3"/>
                <w:sz w:val="18"/>
                <w:szCs w:val="18"/>
              </w:rPr>
              <w:t>境内销售；提供加工、修理修配劳务；以及进口等货物；提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供有形动产租赁服务； 提供不动产租赁服务，销售不动产，转让土地使用权；</w:t>
            </w:r>
          </w:p>
          <w:p>
            <w:pPr>
              <w:pStyle w:val="TableParagraph"/>
              <w:spacing w:line="240" w:lineRule="auto" w:before="84"/>
              <w:ind w:left="17" w:right="0"/>
              <w:jc w:val="left"/>
              <w:rPr>
                <w:rFonts w:ascii="宋体" w:hAnsi="宋体" w:cs="宋体" w:eastAsia="宋体" w:hint="default"/>
                <w:sz w:val="18"/>
                <w:szCs w:val="18"/>
              </w:rPr>
            </w:pPr>
            <w:r>
              <w:rPr>
                <w:rFonts w:ascii="宋体" w:hAnsi="宋体" w:cs="宋体" w:eastAsia="宋体" w:hint="default"/>
                <w:sz w:val="18"/>
                <w:szCs w:val="18"/>
              </w:rPr>
              <w:t>其他应税销售服务行为。</w:t>
            </w:r>
          </w:p>
        </w:tc>
        <w:tc>
          <w:tcPr>
            <w:tcW w:w="317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168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679" w:type="dxa"/>
            <w:vMerge/>
            <w:tcBorders>
              <w:left w:val="single" w:sz="9" w:space="0" w:color="D2D2D2"/>
              <w:right w:val="single" w:sz="4" w:space="0" w:color="000000"/>
            </w:tcBorders>
          </w:tcPr>
          <w:p>
            <w:pPr/>
          </w:p>
        </w:tc>
        <w:tc>
          <w:tcPr>
            <w:tcW w:w="3178" w:type="dxa"/>
            <w:vMerge/>
            <w:tcBorders>
              <w:left w:val="single" w:sz="4" w:space="0" w:color="000000"/>
              <w:right w:val="nil" w:sz="6" w:space="0" w:color="auto"/>
            </w:tcBorders>
          </w:tcPr>
          <w:p>
            <w:pPr/>
          </w:p>
        </w:tc>
      </w:tr>
      <w:tr>
        <w:trPr>
          <w:trHeight w:val="533" w:hRule="exact"/>
        </w:trPr>
        <w:tc>
          <w:tcPr>
            <w:tcW w:w="1688" w:type="dxa"/>
            <w:tcBorders>
              <w:top w:val="nil" w:sz="6" w:space="0" w:color="auto"/>
              <w:left w:val="nil" w:sz="6" w:space="0" w:color="auto"/>
              <w:bottom w:val="single" w:sz="4" w:space="0" w:color="000000"/>
              <w:right w:val="single" w:sz="4" w:space="0" w:color="000000"/>
            </w:tcBorders>
            <w:shd w:val="clear" w:color="auto" w:fill="D2D2D2"/>
          </w:tcPr>
          <w:p>
            <w:pPr/>
          </w:p>
        </w:tc>
        <w:tc>
          <w:tcPr>
            <w:tcW w:w="4679" w:type="dxa"/>
            <w:vMerge/>
            <w:tcBorders>
              <w:left w:val="single" w:sz="9" w:space="0" w:color="D2D2D2"/>
              <w:bottom w:val="single" w:sz="4" w:space="0" w:color="000000"/>
              <w:right w:val="single" w:sz="4" w:space="0" w:color="000000"/>
            </w:tcBorders>
          </w:tcPr>
          <w:p>
            <w:pPr/>
          </w:p>
        </w:tc>
        <w:tc>
          <w:tcPr>
            <w:tcW w:w="3178" w:type="dxa"/>
            <w:vMerge/>
            <w:tcBorders>
              <w:left w:val="single" w:sz="4" w:space="0" w:color="000000"/>
              <w:bottom w:val="single" w:sz="4" w:space="0" w:color="000000"/>
              <w:right w:val="nil" w:sz="6" w:space="0" w:color="auto"/>
            </w:tcBorders>
          </w:tcPr>
          <w:p>
            <w:pPr/>
          </w:p>
        </w:tc>
      </w:tr>
      <w:tr>
        <w:trPr>
          <w:trHeight w:val="404"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6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6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4799"/>
        <w:gridCol w:w="4787"/>
      </w:tblGrid>
      <w:tr>
        <w:trPr>
          <w:trHeight w:val="401" w:hRule="exact"/>
        </w:trPr>
        <w:tc>
          <w:tcPr>
            <w:tcW w:w="4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9"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日，本公司取得由湖北省科学技术厅、湖北省财政厅、湖北省国家税务局、湖北省地方</w:t>
      </w:r>
      <w:r>
        <w:rPr>
          <w:w w:val="100"/>
        </w:rPr>
        <w:t> </w:t>
      </w:r>
      <w:r>
        <w:rPr>
          <w:spacing w:val="3"/>
        </w:rPr>
        <w:t>税务局联合颁发的编号为</w:t>
      </w:r>
      <w:r>
        <w:rPr>
          <w:rFonts w:ascii="Times New Roman" w:hAnsi="Times New Roman" w:cs="Times New Roman" w:eastAsia="Times New Roman" w:hint="default"/>
          <w:spacing w:val="3"/>
        </w:rPr>
        <w:t>GR201742001980</w:t>
      </w:r>
      <w:r>
        <w:rPr>
          <w:spacing w:val="3"/>
        </w:rPr>
        <w:t>的高新技术企业证书，</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年享受所得税优惠税率</w:t>
      </w:r>
      <w:r>
        <w:rPr>
          <w:spacing w:val="14"/>
        </w:rPr>
        <w:t> </w:t>
      </w:r>
      <w:r>
        <w:rPr>
          <w:spacing w:val="14"/>
        </w:rPr>
      </w:r>
      <w:r>
        <w:rPr>
          <w:rFonts w:ascii="Times New Roman" w:hAnsi="Times New Roman" w:cs="Times New Roman" w:eastAsia="Times New Roman" w:hint="default"/>
        </w:rPr>
        <w:t>15%</w:t>
      </w:r>
      <w:r>
        <w:rPr/>
        <w:t>。</w:t>
      </w:r>
    </w:p>
    <w:p>
      <w:pPr>
        <w:pStyle w:val="BodyText"/>
        <w:spacing w:line="256" w:lineRule="auto" w:before="5"/>
        <w:ind w:right="1116"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日，武汉唯拓取得由湖北省科学技术厅、湖北省财政厅、国家税务总局湖北省税务局联</w:t>
      </w:r>
      <w:r>
        <w:rPr>
          <w:w w:val="100"/>
        </w:rPr>
        <w:t> </w:t>
      </w:r>
      <w:r>
        <w:rPr/>
        <w:t>合颁发的编号为</w:t>
      </w:r>
      <w:r>
        <w:rPr>
          <w:rFonts w:ascii="Times New Roman" w:hAnsi="Times New Roman" w:cs="Times New Roman" w:eastAsia="Times New Roman" w:hint="default"/>
        </w:rPr>
        <w:t>GR201842001380</w:t>
      </w:r>
      <w:r>
        <w:rPr/>
        <w:t>的高新技术企业证书，</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年享受所得税优惠税率</w:t>
      </w:r>
      <w:r>
        <w:rPr>
          <w:rFonts w:ascii="Times New Roman" w:hAnsi="Times New Roman" w:cs="Times New Roman" w:eastAsia="Times New Roman" w:hint="default"/>
        </w:rPr>
        <w:t>15%</w:t>
      </w:r>
      <w:r>
        <w:rPr/>
        <w:t>。</w:t>
      </w:r>
    </w:p>
    <w:p>
      <w:pPr>
        <w:pStyle w:val="BodyText"/>
        <w:spacing w:line="256" w:lineRule="auto" w:before="5"/>
        <w:ind w:right="1116"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日，上海金萃取得由上海市科学技术委员会、上海市财政局、国家税务总局上海市税务</w:t>
      </w:r>
      <w:r>
        <w:rPr>
          <w:w w:val="100"/>
        </w:rPr>
        <w:t> </w:t>
      </w:r>
      <w:r>
        <w:rPr/>
        <w:t>局联合颁发的编号为</w:t>
      </w:r>
      <w:r>
        <w:rPr>
          <w:rFonts w:ascii="Times New Roman" w:hAnsi="Times New Roman" w:cs="Times New Roman" w:eastAsia="Times New Roman" w:hint="default"/>
        </w:rPr>
        <w:t>GR201931001710</w:t>
      </w:r>
      <w:r>
        <w:rPr/>
        <w:t>的高新技术企业证书，</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2021</w:t>
      </w:r>
      <w:r>
        <w:rPr/>
        <w:t>年享受所得税优惠税率</w:t>
      </w:r>
      <w:r>
        <w:rPr>
          <w:rFonts w:ascii="Times New Roman" w:hAnsi="Times New Roman" w:cs="Times New Roman" w:eastAsia="Times New Roman" w:hint="default"/>
        </w:rPr>
        <w:t>15%</w:t>
      </w:r>
      <w:r>
        <w:rPr/>
        <w:t>。</w:t>
      </w:r>
    </w:p>
    <w:p>
      <w:pPr>
        <w:pStyle w:val="BodyText"/>
        <w:spacing w:line="240" w:lineRule="auto" w:before="5"/>
        <w:ind w:left="573" w:right="99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日，金运产业发展在由全国高新技术企业认定管理工作领导小组办公室发布的《湖北省</w:t>
      </w:r>
    </w:p>
    <w:p>
      <w:pPr>
        <w:pStyle w:val="BodyText"/>
        <w:spacing w:line="240" w:lineRule="auto" w:before="21"/>
        <w:ind w:right="998"/>
        <w:jc w:val="left"/>
      </w:pPr>
      <w:r>
        <w:rPr>
          <w:rFonts w:ascii="Times New Roman" w:hAnsi="Times New Roman" w:cs="Times New Roman" w:eastAsia="Times New Roman" w:hint="default"/>
          <w:w w:val="100"/>
        </w:rPr>
        <w:t>2019</w:t>
      </w:r>
      <w:r>
        <w:rPr>
          <w:spacing w:val="-3"/>
          <w:w w:val="100"/>
        </w:rPr>
        <w:t>年</w:t>
      </w:r>
      <w:r>
        <w:rPr>
          <w:w w:val="100"/>
        </w:rPr>
        <w:t>第</w:t>
      </w:r>
      <w:r>
        <w:rPr>
          <w:spacing w:val="-3"/>
          <w:w w:val="100"/>
        </w:rPr>
        <w:t>一</w:t>
      </w:r>
      <w:r>
        <w:rPr>
          <w:w w:val="100"/>
        </w:rPr>
        <w:t>批</w:t>
      </w:r>
      <w:r>
        <w:rPr>
          <w:spacing w:val="-3"/>
          <w:w w:val="100"/>
        </w:rPr>
        <w:t>高</w:t>
      </w:r>
      <w:r>
        <w:rPr>
          <w:w w:val="100"/>
        </w:rPr>
        <w:t>新</w:t>
      </w:r>
      <w:r>
        <w:rPr>
          <w:spacing w:val="-3"/>
          <w:w w:val="100"/>
        </w:rPr>
        <w:t>技</w:t>
      </w:r>
      <w:r>
        <w:rPr>
          <w:w w:val="100"/>
        </w:rPr>
        <w:t>术</w:t>
      </w:r>
      <w:r>
        <w:rPr>
          <w:spacing w:val="-3"/>
          <w:w w:val="100"/>
        </w:rPr>
        <w:t>企</w:t>
      </w:r>
      <w:r>
        <w:rPr>
          <w:w w:val="100"/>
        </w:rPr>
        <w:t>业名</w:t>
      </w:r>
      <w:r>
        <w:rPr>
          <w:spacing w:val="-3"/>
          <w:w w:val="100"/>
        </w:rPr>
        <w:t>单</w:t>
      </w:r>
      <w:r>
        <w:rPr>
          <w:spacing w:val="-106"/>
          <w:w w:val="100"/>
        </w:rPr>
        <w:t>》</w:t>
      </w:r>
      <w:r>
        <w:rPr>
          <w:w w:val="100"/>
        </w:rPr>
        <w:t>中</w:t>
      </w:r>
      <w:r>
        <w:rPr>
          <w:spacing w:val="-3"/>
          <w:w w:val="100"/>
        </w:rPr>
        <w:t>被</w:t>
      </w:r>
      <w:r>
        <w:rPr>
          <w:w w:val="100"/>
        </w:rPr>
        <w:t>公</w:t>
      </w:r>
      <w:r>
        <w:rPr>
          <w:spacing w:val="-3"/>
          <w:w w:val="100"/>
        </w:rPr>
        <w:t>示</w:t>
      </w:r>
      <w:r>
        <w:rPr>
          <w:w w:val="100"/>
        </w:rPr>
        <w:t>认</w:t>
      </w:r>
      <w:r>
        <w:rPr>
          <w:spacing w:val="-3"/>
          <w:w w:val="100"/>
        </w:rPr>
        <w:t>定</w:t>
      </w:r>
      <w:r>
        <w:rPr>
          <w:w w:val="100"/>
        </w:rPr>
        <w:t>为</w:t>
      </w:r>
      <w:r>
        <w:rPr>
          <w:spacing w:val="-3"/>
          <w:w w:val="100"/>
        </w:rPr>
        <w:t>高</w:t>
      </w:r>
      <w:r>
        <w:rPr>
          <w:w w:val="100"/>
        </w:rPr>
        <w:t>新技</w:t>
      </w:r>
      <w:r>
        <w:rPr>
          <w:spacing w:val="-3"/>
          <w:w w:val="100"/>
        </w:rPr>
        <w:t>术</w:t>
      </w:r>
      <w:r>
        <w:rPr>
          <w:w w:val="100"/>
        </w:rPr>
        <w:t>企</w:t>
      </w:r>
      <w:r>
        <w:rPr>
          <w:spacing w:val="-3"/>
          <w:w w:val="100"/>
        </w:rPr>
        <w:t>业</w:t>
      </w:r>
      <w:r>
        <w:rPr>
          <w:spacing w:val="-106"/>
          <w:w w:val="100"/>
        </w:rPr>
        <w:t>，</w:t>
      </w:r>
      <w:r>
        <w:rPr>
          <w:w w:val="100"/>
        </w:rPr>
        <w:t>高</w:t>
      </w:r>
      <w:r>
        <w:rPr>
          <w:spacing w:val="-3"/>
          <w:w w:val="100"/>
        </w:rPr>
        <w:t>新</w:t>
      </w:r>
      <w:r>
        <w:rPr>
          <w:w w:val="100"/>
        </w:rPr>
        <w:t>技</w:t>
      </w:r>
      <w:r>
        <w:rPr>
          <w:spacing w:val="-3"/>
          <w:w w:val="100"/>
        </w:rPr>
        <w:t>术</w:t>
      </w:r>
      <w:r>
        <w:rPr>
          <w:w w:val="100"/>
        </w:rPr>
        <w:t>企</w:t>
      </w:r>
      <w:r>
        <w:rPr>
          <w:spacing w:val="-3"/>
          <w:w w:val="100"/>
        </w:rPr>
        <w:t>业</w:t>
      </w:r>
      <w:r>
        <w:rPr>
          <w:w w:val="100"/>
        </w:rPr>
        <w:t>证书</w:t>
      </w:r>
      <w:r>
        <w:rPr>
          <w:spacing w:val="-3"/>
          <w:w w:val="100"/>
        </w:rPr>
        <w:t>编号</w:t>
      </w:r>
      <w:r>
        <w:rPr>
          <w:rFonts w:ascii="Times New Roman" w:hAnsi="Times New Roman" w:cs="Times New Roman" w:eastAsia="Times New Roman" w:hint="default"/>
          <w:w w:val="100"/>
        </w:rPr>
        <w:t>G</w:t>
      </w:r>
      <w:r>
        <w:rPr>
          <w:rFonts w:ascii="Times New Roman" w:hAnsi="Times New Roman" w:cs="Times New Roman" w:eastAsia="Times New Roman" w:hint="default"/>
          <w:spacing w:val="-2"/>
          <w:w w:val="100"/>
        </w:rPr>
        <w:t>R</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420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26</w:t>
      </w:r>
      <w:r>
        <w:rPr>
          <w:w w:val="100"/>
        </w:rPr>
        <w:t>，</w:t>
      </w:r>
    </w:p>
    <w:p>
      <w:pPr>
        <w:pStyle w:val="BodyText"/>
        <w:spacing w:line="240" w:lineRule="auto" w:before="21"/>
        <w:ind w:right="1116"/>
        <w:jc w:val="left"/>
      </w:pP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2021</w:t>
      </w:r>
      <w:r>
        <w:rPr/>
        <w:t>年享受所得税优惠税率</w:t>
      </w:r>
      <w:r>
        <w:rPr>
          <w:rFonts w:ascii="Times New Roman" w:hAnsi="Times New Roman" w:cs="Times New Roman" w:eastAsia="Times New Roman" w:hint="default"/>
        </w:rPr>
        <w:t>15%</w:t>
      </w:r>
      <w:r>
        <w:rPr/>
        <w:t>。</w:t>
      </w:r>
    </w:p>
    <w:p>
      <w:pPr>
        <w:pStyle w:val="BodyText"/>
        <w:spacing w:line="256" w:lineRule="auto" w:before="21"/>
        <w:ind w:right="1116" w:firstLine="420"/>
        <w:jc w:val="left"/>
      </w:pPr>
      <w:r>
        <w:rPr>
          <w:rFonts w:ascii="Times New Roman" w:hAnsi="Times New Roman" w:cs="Times New Roman" w:eastAsia="Times New Roman" w:hint="default"/>
          <w:spacing w:val="-2"/>
        </w:rPr>
        <w:t>2019</w:t>
      </w:r>
      <w:r>
        <w:rPr>
          <w:spacing w:val="-2"/>
        </w:rPr>
        <w:t>年度武汉斯利沃、高投金运、金运数字、上海金萃和金运互动符合小型微利企业的认定条件，对</w:t>
      </w:r>
      <w:r>
        <w:rPr>
          <w:w w:val="100"/>
        </w:rPr>
        <w:t> </w:t>
      </w:r>
      <w:r>
        <w:rPr/>
        <w:t>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w:t>
      </w:r>
      <w:r>
        <w:rPr>
          <w:w w:val="100"/>
        </w:rPr>
        <w:t> </w:t>
      </w:r>
      <w:r>
        <w:rPr>
          <w:spacing w:val="-2"/>
        </w:rPr>
        <w:t>业所得税；对年应纳税所得额超过</w:t>
      </w:r>
      <w:r>
        <w:rPr>
          <w:rFonts w:ascii="Times New Roman" w:hAnsi="Times New Roman" w:cs="Times New Roman" w:eastAsia="Times New Roman" w:hint="default"/>
          <w:spacing w:val="-2"/>
        </w:rPr>
        <w:t>100</w:t>
      </w:r>
      <w:r>
        <w:rPr>
          <w:spacing w:val="-2"/>
        </w:rPr>
        <w:t>万元但不超过</w:t>
      </w:r>
      <w:r>
        <w:rPr>
          <w:rFonts w:ascii="Times New Roman" w:hAnsi="Times New Roman" w:cs="Times New Roman" w:eastAsia="Times New Roman" w:hint="default"/>
          <w:spacing w:val="-2"/>
        </w:rPr>
        <w:t>300</w:t>
      </w:r>
      <w:r>
        <w:rPr>
          <w:spacing w:val="-2"/>
        </w:rPr>
        <w:t>万元的部分，减按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w:t>
      </w:r>
      <w:r>
        <w:rPr>
          <w:spacing w:val="-39"/>
        </w:rPr>
        <w:t> </w:t>
      </w:r>
      <w:r>
        <w:rPr/>
        <w:t>的税率缴纳企业所得税。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16" w:firstLine="420"/>
        <w:jc w:val="left"/>
      </w:pPr>
      <w:r>
        <w:rPr/>
        <w:t>注</w:t>
      </w:r>
      <w:r>
        <w:rPr>
          <w:rFonts w:ascii="Times New Roman" w:hAnsi="Times New Roman" w:cs="Times New Roman" w:eastAsia="Times New Roman" w:hint="default"/>
        </w:rPr>
        <w:t>1</w:t>
      </w:r>
      <w:r>
        <w:rPr/>
        <w:t>：根据财政部、税务总局、海关总署《关于深化增值税改革有关政策的公告》（财政部、税务总</w:t>
      </w:r>
      <w:r>
        <w:rPr>
          <w:w w:val="100"/>
        </w:rPr>
        <w:t> </w:t>
      </w:r>
      <w:r>
        <w:rPr>
          <w:spacing w:val="-2"/>
        </w:rPr>
        <w:t>局、海关总署公告</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39</w:t>
      </w:r>
      <w:r>
        <w:rPr>
          <w:spacing w:val="-2"/>
        </w:rPr>
        <w:t>号）的规定，本公司自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日起发生增值税应税销售行为或者进口货</w:t>
      </w:r>
      <w:r>
        <w:rPr>
          <w:spacing w:val="-31"/>
        </w:rPr>
        <w:t> </w:t>
      </w:r>
      <w:r>
        <w:rPr>
          <w:spacing w:val="-31"/>
        </w:rPr>
      </w:r>
      <w:r>
        <w:rPr/>
        <w:t>物，原适用</w:t>
      </w:r>
      <w:r>
        <w:rPr>
          <w:rFonts w:ascii="Times New Roman" w:hAnsi="Times New Roman" w:cs="Times New Roman" w:eastAsia="Times New Roman" w:hint="default"/>
        </w:rPr>
        <w:t>16%</w:t>
      </w:r>
      <w:r>
        <w:rPr/>
        <w:t>和</w:t>
      </w:r>
      <w:r>
        <w:rPr>
          <w:rFonts w:ascii="Times New Roman" w:hAnsi="Times New Roman" w:cs="Times New Roman" w:eastAsia="Times New Roman" w:hint="default"/>
        </w:rPr>
        <w:t>10%</w:t>
      </w:r>
      <w:r>
        <w:rPr/>
        <w:t>税率的，税率分别调整为</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w:t>
      </w:r>
    </w:p>
    <w:p>
      <w:pPr>
        <w:pStyle w:val="BodyText"/>
        <w:spacing w:line="256" w:lineRule="auto" w:before="125"/>
        <w:ind w:right="1116" w:firstLine="420"/>
        <w:jc w:val="left"/>
      </w:pPr>
      <w:r>
        <w:rPr/>
        <w:t>注</w:t>
      </w:r>
      <w:r>
        <w:rPr>
          <w:rFonts w:ascii="Times New Roman" w:hAnsi="Times New Roman" w:cs="Times New Roman" w:eastAsia="Times New Roman" w:hint="default"/>
        </w:rPr>
        <w:t>2</w:t>
      </w:r>
      <w:r>
        <w:rPr/>
        <w:t>：根据财税〔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号关于实施小微企业普惠性税收减免政策的通知，对小型微利企业年应纳</w:t>
      </w:r>
      <w:r>
        <w:rPr>
          <w:w w:val="100"/>
        </w:rPr>
        <w:t> </w:t>
      </w:r>
      <w:r>
        <w:rPr/>
        <w:t>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w:t>
      </w:r>
      <w:r>
        <w:rPr>
          <w:w w:val="100"/>
        </w:rPr>
        <w:t> </w:t>
      </w:r>
      <w:r>
        <w:rPr>
          <w:spacing w:val="-2"/>
        </w:rPr>
        <w:t>税所得额超过</w:t>
      </w:r>
      <w:r>
        <w:rPr>
          <w:rFonts w:ascii="Times New Roman" w:hAnsi="Times New Roman" w:cs="Times New Roman" w:eastAsia="Times New Roman" w:hint="default"/>
          <w:spacing w:val="-2"/>
        </w:rPr>
        <w:t>100</w:t>
      </w:r>
      <w:r>
        <w:rPr>
          <w:spacing w:val="-2"/>
        </w:rPr>
        <w:t>万元但不超过</w:t>
      </w:r>
      <w:r>
        <w:rPr>
          <w:rFonts w:ascii="Times New Roman" w:hAnsi="Times New Roman" w:cs="Times New Roman" w:eastAsia="Times New Roman" w:hint="default"/>
          <w:spacing w:val="-2"/>
        </w:rPr>
        <w:t>300</w:t>
      </w:r>
      <w:r>
        <w:rPr>
          <w:spacing w:val="-2"/>
        </w:rPr>
        <w:t>万元的部分，减按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％的税率缴纳企业所得</w:t>
      </w:r>
      <w:r>
        <w:rPr>
          <w:spacing w:val="-37"/>
        </w:rPr>
        <w:t> </w:t>
      </w:r>
      <w:r>
        <w:rPr>
          <w:spacing w:val="-37"/>
        </w:rPr>
      </w:r>
      <w:r>
        <w:rPr/>
        <w:t>税。</w:t>
      </w:r>
    </w:p>
    <w:p>
      <w:pPr>
        <w:spacing w:line="240" w:lineRule="auto" w:before="9"/>
        <w:rPr>
          <w:rFonts w:ascii="宋体" w:hAnsi="宋体" w:cs="宋体" w:eastAsia="宋体" w:hint="default"/>
          <w:sz w:val="22"/>
          <w:szCs w:val="22"/>
        </w:rPr>
      </w:pPr>
    </w:p>
    <w:p>
      <w:pPr>
        <w:pStyle w:val="Heading2"/>
        <w:spacing w:line="240" w:lineRule="auto"/>
        <w:ind w:right="1116"/>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8,880.73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w w:val="95"/>
                <w:sz w:val="18"/>
              </w:rPr>
              <w:t>6,355.01</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877" w:top="1100" w:bottom="1160" w:left="980" w:right="0"/>
          <w:pgNumType w:start="11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55,909,252.19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51,237,447.85</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34,666,605.90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28,776,187.50</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90,584,738.82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80,019,990.36</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155,093.55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150,682.81</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before="0"/>
        <w:ind w:left="570" w:right="1116" w:firstLine="0"/>
        <w:jc w:val="left"/>
        <w:rPr>
          <w:rFonts w:ascii="宋体" w:hAnsi="宋体" w:cs="宋体" w:eastAsia="宋体" w:hint="default"/>
          <w:sz w:val="18"/>
          <w:szCs w:val="18"/>
        </w:rPr>
      </w:pPr>
      <w:r>
        <w:rPr>
          <w:rFonts w:ascii="宋体" w:hAnsi="宋体" w:cs="宋体" w:eastAsia="宋体" w:hint="default"/>
          <w:sz w:val="18"/>
          <w:szCs w:val="18"/>
        </w:rPr>
        <w:t>其中受限制的货币资金明细如下：</w:t>
      </w:r>
    </w:p>
    <w:p>
      <w:pPr>
        <w:spacing w:line="240" w:lineRule="auto" w:before="3"/>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3188"/>
        <w:gridCol w:w="3212"/>
        <w:gridCol w:w="3274"/>
      </w:tblGrid>
      <w:tr>
        <w:trPr>
          <w:trHeight w:val="34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1400"/>
              <w:jc w:val="right"/>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7,645,367.00</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7,637,531.50</w:t>
            </w:r>
          </w:p>
        </w:tc>
      </w:tr>
      <w:tr>
        <w:trPr>
          <w:trHeight w:val="34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511,678.90</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26,509,560.00</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21,138,656.00</w:t>
            </w:r>
          </w:p>
        </w:tc>
      </w:tr>
      <w:tr>
        <w:trPr>
          <w:trHeight w:val="34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139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34,666,605.90</w:t>
            </w:r>
            <w:r>
              <w:rPr>
                <w:rFonts w:ascii="Times New Roman"/>
                <w:spacing w:val="-1"/>
                <w:sz w:val="18"/>
              </w:rPr>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b/>
                <w:spacing w:val="-1"/>
                <w:sz w:val="18"/>
              </w:rPr>
              <w:t>28,776,187.50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76"/>
        <w:gridCol w:w="3190"/>
        <w:gridCol w:w="3178"/>
      </w:tblGrid>
      <w:tr>
        <w:trPr>
          <w:trHeight w:val="401"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1,800,000.00</w:t>
            </w:r>
          </w:p>
        </w:tc>
      </w:tr>
    </w:tbl>
    <w:p>
      <w:pPr>
        <w:pStyle w:val="BodyText"/>
        <w:spacing w:line="240" w:lineRule="auto" w:before="28"/>
        <w:ind w:right="1116"/>
        <w:jc w:val="left"/>
      </w:pPr>
      <w:r>
        <w:rPr/>
        <w:t>其他说明：</w:t>
      </w:r>
    </w:p>
    <w:p>
      <w:pPr>
        <w:pStyle w:val="BodyText"/>
        <w:spacing w:line="259" w:lineRule="auto" w:before="75"/>
        <w:ind w:right="1116" w:firstLine="420"/>
        <w:jc w:val="left"/>
      </w:pPr>
      <w:r>
        <w:rPr>
          <w:spacing w:val="-2"/>
        </w:rPr>
        <w:t>金融资产说明：截至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日，子公司上海金萃投资并持有工银瑞信薪金货币市场基金及招商</w:t>
      </w:r>
      <w:r>
        <w:rPr>
          <w:w w:val="100"/>
        </w:rPr>
        <w:t> </w:t>
      </w:r>
      <w:r>
        <w:rPr/>
        <w:t>现金</w:t>
      </w:r>
      <w:r>
        <w:rPr>
          <w:rFonts w:ascii="Times New Roman" w:hAnsi="Times New Roman" w:cs="Times New Roman" w:eastAsia="Times New Roman" w:hint="default"/>
        </w:rPr>
        <w:t>A</w:t>
      </w:r>
      <w:r>
        <w:rPr/>
        <w:t>基金本金余额</w:t>
      </w:r>
      <w:r>
        <w:rPr>
          <w:rFonts w:ascii="Times New Roman" w:hAnsi="Times New Roman" w:cs="Times New Roman" w:eastAsia="Times New Roman" w:hint="default"/>
        </w:rPr>
        <w:t>1,600,000.00</w:t>
      </w:r>
      <w:r>
        <w:rPr/>
        <w:t>元人民币。</w:t>
      </w:r>
    </w:p>
    <w:p>
      <w:pPr>
        <w:spacing w:line="240" w:lineRule="auto" w:before="2"/>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6"/>
        <w:jc w:val="left"/>
      </w:pPr>
      <w:r>
        <w:rPr>
          <w:spacing w:val="-2"/>
        </w:rPr>
        <w:t>如是按照预期信用损失一般模型计提应收票据坏账准备，请参照其他应收款的披露方式披露坏账准备的相</w:t>
      </w:r>
      <w:r>
        <w:rPr>
          <w:spacing w:val="-43"/>
        </w:rPr>
        <w:t> </w:t>
      </w:r>
      <w:r>
        <w:rPr>
          <w:spacing w:val="-43"/>
        </w:rPr>
      </w:r>
      <w:r>
        <w:rPr/>
        <w:t>关信息：</w:t>
      </w:r>
    </w:p>
    <w:p>
      <w:pPr>
        <w:pStyle w:val="BodyText"/>
        <w:spacing w:line="240" w:lineRule="auto" w:before="48"/>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18,060,100.72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1,661,000.00</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18,060,100.72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1,661,000.00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626"/>
        <w:gridCol w:w="930"/>
        <w:gridCol w:w="596"/>
        <w:gridCol w:w="845"/>
        <w:gridCol w:w="696"/>
        <w:gridCol w:w="920"/>
        <w:gridCol w:w="919"/>
        <w:gridCol w:w="593"/>
        <w:gridCol w:w="920"/>
        <w:gridCol w:w="698"/>
        <w:gridCol w:w="905"/>
      </w:tblGrid>
      <w:tr>
        <w:trPr>
          <w:trHeight w:val="399" w:hRule="exact"/>
        </w:trPr>
        <w:tc>
          <w:tcPr>
            <w:tcW w:w="1626" w:type="dxa"/>
            <w:vMerge w:val="restart"/>
            <w:tcBorders>
              <w:top w:val="single" w:sz="4" w:space="0" w:color="000000"/>
              <w:left w:val="nil" w:sz="6" w:space="0" w:color="auto"/>
              <w:right w:val="single" w:sz="4" w:space="0" w:color="000000"/>
            </w:tcBorders>
            <w:shd w:val="clear" w:color="auto" w:fill="D2D2D2"/>
          </w:tcPr>
          <w:p>
            <w:pPr/>
          </w:p>
        </w:tc>
        <w:tc>
          <w:tcPr>
            <w:tcW w:w="39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5"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6" w:type="dxa"/>
            <w:vMerge/>
            <w:tcBorders>
              <w:left w:val="nil" w:sz="6" w:space="0" w:color="auto"/>
              <w:bottom w:val="nil" w:sz="6" w:space="0" w:color="auto"/>
              <w:right w:val="single" w:sz="4" w:space="0" w:color="000000"/>
            </w:tcBorders>
            <w:shd w:val="clear" w:color="auto" w:fill="D2D2D2"/>
          </w:tcPr>
          <w:p>
            <w:pP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5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5"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626"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1541"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512" w:type="dxa"/>
            <w:gridSpan w:val="2"/>
            <w:vMerge/>
            <w:tcBorders>
              <w:left w:val="single" w:sz="4" w:space="0" w:color="000000"/>
              <w:bottom w:val="single" w:sz="4" w:space="0" w:color="000000"/>
              <w:right w:val="single" w:sz="4" w:space="0" w:color="000000"/>
            </w:tcBorders>
            <w:shd w:val="clear" w:color="auto" w:fill="D2D2D2"/>
          </w:tcPr>
          <w:p>
            <w:pPr/>
          </w:p>
        </w:tc>
        <w:tc>
          <w:tcPr>
            <w:tcW w:w="1618" w:type="dxa"/>
            <w:gridSpan w:val="2"/>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nil" w:sz="6" w:space="0" w:color="auto"/>
              <w:right w:val="nil" w:sz="6" w:space="0" w:color="auto"/>
            </w:tcBorders>
            <w:shd w:val="clear" w:color="auto" w:fill="D2D2D2"/>
          </w:tcPr>
          <w:p>
            <w:pPr/>
          </w:p>
        </w:tc>
      </w:tr>
      <w:tr>
        <w:trPr>
          <w:trHeight w:val="159" w:hRule="exact"/>
        </w:trPr>
        <w:tc>
          <w:tcPr>
            <w:tcW w:w="1626" w:type="dxa"/>
            <w:vMerge/>
            <w:tcBorders>
              <w:left w:val="nil" w:sz="6" w:space="0" w:color="auto"/>
              <w:bottom w:val="single" w:sz="5" w:space="0" w:color="FFFFFF"/>
              <w:right w:val="single" w:sz="4" w:space="0" w:color="000000"/>
            </w:tcBorders>
            <w:shd w:val="clear" w:color="auto" w:fill="D2D2D2"/>
          </w:tcPr>
          <w:p>
            <w:pPr/>
          </w:p>
        </w:tc>
        <w:tc>
          <w:tcPr>
            <w:tcW w:w="930"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596"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845"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4" w:right="7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4"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05"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9"/>
              <w:ind w:left="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6" w:type="dxa"/>
            <w:vMerge w:val="restart"/>
            <w:tcBorders>
              <w:top w:val="single" w:sz="5" w:space="0" w:color="FFFFFF"/>
              <w:left w:val="nil" w:sz="6" w:space="0" w:color="auto"/>
              <w:right w:val="single" w:sz="4" w:space="0" w:color="000000"/>
            </w:tcBorders>
            <w:shd w:val="clear" w:color="auto" w:fill="D2D2D2"/>
          </w:tcPr>
          <w:p>
            <w:pPr/>
          </w:p>
        </w:tc>
        <w:tc>
          <w:tcPr>
            <w:tcW w:w="930"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6"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8" w:type="dxa"/>
            <w:vMerge/>
            <w:tcBorders>
              <w:left w:val="single" w:sz="4" w:space="0" w:color="000000"/>
              <w:right w:val="single" w:sz="4" w:space="0" w:color="000000"/>
            </w:tcBorders>
            <w:shd w:val="clear" w:color="auto" w:fill="D2D2D2"/>
          </w:tcPr>
          <w:p>
            <w:pPr/>
          </w:p>
        </w:tc>
        <w:tc>
          <w:tcPr>
            <w:tcW w:w="905"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626" w:type="dxa"/>
            <w:vMerge/>
            <w:tcBorders>
              <w:left w:val="nil" w:sz="6" w:space="0" w:color="auto"/>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596"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905"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626" w:type="dxa"/>
            <w:vMerge/>
            <w:tcBorders>
              <w:left w:val="nil" w:sz="6" w:space="0" w:color="auto"/>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nil" w:sz="6" w:space="0" w:color="auto"/>
            </w:tcBorders>
            <w:shd w:val="clear" w:color="auto" w:fill="D2D2D2"/>
          </w:tcPr>
          <w:p>
            <w:pPr/>
          </w:p>
        </w:tc>
      </w:tr>
      <w:tr>
        <w:trPr>
          <w:trHeight w:val="713" w:hRule="exact"/>
        </w:trPr>
        <w:tc>
          <w:tcPr>
            <w:tcW w:w="16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9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8" w:right="0"/>
              <w:jc w:val="center"/>
              <w:rPr>
                <w:rFonts w:ascii="Times New Roman" w:hAnsi="Times New Roman" w:cs="Times New Roman" w:eastAsia="Times New Roman" w:hint="default"/>
                <w:sz w:val="15"/>
                <w:szCs w:val="15"/>
              </w:rPr>
            </w:pPr>
            <w:r>
              <w:rPr>
                <w:rFonts w:ascii="Times New Roman"/>
                <w:sz w:val="15"/>
              </w:rPr>
              <w:t>1,017,420.39</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5" w:right="0"/>
              <w:jc w:val="center"/>
              <w:rPr>
                <w:rFonts w:ascii="Times New Roman" w:hAnsi="Times New Roman" w:cs="Times New Roman" w:eastAsia="Times New Roman" w:hint="default"/>
                <w:sz w:val="15"/>
                <w:szCs w:val="15"/>
              </w:rPr>
            </w:pPr>
            <w:r>
              <w:rPr>
                <w:rFonts w:ascii="Times New Roman"/>
                <w:sz w:val="15"/>
              </w:rPr>
              <w:t>2.04%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1,017,420.39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1,021,622.23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6" w:right="0"/>
              <w:jc w:val="center"/>
              <w:rPr>
                <w:rFonts w:ascii="Times New Roman" w:hAnsi="Times New Roman" w:cs="Times New Roman" w:eastAsia="Times New Roman" w:hint="default"/>
                <w:sz w:val="15"/>
                <w:szCs w:val="15"/>
              </w:rPr>
            </w:pPr>
            <w:r>
              <w:rPr>
                <w:rFonts w:ascii="Times New Roman"/>
                <w:sz w:val="15"/>
              </w:rPr>
              <w:t>2.90%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1,021,622.23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100.00%</w:t>
            </w:r>
          </w:p>
        </w:tc>
        <w:tc>
          <w:tcPr>
            <w:tcW w:w="9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6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713" w:hRule="exact"/>
        </w:trPr>
        <w:tc>
          <w:tcPr>
            <w:tcW w:w="16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21"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9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48,962,756.70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97.96%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8,525,171.70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17.41%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40,437,585.00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34,170,191.92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97.10%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10,690,234.02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0" w:right="0"/>
              <w:jc w:val="center"/>
              <w:rPr>
                <w:rFonts w:ascii="Times New Roman" w:hAnsi="Times New Roman" w:cs="Times New Roman" w:eastAsia="Times New Roman" w:hint="default"/>
                <w:sz w:val="15"/>
                <w:szCs w:val="15"/>
              </w:rPr>
            </w:pPr>
            <w:r>
              <w:rPr>
                <w:rFonts w:ascii="Times New Roman"/>
                <w:sz w:val="15"/>
              </w:rPr>
              <w:t>31.29%</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pacing w:val="-1"/>
                <w:sz w:val="15"/>
              </w:rPr>
              <w:t>23,479,957.90</w:t>
            </w:r>
          </w:p>
        </w:tc>
      </w:tr>
      <w:tr>
        <w:trPr>
          <w:trHeight w:val="404" w:hRule="exact"/>
        </w:trPr>
        <w:tc>
          <w:tcPr>
            <w:tcW w:w="16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1" w:hRule="exact"/>
        </w:trPr>
        <w:tc>
          <w:tcPr>
            <w:tcW w:w="1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 w:right="0"/>
              <w:jc w:val="center"/>
              <w:rPr>
                <w:rFonts w:ascii="Times New Roman" w:hAnsi="Times New Roman" w:cs="Times New Roman" w:eastAsia="Times New Roman" w:hint="default"/>
                <w:sz w:val="15"/>
                <w:szCs w:val="15"/>
              </w:rPr>
            </w:pPr>
            <w:r>
              <w:rPr>
                <w:rFonts w:ascii="Times New Roman"/>
                <w:sz w:val="15"/>
              </w:rPr>
              <w:t>48,962,756.70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6" w:right="0"/>
              <w:jc w:val="center"/>
              <w:rPr>
                <w:rFonts w:ascii="Times New Roman" w:hAnsi="Times New Roman" w:cs="Times New Roman" w:eastAsia="Times New Roman" w:hint="default"/>
                <w:sz w:val="15"/>
                <w:szCs w:val="15"/>
              </w:rPr>
            </w:pPr>
            <w:r>
              <w:rPr>
                <w:rFonts w:ascii="Times New Roman"/>
                <w:sz w:val="15"/>
              </w:rPr>
              <w:t>97.96%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8,525,171.70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6"/>
              <w:jc w:val="right"/>
              <w:rPr>
                <w:rFonts w:ascii="Times New Roman" w:hAnsi="Times New Roman" w:cs="Times New Roman" w:eastAsia="Times New Roman" w:hint="default"/>
                <w:sz w:val="15"/>
                <w:szCs w:val="15"/>
              </w:rPr>
            </w:pPr>
            <w:r>
              <w:rPr>
                <w:rFonts w:ascii="Times New Roman"/>
                <w:spacing w:val="-1"/>
                <w:sz w:val="15"/>
              </w:rPr>
              <w:t>17.41%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Times New Roman" w:hAnsi="Times New Roman" w:cs="Times New Roman" w:eastAsia="Times New Roman" w:hint="default"/>
                <w:sz w:val="15"/>
                <w:szCs w:val="15"/>
              </w:rPr>
            </w:pPr>
            <w:r>
              <w:rPr>
                <w:rFonts w:ascii="Times New Roman"/>
                <w:sz w:val="15"/>
              </w:rPr>
              <w:t>40,437,585.00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34,170,191.92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9" w:right="0"/>
              <w:jc w:val="center"/>
              <w:rPr>
                <w:rFonts w:ascii="Times New Roman" w:hAnsi="Times New Roman" w:cs="Times New Roman" w:eastAsia="Times New Roman" w:hint="default"/>
                <w:sz w:val="15"/>
                <w:szCs w:val="15"/>
              </w:rPr>
            </w:pPr>
            <w:r>
              <w:rPr>
                <w:rFonts w:ascii="Times New Roman"/>
                <w:sz w:val="15"/>
              </w:rPr>
              <w:t>97.10%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 w:right="0"/>
              <w:jc w:val="center"/>
              <w:rPr>
                <w:rFonts w:ascii="Times New Roman" w:hAnsi="Times New Roman" w:cs="Times New Roman" w:eastAsia="Times New Roman" w:hint="default"/>
                <w:sz w:val="15"/>
                <w:szCs w:val="15"/>
              </w:rPr>
            </w:pPr>
            <w:r>
              <w:rPr>
                <w:rFonts w:ascii="Times New Roman"/>
                <w:sz w:val="15"/>
              </w:rPr>
              <w:t>10,690,234.02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0" w:right="0"/>
              <w:jc w:val="center"/>
              <w:rPr>
                <w:rFonts w:ascii="Times New Roman" w:hAnsi="Times New Roman" w:cs="Times New Roman" w:eastAsia="Times New Roman" w:hint="default"/>
                <w:sz w:val="15"/>
                <w:szCs w:val="15"/>
              </w:rPr>
            </w:pPr>
            <w:r>
              <w:rPr>
                <w:rFonts w:ascii="Times New Roman"/>
                <w:sz w:val="15"/>
              </w:rPr>
              <w:t>31.29%</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left="14" w:right="0"/>
              <w:jc w:val="center"/>
              <w:rPr>
                <w:rFonts w:ascii="Times New Roman" w:hAnsi="Times New Roman" w:cs="Times New Roman" w:eastAsia="Times New Roman" w:hint="default"/>
                <w:sz w:val="15"/>
                <w:szCs w:val="15"/>
              </w:rPr>
            </w:pPr>
            <w:r>
              <w:rPr>
                <w:rFonts w:ascii="Times New Roman"/>
                <w:spacing w:val="-1"/>
                <w:sz w:val="15"/>
              </w:rPr>
              <w:t>23,479,957.90</w:t>
            </w:r>
          </w:p>
        </w:tc>
      </w:tr>
      <w:tr>
        <w:trPr>
          <w:trHeight w:val="403" w:hRule="exact"/>
        </w:trPr>
        <w:tc>
          <w:tcPr>
            <w:tcW w:w="16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0" w:right="0"/>
              <w:jc w:val="center"/>
              <w:rPr>
                <w:rFonts w:ascii="Times New Roman" w:hAnsi="Times New Roman" w:cs="Times New Roman" w:eastAsia="Times New Roman" w:hint="default"/>
                <w:sz w:val="15"/>
                <w:szCs w:val="15"/>
              </w:rPr>
            </w:pPr>
            <w:r>
              <w:rPr>
                <w:rFonts w:ascii="Times New Roman"/>
                <w:sz w:val="15"/>
              </w:rPr>
              <w:t>49,980,177.09</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5"/>
                <w:szCs w:val="15"/>
              </w:rPr>
            </w:pPr>
            <w:r>
              <w:rPr>
                <w:rFonts w:ascii="Times New Roman"/>
                <w:sz w:val="15"/>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5"/>
                <w:szCs w:val="15"/>
              </w:rPr>
            </w:pPr>
            <w:r>
              <w:rPr>
                <w:rFonts w:ascii="Times New Roman"/>
                <w:sz w:val="15"/>
              </w:rPr>
              <w:t>9,542,592.09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5"/>
                <w:szCs w:val="15"/>
              </w:rPr>
            </w:pPr>
            <w:r>
              <w:rPr>
                <w:rFonts w:ascii="Times New Roman"/>
                <w:spacing w:val="-1"/>
                <w:sz w:val="15"/>
              </w:rPr>
              <w:t>19.09%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Times New Roman" w:hAnsi="Times New Roman" w:cs="Times New Roman" w:eastAsia="Times New Roman" w:hint="default"/>
                <w:sz w:val="15"/>
                <w:szCs w:val="15"/>
              </w:rPr>
            </w:pPr>
            <w:r>
              <w:rPr>
                <w:rFonts w:ascii="Times New Roman"/>
                <w:sz w:val="15"/>
              </w:rPr>
              <w:t>40,437,585.00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5"/>
                <w:szCs w:val="15"/>
              </w:rPr>
            </w:pPr>
            <w:r>
              <w:rPr>
                <w:rFonts w:ascii="Times New Roman"/>
                <w:spacing w:val="-1"/>
                <w:sz w:val="15"/>
              </w:rPr>
              <w:t>35,191,814.15</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 w:right="0"/>
              <w:jc w:val="center"/>
              <w:rPr>
                <w:rFonts w:ascii="Times New Roman" w:hAnsi="Times New Roman" w:cs="Times New Roman" w:eastAsia="Times New Roman" w:hint="default"/>
                <w:sz w:val="15"/>
                <w:szCs w:val="15"/>
              </w:rPr>
            </w:pPr>
            <w:r>
              <w:rPr>
                <w:rFonts w:ascii="Times New Roman"/>
                <w:sz w:val="15"/>
              </w:rPr>
              <w:t>100.00%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 w:right="0"/>
              <w:jc w:val="center"/>
              <w:rPr>
                <w:rFonts w:ascii="Times New Roman" w:hAnsi="Times New Roman" w:cs="Times New Roman" w:eastAsia="Times New Roman" w:hint="default"/>
                <w:sz w:val="15"/>
                <w:szCs w:val="15"/>
              </w:rPr>
            </w:pPr>
            <w:r>
              <w:rPr>
                <w:rFonts w:ascii="Times New Roman"/>
                <w:spacing w:val="-2"/>
                <w:sz w:val="15"/>
              </w:rPr>
              <w:t>11,711,856.25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0" w:right="0"/>
              <w:jc w:val="center"/>
              <w:rPr>
                <w:rFonts w:ascii="Times New Roman" w:hAnsi="Times New Roman" w:cs="Times New Roman" w:eastAsia="Times New Roman" w:hint="default"/>
                <w:sz w:val="15"/>
                <w:szCs w:val="15"/>
              </w:rPr>
            </w:pPr>
            <w:r>
              <w:rPr>
                <w:rFonts w:ascii="Times New Roman"/>
                <w:sz w:val="15"/>
              </w:rPr>
              <w:t>33.28%</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4" w:right="0"/>
              <w:jc w:val="center"/>
              <w:rPr>
                <w:rFonts w:ascii="Times New Roman" w:hAnsi="Times New Roman" w:cs="Times New Roman" w:eastAsia="Times New Roman" w:hint="default"/>
                <w:sz w:val="15"/>
                <w:szCs w:val="15"/>
              </w:rPr>
            </w:pPr>
            <w:r>
              <w:rPr>
                <w:rFonts w:ascii="Times New Roman"/>
                <w:spacing w:val="-1"/>
                <w:sz w:val="15"/>
              </w:rPr>
              <w:t>23,479,957.90</w:t>
            </w:r>
          </w:p>
        </w:tc>
      </w:tr>
    </w:tbl>
    <w:p>
      <w:pPr>
        <w:spacing w:after="0" w:line="240" w:lineRule="auto"/>
        <w:jc w:val="center"/>
        <w:rPr>
          <w:rFonts w:ascii="Times New Roman" w:hAnsi="Times New Roman" w:cs="Times New Roman" w:eastAsia="Times New Roman" w:hint="default"/>
          <w:sz w:val="15"/>
          <w:szCs w:val="15"/>
        </w:rPr>
        <w:sectPr>
          <w:pgSz w:w="11910" w:h="16840"/>
          <w:pgMar w:header="877" w:footer="979" w:top="1100" w:bottom="1160" w:left="980" w:right="0"/>
        </w:sectPr>
      </w:pPr>
    </w:p>
    <w:p>
      <w:pPr>
        <w:pStyle w:val="BodyText"/>
        <w:spacing w:line="240" w:lineRule="auto" w:before="28"/>
        <w:ind w:right="0"/>
        <w:jc w:val="left"/>
      </w:pPr>
      <w:r>
        <w:rPr>
          <w:spacing w:val="-2"/>
        </w:rPr>
        <w:t>按单项计提坏账准备：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56" w:space="6573"/>
            <w:col w:w="2101"/>
          </w:cols>
        </w:sectPr>
      </w:pP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848"/>
        <w:gridCol w:w="1496"/>
        <w:gridCol w:w="1495"/>
        <w:gridCol w:w="1160"/>
        <w:gridCol w:w="1697"/>
      </w:tblGrid>
      <w:tr>
        <w:trPr>
          <w:trHeight w:val="403" w:hRule="exact"/>
        </w:trPr>
        <w:tc>
          <w:tcPr>
            <w:tcW w:w="384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847"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848" w:type="dxa"/>
            <w:vMerge/>
            <w:tcBorders>
              <w:left w:val="nil" w:sz="6" w:space="0" w:color="auto"/>
              <w:bottom w:val="single" w:sz="4" w:space="0" w:color="000000"/>
              <w:right w:val="single" w:sz="4" w:space="0" w:color="000000"/>
            </w:tcBorders>
            <w:shd w:val="clear" w:color="auto" w:fill="D2D2D2"/>
          </w:tcPr>
          <w:p>
            <w:pP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9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721,194.95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721,194.95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3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8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1,017,420.39</w:t>
            </w:r>
          </w:p>
        </w:tc>
        <w:tc>
          <w:tcPr>
            <w:tcW w:w="14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1,017,420.39</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9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1"/>
        <w:gridCol w:w="2393"/>
        <w:gridCol w:w="2379"/>
      </w:tblGrid>
      <w:tr>
        <w:trPr>
          <w:trHeight w:val="403" w:hRule="exact"/>
        </w:trPr>
        <w:tc>
          <w:tcPr>
            <w:tcW w:w="239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63"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nil" w:sz="6" w:space="0" w:color="auto"/>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39,096,168.96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1,172,885.07</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1,973,985.56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296,097.83</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1,672,826.77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836,413.39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6,219,775.41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6,219,775.41</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48,962,756.70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8,525,171.70</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16"/>
        <w:jc w:val="left"/>
      </w:pPr>
      <w:r>
        <w:rPr>
          <w:spacing w:val="-2"/>
        </w:rPr>
        <w:t>如是按照预期信用损失一般模型计提应收账款坏账准备，请参照其他应收款的披露方式披露坏账准备的相</w:t>
      </w:r>
      <w:r>
        <w:rPr>
          <w:spacing w:val="-43"/>
        </w:rPr>
        <w:t> </w:t>
      </w:r>
      <w:r>
        <w:rPr>
          <w:spacing w:val="-43"/>
        </w:rPr>
      </w:r>
      <w:r>
        <w:rPr/>
        <w:t>关信息：</w:t>
      </w:r>
    </w:p>
    <w:p>
      <w:pPr>
        <w:pStyle w:val="BodyText"/>
        <w:spacing w:line="290" w:lineRule="auto" w:before="48"/>
        <w:ind w:right="89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spacing w:before="5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59"/>
        <w:gridCol w:w="4783"/>
      </w:tblGrid>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39,096,168.96</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1,981,798.40</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2,229,066.10</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6,673,143.63</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2,054,707.08</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4,618,436.55</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49,980,177.09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67" w:space="6362"/>
            <w:col w:w="2101"/>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10,690,234.02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2,165,062.32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8,525,171.70</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1,021,622.23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1,017,420.39</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11,711,856.25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2,169,264.16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9,542,592.09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80"/>
        <w:gridCol w:w="2530"/>
        <w:gridCol w:w="2530"/>
        <w:gridCol w:w="2523"/>
      </w:tblGrid>
      <w:tr>
        <w:trPr>
          <w:trHeight w:val="713" w:hRule="exact"/>
        </w:trPr>
        <w:tc>
          <w:tcPr>
            <w:tcW w:w="19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15.41%</w:t>
            </w:r>
          </w:p>
        </w:tc>
        <w:tc>
          <w:tcPr>
            <w:tcW w:w="2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231,000.00</w:t>
            </w:r>
          </w:p>
        </w:tc>
      </w:tr>
      <w:tr>
        <w:trPr>
          <w:trHeight w:val="401"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5,524,929.97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w:t>
            </w:r>
          </w:p>
        </w:tc>
        <w:tc>
          <w:tcPr>
            <w:tcW w:w="2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165,747.90</w:t>
            </w:r>
          </w:p>
        </w:tc>
      </w:tr>
      <w:tr>
        <w:trPr>
          <w:trHeight w:val="403"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5,500,470.00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11.01%</w:t>
            </w:r>
          </w:p>
        </w:tc>
        <w:tc>
          <w:tcPr>
            <w:tcW w:w="2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165,014.10</w:t>
            </w:r>
          </w:p>
        </w:tc>
      </w:tr>
      <w:tr>
        <w:trPr>
          <w:trHeight w:val="401"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3,230,696.17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c>
          <w:tcPr>
            <w:tcW w:w="2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96,920.89</w:t>
            </w:r>
          </w:p>
        </w:tc>
      </w:tr>
      <w:tr>
        <w:trPr>
          <w:trHeight w:val="403"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2,887,714.00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w:t>
            </w:r>
          </w:p>
        </w:tc>
        <w:tc>
          <w:tcPr>
            <w:tcW w:w="2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86,631.42</w:t>
            </w:r>
          </w:p>
        </w:tc>
      </w:tr>
      <w:tr>
        <w:trPr>
          <w:trHeight w:val="401" w:hRule="exact"/>
        </w:trPr>
        <w:tc>
          <w:tcPr>
            <w:tcW w:w="19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24,843,810.14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49.71%</w:t>
            </w:r>
          </w:p>
        </w:tc>
        <w:tc>
          <w:tcPr>
            <w:tcW w:w="2523" w:type="dxa"/>
            <w:tcBorders>
              <w:top w:val="single" w:sz="4" w:space="0" w:color="000000"/>
              <w:left w:val="single" w:sz="4" w:space="0" w:color="000000"/>
              <w:bottom w:val="single" w:sz="4" w:space="0" w:color="000000"/>
              <w:right w:val="nil" w:sz="6" w:space="0" w:color="auto"/>
            </w:tcBorders>
            <w:shd w:val="clear" w:color="auto" w:fill="D2D2D2"/>
          </w:tcPr>
          <w:p>
            <w:pPr/>
          </w:p>
        </w:tc>
      </w:tr>
    </w:tbl>
    <w:p>
      <w:pPr>
        <w:spacing w:after="0"/>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8"/>
      </w:tblGrid>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8,349,420.52</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8,349,420.52</w:t>
            </w:r>
          </w:p>
        </w:tc>
      </w:tr>
    </w:tbl>
    <w:p>
      <w:pPr>
        <w:pStyle w:val="BodyText"/>
        <w:spacing w:line="240" w:lineRule="auto" w:before="28"/>
        <w:ind w:right="1116"/>
        <w:jc w:val="left"/>
      </w:pPr>
      <w:r>
        <w:rPr/>
        <w:t>应收款项融资本期增减变动及公允价值变动情况</w:t>
      </w:r>
    </w:p>
    <w:p>
      <w:pPr>
        <w:pStyle w:val="BodyText"/>
        <w:spacing w:line="283" w:lineRule="auto" w:before="75"/>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如是按照预期信用损失一般模型计提应收款项融资减值准备，请参照其他应收款的披露方式披露减值准备</w:t>
      </w:r>
      <w:r>
        <w:rPr>
          <w:spacing w:val="-43"/>
        </w:rPr>
        <w:t> </w:t>
      </w:r>
      <w:r>
        <w:rPr>
          <w:spacing w:val="-43"/>
        </w:rPr>
      </w:r>
      <w:r>
        <w:rPr/>
        <w:t>的相关信息：</w:t>
      </w:r>
    </w:p>
    <w:p>
      <w:pPr>
        <w:pStyle w:val="BodyText"/>
        <w:spacing w:line="290" w:lineRule="auto" w:before="40"/>
        <w:ind w:right="89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其他说明：</w:t>
      </w:r>
    </w:p>
    <w:p>
      <w:pPr>
        <w:pStyle w:val="BodyText"/>
        <w:spacing w:line="256" w:lineRule="auto" w:before="34"/>
        <w:ind w:right="1116" w:firstLine="420"/>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日，本公司认为所持有的应收款项融资不存在重大的信用风险，不会因违约而产生</w:t>
      </w:r>
      <w:r>
        <w:rPr>
          <w:w w:val="100"/>
        </w:rPr>
        <w:t> </w:t>
      </w:r>
      <w:r>
        <w:rPr/>
        <w:t>重大损失。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16"/>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3"/>
        <w:gridCol w:w="1915"/>
        <w:gridCol w:w="1901"/>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2,303,539.63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4,251,092.76</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94.80%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569,696.56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108,957.85</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105,612.99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54,908.12</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1.23%</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69,192.03</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1.54%</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3,066,379.33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4,484,150.76</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9"/>
        <w:ind w:right="1116"/>
        <w:jc w:val="left"/>
      </w:pP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24" w:type="dxa"/>
        <w:tblLayout w:type="fixed"/>
        <w:tblCellMar>
          <w:top w:w="0" w:type="dxa"/>
          <w:left w:w="0" w:type="dxa"/>
          <w:bottom w:w="0" w:type="dxa"/>
          <w:right w:w="0" w:type="dxa"/>
        </w:tblCellMar>
        <w:tblLook w:val="01E0"/>
      </w:tblPr>
      <w:tblGrid>
        <w:gridCol w:w="3990"/>
        <w:gridCol w:w="1445"/>
        <w:gridCol w:w="1286"/>
        <w:gridCol w:w="1124"/>
        <w:gridCol w:w="1829"/>
      </w:tblGrid>
      <w:tr>
        <w:trPr>
          <w:trHeight w:val="655"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35" w:right="5"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 的比例</w:t>
            </w:r>
            <w:r>
              <w:rPr>
                <w:rFonts w:ascii="Times New Roman" w:hAnsi="Times New Roman" w:cs="Times New Roman" w:eastAsia="Times New Roman" w:hint="default"/>
                <w:sz w:val="18"/>
                <w:szCs w:val="18"/>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53"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东莞市汇樾科技有限公司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597,169.01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6" w:right="0"/>
              <w:jc w:val="left"/>
              <w:rPr>
                <w:rFonts w:ascii="Times New Roman" w:hAnsi="Times New Roman" w:cs="Times New Roman" w:eastAsia="Times New Roman" w:hint="default"/>
                <w:sz w:val="18"/>
                <w:szCs w:val="18"/>
              </w:rPr>
            </w:pPr>
            <w:r>
              <w:rPr>
                <w:rFonts w:ascii="Times New Roman"/>
                <w:sz w:val="18"/>
              </w:rPr>
              <w:t>19.47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年以内，</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至</w:t>
            </w:r>
            <w:r>
              <w:rPr>
                <w:rFonts w:ascii="Times New Roman" w:hAnsi="Times New Roman" w:cs="Times New Roman" w:eastAsia="Times New Roman" w:hint="default"/>
                <w:spacing w:val="-9"/>
                <w:sz w:val="18"/>
                <w:szCs w:val="18"/>
              </w:rPr>
              <w:t>2</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3"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中国电信股份有限公司武汉分公司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294,810.49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2" w:right="0"/>
              <w:jc w:val="left"/>
              <w:rPr>
                <w:rFonts w:ascii="Times New Roman" w:hAnsi="Times New Roman" w:cs="Times New Roman" w:eastAsia="Times New Roman" w:hint="default"/>
                <w:sz w:val="18"/>
                <w:szCs w:val="18"/>
              </w:rPr>
            </w:pPr>
            <w:r>
              <w:rPr>
                <w:rFonts w:ascii="Times New Roman"/>
                <w:sz w:val="18"/>
              </w:rPr>
              <w:t>9.61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1"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苏州菲镭泰克激光技术有限公司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215,000.00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2" w:right="0"/>
              <w:jc w:val="left"/>
              <w:rPr>
                <w:rFonts w:ascii="Times New Roman" w:hAnsi="Times New Roman" w:cs="Times New Roman" w:eastAsia="Times New Roman" w:hint="default"/>
                <w:sz w:val="18"/>
                <w:szCs w:val="18"/>
              </w:rPr>
            </w:pPr>
            <w:r>
              <w:rPr>
                <w:rFonts w:ascii="Times New Roman"/>
                <w:sz w:val="18"/>
              </w:rPr>
              <w:t>7.01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4"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武汉顶浪电气有限公司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164,000.00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2" w:right="0"/>
              <w:jc w:val="left"/>
              <w:rPr>
                <w:rFonts w:ascii="Times New Roman" w:hAnsi="Times New Roman" w:cs="Times New Roman" w:eastAsia="Times New Roman" w:hint="default"/>
                <w:sz w:val="18"/>
                <w:szCs w:val="18"/>
              </w:rPr>
            </w:pPr>
            <w:r>
              <w:rPr>
                <w:rFonts w:ascii="Times New Roman"/>
                <w:sz w:val="18"/>
              </w:rPr>
              <w:t>5.35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3"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西麦克国际展览有限责任公司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2" w:right="0"/>
              <w:jc w:val="left"/>
              <w:rPr>
                <w:rFonts w:ascii="Times New Roman" w:hAnsi="Times New Roman" w:cs="Times New Roman" w:eastAsia="Times New Roman" w:hint="default"/>
                <w:sz w:val="18"/>
                <w:szCs w:val="18"/>
              </w:rPr>
            </w:pPr>
            <w:r>
              <w:rPr>
                <w:rFonts w:ascii="Times New Roman"/>
                <w:sz w:val="18"/>
              </w:rPr>
              <w:t>4.24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28" w:type="dxa"/>
        <w:tblLayout w:type="fixed"/>
        <w:tblCellMar>
          <w:top w:w="0" w:type="dxa"/>
          <w:left w:w="0" w:type="dxa"/>
          <w:bottom w:w="0" w:type="dxa"/>
          <w:right w:w="0" w:type="dxa"/>
        </w:tblCellMar>
        <w:tblLook w:val="01E0"/>
      </w:tblPr>
      <w:tblGrid>
        <w:gridCol w:w="3990"/>
        <w:gridCol w:w="1445"/>
        <w:gridCol w:w="1286"/>
        <w:gridCol w:w="1124"/>
        <w:gridCol w:w="1829"/>
      </w:tblGrid>
      <w:tr>
        <w:trPr>
          <w:trHeight w:val="344"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87" w:right="0"/>
              <w:jc w:val="left"/>
              <w:rPr>
                <w:rFonts w:ascii="Times New Roman" w:hAnsi="Times New Roman" w:cs="Times New Roman" w:eastAsia="Times New Roman" w:hint="default"/>
                <w:sz w:val="18"/>
                <w:szCs w:val="18"/>
              </w:rPr>
            </w:pPr>
            <w:r>
              <w:rPr>
                <w:rFonts w:ascii="Times New Roman"/>
                <w:b/>
                <w:sz w:val="18"/>
              </w:rPr>
              <w:t>1,400,979.50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Times New Roman" w:hAnsi="Times New Roman" w:cs="Times New Roman" w:eastAsia="Times New Roman" w:hint="default"/>
                <w:sz w:val="18"/>
                <w:szCs w:val="18"/>
              </w:rPr>
            </w:pPr>
            <w:r>
              <w:rPr>
                <w:rFonts w:ascii="Times New Roman"/>
                <w:b/>
                <w:sz w:val="18"/>
              </w:rPr>
              <w:t>45.68</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16"/>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8,214,770.63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6,621,077.51</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8,214,770.63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6,621,077.51</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78"/>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1,349,806.74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1,170,639.11</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1,700,869.53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1,032,718.30</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686,935.22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775,769.20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12,753,605.94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10,942,670.75</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735,364.21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1,037,098.41</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1,514,524.90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1,966,985.84</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18,741,106.54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16,925,881.61</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90"/>
        <w:gridCol w:w="1663"/>
        <w:gridCol w:w="2098"/>
        <w:gridCol w:w="2101"/>
        <w:gridCol w:w="1790"/>
      </w:tblGrid>
      <w:tr>
        <w:trPr>
          <w:trHeight w:val="401" w:hRule="exact"/>
        </w:trPr>
        <w:tc>
          <w:tcPr>
            <w:tcW w:w="1890" w:type="dxa"/>
            <w:tcBorders>
              <w:top w:val="single" w:sz="4" w:space="0" w:color="000000"/>
              <w:left w:val="nil" w:sz="6" w:space="0" w:color="auto"/>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79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53" w:hRule="exact"/>
        </w:trPr>
        <w:tc>
          <w:tcPr>
            <w:tcW w:w="189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79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0" w:type="dxa"/>
            <w:tcBorders>
              <w:top w:val="nil" w:sz="6" w:space="0" w:color="auto"/>
              <w:left w:val="nil" w:sz="6" w:space="0" w:color="auto"/>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79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1"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5,443,634.70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4,861,169.40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10,304,804.10</w:t>
            </w:r>
          </w:p>
        </w:tc>
      </w:tr>
      <w:tr>
        <w:trPr>
          <w:trHeight w:val="161" w:hRule="exact"/>
        </w:trPr>
        <w:tc>
          <w:tcPr>
            <w:tcW w:w="1890" w:type="dxa"/>
            <w:vMerge w:val="restart"/>
            <w:tcBorders>
              <w:top w:val="single" w:sz="4" w:space="0" w:color="000000"/>
              <w:left w:val="nil" w:sz="6" w:space="0" w:color="auto"/>
              <w:right w:val="single" w:sz="4" w:space="0" w:color="000000"/>
            </w:tcBorders>
            <w:shd w:val="clear" w:color="auto" w:fill="D2D2D2"/>
          </w:tcPr>
          <w:p>
            <w:pPr>
              <w:pStyle w:val="TableParagraph"/>
              <w:spacing w:line="300" w:lineRule="auto" w:before="49"/>
              <w:ind w:left="1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4" w:hRule="exact"/>
        </w:trPr>
        <w:tc>
          <w:tcPr>
            <w:tcW w:w="1890" w:type="dxa"/>
            <w:vMerge/>
            <w:tcBorders>
              <w:left w:val="nil" w:sz="6" w:space="0" w:color="auto"/>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9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0" w:type="dxa"/>
            <w:vMerge/>
            <w:tcBorders>
              <w:left w:val="nil" w:sz="6" w:space="0" w:color="auto"/>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1"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221,531.81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221,531.81</w:t>
            </w:r>
          </w:p>
        </w:tc>
      </w:tr>
      <w:tr>
        <w:trPr>
          <w:trHeight w:val="403"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5,665,166.51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4,861,169.40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10,526,335.91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100" w:bottom="1160" w:left="980" w:right="0"/>
        </w:sectPr>
      </w:pPr>
    </w:p>
    <w:p>
      <w:pPr>
        <w:pStyle w:val="BodyText"/>
        <w:spacing w:line="240" w:lineRule="auto" w:before="36"/>
        <w:ind w:right="0"/>
        <w:jc w:val="left"/>
      </w:pPr>
      <w:r>
        <w:rPr>
          <w:spacing w:val="-2"/>
        </w:rPr>
        <w:t>损失准备本期变动金额重大的账面余额变动情况</w:t>
      </w:r>
    </w:p>
    <w:p>
      <w:pPr>
        <w:pStyle w:val="BodyText"/>
        <w:spacing w:line="290" w:lineRule="auto" w:before="78"/>
        <w:ind w:right="18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568" w:space="4262"/>
            <w:col w:w="2100"/>
          </w:cols>
        </w:sectPr>
      </w:pP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59"/>
        <w:gridCol w:w="4783"/>
      </w:tblGrid>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5,585,185.53</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2,869,182.30</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901,113.91</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9,385,624.80</w:t>
            </w:r>
          </w:p>
        </w:tc>
      </w:tr>
      <w:tr>
        <w:trPr>
          <w:trHeight w:val="404"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3,275,837.16</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6,046,911.14</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62,876.50</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18,741,106.54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BodyText"/>
        <w:spacing w:line="240" w:lineRule="auto" w:before="36"/>
        <w:ind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67" w:space="6362"/>
            <w:col w:w="2101"/>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16"/>
        <w:gridCol w:w="1097"/>
        <w:gridCol w:w="1340"/>
        <w:gridCol w:w="1332"/>
        <w:gridCol w:w="1332"/>
        <w:gridCol w:w="1325"/>
        <w:gridCol w:w="1728"/>
      </w:tblGrid>
      <w:tr>
        <w:trPr>
          <w:trHeight w:val="404" w:hRule="exact"/>
        </w:trPr>
        <w:tc>
          <w:tcPr>
            <w:tcW w:w="141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nil" w:sz="6" w:space="0" w:color="auto"/>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5,443,634.70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221,531.81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5,665,166.51</w:t>
            </w:r>
          </w:p>
        </w:tc>
      </w:tr>
      <w:tr>
        <w:trPr>
          <w:trHeight w:val="401"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4,861,169.40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4,861,169.40</w:t>
            </w:r>
          </w:p>
        </w:tc>
      </w:tr>
      <w:tr>
        <w:trPr>
          <w:trHeight w:val="403" w:hRule="exact"/>
        </w:trPr>
        <w:tc>
          <w:tcPr>
            <w:tcW w:w="141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10,304,804.10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221,531.81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10,526,335.91</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96"/>
        <w:gridCol w:w="1133"/>
        <w:gridCol w:w="1135"/>
        <w:gridCol w:w="1275"/>
        <w:gridCol w:w="1844"/>
        <w:gridCol w:w="1586"/>
      </w:tblGrid>
      <w:tr>
        <w:trPr>
          <w:trHeight w:val="716"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7" w:right="104"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5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5,299,973.37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28.28%</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477,709.12</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21.94%</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4,111,169.40</w:t>
            </w:r>
          </w:p>
        </w:tc>
      </w:tr>
      <w:tr>
        <w:trPr>
          <w:trHeight w:val="401"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24"/>
                <w:sz w:val="18"/>
              </w:rPr>
              <w:t> </w:t>
            </w:r>
            <w:r>
              <w:rPr>
                <w:rFonts w:ascii="Times New Roman"/>
                <w:sz w:val="18"/>
              </w:rPr>
              <w:t>FZE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1,329,930.74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1,329,930.74</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银行保证金利息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847,059.51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c>
          <w:tcPr>
            <w:tcW w:w="158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735,364.21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58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12,323,497.23</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65.76%</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5,918,809.26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t>是否已执行新收入准则</w:t>
      </w:r>
    </w:p>
    <w:p>
      <w:pPr>
        <w:pStyle w:val="BodyText"/>
        <w:spacing w:line="240" w:lineRule="auto" w:before="75"/>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350"/>
        <w:gridCol w:w="1379"/>
        <w:gridCol w:w="1368"/>
        <w:gridCol w:w="1366"/>
        <w:gridCol w:w="1368"/>
        <w:gridCol w:w="1366"/>
        <w:gridCol w:w="1355"/>
      </w:tblGrid>
      <w:tr>
        <w:trPr>
          <w:trHeight w:val="206" w:hRule="exact"/>
        </w:trPr>
        <w:tc>
          <w:tcPr>
            <w:tcW w:w="1350" w:type="dxa"/>
            <w:tcBorders>
              <w:top w:val="single" w:sz="4" w:space="0" w:color="000000"/>
              <w:left w:val="nil" w:sz="6" w:space="0" w:color="auto"/>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9"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089" w:type="dxa"/>
            <w:gridSpan w:val="3"/>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350" w:type="dxa"/>
            <w:vMerge/>
            <w:tcBorders>
              <w:left w:val="nil" w:sz="6" w:space="0" w:color="auto"/>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0" w:type="dxa"/>
            <w:tcBorders>
              <w:top w:val="nil" w:sz="6" w:space="0" w:color="auto"/>
              <w:left w:val="nil" w:sz="6" w:space="0" w:color="auto"/>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nil" w:sz="6" w:space="0" w:color="auto"/>
            </w:tcBorders>
            <w:shd w:val="clear" w:color="auto" w:fill="D2D2D2"/>
          </w:tcPr>
          <w:p>
            <w:pPr/>
          </w:p>
        </w:tc>
      </w:tr>
      <w:tr>
        <w:trPr>
          <w:trHeight w:val="404"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43,300,190.59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10,408,135.73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32,892,054.86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41,021,475.65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8,428,027.13</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pacing w:val="-1"/>
                <w:sz w:val="18"/>
              </w:rPr>
              <w:t>32,593,448.52</w:t>
            </w:r>
          </w:p>
        </w:tc>
      </w:tr>
      <w:tr>
        <w:trPr>
          <w:trHeight w:val="401"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20,231,490.75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3,700,154.17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16,531,336.58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21,792,038.23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4,352,345.84</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17,439,692.39</w:t>
            </w:r>
          </w:p>
        </w:tc>
      </w:tr>
      <w:tr>
        <w:trPr>
          <w:trHeight w:val="403"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25,367,090.10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7,125,700.74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18,241,389.36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30,669,023.74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7,579,956.00</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23,089,067.74</w:t>
            </w:r>
          </w:p>
        </w:tc>
      </w:tr>
      <w:tr>
        <w:trPr>
          <w:trHeight w:val="401"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3,707,527.86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1,642,214.25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2,065,313.61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7,193,232.06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7,193,232.06</w:t>
            </w:r>
          </w:p>
        </w:tc>
      </w:tr>
      <w:tr>
        <w:trPr>
          <w:trHeight w:val="403" w:hRule="exact"/>
        </w:trPr>
        <w:tc>
          <w:tcPr>
            <w:tcW w:w="13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9,574,812.42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5,779,525.26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3,795,287.16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11,470,149.22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5,565,913.23</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5,904,235.99</w:t>
            </w:r>
          </w:p>
        </w:tc>
      </w:tr>
      <w:tr>
        <w:trPr>
          <w:trHeight w:val="403" w:hRule="exact"/>
        </w:trPr>
        <w:tc>
          <w:tcPr>
            <w:tcW w:w="13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102,181,111.72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28,655,730.15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73,525,381.57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112,145,918.90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25,926,242.20</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86,219,676.70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361"/>
        <w:gridCol w:w="1369"/>
        <w:gridCol w:w="1368"/>
        <w:gridCol w:w="1366"/>
        <w:gridCol w:w="1368"/>
        <w:gridCol w:w="1366"/>
        <w:gridCol w:w="1355"/>
      </w:tblGrid>
      <w:tr>
        <w:trPr>
          <w:trHeight w:val="206" w:hRule="exact"/>
        </w:trPr>
        <w:tc>
          <w:tcPr>
            <w:tcW w:w="1361" w:type="dxa"/>
            <w:tcBorders>
              <w:top w:val="single" w:sz="4" w:space="0" w:color="000000"/>
              <w:left w:val="nil" w:sz="6" w:space="0" w:color="auto"/>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55"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0" w:hRule="exact"/>
        </w:trPr>
        <w:tc>
          <w:tcPr>
            <w:tcW w:w="136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55"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1" w:type="dxa"/>
            <w:vMerge/>
            <w:tcBorders>
              <w:left w:val="nil" w:sz="6" w:space="0" w:color="auto"/>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5"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361" w:type="dxa"/>
            <w:tcBorders>
              <w:top w:val="nil" w:sz="6" w:space="0" w:color="auto"/>
              <w:left w:val="nil" w:sz="6" w:space="0" w:color="auto"/>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5"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1" w:hRule="exact"/>
        </w:trPr>
        <w:tc>
          <w:tcPr>
            <w:tcW w:w="1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2,536,038.72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555,930.12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10,408,135.73</w:t>
            </w:r>
          </w:p>
        </w:tc>
      </w:tr>
      <w:tr>
        <w:trPr>
          <w:trHeight w:val="403" w:hRule="exact"/>
        </w:trPr>
        <w:tc>
          <w:tcPr>
            <w:tcW w:w="1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4,352,345.84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104,492.59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756,684.26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3,700,154.17</w:t>
            </w:r>
          </w:p>
        </w:tc>
      </w:tr>
      <w:tr>
        <w:trPr>
          <w:trHeight w:val="401" w:hRule="exact"/>
        </w:trPr>
        <w:tc>
          <w:tcPr>
            <w:tcW w:w="1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7,579,956.00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555,366.37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1,009,621.63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7,125,700.74</w:t>
            </w:r>
          </w:p>
        </w:tc>
      </w:tr>
      <w:tr>
        <w:trPr>
          <w:trHeight w:val="403" w:hRule="exact"/>
        </w:trPr>
        <w:tc>
          <w:tcPr>
            <w:tcW w:w="1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5,565,913.23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294,208.01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80,595.98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5,779,525.26</w:t>
            </w:r>
          </w:p>
        </w:tc>
      </w:tr>
      <w:tr>
        <w:trPr>
          <w:trHeight w:val="401" w:hRule="exact"/>
        </w:trPr>
        <w:tc>
          <w:tcPr>
            <w:tcW w:w="1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1,642,214.25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1,642,214.25</w:t>
            </w:r>
          </w:p>
        </w:tc>
      </w:tr>
      <w:tr>
        <w:trPr>
          <w:trHeight w:val="404" w:hRule="exact"/>
        </w:trPr>
        <w:tc>
          <w:tcPr>
            <w:tcW w:w="13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25,926,242.20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5,132,319.94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2,402,831.99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28,655,730.15</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0"/>
        <w:jc w:val="left"/>
      </w:pPr>
      <w:r>
        <w:rPr>
          <w:spacing w:val="-2"/>
        </w:rPr>
        <w:t>是否已执行新收入准则</w:t>
      </w:r>
    </w:p>
    <w:p>
      <w:pPr>
        <w:pStyle w:val="BodyText"/>
        <w:spacing w:line="240" w:lineRule="auto" w:before="7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56" w:space="6573"/>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570,909.16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588,320.11</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178,012.52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190,775.89</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支付宝账户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420.05</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存出投资款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17,998.99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17,998.99</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767,340.72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797,515.04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92"/>
        <w:gridCol w:w="1114"/>
        <w:gridCol w:w="413"/>
        <w:gridCol w:w="866"/>
        <w:gridCol w:w="1171"/>
        <w:gridCol w:w="651"/>
        <w:gridCol w:w="535"/>
        <w:gridCol w:w="828"/>
        <w:gridCol w:w="528"/>
        <w:gridCol w:w="301"/>
        <w:gridCol w:w="732"/>
        <w:gridCol w:w="1164"/>
      </w:tblGrid>
      <w:tr>
        <w:trPr>
          <w:trHeight w:val="403" w:hRule="exact"/>
        </w:trPr>
        <w:tc>
          <w:tcPr>
            <w:tcW w:w="139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97" w:lineRule="auto"/>
              <w:ind w:left="251" w:right="7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2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7" w:lineRule="auto"/>
              <w:ind w:left="59" w:right="60"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16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4" w:lineRule="auto"/>
              <w:ind w:left="398" w:right="38"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338" w:hRule="exact"/>
        </w:trPr>
        <w:tc>
          <w:tcPr>
            <w:tcW w:w="1392" w:type="dxa"/>
            <w:vMerge/>
            <w:tcBorders>
              <w:left w:val="nil" w:sz="6" w:space="0" w:color="auto"/>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10"/>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31" w:right="38"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 w:right="4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4" w:right="79"/>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 w:right="47"/>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1" w:right="7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7" w:right="51"/>
              <w:jc w:val="left"/>
              <w:rPr>
                <w:rFonts w:ascii="宋体" w:hAnsi="宋体" w:cs="宋体" w:eastAsia="宋体" w:hint="default"/>
                <w:sz w:val="18"/>
                <w:szCs w:val="18"/>
              </w:rPr>
            </w:pPr>
            <w:r>
              <w:rPr>
                <w:rFonts w:ascii="宋体" w:hAnsi="宋体" w:cs="宋体" w:eastAsia="宋体" w:hint="default"/>
                <w:sz w:val="18"/>
                <w:szCs w:val="18"/>
              </w:rPr>
              <w:t>其 他</w:t>
            </w:r>
          </w:p>
        </w:tc>
        <w:tc>
          <w:tcPr>
            <w:tcW w:w="732"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9696"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6"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6" w:right="99"/>
              <w:jc w:val="both"/>
              <w:rPr>
                <w:rFonts w:ascii="宋体" w:hAnsi="宋体" w:cs="宋体" w:eastAsia="宋体" w:hint="default"/>
                <w:sz w:val="18"/>
                <w:szCs w:val="18"/>
              </w:rPr>
            </w:pPr>
            <w:r>
              <w:rPr>
                <w:rFonts w:ascii="宋体" w:hAnsi="宋体" w:cs="宋体" w:eastAsia="宋体" w:hint="default"/>
                <w:sz w:val="18"/>
                <w:szCs w:val="18"/>
              </w:rPr>
              <w:t>扬州市金运环宇 激光设备有限公 司（注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187,272.00</w:t>
            </w:r>
          </w:p>
        </w:tc>
        <w:tc>
          <w:tcPr>
            <w:tcW w:w="41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184,049.34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-3,222.66</w:t>
            </w:r>
          </w:p>
        </w:tc>
        <w:tc>
          <w:tcPr>
            <w:tcW w:w="65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26" w:right="111"/>
              <w:jc w:val="left"/>
              <w:rPr>
                <w:rFonts w:ascii="宋体" w:hAnsi="宋体" w:cs="宋体" w:eastAsia="宋体" w:hint="default"/>
                <w:sz w:val="18"/>
                <w:szCs w:val="18"/>
              </w:rPr>
            </w:pPr>
            <w:r>
              <w:rPr>
                <w:rFonts w:ascii="宋体" w:hAnsi="宋体" w:cs="宋体" w:eastAsia="宋体" w:hint="default"/>
                <w:spacing w:val="-2"/>
                <w:sz w:val="18"/>
                <w:szCs w:val="18"/>
              </w:rPr>
              <w:t>落地创意（武汉</w:t>
            </w:r>
            <w:r>
              <w:rPr>
                <w:rFonts w:ascii="宋体" w:hAnsi="宋体" w:cs="宋体" w:eastAsia="宋体" w:hint="default"/>
                <w:sz w:val="18"/>
                <w:szCs w:val="18"/>
              </w:rPr>
              <w:t> 科技有限公司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1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3,681,743.61</w:t>
            </w:r>
          </w:p>
        </w:tc>
      </w:tr>
      <w:tr>
        <w:trPr>
          <w:trHeight w:val="401" w:hRule="exact"/>
        </w:trPr>
        <w:tc>
          <w:tcPr>
            <w:tcW w:w="1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187,272.00</w:t>
            </w:r>
          </w:p>
        </w:tc>
        <w:tc>
          <w:tcPr>
            <w:tcW w:w="41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184,049.34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-3,222.66</w:t>
            </w:r>
          </w:p>
        </w:tc>
        <w:tc>
          <w:tcPr>
            <w:tcW w:w="65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3,681,743.61</w:t>
            </w:r>
          </w:p>
        </w:tc>
      </w:tr>
      <w:tr>
        <w:trPr>
          <w:trHeight w:val="403" w:hRule="exact"/>
        </w:trPr>
        <w:tc>
          <w:tcPr>
            <w:tcW w:w="1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187,272.00</w:t>
            </w:r>
          </w:p>
        </w:tc>
        <w:tc>
          <w:tcPr>
            <w:tcW w:w="41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184,049.34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-3,222.66</w:t>
            </w:r>
          </w:p>
        </w:tc>
        <w:tc>
          <w:tcPr>
            <w:tcW w:w="65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3,681,743.61</w:t>
            </w:r>
          </w:p>
        </w:tc>
      </w:tr>
    </w:tbl>
    <w:p>
      <w:pPr>
        <w:pStyle w:val="BodyText"/>
        <w:spacing w:line="240" w:lineRule="auto" w:before="28"/>
        <w:ind w:right="1116"/>
        <w:jc w:val="left"/>
      </w:pPr>
      <w:r>
        <w:rPr/>
        <w:pict>
          <v:group style="position:absolute;margin-left:125.300003pt;margin-top:-75.856316pt;width:55.1pt;height:27.9pt;mso-position-horizontal-relative:page;mso-position-vertical-relative:paragraph;z-index:-795112" coordorigin="2506,-1517" coordsize="1102,558">
            <v:group style="position:absolute;left:2506;top:-1517;width:1102;height:156" coordorigin="2506,-1517" coordsize="1102,156">
              <v:shape style="position:absolute;left:2506;top:-1517;width:1102;height:156" coordorigin="2506,-1517" coordsize="1102,156" path="m2506,-1361l3608,-1361,3608,-1517,2506,-1517,2506,-1361xe" filled="true" fillcolor="#ffffff" stroked="false">
                <v:path arrowok="t"/>
                <v:fill type="solid"/>
              </v:shape>
            </v:group>
            <v:group style="position:absolute;left:2517;top:-1361;width:2;height:392" coordorigin="2517,-1361" coordsize="2,392">
              <v:shape style="position:absolute;left:2517;top:-1361;width:2;height:392" coordorigin="2517,-1361" coordsize="0,392" path="m2517,-1361l2517,-970e" filled="false" stroked="true" strokeweight="1.08pt" strokecolor="#ffffff">
                <v:path arrowok="t"/>
              </v:shape>
            </v:group>
            <v:group style="position:absolute;left:2528;top:-1361;width:1059;height:392" coordorigin="2528,-1361" coordsize="1059,392">
              <v:shape style="position:absolute;left:2528;top:-1361;width:1059;height:392" coordorigin="2528,-1361" coordsize="1059,392" path="m2528,-970l3586,-970,3586,-1361,2528,-1361,2528,-970xe" filled="true" fillcolor="#ffffff" stroked="false">
                <v:path arrowok="t"/>
                <v:fill type="solid"/>
              </v:shape>
            </v:group>
            <w10:wrap type="none"/>
          </v:group>
        </w:pict>
      </w:r>
      <w:r>
        <w:rPr/>
        <w:t>其他说明</w:t>
      </w:r>
    </w:p>
    <w:p>
      <w:pPr>
        <w:pStyle w:val="BodyText"/>
        <w:spacing w:line="256" w:lineRule="auto" w:before="75"/>
        <w:ind w:right="1116" w:firstLine="420"/>
        <w:jc w:val="left"/>
      </w:pPr>
      <w:r>
        <w:rPr>
          <w:spacing w:val="-2"/>
        </w:rPr>
        <w:t>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金运激光</w:t>
      </w:r>
      <w:r>
        <w:rPr>
          <w:rFonts w:ascii="Times New Roman" w:hAnsi="Times New Roman" w:cs="Times New Roman" w:eastAsia="Times New Roman" w:hint="default"/>
          <w:spacing w:val="-2"/>
        </w:rPr>
        <w:t>”</w:t>
      </w:r>
      <w:r>
        <w:rPr>
          <w:spacing w:val="-2"/>
        </w:rPr>
        <w:t>子公司</w:t>
      </w:r>
      <w:r>
        <w:rPr>
          <w:rFonts w:ascii="Times New Roman" w:hAnsi="Times New Roman" w:cs="Times New Roman" w:eastAsia="Times New Roman" w:hint="default"/>
          <w:spacing w:val="-2"/>
        </w:rPr>
        <w:t>“</w:t>
      </w:r>
      <w:r>
        <w:rPr>
          <w:spacing w:val="-2"/>
        </w:rPr>
        <w:t>金运产业发展</w:t>
      </w:r>
      <w:r>
        <w:rPr>
          <w:rFonts w:ascii="Times New Roman" w:hAnsi="Times New Roman" w:cs="Times New Roman" w:eastAsia="Times New Roman" w:hint="default"/>
          <w:spacing w:val="-2"/>
        </w:rPr>
        <w:t>”</w:t>
      </w:r>
      <w:r>
        <w:rPr>
          <w:spacing w:val="-2"/>
        </w:rPr>
        <w:t>将其持有的</w:t>
      </w:r>
      <w:r>
        <w:rPr>
          <w:rFonts w:ascii="Times New Roman" w:hAnsi="Times New Roman" w:cs="Times New Roman" w:eastAsia="Times New Roman" w:hint="default"/>
          <w:spacing w:val="-2"/>
        </w:rPr>
        <w:t>“</w:t>
      </w:r>
      <w:r>
        <w:rPr>
          <w:spacing w:val="-2"/>
        </w:rPr>
        <w:t>扬州市金运环宇激光设备有限</w:t>
      </w:r>
      <w:r>
        <w:rPr>
          <w:w w:val="100"/>
        </w:rPr>
        <w:t> </w:t>
      </w:r>
      <w:r>
        <w:rPr/>
        <w:t>公司</w:t>
      </w:r>
      <w:r>
        <w:rPr>
          <w:rFonts w:ascii="Times New Roman" w:hAnsi="Times New Roman" w:cs="Times New Roman" w:eastAsia="Times New Roman" w:hint="default"/>
        </w:rPr>
        <w:t>”</w:t>
      </w:r>
      <w:r>
        <w:rPr/>
        <w:t>的</w:t>
      </w:r>
      <w:r>
        <w:rPr>
          <w:rFonts w:ascii="Times New Roman" w:hAnsi="Times New Roman" w:cs="Times New Roman" w:eastAsia="Times New Roman" w:hint="default"/>
        </w:rPr>
        <w:t>20%</w:t>
      </w:r>
      <w:r>
        <w:rPr/>
        <w:t>股权，以</w:t>
      </w:r>
      <w:r>
        <w:rPr>
          <w:rFonts w:ascii="Times New Roman" w:hAnsi="Times New Roman" w:cs="Times New Roman" w:eastAsia="Times New Roman" w:hint="default"/>
        </w:rPr>
        <w:t>19.5</w:t>
      </w:r>
      <w:r>
        <w:rPr/>
        <w:t>万元的价格转让给</w:t>
      </w:r>
      <w:r>
        <w:rPr>
          <w:rFonts w:ascii="Times New Roman" w:hAnsi="Times New Roman" w:cs="Times New Roman" w:eastAsia="Times New Roman" w:hint="default"/>
        </w:rPr>
        <w:t>“</w:t>
      </w:r>
      <w:r>
        <w:rPr/>
        <w:t>扬州市金运环宇激光设备有限公司</w:t>
      </w:r>
      <w:r>
        <w:rPr>
          <w:rFonts w:ascii="Times New Roman" w:hAnsi="Times New Roman" w:cs="Times New Roman" w:eastAsia="Times New Roman" w:hint="default"/>
        </w:rPr>
        <w:t>”</w:t>
      </w:r>
      <w:r>
        <w:rPr/>
        <w:t>自然人股东葛富林。</w:t>
      </w:r>
    </w:p>
    <w:p>
      <w:pPr>
        <w:spacing w:line="240" w:lineRule="auto" w:before="4"/>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11</w:t>
      </w:r>
      <w:r>
        <w:rPr/>
        <w:t>、其他权益工具投资</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9"/>
        <w:gridCol w:w="1368"/>
        <w:gridCol w:w="1366"/>
        <w:gridCol w:w="1368"/>
        <w:gridCol w:w="1367"/>
        <w:gridCol w:w="1367"/>
      </w:tblGrid>
      <w:tr>
        <w:trPr>
          <w:trHeight w:val="1028"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47" w:right="47"/>
              <w:jc w:val="both"/>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49"/>
              <w:ind w:left="46" w:right="53"/>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after="0" w:line="319"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益的原因</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71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108"/>
              <w:jc w:val="left"/>
              <w:rPr>
                <w:rFonts w:ascii="宋体" w:hAnsi="宋体" w:cs="宋体" w:eastAsia="宋体" w:hint="default"/>
                <w:sz w:val="18"/>
                <w:szCs w:val="18"/>
              </w:rPr>
            </w:pPr>
            <w:r>
              <w:rPr>
                <w:rFonts w:ascii="宋体" w:hAnsi="宋体" w:cs="宋体" w:eastAsia="宋体" w:hint="default"/>
                <w:spacing w:val="-6"/>
                <w:sz w:val="18"/>
                <w:szCs w:val="18"/>
              </w:rPr>
              <w:t>玩偶一号（武汉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36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pict>
          <v:group style="position:absolute;margin-left:125.419998pt;margin-top:-48.216309pt;width:67.850pt;height:28pt;mso-position-horizontal-relative:page;mso-position-vertical-relative:paragraph;z-index:-795088" coordorigin="2508,-964" coordsize="1357,560">
            <v:group style="position:absolute;left:2508;top:-964;width:1357;height:156" coordorigin="2508,-964" coordsize="1357,156">
              <v:shape style="position:absolute;left:2508;top:-964;width:1357;height:156" coordorigin="2508,-964" coordsize="1357,156" path="m2508,-808l3865,-808,3865,-964,2508,-964,2508,-808xe" filled="true" fillcolor="#ffffff" stroked="false">
                <v:path arrowok="t"/>
                <v:fill type="solid"/>
              </v:shape>
            </v:group>
            <v:group style="position:absolute;left:2520;top:-808;width:2;height:392" coordorigin="2520,-808" coordsize="2,392">
              <v:shape style="position:absolute;left:2520;top:-808;width:2;height:392" coordorigin="2520,-808" coordsize="0,392" path="m2520,-808l2520,-417e" filled="false" stroked="true" strokeweight="1.2pt" strokecolor="#ffffff">
                <v:path arrowok="t"/>
              </v:shape>
            </v:group>
            <v:group style="position:absolute;left:2532;top:-808;width:1311;height:392" coordorigin="2532,-808" coordsize="1311,392">
              <v:shape style="position:absolute;left:2532;top:-808;width:1311;height:392" coordorigin="2532,-808" coordsize="1311,392" path="m2532,-417l3843,-417,3843,-808,2532,-808,2532,-417xe" filled="true" fillcolor="#ffffff" stroked="false">
                <v:path arrowok="t"/>
                <v:fill type="solid"/>
              </v:shape>
            </v:group>
            <w10:wrap type="none"/>
          </v:group>
        </w:pict>
      </w:r>
      <w:r>
        <w:rPr>
          <w:rFonts w:ascii="Times New Roman" w:hAnsi="Times New Roman" w:cs="Times New Roman" w:eastAsia="Times New Roman" w:hint="default"/>
        </w:rPr>
        <w:t>12</w:t>
      </w:r>
      <w:r>
        <w:rPr/>
        <w:t>、其他非流动金融资产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395"/>
        <w:gridCol w:w="2410"/>
        <w:gridCol w:w="2753"/>
      </w:tblGrid>
      <w:tr>
        <w:trPr>
          <w:trHeight w:val="401" w:hRule="exact"/>
        </w:trPr>
        <w:tc>
          <w:tcPr>
            <w:tcW w:w="43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新余云尚投资合伙企业（有限合伙）</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5,416,676.72</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8,041,124.66</w:t>
            </w:r>
          </w:p>
        </w:tc>
      </w:tr>
      <w:tr>
        <w:trPr>
          <w:trHeight w:val="401" w:hRule="exact"/>
        </w:trPr>
        <w:tc>
          <w:tcPr>
            <w:tcW w:w="4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武汉高投金运激光产业投资基金合伙企业（有限合伙）</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25,853,075.95</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26,319,563.30</w:t>
            </w:r>
          </w:p>
        </w:tc>
      </w:tr>
      <w:tr>
        <w:trPr>
          <w:trHeight w:val="403" w:hRule="exact"/>
        </w:trPr>
        <w:tc>
          <w:tcPr>
            <w:tcW w:w="43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31,269,752.67</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34,360,687.96</w:t>
            </w:r>
          </w:p>
        </w:tc>
      </w:tr>
    </w:tbl>
    <w:p>
      <w:pPr>
        <w:pStyle w:val="BodyText"/>
        <w:spacing w:line="240" w:lineRule="auto" w:before="28"/>
        <w:ind w:right="1116"/>
        <w:jc w:val="left"/>
      </w:pPr>
      <w:r>
        <w:rPr/>
        <w:t>其他说明：</w:t>
      </w:r>
    </w:p>
    <w:p>
      <w:pPr>
        <w:pStyle w:val="BodyText"/>
        <w:spacing w:line="256" w:lineRule="auto" w:before="75"/>
        <w:ind w:right="1116" w:firstLine="420"/>
        <w:jc w:val="left"/>
      </w:pPr>
      <w:r>
        <w:rPr>
          <w:spacing w:val="-2"/>
        </w:rPr>
        <w:t>其他非流动金融资产说明详见第十二节财务报告之五、重要会计政策和会计估计之（</w:t>
      </w:r>
      <w:r>
        <w:rPr>
          <w:rFonts w:ascii="Times New Roman" w:hAnsi="Times New Roman" w:cs="Times New Roman" w:eastAsia="Times New Roman" w:hint="default"/>
          <w:spacing w:val="-2"/>
        </w:rPr>
        <w:t>31</w:t>
      </w:r>
      <w:r>
        <w:rPr>
          <w:spacing w:val="-2"/>
        </w:rPr>
        <w:t>）、重要会计</w:t>
      </w:r>
      <w:r>
        <w:rPr>
          <w:w w:val="100"/>
        </w:rPr>
        <w:t> </w:t>
      </w:r>
      <w:r>
        <w:rPr/>
        <w:t>政策和会计估计变更。</w:t>
      </w:r>
    </w:p>
    <w:p>
      <w:pPr>
        <w:spacing w:line="240" w:lineRule="auto" w:before="8"/>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74,997,117.07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77,725,415.19</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74,997,117.07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77,725,415.19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569"/>
        <w:gridCol w:w="1605"/>
        <w:gridCol w:w="1596"/>
        <w:gridCol w:w="1594"/>
        <w:gridCol w:w="1594"/>
        <w:gridCol w:w="1580"/>
      </w:tblGrid>
      <w:tr>
        <w:trPr>
          <w:trHeight w:val="40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74,156,626.70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28,511,612.36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2,823,182.93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7,072,621.01</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112,564,043.00</w:t>
            </w:r>
          </w:p>
        </w:tc>
      </w:tr>
      <w:tr>
        <w:trPr>
          <w:trHeight w:val="401"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2,154,874.64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166,192.94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2,321,067.58</w:t>
            </w:r>
          </w:p>
        </w:tc>
      </w:tr>
      <w:tr>
        <w:trPr>
          <w:trHeight w:val="40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1,780,003.99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166,192.94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1,946,196.93</w:t>
            </w:r>
          </w:p>
        </w:tc>
      </w:tr>
      <w:tr>
        <w:trPr>
          <w:trHeight w:val="71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374,870.65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374,870.65</w:t>
            </w:r>
          </w:p>
        </w:tc>
      </w:tr>
      <w:tr>
        <w:trPr>
          <w:trHeight w:val="715"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658,119.66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94,063.67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752,183.33</w:t>
            </w:r>
          </w:p>
        </w:tc>
      </w:tr>
      <w:tr>
        <w:trPr>
          <w:trHeight w:val="71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658,119.66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94,063.67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752,183.33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30,008,367.34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2,823,182.93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7,144,750.28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114,132,927.25</w:t>
            </w: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11,593,687.28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14,850,079.16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2,117,160.45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5,177,288.59</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33,738,215.48</w:t>
            </w: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1,765,662.72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2,585,802.97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351,567.38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4,777,389.66</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1,765,662.72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2,585,802.97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74,356.59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351,567.38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4,777,389.66</w:t>
            </w: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476,693.87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3,513.42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480,207.29</w:t>
            </w:r>
          </w:p>
        </w:tc>
      </w:tr>
      <w:tr>
        <w:trPr>
          <w:trHeight w:val="71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476,693.87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3,513.42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480,207.29</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13,359,350.00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16,959,188.26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2,191,517.04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5,525,342.55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38,035,397.85</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984,245.52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1,100,412.33</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116,166.81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984,245.52</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1,100,412.33</w:t>
            </w: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60,797,276.70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13,049,179.08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515,499.08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635,162.21</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74,997,117.07</w:t>
            </w:r>
          </w:p>
        </w:tc>
      </w:tr>
      <w:tr>
        <w:trPr>
          <w:trHeight w:val="403"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62,562,939.42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13,661,533.20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589,855.67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911,086.90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77,725,415.19</w:t>
            </w:r>
          </w:p>
        </w:tc>
      </w:tr>
    </w:tbl>
    <w:p>
      <w:pPr>
        <w:spacing w:line="240" w:lineRule="auto" w:before="8"/>
        <w:rPr>
          <w:rFonts w:ascii="宋体" w:hAnsi="宋体" w:cs="宋体" w:eastAsia="宋体" w:hint="default"/>
          <w:sz w:val="6"/>
          <w:szCs w:val="6"/>
        </w:rPr>
      </w:pPr>
    </w:p>
    <w:p>
      <w:pPr>
        <w:pStyle w:val="Heading3"/>
        <w:spacing w:line="240" w:lineRule="auto" w:before="36"/>
        <w:ind w:left="673" w:right="0"/>
        <w:jc w:val="left"/>
        <w:rPr>
          <w:b w:val="0"/>
          <w:bCs w:val="0"/>
        </w:rPr>
      </w:pPr>
      <w:r>
        <w:rPr/>
        <w:t>（</w:t>
      </w:r>
      <w:r>
        <w:rPr>
          <w:rFonts w:ascii="Times New Roman" w:hAnsi="Times New Roman" w:cs="Times New Roman" w:eastAsia="Times New Roman" w:hint="default"/>
        </w:rPr>
        <w:t>2</w:t>
      </w:r>
      <w:r>
        <w:rPr/>
        <w:t>）</w:t>
      </w:r>
      <w:r>
        <w:rPr>
          <w:spacing w:val="-2"/>
        </w:rPr>
        <w:t> </w:t>
      </w:r>
      <w:r>
        <w:rPr/>
        <w:t>期末无暂时闲置的固定资产</w:t>
      </w:r>
      <w:r>
        <w:rPr>
          <w:b w:val="0"/>
          <w:bCs w:val="0"/>
        </w:rPr>
      </w:r>
    </w:p>
    <w:p>
      <w:pPr>
        <w:pStyle w:val="Heading3"/>
        <w:spacing w:line="240" w:lineRule="auto" w:before="117"/>
        <w:ind w:left="673" w:right="0"/>
        <w:jc w:val="left"/>
        <w:rPr>
          <w:b w:val="0"/>
          <w:bCs w:val="0"/>
        </w:rPr>
      </w:pPr>
      <w:r>
        <w:rPr/>
        <w:t>（</w:t>
      </w:r>
      <w:r>
        <w:rPr>
          <w:rFonts w:ascii="Times New Roman" w:hAnsi="Times New Roman" w:cs="Times New Roman" w:eastAsia="Times New Roman" w:hint="default"/>
        </w:rPr>
        <w:t>3</w:t>
      </w:r>
      <w:r>
        <w:rPr/>
        <w:t>）期末无通过融资租赁租入的固定资产</w:t>
      </w:r>
      <w:r>
        <w:rPr>
          <w:b w:val="0"/>
          <w:bCs w:val="0"/>
        </w:rPr>
      </w:r>
    </w:p>
    <w:p>
      <w:pPr>
        <w:pStyle w:val="Heading3"/>
        <w:spacing w:line="240" w:lineRule="auto" w:before="117"/>
        <w:ind w:left="673"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4943"/>
        <w:gridCol w:w="4928"/>
      </w:tblGrid>
      <w:tr>
        <w:trPr>
          <w:trHeight w:val="360" w:hRule="exact"/>
        </w:trPr>
        <w:tc>
          <w:tcPr>
            <w:tcW w:w="49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2278"/>
              <w:jc w:val="right"/>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50" w:hRule="exact"/>
        </w:trPr>
        <w:tc>
          <w:tcPr>
            <w:tcW w:w="49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49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pacing w:val="-1"/>
                <w:sz w:val="18"/>
              </w:rPr>
              <w:t>55,658,189.79</w:t>
            </w:r>
          </w:p>
        </w:tc>
      </w:tr>
      <w:tr>
        <w:trPr>
          <w:trHeight w:val="362" w:hRule="exact"/>
        </w:trPr>
        <w:tc>
          <w:tcPr>
            <w:tcW w:w="49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227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9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4"/>
              <w:ind w:right="182"/>
              <w:jc w:val="right"/>
              <w:rPr>
                <w:rFonts w:ascii="Times New Roman" w:hAnsi="Times New Roman" w:cs="Times New Roman" w:eastAsia="Times New Roman" w:hint="default"/>
                <w:sz w:val="18"/>
                <w:szCs w:val="18"/>
              </w:rPr>
            </w:pPr>
            <w:r>
              <w:rPr>
                <w:rFonts w:ascii="Times New Roman"/>
                <w:b/>
                <w:spacing w:val="-1"/>
                <w:sz w:val="18"/>
              </w:rPr>
              <w:t>55,658,189.79</w:t>
            </w:r>
            <w:r>
              <w:rPr>
                <w:rFonts w:ascii="Times New Roman"/>
                <w:spacing w:val="-1"/>
                <w:sz w:val="18"/>
              </w:rPr>
            </w:r>
          </w:p>
        </w:tc>
      </w:tr>
    </w:tbl>
    <w:p>
      <w:pPr>
        <w:spacing w:line="240" w:lineRule="auto" w:before="7"/>
        <w:rPr>
          <w:rFonts w:ascii="宋体" w:hAnsi="宋体" w:cs="宋体" w:eastAsia="宋体" w:hint="default"/>
          <w:b/>
          <w:bCs/>
          <w:sz w:val="6"/>
          <w:szCs w:val="6"/>
        </w:rPr>
      </w:pPr>
    </w:p>
    <w:p>
      <w:pPr>
        <w:pStyle w:val="Heading3"/>
        <w:spacing w:line="240" w:lineRule="auto" w:before="36"/>
        <w:ind w:left="675" w:right="0"/>
        <w:jc w:val="left"/>
        <w:rPr>
          <w:b w:val="0"/>
          <w:bCs w:val="0"/>
        </w:rPr>
      </w:pPr>
      <w:r>
        <w:rPr/>
        <w:t>（</w:t>
      </w:r>
      <w:r>
        <w:rPr>
          <w:rFonts w:ascii="Times New Roman" w:hAnsi="Times New Roman" w:cs="Times New Roman" w:eastAsia="Times New Roman" w:hint="default"/>
        </w:rPr>
        <w:t>5</w:t>
      </w:r>
      <w:r>
        <w:rPr/>
        <w:t>） 期末无未办妥产权证书的固定资产</w:t>
      </w:r>
      <w:r>
        <w:rPr>
          <w:b w:val="0"/>
          <w:bCs w:val="0"/>
        </w:rPr>
      </w:r>
    </w:p>
    <w:p>
      <w:pPr>
        <w:spacing w:after="0" w:line="240" w:lineRule="auto"/>
        <w:jc w:val="left"/>
        <w:sectPr>
          <w:footerReference w:type="default" r:id="rId22"/>
          <w:pgSz w:w="11910" w:h="16840"/>
          <w:pgMar w:footer="979" w:header="877" w:top="1100" w:bottom="1160" w:left="880" w:right="0"/>
          <w:pgNumType w:start="120"/>
        </w:sectPr>
      </w:pPr>
    </w:p>
    <w:p>
      <w:pPr>
        <w:spacing w:line="240" w:lineRule="auto" w:before="12"/>
        <w:rPr>
          <w:rFonts w:ascii="宋体" w:hAnsi="宋体" w:cs="宋体" w:eastAsia="宋体" w:hint="default"/>
          <w:b/>
          <w:bCs/>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202,977.68</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202,977.68</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nil" w:sz="6" w:space="0" w:color="auto"/>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熔覆设备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202,977.68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202,977.68</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202,977.68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202,977.68</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18"/>
        <w:gridCol w:w="719"/>
        <w:gridCol w:w="569"/>
        <w:gridCol w:w="708"/>
        <w:gridCol w:w="1409"/>
        <w:gridCol w:w="1006"/>
        <w:gridCol w:w="989"/>
        <w:gridCol w:w="1205"/>
        <w:gridCol w:w="1192"/>
      </w:tblGrid>
      <w:tr>
        <w:trPr>
          <w:trHeight w:val="161" w:hRule="exact"/>
        </w:trPr>
        <w:tc>
          <w:tcPr>
            <w:tcW w:w="1818" w:type="dxa"/>
            <w:tcBorders>
              <w:top w:val="single" w:sz="4" w:space="0" w:color="000000"/>
              <w:left w:val="nil" w:sz="6" w:space="0" w:color="auto"/>
              <w:bottom w:val="nil" w:sz="6" w:space="0" w:color="auto"/>
              <w:right w:val="single" w:sz="4" w:space="0" w:color="000000"/>
            </w:tcBorders>
            <w:shd w:val="clear" w:color="auto" w:fill="D2D2D2"/>
          </w:tcPr>
          <w:p>
            <w:pPr/>
          </w:p>
        </w:tc>
        <w:tc>
          <w:tcPr>
            <w:tcW w:w="7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1" w:right="77" w:hanging="92"/>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0" w:right="99" w:hanging="92"/>
              <w:jc w:val="left"/>
              <w:rPr>
                <w:rFonts w:ascii="宋体" w:hAnsi="宋体" w:cs="宋体" w:eastAsia="宋体" w:hint="default"/>
                <w:sz w:val="18"/>
                <w:szCs w:val="18"/>
              </w:rPr>
            </w:pPr>
            <w:r>
              <w:rPr>
                <w:rFonts w:ascii="宋体" w:hAnsi="宋体" w:cs="宋体" w:eastAsia="宋体" w:hint="default"/>
                <w:sz w:val="18"/>
                <w:szCs w:val="18"/>
              </w:rPr>
              <w:t>专利 权</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8" w:right="22" w:hanging="135"/>
              <w:jc w:val="left"/>
              <w:rPr>
                <w:rFonts w:ascii="宋体" w:hAnsi="宋体" w:cs="宋体" w:eastAsia="宋体" w:hint="default"/>
                <w:sz w:val="18"/>
                <w:szCs w:val="18"/>
              </w:rPr>
            </w:pPr>
            <w:r>
              <w:rPr>
                <w:rFonts w:ascii="宋体" w:hAnsi="宋体" w:cs="宋体" w:eastAsia="宋体" w:hint="default"/>
                <w:spacing w:val="-12"/>
                <w:sz w:val="18"/>
                <w:szCs w:val="18"/>
              </w:rPr>
              <w:t>专利权、专有技术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及非专利技术</w:t>
            </w: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181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09" w:type="dxa"/>
            <w:vMerge/>
            <w:tcBorders>
              <w:left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软件及许可</w:t>
            </w:r>
          </w:p>
        </w:tc>
        <w:tc>
          <w:tcPr>
            <w:tcW w:w="1192"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818" w:type="dxa"/>
            <w:tcBorders>
              <w:top w:val="nil" w:sz="6" w:space="0" w:color="auto"/>
              <w:left w:val="nil" w:sz="6" w:space="0" w:color="auto"/>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27,710,998.46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17,860.20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347,956.71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10,656,031.44</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38,732,846.81</w:t>
            </w: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1,218,671.71</w:t>
            </w: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1,218,671.71</w:t>
            </w:r>
          </w:p>
        </w:tc>
      </w:tr>
      <w:tr>
        <w:trPr>
          <w:trHeight w:val="401"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1,218,671.71</w:t>
            </w: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1,218,671.71</w:t>
            </w:r>
          </w:p>
        </w:tc>
      </w:tr>
      <w:tr>
        <w:trPr>
          <w:trHeight w:val="71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28,929,670.17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17,860.20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347,956.71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10,656,031.44</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39,951,518.52</w:t>
            </w:r>
          </w:p>
        </w:tc>
      </w:tr>
      <w:tr>
        <w:trPr>
          <w:trHeight w:val="401"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7,214,178.18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11,344.88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220,133.36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3,428,860.25</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10,874,516.67</w:t>
            </w:r>
          </w:p>
        </w:tc>
      </w:tr>
      <w:tr>
        <w:trPr>
          <w:trHeight w:val="404" w:hRule="exact"/>
        </w:trPr>
        <w:tc>
          <w:tcPr>
            <w:tcW w:w="18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19" w:type="dxa"/>
            <w:tcBorders>
              <w:top w:val="single" w:sz="4" w:space="0" w:color="000000"/>
              <w:left w:val="single" w:sz="9"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1,646,175.25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21,576.50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4,061.76</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1,671,959.13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44"/>
        <w:gridCol w:w="708"/>
        <w:gridCol w:w="569"/>
        <w:gridCol w:w="708"/>
        <w:gridCol w:w="1409"/>
        <w:gridCol w:w="1006"/>
        <w:gridCol w:w="989"/>
        <w:gridCol w:w="1205"/>
        <w:gridCol w:w="1205"/>
      </w:tblGrid>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1,646,175.25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21,576.50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4,061.76</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01" w:right="0"/>
              <w:jc w:val="center"/>
              <w:rPr>
                <w:rFonts w:ascii="Times New Roman" w:hAnsi="Times New Roman" w:cs="Times New Roman" w:eastAsia="Times New Roman" w:hint="default"/>
                <w:sz w:val="18"/>
                <w:szCs w:val="18"/>
              </w:rPr>
            </w:pPr>
            <w:r>
              <w:rPr>
                <w:rFonts w:ascii="Times New Roman"/>
                <w:sz w:val="18"/>
              </w:rPr>
              <w:t>1,671,959.13</w:t>
            </w: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8,860,353.43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11,490.50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241,709.86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3,432,922.01</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12,546,475.80</w:t>
            </w: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9,260,520.82</w:t>
            </w: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7,218,511.94</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16,479,032.76</w:t>
            </w: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9,260,520.82</w:t>
            </w: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7,218,511.94</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16,479,032.76</w:t>
            </w: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10,808,795.92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6,369.70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106,246.85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4,597.49</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10,926,009.96</w:t>
            </w:r>
          </w:p>
        </w:tc>
      </w:tr>
      <w:tr>
        <w:trPr>
          <w:trHeight w:val="403"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11,236,299.46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6,515.32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127,823.35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8,659.25</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117" w:right="0"/>
              <w:jc w:val="center"/>
              <w:rPr>
                <w:rFonts w:ascii="Times New Roman" w:hAnsi="Times New Roman" w:cs="Times New Roman" w:eastAsia="Times New Roman" w:hint="default"/>
                <w:sz w:val="18"/>
                <w:szCs w:val="18"/>
              </w:rPr>
            </w:pPr>
            <w:r>
              <w:rPr>
                <w:rFonts w:ascii="Times New Roman"/>
                <w:sz w:val="18"/>
              </w:rPr>
              <w:t>11,379,297.38</w:t>
            </w:r>
          </w:p>
        </w:tc>
      </w:tr>
    </w:tbl>
    <w:p>
      <w:pPr>
        <w:pStyle w:val="BodyText"/>
        <w:spacing w:line="240" w:lineRule="auto" w:before="28"/>
        <w:ind w:right="1116"/>
        <w:jc w:val="left"/>
      </w:pPr>
      <w:r>
        <w:rPr>
          <w:spacing w:val="-2"/>
        </w:rPr>
        <w:t>本期末通过公司内部研发形成的无形资产占无形资产余额的比例</w:t>
      </w:r>
      <w:r>
        <w:rPr>
          <w:spacing w:val="11"/>
        </w:rPr>
        <w:t> </w:t>
      </w:r>
      <w:r>
        <w:rPr>
          <w:rFonts w:ascii="Times New Roman" w:hAnsi="Times New Roman" w:cs="Times New Roman" w:eastAsia="Times New Roman" w:hint="default"/>
          <w:spacing w:val="-2"/>
        </w:rPr>
        <w:t>3.05%</w:t>
      </w:r>
      <w:r>
        <w:rPr>
          <w:spacing w:val="-2"/>
        </w:rPr>
        <w:t>。</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049"/>
        <w:gridCol w:w="1063"/>
        <w:gridCol w:w="1136"/>
        <w:gridCol w:w="991"/>
        <w:gridCol w:w="1064"/>
        <w:gridCol w:w="1063"/>
        <w:gridCol w:w="1133"/>
        <w:gridCol w:w="992"/>
        <w:gridCol w:w="1051"/>
      </w:tblGrid>
      <w:tr>
        <w:trPr>
          <w:trHeight w:val="403" w:hRule="exact"/>
        </w:trPr>
        <w:tc>
          <w:tcPr>
            <w:tcW w:w="1049" w:type="dxa"/>
            <w:tcBorders>
              <w:top w:val="single" w:sz="4" w:space="0" w:color="000000"/>
              <w:left w:val="nil" w:sz="6" w:space="0" w:color="auto"/>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51"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61" w:hRule="exact"/>
        </w:trPr>
        <w:tc>
          <w:tcPr>
            <w:tcW w:w="104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72" w:right="111"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49" w:type="dxa"/>
            <w:vMerge/>
            <w:tcBorders>
              <w:left w:val="nil" w:sz="6" w:space="0" w:color="auto"/>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049" w:type="dxa"/>
            <w:vMerge w:val="restart"/>
            <w:tcBorders>
              <w:top w:val="nil" w:sz="6" w:space="0" w:color="auto"/>
              <w:left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049" w:type="dxa"/>
            <w:vMerge/>
            <w:tcBorders>
              <w:left w:val="nil" w:sz="6" w:space="0" w:color="auto"/>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nil" w:sz="6" w:space="0" w:color="auto"/>
            </w:tcBorders>
            <w:shd w:val="clear" w:color="auto" w:fill="D2D2D2"/>
          </w:tcPr>
          <w:p>
            <w:pPr/>
          </w:p>
        </w:tc>
      </w:tr>
      <w:tr>
        <w:trPr>
          <w:trHeight w:val="404" w:hRule="exact"/>
        </w:trPr>
        <w:tc>
          <w:tcPr>
            <w:tcW w:w="10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09"/>
              <w:jc w:val="right"/>
              <w:rPr>
                <w:rFonts w:ascii="宋体" w:hAnsi="宋体" w:cs="宋体" w:eastAsia="宋体" w:hint="default"/>
                <w:sz w:val="18"/>
                <w:szCs w:val="18"/>
              </w:rPr>
            </w:pPr>
            <w:r>
              <w:rPr>
                <w:rFonts w:ascii="宋体" w:hAnsi="宋体" w:cs="宋体" w:eastAsia="宋体" w:hint="default"/>
                <w:sz w:val="18"/>
                <w:szCs w:val="18"/>
              </w:rPr>
              <w:t>开发支出</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441,168.78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15,508,387.41</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1,218,671.71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14,730,884.48</w:t>
            </w:r>
          </w:p>
        </w:tc>
        <w:tc>
          <w:tcPr>
            <w:tcW w:w="99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04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441,168.78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15,508,387.41</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1,218,671.71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14,730,884.48</w:t>
            </w:r>
          </w:p>
        </w:tc>
        <w:tc>
          <w:tcPr>
            <w:tcW w:w="99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676,940.37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141,669.81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296,498.74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522,111.44</w:t>
            </w:r>
          </w:p>
        </w:tc>
      </w:tr>
      <w:tr>
        <w:trPr>
          <w:trHeight w:val="404"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676,940.37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141,669.81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296,498.74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522,111.44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894"/>
        <w:gridCol w:w="1928"/>
        <w:gridCol w:w="1916"/>
        <w:gridCol w:w="1913"/>
        <w:gridCol w:w="1901"/>
      </w:tblGrid>
      <w:tr>
        <w:trPr>
          <w:trHeight w:val="206" w:hRule="exact"/>
        </w:trPr>
        <w:tc>
          <w:tcPr>
            <w:tcW w:w="1894" w:type="dxa"/>
            <w:tcBorders>
              <w:top w:val="single" w:sz="4" w:space="0" w:color="000000"/>
              <w:left w:val="nil" w:sz="6" w:space="0" w:color="auto"/>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4"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9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14"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894" w:type="dxa"/>
            <w:vMerge/>
            <w:tcBorders>
              <w:left w:val="nil" w:sz="6" w:space="0" w:color="auto"/>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94" w:type="dxa"/>
            <w:tcBorders>
              <w:top w:val="nil" w:sz="6" w:space="0" w:color="auto"/>
              <w:left w:val="nil" w:sz="6" w:space="0" w:color="auto"/>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70,118,513.40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10,348,898.86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69,410,876.49</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10,190,593.38</w:t>
            </w:r>
          </w:p>
        </w:tc>
      </w:tr>
      <w:tr>
        <w:trPr>
          <w:trHeight w:val="403"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168,869.03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427,805.98</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63,129.31</w:t>
            </w:r>
          </w:p>
        </w:tc>
      </w:tr>
      <w:tr>
        <w:trPr>
          <w:trHeight w:val="401"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42,484,680.45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6,372,702.07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23,680,000.88</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3,552,000.13</w:t>
            </w:r>
          </w:p>
        </w:tc>
      </w:tr>
      <w:tr>
        <w:trPr>
          <w:trHeight w:val="403"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1,026,459.00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153,968.85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1,050,828.01</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157,624.20</w:t>
            </w:r>
          </w:p>
        </w:tc>
      </w:tr>
      <w:tr>
        <w:trPr>
          <w:trHeight w:val="401" w:hRule="exact"/>
        </w:trPr>
        <w:tc>
          <w:tcPr>
            <w:tcW w:w="18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113,798,521.88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16,909,610.33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94,569,511.36</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13,963,347.02</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911"/>
        <w:gridCol w:w="1905"/>
        <w:gridCol w:w="1914"/>
        <w:gridCol w:w="1914"/>
        <w:gridCol w:w="1900"/>
      </w:tblGrid>
      <w:tr>
        <w:trPr>
          <w:trHeight w:val="161" w:hRule="exact"/>
        </w:trPr>
        <w:tc>
          <w:tcPr>
            <w:tcW w:w="1911" w:type="dxa"/>
            <w:tcBorders>
              <w:top w:val="single" w:sz="4" w:space="0" w:color="000000"/>
              <w:left w:val="nil" w:sz="6" w:space="0" w:color="auto"/>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0" w:type="dxa"/>
            <w:vMerge w:val="restart"/>
            <w:tcBorders>
              <w:top w:val="single" w:sz="4" w:space="0" w:color="000000"/>
              <w:left w:val="single" w:sz="4" w:space="0" w:color="000000"/>
              <w:right w:val="nil" w:sz="6" w:space="0" w:color="auto"/>
            </w:tcBorders>
            <w:shd w:val="clear" w:color="auto" w:fill="D2D2D2"/>
          </w:tcPr>
          <w:p>
            <w:pPr>
              <w:pStyle w:val="TableParagraph"/>
              <w:spacing w:line="314" w:lineRule="auto" w:before="49"/>
              <w:ind w:left="320" w:right="4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0" w:type="dxa"/>
            <w:vMerge/>
            <w:tcBorders>
              <w:left w:val="single" w:sz="4" w:space="0" w:color="000000"/>
              <w:right w:val="nil" w:sz="6" w:space="0" w:color="auto"/>
            </w:tcBorders>
            <w:shd w:val="clear" w:color="auto" w:fill="D2D2D2"/>
          </w:tcPr>
          <w:p>
            <w:pPr/>
          </w:p>
        </w:tc>
      </w:tr>
      <w:tr>
        <w:trPr>
          <w:trHeight w:val="161" w:hRule="exact"/>
        </w:trPr>
        <w:tc>
          <w:tcPr>
            <w:tcW w:w="1911" w:type="dxa"/>
            <w:tcBorders>
              <w:top w:val="nil" w:sz="6" w:space="0" w:color="auto"/>
              <w:left w:val="nil" w:sz="6" w:space="0" w:color="auto"/>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0" w:type="dxa"/>
            <w:vMerge/>
            <w:tcBorders>
              <w:left w:val="single" w:sz="4" w:space="0" w:color="000000"/>
              <w:bottom w:val="single" w:sz="4" w:space="0" w:color="000000"/>
              <w:right w:val="nil" w:sz="6" w:space="0" w:color="auto"/>
            </w:tcBorders>
            <w:shd w:val="clear" w:color="auto" w:fill="D2D2D2"/>
          </w:tcPr>
          <w:p>
            <w:pPr/>
          </w:p>
        </w:tc>
      </w:tr>
      <w:tr>
        <w:trPr>
          <w:trHeight w:val="404" w:hRule="exact"/>
        </w:trPr>
        <w:tc>
          <w:tcPr>
            <w:tcW w:w="191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16,909,610.33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13,963,347.02</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181"/>
        <w:gridCol w:w="3192"/>
        <w:gridCol w:w="3178"/>
      </w:tblGrid>
      <w:tr>
        <w:trPr>
          <w:trHeight w:val="401"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12,720,880.14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12,368,057.48</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12,628,596.87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12,554,478.18</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25,349,477.01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24,922,535.66</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79"/>
      </w:tblGrid>
      <w:tr>
        <w:trPr>
          <w:trHeight w:val="403"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693,107.56</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1,119,327.23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3,175,201.53</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2,817,621.61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4,237,892.06</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3,019,856.82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4,261,856.33</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5,764,074.48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12,720,880.14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12,368,057.48</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0"/>
        <w:jc w:val="left"/>
      </w:pPr>
      <w:r>
        <w:rPr>
          <w:spacing w:val="-2"/>
        </w:rPr>
        <w:t>是否已执行新收入准则</w:t>
      </w:r>
    </w:p>
    <w:p>
      <w:pPr>
        <w:pStyle w:val="BodyText"/>
        <w:spacing w:line="240" w:lineRule="auto" w:before="7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56" w:space="6573"/>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合作建房支出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21,560,291.90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4,067,000.00</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317,280.36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231,055.60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21,877,572.26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4,298,055.60</w:t>
            </w:r>
          </w:p>
        </w:tc>
      </w:tr>
    </w:tbl>
    <w:p>
      <w:pPr>
        <w:pStyle w:val="BodyText"/>
        <w:spacing w:line="240" w:lineRule="auto" w:before="29"/>
        <w:ind w:right="1116"/>
        <w:jc w:val="left"/>
      </w:pPr>
      <w:r>
        <w:rPr/>
        <w:t>其他说明：</w:t>
      </w:r>
    </w:p>
    <w:p>
      <w:pPr>
        <w:pStyle w:val="BodyText"/>
        <w:spacing w:line="256" w:lineRule="auto" w:before="75"/>
        <w:ind w:right="1126" w:firstLine="420"/>
        <w:jc w:val="both"/>
      </w:pPr>
      <w:r>
        <w:rPr/>
        <w:t>说明：本公司于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日与武汉云智能网络有限公司（以下简称</w:t>
      </w:r>
      <w:r>
        <w:rPr>
          <w:rFonts w:ascii="Times New Roman" w:hAnsi="Times New Roman" w:cs="Times New Roman" w:eastAsia="Times New Roman" w:hint="default"/>
        </w:rPr>
        <w:t>“</w:t>
      </w:r>
      <w:r>
        <w:rPr/>
        <w:t>金运云</w:t>
      </w:r>
      <w:r>
        <w:rPr>
          <w:rFonts w:ascii="Times New Roman" w:hAnsi="Times New Roman" w:cs="Times New Roman" w:eastAsia="Times New Roman" w:hint="default"/>
        </w:rPr>
        <w:t>”</w:t>
      </w:r>
      <w:r>
        <w:rPr/>
        <w:t>）签订《合作建房</w:t>
      </w:r>
      <w:r>
        <w:rPr>
          <w:w w:val="100"/>
        </w:rPr>
        <w:t> </w:t>
      </w:r>
      <w:r>
        <w:rPr>
          <w:spacing w:val="-2"/>
        </w:rPr>
        <w:t>协议》（以下简称</w:t>
      </w:r>
      <w:r>
        <w:rPr>
          <w:rFonts w:ascii="Times New Roman" w:hAnsi="Times New Roman" w:cs="Times New Roman" w:eastAsia="Times New Roman" w:hint="default"/>
          <w:spacing w:val="-2"/>
        </w:rPr>
        <w:t>“</w:t>
      </w:r>
      <w:r>
        <w:rPr>
          <w:spacing w:val="-2"/>
        </w:rPr>
        <w:t>协议</w:t>
      </w:r>
      <w:r>
        <w:rPr>
          <w:rFonts w:ascii="Times New Roman" w:hAnsi="Times New Roman" w:cs="Times New Roman" w:eastAsia="Times New Roman" w:hint="default"/>
          <w:spacing w:val="-2"/>
        </w:rPr>
        <w:t>”</w:t>
      </w:r>
      <w:r>
        <w:rPr>
          <w:spacing w:val="-2"/>
        </w:rPr>
        <w:t>），根据协议，双方在金运云拥有的位于黄陂区横店街川龙大道以西、后湖北路</w:t>
      </w:r>
      <w:r>
        <w:rPr>
          <w:spacing w:val="-16"/>
        </w:rPr>
        <w:t> </w:t>
      </w:r>
      <w:r>
        <w:rPr>
          <w:spacing w:val="-16"/>
        </w:rPr>
      </w:r>
      <w:r>
        <w:rPr/>
        <w:t>以北的一宗国有建设用地使用权的土地上合作建房，合作建房协议合计建造的宗地面积为</w:t>
      </w:r>
      <w:r>
        <w:rPr>
          <w:spacing w:val="-54"/>
        </w:rPr>
        <w:t> </w:t>
      </w:r>
      <w:r>
        <w:rPr>
          <w:rFonts w:ascii="Times New Roman" w:hAnsi="Times New Roman" w:cs="Times New Roman" w:eastAsia="Times New Roman" w:hint="default"/>
        </w:rPr>
        <w:t>18,739.23</w:t>
      </w:r>
      <w:r>
        <w:rPr>
          <w:rFonts w:ascii="Times New Roman" w:hAnsi="Times New Roman" w:cs="Times New Roman" w:eastAsia="Times New Roman" w:hint="default"/>
          <w:spacing w:val="-5"/>
        </w:rPr>
        <w:t> </w:t>
      </w:r>
      <w:r>
        <w:rPr>
          <w:spacing w:val="-3"/>
        </w:rPr>
        <w:t>平方</w:t>
      </w:r>
      <w:r>
        <w:rPr/>
      </w:r>
    </w:p>
    <w:p>
      <w:pPr>
        <w:pStyle w:val="BodyText"/>
        <w:spacing w:line="240" w:lineRule="auto" w:before="5"/>
        <w:ind w:right="1116"/>
        <w:jc w:val="left"/>
      </w:pPr>
      <w:r>
        <w:rPr/>
        <w:t>米，建筑面积为</w:t>
      </w:r>
      <w:r>
        <w:rPr>
          <w:spacing w:val="-56"/>
        </w:rPr>
        <w:t> </w:t>
      </w:r>
      <w:r>
        <w:rPr>
          <w:rFonts w:ascii="Times New Roman" w:hAnsi="Times New Roman" w:cs="Times New Roman" w:eastAsia="Times New Roman" w:hint="default"/>
        </w:rPr>
        <w:t>27,574.60</w:t>
      </w:r>
      <w:r>
        <w:rPr>
          <w:rFonts w:ascii="Times New Roman" w:hAnsi="Times New Roman" w:cs="Times New Roman" w:eastAsia="Times New Roman" w:hint="default"/>
          <w:spacing w:val="-6"/>
        </w:rPr>
        <w:t> </w:t>
      </w:r>
      <w:r>
        <w:rPr/>
        <w:t>平方米，由本公司负责建造，并承担建造房屋过程中的设计、施工、材料、垃</w:t>
      </w:r>
    </w:p>
    <w:p>
      <w:pPr>
        <w:pStyle w:val="BodyText"/>
        <w:spacing w:line="240" w:lineRule="auto" w:before="21"/>
        <w:ind w:right="1116"/>
        <w:jc w:val="left"/>
      </w:pPr>
      <w:r>
        <w:rPr/>
        <w:t>圾清运费，截止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日，本公司建设、购买房屋附属设施的费用如下表列示：</w:t>
      </w:r>
    </w:p>
    <w:p>
      <w:pPr>
        <w:spacing w:line="240" w:lineRule="auto" w:before="9"/>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345"/>
        <w:gridCol w:w="2485"/>
        <w:gridCol w:w="4844"/>
      </w:tblGrid>
      <w:tr>
        <w:trPr>
          <w:trHeight w:val="341"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类别及内容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施工方</w:t>
            </w:r>
          </w:p>
        </w:tc>
      </w:tr>
      <w:tr>
        <w:trPr>
          <w:trHeight w:val="343"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总承包建设</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12,800,000.00</w:t>
            </w:r>
          </w:p>
        </w:tc>
        <w:tc>
          <w:tcPr>
            <w:tcW w:w="4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武汉鼎新建筑装饰设计工程有限公司</w:t>
            </w:r>
          </w:p>
        </w:tc>
      </w:tr>
      <w:tr>
        <w:trPr>
          <w:trHeight w:val="341"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钢结构厂房工程</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5,373,386.15</w:t>
            </w:r>
          </w:p>
        </w:tc>
        <w:tc>
          <w:tcPr>
            <w:tcW w:w="4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武汉开来建设集团有限公司</w:t>
            </w:r>
          </w:p>
        </w:tc>
      </w:tr>
      <w:tr>
        <w:trPr>
          <w:trHeight w:val="343"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道路及排污工程</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3,386,905.75</w:t>
            </w:r>
          </w:p>
        </w:tc>
        <w:tc>
          <w:tcPr>
            <w:tcW w:w="4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武汉荣城建设集团有限公司</w:t>
            </w:r>
          </w:p>
        </w:tc>
      </w:tr>
      <w:tr>
        <w:trPr>
          <w:trHeight w:val="341" w:hRule="exact"/>
        </w:trPr>
        <w:tc>
          <w:tcPr>
            <w:tcW w:w="2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b/>
                <w:spacing w:val="-1"/>
                <w:sz w:val="18"/>
              </w:rPr>
              <w:t>21,560,291.90</w:t>
            </w:r>
            <w:r>
              <w:rPr>
                <w:rFonts w:ascii="Times New Roman"/>
                <w:spacing w:val="-1"/>
                <w:sz w:val="18"/>
              </w:rPr>
            </w:r>
          </w:p>
        </w:tc>
        <w:tc>
          <w:tcPr>
            <w:tcW w:w="4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3"/>
        <w:gridCol w:w="3203"/>
        <w:gridCol w:w="3178"/>
      </w:tblGrid>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4"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17,000,000.00</w:t>
            </w:r>
          </w:p>
        </w:tc>
      </w:tr>
    </w:tbl>
    <w:p>
      <w:pPr>
        <w:pStyle w:val="BodyText"/>
        <w:spacing w:line="240" w:lineRule="auto" w:before="28"/>
        <w:ind w:right="1116"/>
        <w:jc w:val="left"/>
      </w:pPr>
      <w:r>
        <w:rPr/>
        <w:t>短期借款分类的说明：</w:t>
      </w:r>
    </w:p>
    <w:p>
      <w:pPr>
        <w:pStyle w:val="BodyText"/>
        <w:spacing w:line="256" w:lineRule="auto" w:before="75"/>
        <w:ind w:right="1128" w:firstLine="420"/>
        <w:jc w:val="both"/>
      </w:pPr>
      <w:r>
        <w:rPr>
          <w:spacing w:val="6"/>
        </w:rPr>
        <w:t>（</w:t>
      </w:r>
      <w:r>
        <w:rPr>
          <w:rFonts w:ascii="Times New Roman" w:hAnsi="Times New Roman" w:cs="Times New Roman" w:eastAsia="Times New Roman" w:hint="default"/>
          <w:spacing w:val="6"/>
        </w:rPr>
        <w:t>1</w:t>
      </w:r>
      <w:r>
        <w:rPr>
          <w:spacing w:val="6"/>
        </w:rPr>
        <w:t>）本公司于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30</w:t>
      </w:r>
      <w:r>
        <w:rPr>
          <w:spacing w:val="6"/>
        </w:rPr>
        <w:t>日，与中国民生银行武汉分行（以下简称</w:t>
      </w:r>
      <w:r>
        <w:rPr>
          <w:rFonts w:ascii="Times New Roman" w:hAnsi="Times New Roman" w:cs="Times New Roman" w:eastAsia="Times New Roman" w:hint="default"/>
          <w:spacing w:val="6"/>
        </w:rPr>
        <w:t>“</w:t>
      </w:r>
      <w:r>
        <w:rPr>
          <w:spacing w:val="6"/>
        </w:rPr>
        <w:t>民生银行</w:t>
      </w:r>
      <w:r>
        <w:rPr>
          <w:rFonts w:ascii="Times New Roman" w:hAnsi="Times New Roman" w:cs="Times New Roman" w:eastAsia="Times New Roman" w:hint="default"/>
          <w:spacing w:val="6"/>
        </w:rPr>
        <w:t>”</w:t>
      </w:r>
      <w:r>
        <w:rPr>
          <w:spacing w:val="6"/>
        </w:rPr>
        <w:t>）签订了编号为</w:t>
      </w:r>
      <w:r>
        <w:rPr>
          <w:w w:val="100"/>
        </w:rPr>
        <w:t> </w:t>
      </w:r>
      <w:r>
        <w:rPr>
          <w:rFonts w:ascii="Times New Roman" w:hAnsi="Times New Roman" w:cs="Times New Roman" w:eastAsia="Times New Roman" w:hint="default"/>
          <w:spacing w:val="-2"/>
        </w:rPr>
        <w:t>ZH1900000013040</w:t>
      </w:r>
      <w:r>
        <w:rPr>
          <w:spacing w:val="-2"/>
        </w:rPr>
        <w:t>的《流动资金贷款借款合同》，获取人民币借款</w:t>
      </w:r>
      <w:r>
        <w:rPr>
          <w:rFonts w:ascii="Times New Roman" w:hAnsi="Times New Roman" w:cs="Times New Roman" w:eastAsia="Times New Roman" w:hint="default"/>
          <w:spacing w:val="-2"/>
        </w:rPr>
        <w:t>10,000,000.00</w:t>
      </w:r>
      <w:r>
        <w:rPr>
          <w:spacing w:val="-2"/>
        </w:rPr>
        <w:t>元，借款期限为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spacing w:val="-35"/>
        </w:rPr>
        <w:t> </w:t>
      </w:r>
      <w:r>
        <w:rPr>
          <w:rFonts w:ascii="Times New Roman" w:hAnsi="Times New Roman" w:cs="Times New Roman" w:eastAsia="Times New Roman" w:hint="default"/>
          <w:spacing w:val="-3"/>
        </w:rPr>
        <w:t>30</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日，借款利率为</w:t>
      </w:r>
      <w:r>
        <w:rPr>
          <w:rFonts w:ascii="Times New Roman" w:hAnsi="Times New Roman" w:cs="Times New Roman" w:eastAsia="Times New Roman" w:hint="default"/>
          <w:spacing w:val="-3"/>
        </w:rPr>
        <w:t>4.5675%</w:t>
      </w:r>
      <w:r>
        <w:rPr>
          <w:spacing w:val="-3"/>
        </w:rPr>
        <w:t>，按季结息，到期还本；该借款由本公司与民生银行签订编号</w:t>
      </w:r>
      <w:r>
        <w:rPr>
          <w:spacing w:val="2"/>
        </w:rPr>
        <w:t> </w:t>
      </w:r>
      <w:r>
        <w:rPr>
          <w:spacing w:val="2"/>
        </w:rPr>
      </w:r>
      <w:r>
        <w:rPr/>
        <w:t>为</w:t>
      </w:r>
      <w:r>
        <w:rPr>
          <w:rFonts w:ascii="Times New Roman" w:hAnsi="Times New Roman" w:cs="Times New Roman" w:eastAsia="Times New Roman" w:hint="default"/>
        </w:rPr>
        <w:t>DB1900000011029</w:t>
      </w:r>
      <w:r>
        <w:rPr/>
        <w:t>的《质押合同》以金额为</w:t>
      </w:r>
      <w:r>
        <w:rPr>
          <w:rFonts w:ascii="Times New Roman" w:hAnsi="Times New Roman" w:cs="Times New Roman" w:eastAsia="Times New Roman" w:hint="default"/>
        </w:rPr>
        <w:t>1,720,000.00</w:t>
      </w:r>
      <w:r>
        <w:rPr/>
        <w:t>美元银行存单提供质押担保。</w:t>
      </w:r>
    </w:p>
    <w:p>
      <w:pPr>
        <w:pStyle w:val="BodyText"/>
        <w:spacing w:line="256" w:lineRule="auto" w:before="5"/>
        <w:ind w:right="1131" w:firstLine="420"/>
        <w:jc w:val="both"/>
      </w:pPr>
      <w:r>
        <w:rPr>
          <w:spacing w:val="8"/>
        </w:rPr>
        <w:t>（</w:t>
      </w:r>
      <w:r>
        <w:rPr>
          <w:rFonts w:ascii="Times New Roman" w:hAnsi="Times New Roman" w:cs="Times New Roman" w:eastAsia="Times New Roman" w:hint="default"/>
          <w:spacing w:val="8"/>
        </w:rPr>
        <w:t>2</w:t>
      </w:r>
      <w:r>
        <w:rPr>
          <w:spacing w:val="8"/>
        </w:rPr>
        <w:t>）本公司于</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2</w:t>
      </w:r>
      <w:r>
        <w:rPr>
          <w:spacing w:val="8"/>
        </w:rPr>
        <w:t>月</w:t>
      </w:r>
      <w:r>
        <w:rPr>
          <w:rFonts w:ascii="Times New Roman" w:hAnsi="Times New Roman" w:cs="Times New Roman" w:eastAsia="Times New Roman" w:hint="default"/>
          <w:spacing w:val="8"/>
        </w:rPr>
        <w:t>1</w:t>
      </w:r>
      <w:r>
        <w:rPr>
          <w:spacing w:val="8"/>
        </w:rPr>
        <w:t>日，与中国民生银行武汉分行（以下简称</w:t>
      </w:r>
      <w:r>
        <w:rPr>
          <w:rFonts w:ascii="Times New Roman" w:hAnsi="Times New Roman" w:cs="Times New Roman" w:eastAsia="Times New Roman" w:hint="default"/>
          <w:spacing w:val="8"/>
        </w:rPr>
        <w:t>“</w:t>
      </w:r>
      <w:r>
        <w:rPr>
          <w:spacing w:val="8"/>
        </w:rPr>
        <w:t>民生银行</w:t>
      </w:r>
      <w:r>
        <w:rPr>
          <w:rFonts w:ascii="Times New Roman" w:hAnsi="Times New Roman" w:cs="Times New Roman" w:eastAsia="Times New Roman" w:hint="default"/>
          <w:spacing w:val="8"/>
        </w:rPr>
        <w:t>”</w:t>
      </w:r>
      <w:r>
        <w:rPr>
          <w:spacing w:val="8"/>
        </w:rPr>
        <w:t>）签订了编号为</w:t>
      </w:r>
      <w:r>
        <w:rPr>
          <w:w w:val="100"/>
        </w:rPr>
        <w:t> </w:t>
      </w:r>
      <w:r>
        <w:rPr>
          <w:rFonts w:ascii="Times New Roman" w:hAnsi="Times New Roman" w:cs="Times New Roman" w:eastAsia="Times New Roman" w:hint="default"/>
          <w:spacing w:val="-2"/>
        </w:rPr>
        <w:t>ZH1900000016450</w:t>
      </w:r>
      <w:r>
        <w:rPr>
          <w:spacing w:val="-2"/>
        </w:rPr>
        <w:t>的《流动资金贷款借款合同》，获取人民币借款</w:t>
      </w:r>
      <w:r>
        <w:rPr>
          <w:rFonts w:ascii="Times New Roman" w:hAnsi="Times New Roman" w:cs="Times New Roman" w:eastAsia="Times New Roman" w:hint="default"/>
          <w:spacing w:val="-2"/>
        </w:rPr>
        <w:t>12,000,000.00</w:t>
      </w:r>
      <w:r>
        <w:rPr>
          <w:spacing w:val="-2"/>
        </w:rPr>
        <w:t>元，借款期限为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spacing w:val="-35"/>
        </w:rPr>
        <w:t> </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日，借款利率为</w:t>
      </w:r>
      <w:r>
        <w:rPr>
          <w:rFonts w:ascii="Times New Roman" w:hAnsi="Times New Roman" w:cs="Times New Roman" w:eastAsia="Times New Roman" w:hint="default"/>
          <w:spacing w:val="-3"/>
        </w:rPr>
        <w:t>4.5675%</w:t>
      </w:r>
      <w:r>
        <w:rPr>
          <w:spacing w:val="-3"/>
        </w:rPr>
        <w:t>，按季结息，到期还本；该借款由本公司与民生银行签订编号为</w:t>
      </w:r>
      <w:r>
        <w:rPr>
          <w:spacing w:val="-1"/>
        </w:rPr>
        <w:t> </w:t>
      </w:r>
      <w:r>
        <w:rPr>
          <w:spacing w:val="-1"/>
        </w:rPr>
      </w:r>
      <w:r>
        <w:rPr>
          <w:rFonts w:ascii="Times New Roman" w:hAnsi="Times New Roman" w:cs="Times New Roman" w:eastAsia="Times New Roman" w:hint="default"/>
        </w:rPr>
        <w:t>DB1900000013076</w:t>
      </w:r>
      <w:r>
        <w:rPr/>
        <w:t>的《质押合同》以金额</w:t>
      </w:r>
      <w:r>
        <w:rPr>
          <w:rFonts w:ascii="Times New Roman" w:hAnsi="Times New Roman" w:cs="Times New Roman" w:eastAsia="Times New Roman" w:hint="default"/>
        </w:rPr>
        <w:t>2,080,000.00</w:t>
      </w:r>
      <w:r>
        <w:rPr/>
        <w:t>美元的银行存单提供质押担保。</w:t>
      </w:r>
    </w:p>
    <w:p>
      <w:pPr>
        <w:spacing w:after="0" w:line="256" w:lineRule="auto"/>
        <w:jc w:val="both"/>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6554"/>
        <w:jc w:val="left"/>
      </w:pPr>
      <w:r>
        <w:rPr/>
        <w:t>本期末已逾期未偿还的短期借款总额为</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w w:val="100"/>
        </w:rPr>
        <w:t> </w:t>
      </w:r>
      <w:r>
        <w:rPr/>
        <w:t>其他说明：</w:t>
      </w:r>
    </w:p>
    <w:p>
      <w:pPr>
        <w:pStyle w:val="Heading3"/>
        <w:spacing w:line="240" w:lineRule="auto" w:before="115"/>
        <w:ind w:right="1116"/>
        <w:jc w:val="left"/>
        <w:rPr>
          <w:b w:val="0"/>
          <w:bCs w:val="0"/>
        </w:rPr>
      </w:pPr>
      <w:r>
        <w:rPr/>
        <w:t>不存在因为逾期获得展期形成的短期借款。</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Heading3"/>
        <w:spacing w:line="240" w:lineRule="auto"/>
        <w:ind w:right="1116"/>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3"/>
        <w:gridCol w:w="3203"/>
        <w:gridCol w:w="3178"/>
      </w:tblGrid>
      <w:tr>
        <w:trPr>
          <w:trHeight w:val="404"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25,017,525.50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15,633,491.12</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25,017,525.50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15,633,491.12</w:t>
            </w:r>
          </w:p>
        </w:tc>
      </w:tr>
    </w:tbl>
    <w:p>
      <w:pPr>
        <w:pStyle w:val="BodyText"/>
        <w:spacing w:line="240" w:lineRule="auto" w:before="28"/>
        <w:ind w:right="1116"/>
        <w:jc w:val="left"/>
      </w:pPr>
      <w:r>
        <w:rPr/>
        <w:t>本期末已到期未支付的应付票据总额为</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78"/>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29,764,885.81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26,667,536.53</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7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363,340.00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86,026.00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30,128,225.81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26,753,562.53</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t>是否已执行新收入准则</w:t>
      </w:r>
    </w:p>
    <w:p>
      <w:pPr>
        <w:pStyle w:val="BodyText"/>
        <w:spacing w:line="240" w:lineRule="auto" w:before="76"/>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18,218,699.22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24,267,788.33</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18,218,699.22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24,267,788.33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6"/>
        <w:gridCol w:w="1913"/>
        <w:gridCol w:w="1901"/>
      </w:tblGrid>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6,474,490.76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34,157,863.51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33,450,375.23</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7,181,979.04</w:t>
            </w:r>
          </w:p>
        </w:tc>
      </w:tr>
      <w:tr>
        <w:trPr>
          <w:trHeight w:val="716"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14" w:right="11"/>
              <w:jc w:val="left"/>
              <w:rPr>
                <w:rFonts w:ascii="宋体" w:hAnsi="宋体" w:cs="宋体" w:eastAsia="宋体" w:hint="default"/>
                <w:sz w:val="18"/>
                <w:szCs w:val="18"/>
              </w:rPr>
            </w:pPr>
            <w:r>
              <w:rPr>
                <w:rFonts w:ascii="宋体" w:hAnsi="宋体" w:cs="宋体" w:eastAsia="宋体" w:hint="default"/>
                <w:spacing w:val="-1"/>
                <w:sz w:val="18"/>
                <w:szCs w:val="18"/>
              </w:rPr>
              <w:t>二、离职后福利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设定提</w:t>
            </w:r>
            <w:r>
              <w:rPr>
                <w:rFonts w:ascii="宋体" w:hAnsi="宋体" w:cs="宋体" w:eastAsia="宋体" w:hint="default"/>
                <w:spacing w:val="-84"/>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2,244,077.37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2,245,105.17</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13,007.40</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6,488,525.96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36,401,940.88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35,695,480.40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7,194,986.44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6"/>
        <w:gridCol w:w="1913"/>
        <w:gridCol w:w="1901"/>
      </w:tblGrid>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49"/>
              <w:ind w:left="14"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6,333,943.18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31,014,579.16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30,284,064.60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7,064,457.74</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833,655.42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783,655.42</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1,477,230.10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1,476,145.20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38,234.92</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6,504.20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1,395,155.17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1,394,170.27</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7,489.10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15,842.80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29,957.42</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66,235.83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66,132.13</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788.40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48,496.56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828,636.94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847,847.12</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29,286.38</w:t>
            </w:r>
          </w:p>
        </w:tc>
      </w:tr>
      <w:tr>
        <w:trPr>
          <w:trHeight w:val="71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97" w:lineRule="auto" w:before="49"/>
              <w:ind w:left="14"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54,901.00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3,761.89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58,662.89</w:t>
            </w:r>
          </w:p>
        </w:tc>
        <w:tc>
          <w:tcPr>
            <w:tcW w:w="1901"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6,474,490.76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34,157,863.51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33,450,375.23</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7,181,979.04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6"/>
        <w:gridCol w:w="1913"/>
        <w:gridCol w:w="1901"/>
      </w:tblGrid>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2,159,130.48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2,160,210.08</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12,613.20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84,895.09</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394.20</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2,244,077.37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2,245,105.17</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13,007.40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181"/>
        <w:gridCol w:w="3192"/>
        <w:gridCol w:w="3178"/>
      </w:tblGrid>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736,056.24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605,332.76</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437,481.10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519,235.10</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76,195.47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118,330.40</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136,902.89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121,964.25</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89,285.64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164,714.21</w:t>
            </w:r>
          </w:p>
        </w:tc>
      </w:tr>
      <w:tr>
        <w:trPr>
          <w:trHeight w:val="404"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5,955.39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14,888.48</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34,018.91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19,275.83</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77,539.36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68,072.34</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62,908.49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62,129.87</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水利建设基金及其他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1,402.17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5,494.30</w:t>
            </w:r>
          </w:p>
        </w:tc>
      </w:tr>
      <w:tr>
        <w:trPr>
          <w:trHeight w:val="401"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1,657,745.66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1,699,437.54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3"/>
        <w:gridCol w:w="3203"/>
        <w:gridCol w:w="3178"/>
      </w:tblGrid>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27,912.50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24,650.00</w:t>
            </w:r>
          </w:p>
        </w:tc>
      </w:tr>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4,687,088.11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4,752,331.48</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4,715,000.61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4,776,981.48</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3"/>
        <w:gridCol w:w="3203"/>
        <w:gridCol w:w="3178"/>
      </w:tblGrid>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27,912.50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24,650.00</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27,912.50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24,650.00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693,342.00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1,590,428.85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152,000.00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1,649,428.50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760,344.95</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违约赔款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1,748,095.95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1,748,095.95</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556,721.66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501,461.73</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4,687,088.11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4,752,331.48</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569"/>
        <w:gridCol w:w="1607"/>
        <w:gridCol w:w="1594"/>
        <w:gridCol w:w="1596"/>
        <w:gridCol w:w="1594"/>
        <w:gridCol w:w="1580"/>
      </w:tblGrid>
      <w:tr>
        <w:trPr>
          <w:trHeight w:val="401"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324,369.01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1,026,459.00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15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324,369.01</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1,026,459.00</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28"/>
        <w:ind w:right="0"/>
        <w:jc w:val="left"/>
      </w:pPr>
      <w:r>
        <w:rPr>
          <w:spacing w:val="-2"/>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56" w:space="6573"/>
            <w:col w:w="2101"/>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3"/>
      </w:tblGrid>
      <w:tr>
        <w:trPr>
          <w:trHeight w:val="1025" w:hRule="exact"/>
        </w:trPr>
        <w:tc>
          <w:tcPr>
            <w:tcW w:w="10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33"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8" w:hRule="exact"/>
        </w:trPr>
        <w:tc>
          <w:tcPr>
            <w:tcW w:w="101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49"/>
              <w:ind w:left="28"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十大科技产 业化专项项 </w:t>
            </w: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55,457.64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54,128.12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1,329.52</w:t>
            </w:r>
          </w:p>
        </w:tc>
        <w:tc>
          <w:tcPr>
            <w:tcW w:w="10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9"/>
              <w:ind w:left="28"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牛仔雕花机 研发补贴</w:t>
            </w:r>
            <w:r>
              <w:rPr>
                <w:rFonts w:ascii="Times New Roman" w:hAnsi="Times New Roman" w:cs="Times New Roman" w:eastAsia="Times New Roman" w:hint="default"/>
                <w:sz w:val="18"/>
                <w:szCs w:val="18"/>
              </w:rPr>
              <w:t>*2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328,703.69</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55,555.56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273,148.13</w:t>
            </w:r>
          </w:p>
        </w:tc>
        <w:tc>
          <w:tcPr>
            <w:tcW w:w="10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8"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桥架多功能 一体机项目 研发补贴</w:t>
            </w:r>
            <w:r>
              <w:rPr>
                <w:rFonts w:ascii="Times New Roman" w:hAnsi="Times New Roman" w:cs="Times New Roman" w:eastAsia="Times New Roman" w:hint="default"/>
                <w:sz w:val="18"/>
                <w:szCs w:val="18"/>
              </w:rPr>
              <w:t>*3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666,666.68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214,685.33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751,981.35</w:t>
            </w:r>
          </w:p>
        </w:tc>
        <w:tc>
          <w:tcPr>
            <w:tcW w:w="10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1,050,828.01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324,369.01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1,026,459.00</w:t>
            </w:r>
          </w:p>
        </w:tc>
        <w:tc>
          <w:tcPr>
            <w:tcW w:w="101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28"/>
        <w:ind w:right="1116"/>
        <w:jc w:val="left"/>
      </w:pPr>
      <w:r>
        <w:rPr/>
        <w:t>其他说明：</w:t>
      </w:r>
    </w:p>
    <w:p>
      <w:pPr>
        <w:spacing w:line="240" w:lineRule="auto" w:before="13"/>
        <w:rPr>
          <w:rFonts w:ascii="宋体" w:hAnsi="宋体" w:cs="宋体" w:eastAsia="宋体" w:hint="default"/>
          <w:sz w:val="14"/>
          <w:szCs w:val="14"/>
        </w:rPr>
      </w:pPr>
    </w:p>
    <w:p>
      <w:pPr>
        <w:pStyle w:val="BodyText"/>
        <w:spacing w:line="256" w:lineRule="auto"/>
        <w:ind w:right="102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根据《武汉市科技局关于下达</w:t>
      </w:r>
      <w:r>
        <w:rPr>
          <w:rFonts w:ascii="Times New Roman" w:hAnsi="Times New Roman" w:cs="Times New Roman" w:eastAsia="Times New Roman" w:hint="default"/>
        </w:rPr>
        <w:t>2011</w:t>
      </w:r>
      <w:r>
        <w:rPr/>
        <w:t>年十大科技产业化专项项目的通知》（武科计</w:t>
      </w:r>
      <w:r>
        <w:rPr>
          <w:rFonts w:ascii="Times New Roman" w:hAnsi="Times New Roman" w:cs="Times New Roman" w:eastAsia="Times New Roman" w:hint="default"/>
        </w:rPr>
        <w:t>[2011]54</w:t>
      </w:r>
      <w:r>
        <w:rPr/>
        <w:t>号文件）</w:t>
      </w:r>
      <w:r>
        <w:rPr>
          <w:w w:val="100"/>
        </w:rPr>
        <w:t> </w:t>
      </w:r>
      <w:r>
        <w:rPr>
          <w:spacing w:val="-2"/>
        </w:rPr>
        <w:t>规定，公司</w:t>
      </w:r>
      <w:r>
        <w:rPr>
          <w:rFonts w:ascii="Times New Roman" w:hAnsi="Times New Roman" w:cs="Times New Roman" w:eastAsia="Times New Roman" w:hint="default"/>
          <w:spacing w:val="-2"/>
        </w:rPr>
        <w:t>2011</w:t>
      </w:r>
      <w:r>
        <w:rPr>
          <w:spacing w:val="-2"/>
        </w:rPr>
        <w:t>年收到与资产相关政府补助</w:t>
      </w:r>
      <w:r>
        <w:rPr>
          <w:rFonts w:ascii="Times New Roman" w:hAnsi="Times New Roman" w:cs="Times New Roman" w:eastAsia="Times New Roman" w:hint="default"/>
          <w:spacing w:val="-2"/>
        </w:rPr>
        <w:t>44</w:t>
      </w:r>
      <w:r>
        <w:rPr>
          <w:spacing w:val="-2"/>
        </w:rPr>
        <w:t>万元，已全部用于购买固定资产，并按资产使用年限摊销计</w:t>
      </w:r>
      <w:r>
        <w:rPr>
          <w:spacing w:val="-39"/>
        </w:rPr>
        <w:t> </w:t>
      </w:r>
      <w:r>
        <w:rPr>
          <w:spacing w:val="-39"/>
        </w:rPr>
      </w:r>
      <w:r>
        <w:rPr/>
        <w:t>入当期损益。</w:t>
      </w:r>
    </w:p>
    <w:p>
      <w:pPr>
        <w:pStyle w:val="BodyText"/>
        <w:spacing w:line="256" w:lineRule="auto" w:before="22"/>
        <w:ind w:right="1127"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根据《武汉市商务局、武汉市财政局关于</w:t>
      </w:r>
      <w:r>
        <w:rPr>
          <w:rFonts w:ascii="Times New Roman" w:hAnsi="Times New Roman" w:cs="Times New Roman" w:eastAsia="Times New Roman" w:hint="default"/>
        </w:rPr>
        <w:t>2015</w:t>
      </w:r>
      <w:r>
        <w:rPr/>
        <w:t>年市外经贸（区域协调）发展促进资金项目（第一</w:t>
      </w:r>
      <w:r>
        <w:rPr>
          <w:w w:val="100"/>
        </w:rPr>
        <w:t> </w:t>
      </w:r>
      <w:r>
        <w:rPr>
          <w:spacing w:val="-2"/>
        </w:rPr>
        <w:t>期）安排的通知》（武商务</w:t>
      </w:r>
      <w:r>
        <w:rPr>
          <w:rFonts w:ascii="Times New Roman" w:hAnsi="Times New Roman" w:cs="Times New Roman" w:eastAsia="Times New Roman" w:hint="default"/>
          <w:spacing w:val="-2"/>
        </w:rPr>
        <w:t>[2015]177</w:t>
      </w:r>
      <w:r>
        <w:rPr>
          <w:spacing w:val="-2"/>
        </w:rPr>
        <w:t>号通知），公司本期收到的关于</w:t>
      </w:r>
      <w:r>
        <w:rPr>
          <w:rFonts w:ascii="Times New Roman" w:hAnsi="Times New Roman" w:cs="Times New Roman" w:eastAsia="Times New Roman" w:hint="default"/>
          <w:spacing w:val="-2"/>
        </w:rPr>
        <w:t>“</w:t>
      </w:r>
      <w:r>
        <w:rPr>
          <w:spacing w:val="-2"/>
        </w:rPr>
        <w:t>牛仔激光立体雕花机研发</w:t>
      </w:r>
      <w:r>
        <w:rPr>
          <w:rFonts w:ascii="Times New Roman" w:hAnsi="Times New Roman" w:cs="Times New Roman" w:eastAsia="Times New Roman" w:hint="default"/>
          <w:spacing w:val="-2"/>
        </w:rPr>
        <w:t>”</w:t>
      </w:r>
      <w:r>
        <w:rPr>
          <w:spacing w:val="-2"/>
        </w:rPr>
        <w:t>项目补助</w:t>
      </w:r>
      <w:r>
        <w:rPr>
          <w:spacing w:val="-50"/>
        </w:rPr>
        <w:t> </w:t>
      </w:r>
      <w:r>
        <w:rPr>
          <w:spacing w:val="-50"/>
        </w:rPr>
      </w:r>
      <w:r>
        <w:rPr>
          <w:rFonts w:ascii="Times New Roman" w:hAnsi="Times New Roman" w:cs="Times New Roman" w:eastAsia="Times New Roman" w:hint="default"/>
        </w:rPr>
        <w:t>50</w:t>
      </w:r>
      <w:r>
        <w:rPr/>
        <w:t>万元，为对公司已于</w:t>
      </w:r>
      <w:r>
        <w:rPr>
          <w:rFonts w:ascii="Times New Roman" w:hAnsi="Times New Roman" w:cs="Times New Roman" w:eastAsia="Times New Roman" w:hint="default"/>
        </w:rPr>
        <w:t>2014</w:t>
      </w:r>
      <w:r>
        <w:rPr/>
        <w:t>年形成无形资产的研发项目补助，按照该无形资产摊销年限进行摊销。</w:t>
      </w:r>
    </w:p>
    <w:p>
      <w:pPr>
        <w:pStyle w:val="BodyText"/>
        <w:spacing w:line="256" w:lineRule="auto" w:before="5"/>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根据《武汉市科技局关于下达</w:t>
      </w:r>
      <w:r>
        <w:rPr>
          <w:rFonts w:ascii="Times New Roman" w:hAnsi="Times New Roman" w:cs="Times New Roman" w:eastAsia="Times New Roman" w:hint="default"/>
        </w:rPr>
        <w:t>2015</w:t>
      </w:r>
      <w:r>
        <w:rPr/>
        <w:t>年高新技术成果转化及产业化项目的通知》（武科计</w:t>
      </w:r>
      <w:r>
        <w:rPr>
          <w:rFonts w:ascii="Times New Roman" w:hAnsi="Times New Roman" w:cs="Times New Roman" w:eastAsia="Times New Roman" w:hint="default"/>
        </w:rPr>
        <w:t>[2015]19</w:t>
      </w:r>
      <w:r>
        <w:rPr>
          <w:rFonts w:ascii="Times New Roman" w:hAnsi="Times New Roman" w:cs="Times New Roman" w:eastAsia="Times New Roman" w:hint="default"/>
          <w:w w:val="100"/>
        </w:rPr>
        <w:t> </w:t>
      </w:r>
      <w:r>
        <w:rPr>
          <w:spacing w:val="-4"/>
        </w:rPr>
        <w:t>号），公司本期收到的关于</w:t>
      </w:r>
      <w:r>
        <w:rPr>
          <w:rFonts w:ascii="Times New Roman" w:hAnsi="Times New Roman" w:cs="Times New Roman" w:eastAsia="Times New Roman" w:hint="default"/>
          <w:spacing w:val="-4"/>
        </w:rPr>
        <w:t>“</w:t>
      </w:r>
      <w:r>
        <w:rPr>
          <w:spacing w:val="-4"/>
        </w:rPr>
        <w:t>桥架激光刺绣雕花切割一体机产业化</w:t>
      </w:r>
      <w:r>
        <w:rPr>
          <w:rFonts w:ascii="Times New Roman" w:hAnsi="Times New Roman" w:cs="Times New Roman" w:eastAsia="Times New Roman" w:hint="default"/>
          <w:spacing w:val="-4"/>
        </w:rPr>
        <w:t>”</w:t>
      </w:r>
      <w:r>
        <w:rPr>
          <w:spacing w:val="-4"/>
        </w:rPr>
        <w:t>项目补助</w:t>
      </w:r>
      <w:r>
        <w:rPr>
          <w:rFonts w:ascii="Times New Roman" w:hAnsi="Times New Roman" w:cs="Times New Roman" w:eastAsia="Times New Roman" w:hint="default"/>
          <w:spacing w:val="-4"/>
        </w:rPr>
        <w:t>120</w:t>
      </w:r>
      <w:r>
        <w:rPr>
          <w:spacing w:val="-4"/>
        </w:rPr>
        <w:t>万元，本期收到项目补助尾</w:t>
      </w:r>
      <w:r>
        <w:rPr>
          <w:spacing w:val="-27"/>
        </w:rPr>
        <w:t> </w:t>
      </w:r>
      <w:r>
        <w:rPr>
          <w:spacing w:val="-27"/>
        </w:rPr>
      </w:r>
      <w:r>
        <w:rPr/>
        <w:t>款</w:t>
      </w:r>
      <w:r>
        <w:rPr>
          <w:rFonts w:ascii="Times New Roman" w:hAnsi="Times New Roman" w:cs="Times New Roman" w:eastAsia="Times New Roman" w:hint="default"/>
        </w:rPr>
        <w:t>30</w:t>
      </w:r>
      <w:r>
        <w:rPr/>
        <w:t>万元，为对公司已于</w:t>
      </w:r>
      <w:r>
        <w:rPr>
          <w:rFonts w:ascii="Times New Roman" w:hAnsi="Times New Roman" w:cs="Times New Roman" w:eastAsia="Times New Roman" w:hint="default"/>
        </w:rPr>
        <w:t>2014</w:t>
      </w:r>
      <w:r>
        <w:rPr/>
        <w:t>年形成无形资产的研发项目补助，按照该无形资产摊销年限进行摊销。</w:t>
      </w:r>
    </w:p>
    <w:p>
      <w:pPr>
        <w:pStyle w:val="BodyText"/>
        <w:spacing w:line="240" w:lineRule="auto" w:before="125"/>
        <w:ind w:left="482" w:right="1116"/>
        <w:jc w:val="left"/>
      </w:pPr>
      <w:r>
        <w:rPr/>
        <w:t>本期计入当期损益金额中，计入其他收益</w:t>
      </w:r>
      <w:r>
        <w:rPr>
          <w:rFonts w:ascii="Times New Roman" w:hAnsi="Times New Roman" w:cs="Times New Roman" w:eastAsia="Times New Roman" w:hint="default"/>
        </w:rPr>
        <w:t>324,369.01</w:t>
      </w:r>
      <w:r>
        <w:rPr/>
        <w:t>元，计入营业外收入</w:t>
      </w:r>
      <w:r>
        <w:rPr>
          <w:rFonts w:ascii="Times New Roman" w:hAnsi="Times New Roman" w:cs="Times New Roman" w:eastAsia="Times New Roman" w:hint="default"/>
        </w:rPr>
        <w:t>0</w:t>
      </w:r>
      <w:r>
        <w:rPr/>
        <w:t>元。</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81"/>
        <w:gridCol w:w="1210"/>
        <w:gridCol w:w="1184"/>
        <w:gridCol w:w="1195"/>
        <w:gridCol w:w="1198"/>
        <w:gridCol w:w="1195"/>
        <w:gridCol w:w="1185"/>
        <w:gridCol w:w="1194"/>
      </w:tblGrid>
      <w:tr>
        <w:trPr>
          <w:trHeight w:val="206" w:hRule="exact"/>
        </w:trPr>
        <w:tc>
          <w:tcPr>
            <w:tcW w:w="1181" w:type="dxa"/>
            <w:tcBorders>
              <w:top w:val="single" w:sz="4" w:space="0" w:color="000000"/>
              <w:left w:val="nil" w:sz="6" w:space="0" w:color="auto"/>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2" w:hRule="exact"/>
        </w:trPr>
        <w:tc>
          <w:tcPr>
            <w:tcW w:w="1181" w:type="dxa"/>
            <w:vMerge w:val="restart"/>
            <w:tcBorders>
              <w:top w:val="nil" w:sz="6" w:space="0" w:color="auto"/>
              <w:left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1" w:type="dxa"/>
            <w:vMerge/>
            <w:tcBorders>
              <w:left w:val="nil" w:sz="6" w:space="0" w:color="auto"/>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181" w:type="dxa"/>
            <w:tcBorders>
              <w:top w:val="nil" w:sz="6" w:space="0" w:color="auto"/>
              <w:left w:val="nil" w:sz="6" w:space="0" w:color="auto"/>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1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126,000,000.00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126,000,000.00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6"/>
        <w:gridCol w:w="1913"/>
        <w:gridCol w:w="1901"/>
      </w:tblGrid>
      <w:tr>
        <w:trPr>
          <w:trHeight w:val="40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85,222,850.09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85,222,850.09</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85,222,850.09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85,222,850.09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542"/>
        <w:gridCol w:w="975"/>
        <w:gridCol w:w="852"/>
        <w:gridCol w:w="1052"/>
        <w:gridCol w:w="852"/>
        <w:gridCol w:w="756"/>
        <w:gridCol w:w="812"/>
        <w:gridCol w:w="811"/>
        <w:gridCol w:w="905"/>
      </w:tblGrid>
      <w:tr>
        <w:trPr>
          <w:trHeight w:val="396" w:hRule="exact"/>
        </w:trPr>
        <w:tc>
          <w:tcPr>
            <w:tcW w:w="2542" w:type="dxa"/>
            <w:vMerge w:val="restart"/>
            <w:tcBorders>
              <w:top w:val="single" w:sz="4" w:space="0" w:color="000000"/>
              <w:left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13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05" w:type="dxa"/>
            <w:vMerge w:val="restart"/>
            <w:tcBorders>
              <w:top w:val="single" w:sz="4" w:space="0" w:color="000000"/>
              <w:left w:val="single" w:sz="4" w:space="0" w:color="000000"/>
              <w:right w:val="nil" w:sz="6" w:space="0" w:color="auto"/>
            </w:tcBorders>
            <w:shd w:val="clear" w:color="auto" w:fill="D2D2D2"/>
          </w:tcPr>
          <w:p>
            <w:pPr/>
          </w:p>
        </w:tc>
      </w:tr>
      <w:tr>
        <w:trPr>
          <w:trHeight w:val="168" w:hRule="exact"/>
        </w:trPr>
        <w:tc>
          <w:tcPr>
            <w:tcW w:w="2542" w:type="dxa"/>
            <w:vMerge/>
            <w:tcBorders>
              <w:left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756" w:type="dxa"/>
            <w:vMerge w:val="restart"/>
            <w:tcBorders>
              <w:top w:val="single" w:sz="4" w:space="0" w:color="000000"/>
              <w:left w:val="single" w:sz="4" w:space="0" w:color="000000"/>
              <w:right w:val="single" w:sz="4" w:space="0" w:color="000000"/>
            </w:tcBorders>
            <w:shd w:val="clear" w:color="auto" w:fill="D2D2D2"/>
          </w:tcPr>
          <w:p>
            <w:pP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811" w:type="dxa"/>
            <w:vMerge w:val="restart"/>
            <w:tcBorders>
              <w:top w:val="single" w:sz="4" w:space="0" w:color="000000"/>
              <w:left w:val="single" w:sz="4" w:space="0" w:color="000000"/>
              <w:right w:val="single" w:sz="4" w:space="0" w:color="000000"/>
            </w:tcBorders>
            <w:shd w:val="clear" w:color="auto" w:fill="D2D2D2"/>
          </w:tcPr>
          <w:p>
            <w:pPr/>
          </w:p>
        </w:tc>
        <w:tc>
          <w:tcPr>
            <w:tcW w:w="905" w:type="dxa"/>
            <w:vMerge/>
            <w:tcBorders>
              <w:left w:val="single" w:sz="4" w:space="0" w:color="000000"/>
              <w:right w:val="nil" w:sz="6" w:space="0" w:color="auto"/>
            </w:tcBorders>
            <w:shd w:val="clear" w:color="auto" w:fill="D2D2D2"/>
          </w:tcPr>
          <w:p>
            <w:pPr/>
          </w:p>
        </w:tc>
      </w:tr>
      <w:tr>
        <w:trPr>
          <w:trHeight w:val="156" w:hRule="exact"/>
        </w:trPr>
        <w:tc>
          <w:tcPr>
            <w:tcW w:w="2542" w:type="dxa"/>
            <w:vMerge/>
            <w:tcBorders>
              <w:left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12"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right w:val="nil" w:sz="6" w:space="0" w:color="auto"/>
            </w:tcBorders>
            <w:shd w:val="clear" w:color="auto" w:fill="D2D2D2"/>
          </w:tcPr>
          <w:p>
            <w:pPr/>
          </w:p>
        </w:tc>
      </w:tr>
      <w:tr>
        <w:trPr>
          <w:trHeight w:val="111" w:hRule="exact"/>
        </w:trPr>
        <w:tc>
          <w:tcPr>
            <w:tcW w:w="2542" w:type="dxa"/>
            <w:vMerge/>
            <w:tcBorders>
              <w:left w:val="nil" w:sz="6" w:space="0" w:color="auto"/>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905" w:type="dxa"/>
            <w:vMerge/>
            <w:tcBorders>
              <w:left w:val="single" w:sz="4" w:space="0" w:color="000000"/>
              <w:bottom w:val="nil" w:sz="6" w:space="0" w:color="auto"/>
              <w:right w:val="nil" w:sz="6" w:space="0" w:color="auto"/>
            </w:tcBorders>
            <w:shd w:val="clear" w:color="auto" w:fill="D2D2D2"/>
          </w:tcPr>
          <w:p>
            <w:pPr/>
          </w:p>
        </w:tc>
      </w:tr>
      <w:tr>
        <w:trPr>
          <w:trHeight w:val="368" w:hRule="exact"/>
        </w:trPr>
        <w:tc>
          <w:tcPr>
            <w:tcW w:w="254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5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3" w:right="19" w:hanging="80"/>
              <w:jc w:val="left"/>
              <w:rPr>
                <w:rFonts w:ascii="宋体" w:hAnsi="宋体" w:cs="宋体" w:eastAsia="宋体" w:hint="default"/>
                <w:sz w:val="18"/>
                <w:szCs w:val="18"/>
              </w:rPr>
            </w:pPr>
            <w:r>
              <w:rPr>
                <w:rFonts w:ascii="宋体" w:hAnsi="宋体" w:cs="宋体" w:eastAsia="宋体" w:hint="default"/>
                <w:spacing w:val="-5"/>
                <w:sz w:val="18"/>
                <w:szCs w:val="18"/>
              </w:rPr>
              <w:t>减：所得</w:t>
            </w:r>
            <w:r>
              <w:rPr>
                <w:rFonts w:ascii="宋体" w:hAnsi="宋体" w:cs="宋体" w:eastAsia="宋体" w:hint="default"/>
                <w:sz w:val="18"/>
                <w:szCs w:val="18"/>
              </w:rPr>
              <w:t> 税费用</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0" w:right="3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11" w:type="dxa"/>
            <w:vMerge/>
            <w:tcBorders>
              <w:left w:val="single" w:sz="4" w:space="0" w:color="000000"/>
              <w:right w:val="single" w:sz="4" w:space="0" w:color="000000"/>
            </w:tcBorders>
            <w:shd w:val="clear" w:color="auto" w:fill="D2D2D2"/>
          </w:tcPr>
          <w:p>
            <w:pPr/>
          </w:p>
        </w:tc>
        <w:tc>
          <w:tcPr>
            <w:tcW w:w="905"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542" w:type="dxa"/>
            <w:vMerge w:val="restart"/>
            <w:tcBorders>
              <w:top w:val="nil" w:sz="6" w:space="0" w:color="auto"/>
              <w:left w:val="nil" w:sz="6" w:space="0" w:color="auto"/>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905" w:type="dxa"/>
            <w:vMerge w:val="restart"/>
            <w:tcBorders>
              <w:top w:val="nil" w:sz="6" w:space="0" w:color="auto"/>
              <w:left w:val="single" w:sz="4" w:space="0" w:color="000000"/>
              <w:right w:val="nil" w:sz="6" w:space="0" w:color="auto"/>
            </w:tcBorders>
            <w:shd w:val="clear" w:color="auto" w:fill="D2D2D2"/>
          </w:tcPr>
          <w:p>
            <w:pPr/>
          </w:p>
        </w:tc>
      </w:tr>
      <w:tr>
        <w:trPr>
          <w:trHeight w:val="156" w:hRule="exact"/>
        </w:trPr>
        <w:tc>
          <w:tcPr>
            <w:tcW w:w="2542" w:type="dxa"/>
            <w:vMerge/>
            <w:tcBorders>
              <w:left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56" w:type="dxa"/>
            <w:vMerge w:val="restart"/>
            <w:tcBorders>
              <w:top w:val="nil" w:sz="6" w:space="0" w:color="auto"/>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right w:val="nil" w:sz="6" w:space="0" w:color="auto"/>
            </w:tcBorders>
            <w:shd w:val="clear" w:color="auto" w:fill="D2D2D2"/>
          </w:tcPr>
          <w:p>
            <w:pPr/>
          </w:p>
        </w:tc>
      </w:tr>
      <w:tr>
        <w:trPr>
          <w:trHeight w:val="156" w:hRule="exact"/>
        </w:trPr>
        <w:tc>
          <w:tcPr>
            <w:tcW w:w="2542" w:type="dxa"/>
            <w:vMerge/>
            <w:tcBorders>
              <w:left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12" w:type="dxa"/>
            <w:vMerge/>
            <w:tcBorders>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c>
          <w:tcPr>
            <w:tcW w:w="905" w:type="dxa"/>
            <w:vMerge/>
            <w:tcBorders>
              <w:left w:val="single" w:sz="4" w:space="0" w:color="000000"/>
              <w:right w:val="nil" w:sz="6" w:space="0" w:color="auto"/>
            </w:tcBorders>
            <w:shd w:val="clear" w:color="auto" w:fill="D2D2D2"/>
          </w:tcPr>
          <w:p>
            <w:pPr/>
          </w:p>
        </w:tc>
      </w:tr>
      <w:tr>
        <w:trPr>
          <w:trHeight w:val="161" w:hRule="exact"/>
        </w:trPr>
        <w:tc>
          <w:tcPr>
            <w:tcW w:w="2542" w:type="dxa"/>
            <w:vMerge/>
            <w:tcBorders>
              <w:left w:val="nil" w:sz="6" w:space="0" w:color="auto"/>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nil" w:sz="6" w:space="0" w:color="auto"/>
            </w:tcBorders>
            <w:shd w:val="clear" w:color="auto" w:fill="D2D2D2"/>
          </w:tcPr>
          <w:p>
            <w:pPr/>
          </w:p>
        </w:tc>
      </w:tr>
      <w:tr>
        <w:trPr>
          <w:trHeight w:val="713" w:hRule="exact"/>
        </w:trPr>
        <w:tc>
          <w:tcPr>
            <w:tcW w:w="25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265,291.36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5,105.43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5,105.43</w:t>
            </w:r>
          </w:p>
        </w:tc>
        <w:tc>
          <w:tcPr>
            <w:tcW w:w="81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270,396.79</w:t>
            </w:r>
          </w:p>
        </w:tc>
      </w:tr>
      <w:tr>
        <w:trPr>
          <w:trHeight w:val="403" w:hRule="exact"/>
        </w:trPr>
        <w:tc>
          <w:tcPr>
            <w:tcW w:w="25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25" w:right="0"/>
              <w:jc w:val="left"/>
              <w:rPr>
                <w:rFonts w:ascii="Times New Roman" w:hAnsi="Times New Roman" w:cs="Times New Roman" w:eastAsia="Times New Roman" w:hint="default"/>
                <w:sz w:val="18"/>
                <w:szCs w:val="18"/>
              </w:rPr>
            </w:pPr>
            <w:r>
              <w:rPr>
                <w:rFonts w:ascii="Times New Roman"/>
                <w:sz w:val="18"/>
              </w:rPr>
              <w:t>265,291.36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5,105.43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5,105.43</w:t>
            </w:r>
          </w:p>
        </w:tc>
        <w:tc>
          <w:tcPr>
            <w:tcW w:w="81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270,396.79</w:t>
            </w:r>
          </w:p>
        </w:tc>
      </w:tr>
      <w:tr>
        <w:trPr>
          <w:trHeight w:val="403" w:hRule="exact"/>
        </w:trPr>
        <w:tc>
          <w:tcPr>
            <w:tcW w:w="25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265,291.36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5,105.43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5,105.43</w:t>
            </w:r>
          </w:p>
        </w:tc>
        <w:tc>
          <w:tcPr>
            <w:tcW w:w="81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270,396.79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6"/>
        <w:gridCol w:w="1913"/>
        <w:gridCol w:w="1901"/>
      </w:tblGrid>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11,598,381.40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2,712,687.74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14,311,069.14</w:t>
            </w:r>
          </w:p>
        </w:tc>
      </w:tr>
      <w:tr>
        <w:trPr>
          <w:trHeight w:val="401"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11,598,381.40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2,712,687.74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14,311,069.14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26"/>
        <w:gridCol w:w="2924"/>
        <w:gridCol w:w="2907"/>
      </w:tblGrid>
      <w:tr>
        <w:trPr>
          <w:trHeight w:val="401"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0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27,518,919.06</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21,989,423.67</w:t>
            </w:r>
          </w:p>
        </w:tc>
      </w:tr>
      <w:tr>
        <w:trPr>
          <w:trHeight w:val="402"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27,518,919.06</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21,989,423.67</w:t>
            </w:r>
          </w:p>
        </w:tc>
      </w:tr>
      <w:tr>
        <w:trPr>
          <w:trHeight w:val="402"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15,132,240.66</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7,142,042.20</w:t>
            </w:r>
          </w:p>
        </w:tc>
      </w:tr>
      <w:tr>
        <w:trPr>
          <w:trHeight w:val="402"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2,712,687.74</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1,612,546.81</w:t>
            </w:r>
          </w:p>
        </w:tc>
      </w:tr>
      <w:tr>
        <w:trPr>
          <w:trHeight w:val="402"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756,000.00</w:t>
            </w:r>
          </w:p>
        </w:tc>
        <w:tc>
          <w:tcPr>
            <w:tcW w:w="291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39,182,471.98</w:t>
            </w:r>
          </w:p>
        </w:tc>
        <w:tc>
          <w:tcPr>
            <w:tcW w:w="2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27,518,919.06</w:t>
            </w:r>
          </w:p>
        </w:tc>
      </w:tr>
    </w:tbl>
    <w:p>
      <w:pPr>
        <w:pStyle w:val="BodyText"/>
        <w:spacing w:line="240" w:lineRule="auto" w:before="28"/>
        <w:ind w:right="1116"/>
        <w:jc w:val="left"/>
      </w:pPr>
      <w:r>
        <w:rPr/>
        <w:t>调整期初未分配利润明细：</w:t>
      </w:r>
    </w:p>
    <w:p>
      <w:pPr>
        <w:pStyle w:val="BodyText"/>
        <w:spacing w:line="240" w:lineRule="auto" w:before="75"/>
        <w:ind w:right="1116"/>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62"/>
        <w:ind w:right="1116"/>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62"/>
        <w:ind w:right="1116"/>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59"/>
        <w:ind w:right="1116"/>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62"/>
        <w:ind w:right="1116"/>
        <w:jc w:val="left"/>
      </w:pPr>
      <w:r>
        <w:rPr>
          <w:rFonts w:ascii="Times New Roman" w:hAnsi="Times New Roman" w:cs="Times New Roman" w:eastAsia="Times New Roman" w:hint="default"/>
        </w:rPr>
        <w:t>5)</w:t>
      </w:r>
      <w:r>
        <w:rPr/>
        <w:t>、其他调整合计影响期初未分配利润元。</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99"/>
        <w:gridCol w:w="1916"/>
        <w:gridCol w:w="1916"/>
        <w:gridCol w:w="1913"/>
        <w:gridCol w:w="1901"/>
      </w:tblGrid>
      <w:tr>
        <w:trPr>
          <w:trHeight w:val="206" w:hRule="exact"/>
        </w:trPr>
        <w:tc>
          <w:tcPr>
            <w:tcW w:w="1899" w:type="dxa"/>
            <w:tcBorders>
              <w:top w:val="single" w:sz="4" w:space="0" w:color="000000"/>
              <w:left w:val="nil" w:sz="6" w:space="0" w:color="auto"/>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4"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89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4"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899" w:type="dxa"/>
            <w:vMerge/>
            <w:tcBorders>
              <w:left w:val="nil" w:sz="6" w:space="0" w:color="auto"/>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899" w:type="dxa"/>
            <w:tcBorders>
              <w:top w:val="nil" w:sz="6" w:space="0" w:color="auto"/>
              <w:left w:val="nil" w:sz="6" w:space="0" w:color="auto"/>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nil" w:sz="6" w:space="0" w:color="auto"/>
            </w:tcBorders>
            <w:shd w:val="clear" w:color="auto" w:fill="D2D2D2"/>
          </w:tcPr>
          <w:p>
            <w:pPr/>
          </w:p>
        </w:tc>
      </w:tr>
      <w:tr>
        <w:trPr>
          <w:trHeight w:val="404" w:hRule="exact"/>
        </w:trPr>
        <w:tc>
          <w:tcPr>
            <w:tcW w:w="18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207,223,811.05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130,842,618.55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200,113,805.01</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136,331,786.24</w:t>
            </w:r>
          </w:p>
        </w:tc>
      </w:tr>
      <w:tr>
        <w:trPr>
          <w:trHeight w:val="401" w:hRule="exact"/>
        </w:trPr>
        <w:tc>
          <w:tcPr>
            <w:tcW w:w="18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12,077,350.89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5,227,140.75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12,673,800.81</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5,340,195.57</w:t>
            </w:r>
          </w:p>
        </w:tc>
      </w:tr>
      <w:tr>
        <w:trPr>
          <w:trHeight w:val="403" w:hRule="exact"/>
        </w:trPr>
        <w:tc>
          <w:tcPr>
            <w:tcW w:w="18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219,301,161.94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136,069,759.30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212,787,605.82</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141,671,981.81</w:t>
            </w:r>
          </w:p>
        </w:tc>
      </w:tr>
    </w:tbl>
    <w:p>
      <w:pPr>
        <w:pStyle w:val="BodyText"/>
        <w:spacing w:line="240" w:lineRule="auto" w:before="28"/>
        <w:ind w:right="1116"/>
        <w:jc w:val="left"/>
      </w:pPr>
      <w:r>
        <w:rPr/>
        <w:t>是否已执行新收入准则</w:t>
      </w:r>
    </w:p>
    <w:p>
      <w:pPr>
        <w:pStyle w:val="BodyText"/>
        <w:spacing w:line="240" w:lineRule="auto" w:before="75"/>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9"/>
          <w:szCs w:val="29"/>
        </w:rPr>
      </w:pPr>
    </w:p>
    <w:p>
      <w:pPr>
        <w:pStyle w:val="Heading3"/>
        <w:spacing w:line="240" w:lineRule="auto"/>
        <w:ind w:right="1116"/>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170"/>
        <w:gridCol w:w="3203"/>
        <w:gridCol w:w="3178"/>
      </w:tblGrid>
      <w:tr>
        <w:trPr>
          <w:trHeight w:val="403"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745,947.32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595,786.37</w:t>
            </w:r>
          </w:p>
        </w:tc>
      </w:tr>
      <w:tr>
        <w:trPr>
          <w:trHeight w:val="403"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296,828.55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267,877.31</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357,142.56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357,142.56</w:t>
            </w:r>
          </w:p>
        </w:tc>
      </w:tr>
      <w:tr>
        <w:trPr>
          <w:trHeight w:val="403"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23,821.56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59,553.92</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159,628.43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151,014.64</w:t>
            </w:r>
          </w:p>
        </w:tc>
      </w:tr>
      <w:tr>
        <w:trPr>
          <w:trHeight w:val="403" w:hRule="exact"/>
        </w:trPr>
        <w:tc>
          <w:tcPr>
            <w:tcW w:w="3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200,339.59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127,726.09</w:t>
            </w:r>
          </w:p>
        </w:tc>
      </w:tr>
      <w:tr>
        <w:trPr>
          <w:trHeight w:val="401" w:hRule="exact"/>
        </w:trPr>
        <w:tc>
          <w:tcPr>
            <w:tcW w:w="31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1,783,708.01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1,559,100.89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1"/>
        <w:gridCol w:w="3190"/>
        <w:gridCol w:w="3178"/>
      </w:tblGrid>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9,955,613.81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10,687,748.09</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运费和报关杂费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6,571,280.06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4,681,452.45</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3,805,356.20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3,230,914.41</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4,698,869.45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2,492,351.90</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1,254,041.43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1,154,709.81</w:t>
            </w:r>
          </w:p>
        </w:tc>
      </w:tr>
      <w:tr>
        <w:trPr>
          <w:trHeight w:val="404"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4,006,903.81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4,652,247.28</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166,965.34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222,081.19</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201,882.27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374,226.31</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1,201,165.81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1,361,944.21</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31,862,078.18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28,857,675.65</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1"/>
        <w:gridCol w:w="3190"/>
        <w:gridCol w:w="3178"/>
      </w:tblGrid>
      <w:tr>
        <w:trPr>
          <w:trHeight w:val="404"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11,046,069.06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10,288,196.55</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2,650,225.61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2,484,938.68</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599,764.17</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447,285.51</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662,723.92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762,791.96</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675,985.72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629,857.13</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咨询、设计费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1,473,117.49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1,450,758.08</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1,502,663.16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1,386,616.56</w:t>
            </w:r>
          </w:p>
        </w:tc>
      </w:tr>
      <w:tr>
        <w:trPr>
          <w:trHeight w:val="404"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18,610,549.13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17,450,444.47</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37</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1"/>
        <w:gridCol w:w="3190"/>
        <w:gridCol w:w="3178"/>
      </w:tblGrid>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5,670,099.06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5,133,337.38</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材料领用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8,176,808.29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5,801,394.12</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228,951.10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509,506.34</w:t>
            </w:r>
          </w:p>
        </w:tc>
      </w:tr>
      <w:tr>
        <w:trPr>
          <w:trHeight w:val="404"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655,026.03</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925,294.61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14,730,884.48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12,369,532.45</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8"/>
      </w:tblGrid>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913,048.75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501,537.42</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减：利息收入</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1,783,089.44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259,097.07</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-972,333.14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-2,118,901.61</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143,942.81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149,587.68</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-1,698,431.02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-1,726,873.58</w:t>
            </w:r>
          </w:p>
        </w:tc>
      </w:tr>
    </w:tbl>
    <w:p>
      <w:pPr>
        <w:pStyle w:val="BodyText"/>
        <w:spacing w:line="240" w:lineRule="auto" w:before="28"/>
        <w:ind w:right="1116"/>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573" w:right="1116"/>
        <w:jc w:val="left"/>
      </w:pPr>
      <w:r>
        <w:rPr/>
        <w:t>财务费用说明：</w:t>
      </w:r>
    </w:p>
    <w:p>
      <w:pPr>
        <w:pStyle w:val="BodyText"/>
        <w:spacing w:line="256" w:lineRule="auto" w:before="37"/>
        <w:ind w:right="1128" w:firstLine="42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根据《市经信局关于拨付</w:t>
      </w:r>
      <w:r>
        <w:rPr>
          <w:rFonts w:ascii="Times New Roman" w:hAnsi="Times New Roman" w:cs="Times New Roman" w:eastAsia="Times New Roman" w:hint="default"/>
        </w:rPr>
        <w:t>2018</w:t>
      </w:r>
      <w:r>
        <w:rPr/>
        <w:t>年度成长性工业企业流动资金贷款贴息资金的通知》，公司于</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日收到武汉市经济和信息化局拨付的</w:t>
      </w:r>
      <w:r>
        <w:rPr>
          <w:rFonts w:ascii="Times New Roman" w:hAnsi="Times New Roman" w:cs="Times New Roman" w:eastAsia="Times New Roman" w:hint="default"/>
        </w:rPr>
        <w:t>2018</w:t>
      </w:r>
      <w:r>
        <w:rPr/>
        <w:t>年度成长性工业企业流动资金贷款贴息资金</w:t>
      </w:r>
      <w:r>
        <w:rPr>
          <w:rFonts w:ascii="Times New Roman" w:hAnsi="Times New Roman" w:cs="Times New Roman" w:eastAsia="Times New Roman" w:hint="default"/>
        </w:rPr>
        <w:t>243,000.00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元，收到的上述政府补助已减利息支出。</w:t>
      </w:r>
    </w:p>
    <w:p>
      <w:pPr>
        <w:pStyle w:val="BodyText"/>
        <w:spacing w:line="256" w:lineRule="auto" w:before="22"/>
        <w:ind w:right="1129" w:firstLine="425"/>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本期利息收入主要系与关联方金运云合作建房计提资金利息</w:t>
      </w:r>
      <w:r>
        <w:rPr>
          <w:rFonts w:ascii="Times New Roman" w:hAnsi="Times New Roman" w:cs="Times New Roman" w:eastAsia="Times New Roman" w:hint="default"/>
        </w:rPr>
        <w:t>705,117.84</w:t>
      </w:r>
      <w:r>
        <w:rPr/>
        <w:t>元；</w:t>
      </w:r>
      <w:r>
        <w:rPr>
          <w:rFonts w:ascii="Times New Roman" w:hAnsi="Times New Roman" w:cs="Times New Roman" w:eastAsia="Times New Roman" w:hint="default"/>
        </w:rPr>
        <w:t>3,800,000.00</w:t>
      </w:r>
      <w:r>
        <w:rPr/>
        <w:t>美元用于</w:t>
      </w:r>
      <w:r>
        <w:rPr>
          <w:w w:val="100"/>
        </w:rPr>
        <w:t> </w:t>
      </w:r>
      <w:r>
        <w:rPr/>
        <w:t>民生银行短期借款质押的银行存单计提利息收入</w:t>
      </w:r>
      <w:r>
        <w:rPr>
          <w:rFonts w:ascii="Times New Roman" w:hAnsi="Times New Roman" w:cs="Times New Roman" w:eastAsia="Times New Roman" w:hint="default"/>
        </w:rPr>
        <w:t>847,059.51</w:t>
      </w:r>
      <w:r>
        <w:rPr/>
        <w:t>元，及其他活期存款产生的利息收入。</w:t>
      </w:r>
    </w:p>
    <w:p>
      <w:pPr>
        <w:spacing w:line="240" w:lineRule="auto" w:before="4"/>
        <w:rPr>
          <w:rFonts w:ascii="宋体" w:hAnsi="宋体" w:cs="宋体" w:eastAsia="宋体" w:hint="default"/>
          <w:sz w:val="23"/>
          <w:szCs w:val="23"/>
        </w:rPr>
      </w:pPr>
    </w:p>
    <w:p>
      <w:pPr>
        <w:pStyle w:val="Heading3"/>
        <w:spacing w:line="240" w:lineRule="auto"/>
        <w:ind w:right="1116"/>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829"/>
        <w:gridCol w:w="2976"/>
        <w:gridCol w:w="2753"/>
      </w:tblGrid>
      <w:tr>
        <w:trPr>
          <w:trHeight w:val="401" w:hRule="exact"/>
        </w:trPr>
        <w:tc>
          <w:tcPr>
            <w:tcW w:w="38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5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由递延收益转入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324,369.01</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255,138.24</w:t>
            </w:r>
          </w:p>
        </w:tc>
      </w:tr>
      <w:tr>
        <w:trPr>
          <w:trHeight w:val="40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年专利转化类科技计划项目补贴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高新技术产品出口奖励</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368,400.00</w:t>
            </w:r>
          </w:p>
        </w:tc>
      </w:tr>
      <w:tr>
        <w:trPr>
          <w:trHeight w:val="40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武汉市中央外贸发展专项资金补助</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236,600.00</w:t>
            </w:r>
          </w:p>
        </w:tc>
      </w:tr>
      <w:tr>
        <w:trPr>
          <w:trHeight w:val="404"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武汉市江岸区科技局专利资助</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w w:val="95"/>
                <w:sz w:val="18"/>
              </w:rPr>
              <w:t>6,000.00</w:t>
            </w:r>
          </w:p>
        </w:tc>
      </w:tr>
      <w:tr>
        <w:trPr>
          <w:trHeight w:val="40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江岸区文化和科技融合发展资金补助</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中央外经贸资金拨付补助</w:t>
            </w:r>
          </w:p>
        </w:tc>
        <w:tc>
          <w:tcPr>
            <w:tcW w:w="297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169,500.00</w:t>
            </w:r>
          </w:p>
        </w:tc>
      </w:tr>
      <w:tr>
        <w:trPr>
          <w:trHeight w:val="40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年省级商务发展专项资金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年度外贸专项资金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464,700.00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年度武汉市工业设计项目奖励资金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年文化和科技融合发展资金支持项目补助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年度培育企业补贴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年度第一批科技创新资金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财政专项发展资金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306,900.00</w:t>
            </w:r>
          </w:p>
        </w:tc>
        <w:tc>
          <w:tcPr>
            <w:tcW w:w="275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3843"/>
        <w:gridCol w:w="2976"/>
        <w:gridCol w:w="2765"/>
      </w:tblGrid>
      <w:tr>
        <w:trPr>
          <w:trHeight w:val="40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40,905.12</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31,693.07</w:t>
            </w:r>
          </w:p>
        </w:tc>
      </w:tr>
      <w:tr>
        <w:trPr>
          <w:trHeight w:val="403"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1,931,874.13</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1,217,331.31</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455"/>
        <w:gridCol w:w="3190"/>
        <w:gridCol w:w="2904"/>
      </w:tblGrid>
      <w:tr>
        <w:trPr>
          <w:trHeight w:val="403" w:hRule="exact"/>
        </w:trPr>
        <w:tc>
          <w:tcPr>
            <w:tcW w:w="34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-680,259.44</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-441,336.95</w:t>
            </w:r>
          </w:p>
        </w:tc>
      </w:tr>
      <w:tr>
        <w:trPr>
          <w:trHeight w:val="403" w:hRule="exact"/>
        </w:trPr>
        <w:tc>
          <w:tcPr>
            <w:tcW w:w="34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7,728.00</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-6,429.81</w:t>
            </w:r>
          </w:p>
        </w:tc>
      </w:tr>
      <w:tr>
        <w:trPr>
          <w:trHeight w:val="401" w:hRule="exact"/>
        </w:trPr>
        <w:tc>
          <w:tcPr>
            <w:tcW w:w="3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58,795.87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17,998.99</w:t>
            </w:r>
          </w:p>
        </w:tc>
      </w:tr>
      <w:tr>
        <w:trPr>
          <w:trHeight w:val="403" w:hRule="exact"/>
        </w:trPr>
        <w:tc>
          <w:tcPr>
            <w:tcW w:w="34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-613,735.57</w:t>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-429,767.77</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41</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1"/>
        <w:gridCol w:w="3190"/>
        <w:gridCol w:w="3178"/>
      </w:tblGrid>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1,947,732.35</w:t>
            </w:r>
          </w:p>
        </w:tc>
        <w:tc>
          <w:tcPr>
            <w:tcW w:w="3178"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1,947,732.35</w:t>
            </w:r>
          </w:p>
        </w:tc>
        <w:tc>
          <w:tcPr>
            <w:tcW w:w="31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0"/>
        <w:jc w:val="left"/>
      </w:pPr>
      <w:r>
        <w:rPr>
          <w:spacing w:val="-2"/>
        </w:rPr>
        <w:t>是否已执行新收入准则</w:t>
      </w:r>
    </w:p>
    <w:p>
      <w:pPr>
        <w:pStyle w:val="BodyText"/>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56" w:space="6573"/>
            <w:col w:w="2101"/>
          </w:cols>
        </w:sectPr>
      </w:pP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3"/>
        <w:gridCol w:w="3203"/>
        <w:gridCol w:w="3178"/>
      </w:tblGrid>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-1,680,231.07</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-5,132,319.94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-1,895,265.42</w:t>
            </w:r>
          </w:p>
        </w:tc>
      </w:tr>
      <w:tr>
        <w:trPr>
          <w:trHeight w:val="404"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-5,132,319.94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-3,575,496.49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43</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78"/>
      </w:tblGrid>
      <w:tr>
        <w:trPr>
          <w:trHeight w:val="401" w:hRule="exact"/>
        </w:trPr>
        <w:tc>
          <w:tcPr>
            <w:tcW w:w="31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85"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-11,768.52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-37,268.35</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7"/>
        <w:gridCol w:w="2393"/>
        <w:gridCol w:w="2378"/>
      </w:tblGrid>
      <w:tr>
        <w:trPr>
          <w:trHeight w:val="403"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0"/>
              <w:ind w:left="10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79"/>
      </w:tblGrid>
      <w:tr>
        <w:trPr>
          <w:trHeight w:val="363"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经批准无须支付的应付款项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86,649.32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132,749.33</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86,649.32</w:t>
            </w: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诉讼赔款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47,716.39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112,260.00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112,260.00</w:t>
            </w: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52,974.75</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3.43</w:t>
            </w: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418,912.75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233,440.47</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418,912.75</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88"/>
        <w:gridCol w:w="2396"/>
        <w:gridCol w:w="2393"/>
        <w:gridCol w:w="2379"/>
      </w:tblGrid>
      <w:tr>
        <w:trPr>
          <w:trHeight w:val="713"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1102" w:right="10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14,449.48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3,238.10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14,449.48</w:t>
            </w: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债务豁免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12,020.00</w:t>
            </w:r>
          </w:p>
        </w:tc>
      </w:tr>
      <w:tr>
        <w:trPr>
          <w:trHeight w:val="401" w:hRule="exact"/>
        </w:trPr>
        <w:tc>
          <w:tcPr>
            <w:tcW w:w="23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56,469.48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53,251.89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56,469.48</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3"/>
        <w:gridCol w:w="3203"/>
        <w:gridCol w:w="3178"/>
      </w:tblGrid>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3,588,212.44</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2,223,814.59</w:t>
            </w:r>
          </w:p>
        </w:tc>
      </w:tr>
      <w:tr>
        <w:trPr>
          <w:trHeight w:val="403"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-2,969,659.19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-109,943.87</w:t>
            </w:r>
          </w:p>
        </w:tc>
      </w:tr>
      <w:tr>
        <w:trPr>
          <w:trHeight w:val="401" w:hRule="exact"/>
        </w:trPr>
        <w:tc>
          <w:tcPr>
            <w:tcW w:w="316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618,553.25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2,113,870.72</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54"/>
        <w:gridCol w:w="4788"/>
      </w:tblGrid>
      <w:tr>
        <w:trPr>
          <w:trHeight w:val="403"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16,426,839.58</w:t>
            </w:r>
          </w:p>
        </w:tc>
      </w:tr>
      <w:tr>
        <w:trPr>
          <w:trHeight w:val="402"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-228,921.70</w:t>
            </w:r>
          </w:p>
        </w:tc>
      </w:tr>
      <w:tr>
        <w:trPr>
          <w:trHeight w:val="402"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-489,814.52</w:t>
            </w:r>
          </w:p>
        </w:tc>
      </w:tr>
      <w:tr>
        <w:trPr>
          <w:trHeight w:val="402"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138,457.09</w:t>
            </w:r>
          </w:p>
        </w:tc>
      </w:tr>
      <w:tr>
        <w:trPr>
          <w:trHeight w:val="402"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-84,956.08</w:t>
            </w:r>
          </w:p>
        </w:tc>
      </w:tr>
      <w:tr>
        <w:trPr>
          <w:trHeight w:val="714" w:hRule="exact"/>
        </w:trPr>
        <w:tc>
          <w:tcPr>
            <w:tcW w:w="47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0"/>
              <w:ind w:left="14"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566,667.43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按母公司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税率计算的所得税费用</w:t>
            </w:r>
          </w:p>
        </w:tc>
        <w:tc>
          <w:tcPr>
            <w:tcW w:w="4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2,464,025.94</w:t>
            </w:r>
          </w:p>
        </w:tc>
      </w:tr>
      <w:tr>
        <w:trPr>
          <w:trHeight w:val="403"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-1,574,230.57</w:t>
            </w:r>
          </w:p>
        </w:tc>
      </w:tr>
      <w:tr>
        <w:trPr>
          <w:trHeight w:val="401"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税率变动对递延所得税余额的影响</w:t>
            </w:r>
          </w:p>
        </w:tc>
        <w:tc>
          <w:tcPr>
            <w:tcW w:w="4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-172,674.34</w:t>
            </w:r>
          </w:p>
        </w:tc>
      </w:tr>
      <w:tr>
        <w:trPr>
          <w:trHeight w:val="403" w:hRule="exact"/>
        </w:trPr>
        <w:tc>
          <w:tcPr>
            <w:tcW w:w="47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618,553.25</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6"/>
        <w:jc w:val="left"/>
        <w:rPr>
          <w:b w:val="0"/>
          <w:bCs w:val="0"/>
        </w:rPr>
      </w:pPr>
      <w:r>
        <w:rPr>
          <w:rFonts w:ascii="Times New Roman" w:hAnsi="Times New Roman" w:cs="Times New Roman" w:eastAsia="Times New Roman" w:hint="default"/>
        </w:rPr>
        <w:t>47</w:t>
      </w:r>
      <w:r>
        <w:rPr/>
        <w:t>、其他综合收益</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t>详见附注七、合并财务报表注释</w:t>
      </w:r>
      <w:r>
        <w:rPr>
          <w:spacing w:val="-56"/>
        </w:rPr>
        <w:t> </w:t>
      </w:r>
      <w:r>
        <w:rPr>
          <w:rFonts w:ascii="Times New Roman" w:hAnsi="Times New Roman" w:cs="Times New Roman" w:eastAsia="Times New Roman" w:hint="default"/>
        </w:rPr>
        <w:t>30“</w:t>
      </w:r>
      <w:r>
        <w:rPr/>
        <w:t>其他综合收益</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48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78"/>
      </w:tblGrid>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1,607,008.69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962,193.07</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230,912.09</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259,097.07</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4,392,864.48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3,896,340.28</w:t>
            </w:r>
          </w:p>
        </w:tc>
      </w:tr>
      <w:tr>
        <w:trPr>
          <w:trHeight w:val="404"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6,230,785.26</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5,117,630.42</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21,704,582.10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17,795,701.25</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13,029,587.05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10,509,118.48</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143,942.81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149,587.68</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91,712.85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51,981.62</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34,969,824.81</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28,506,389.03</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5,171,697.50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借款信贷保证金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5,378,739.50</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21,138,656.00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511,678.90</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5,890,418.40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2122" w:right="0"/>
              <w:jc w:val="left"/>
              <w:rPr>
                <w:rFonts w:ascii="Times New Roman" w:hAnsi="Times New Roman" w:cs="Times New Roman" w:eastAsia="Times New Roman" w:hint="default"/>
                <w:sz w:val="18"/>
                <w:szCs w:val="18"/>
              </w:rPr>
            </w:pPr>
            <w:r>
              <w:rPr>
                <w:rFonts w:ascii="Times New Roman"/>
                <w:sz w:val="18"/>
              </w:rPr>
              <w:t>26,310,353.50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95"/>
        <w:gridCol w:w="2562"/>
        <w:gridCol w:w="2185"/>
      </w:tblGrid>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8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18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15,808,286.33</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7,846,860.69</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3,184,587.59</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3,575,496.49</w:t>
            </w:r>
          </w:p>
        </w:tc>
      </w:tr>
      <w:tr>
        <w:trPr>
          <w:trHeight w:val="714"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4,777,389.66</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5,187,474.68</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1,671,959.13</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1,572,810.98</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296,498.74</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316,882.65</w:t>
            </w:r>
          </w:p>
        </w:tc>
      </w:tr>
      <w:tr>
        <w:trPr>
          <w:trHeight w:val="714"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0"/>
              <w:ind w:left="14" w:right="9" w:firstLine="72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w:t>
            </w:r>
            <w:r>
              <w:rPr>
                <w:rFonts w:ascii="宋体" w:hAnsi="宋体" w:cs="宋体" w:eastAsia="宋体" w:hint="default"/>
                <w:sz w:val="18"/>
                <w:szCs w:val="18"/>
              </w:rPr>
              <w:t> 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11,768.52</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37,268.35</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674,274.40</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-408,800.20</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613,735.57</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429,767.77</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-2,946,263.31</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-109,943.87</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7,561,975.19</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6,381,033.97</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474"/>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-12,638,044.25</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-2,102,182.85</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right="474"/>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6,079,987.56</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6,976,328.35</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25,096,155.13</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29,702,997.01</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18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18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55,918,132.92</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51,243,802.86</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51,243,802.86</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55,944,113.76</w:t>
            </w:r>
          </w:p>
        </w:tc>
      </w:tr>
      <w:tr>
        <w:trPr>
          <w:trHeight w:val="402" w:hRule="exact"/>
        </w:trPr>
        <w:tc>
          <w:tcPr>
            <w:tcW w:w="47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4,674,330.06</w:t>
            </w:r>
          </w:p>
        </w:tc>
        <w:tc>
          <w:tcPr>
            <w:tcW w:w="21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-4,700,310.90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3302"/>
        <w:gridCol w:w="3069"/>
        <w:gridCol w:w="3171"/>
      </w:tblGrid>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55,918,132.92</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51,243,802.86</w:t>
            </w: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8,880.73</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6,355.01</w:t>
            </w:r>
          </w:p>
        </w:tc>
      </w:tr>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55,909,252.19</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51,237,447.85</w:t>
            </w: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55,918,132.92</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51,243,802.86</w:t>
            </w:r>
          </w:p>
        </w:tc>
      </w:tr>
      <w:tr>
        <w:trPr>
          <w:trHeight w:val="715"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14"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34,666,605.90</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28,776,187.50</w:t>
            </w: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6"/>
        <w:jc w:val="left"/>
        <w:rPr>
          <w:b w:val="0"/>
          <w:bCs w:val="0"/>
        </w:rPr>
      </w:pPr>
      <w:r>
        <w:rPr>
          <w:rFonts w:ascii="Times New Roman" w:hAnsi="Times New Roman" w:cs="Times New Roman" w:eastAsia="Times New Roman" w:hint="default"/>
        </w:rPr>
        <w:t>50</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327"/>
        <w:gridCol w:w="3058"/>
        <w:gridCol w:w="3171"/>
      </w:tblGrid>
      <w:tr>
        <w:trPr>
          <w:trHeight w:val="401" w:hRule="exact"/>
        </w:trPr>
        <w:tc>
          <w:tcPr>
            <w:tcW w:w="33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7,645,367.00</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承兑汇票保证金</w:t>
            </w:r>
          </w:p>
        </w:tc>
      </w:tr>
      <w:tr>
        <w:trPr>
          <w:trHeight w:val="401"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26,509,560.00</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借款质押保证金</w:t>
            </w:r>
          </w:p>
        </w:tc>
      </w:tr>
      <w:tr>
        <w:trPr>
          <w:trHeight w:val="403" w:hRule="exact"/>
        </w:trPr>
        <w:tc>
          <w:tcPr>
            <w:tcW w:w="3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511,678.90</w:t>
            </w:r>
          </w:p>
        </w:tc>
        <w:tc>
          <w:tcPr>
            <w:tcW w:w="3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1" w:hRule="exact"/>
        </w:trPr>
        <w:tc>
          <w:tcPr>
            <w:tcW w:w="33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34,666,605.90</w:t>
            </w:r>
          </w:p>
        </w:tc>
        <w:tc>
          <w:tcPr>
            <w:tcW w:w="317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96"/>
        <w:gridCol w:w="2293"/>
        <w:gridCol w:w="2391"/>
        <w:gridCol w:w="2376"/>
      </w:tblGrid>
      <w:tr>
        <w:trPr>
          <w:trHeight w:val="402"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76" w:type="dxa"/>
            <w:tcBorders>
              <w:top w:val="single" w:sz="4" w:space="0" w:color="000000"/>
              <w:left w:val="single" w:sz="12" w:space="0" w:color="D2D2D2"/>
              <w:bottom w:val="single" w:sz="4" w:space="0" w:color="000000"/>
              <w:right w:val="nil" w:sz="6" w:space="0" w:color="auto"/>
            </w:tcBorders>
          </w:tcPr>
          <w:p>
            <w:pPr/>
          </w:p>
        </w:tc>
      </w:tr>
      <w:tr>
        <w:trPr>
          <w:trHeight w:val="401"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8,231,497.95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57,424,576.00</w:t>
            </w:r>
          </w:p>
        </w:tc>
      </w:tr>
      <w:tr>
        <w:trPr>
          <w:trHeight w:val="403"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528,802.49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4,132,855.86</w:t>
            </w:r>
          </w:p>
        </w:tc>
      </w:tr>
      <w:tr>
        <w:trPr>
          <w:trHeight w:val="401"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96" w:type="dxa"/>
            <w:tcBorders>
              <w:top w:val="single" w:sz="4" w:space="0" w:color="000000"/>
              <w:left w:val="nil" w:sz="6" w:space="0" w:color="auto"/>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76" w:type="dxa"/>
            <w:tcBorders>
              <w:top w:val="single" w:sz="4" w:space="0" w:color="000000"/>
              <w:left w:val="single" w:sz="12" w:space="0" w:color="D2D2D2"/>
              <w:bottom w:val="single" w:sz="4" w:space="0" w:color="000000"/>
              <w:right w:val="nil" w:sz="6" w:space="0" w:color="auto"/>
            </w:tcBorders>
          </w:tcPr>
          <w:p>
            <w:pPr/>
          </w:p>
        </w:tc>
      </w:tr>
      <w:tr>
        <w:trPr>
          <w:trHeight w:val="403"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1,025,594.30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6.9762</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7,154,750.96</w:t>
            </w:r>
          </w:p>
        </w:tc>
      </w:tr>
      <w:tr>
        <w:trPr>
          <w:trHeight w:val="401"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16,328.79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127,617.66</w:t>
            </w:r>
          </w:p>
        </w:tc>
      </w:tr>
      <w:tr>
        <w:trPr>
          <w:trHeight w:val="403"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96" w:type="dxa"/>
            <w:tcBorders>
              <w:top w:val="single" w:sz="4" w:space="0" w:color="000000"/>
              <w:left w:val="nil" w:sz="6" w:space="0" w:color="auto"/>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76" w:type="dxa"/>
            <w:tcBorders>
              <w:top w:val="single" w:sz="4" w:space="0" w:color="000000"/>
              <w:left w:val="single" w:sz="12" w:space="0" w:color="D2D2D2"/>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2484"/>
        <w:gridCol w:w="2305"/>
        <w:gridCol w:w="2391"/>
        <w:gridCol w:w="2391"/>
      </w:tblGrid>
      <w:tr>
        <w:trPr>
          <w:trHeight w:val="401"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4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484" w:type="dxa"/>
            <w:tcBorders>
              <w:top w:val="single" w:sz="4" w:space="0" w:color="000000"/>
              <w:left w:val="nil" w:sz="6" w:space="0" w:color="auto"/>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nil" w:sz="6" w:space="0" w:color="auto"/>
            </w:tcBorders>
          </w:tcPr>
          <w:p>
            <w:pPr/>
          </w:p>
        </w:tc>
      </w:tr>
    </w:tbl>
    <w:p>
      <w:pPr>
        <w:spacing w:before="49"/>
        <w:ind w:left="152" w:right="1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9" w:lineRule="auto" w:before="118"/>
        <w:ind w:right="111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53</w:t>
      </w:r>
      <w:r>
        <w:rPr/>
        <w:t>、套期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393"/>
        <w:gridCol w:w="2391"/>
        <w:gridCol w:w="2393"/>
        <w:gridCol w:w="2379"/>
      </w:tblGrid>
      <w:tr>
        <w:trPr>
          <w:trHeight w:val="403"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324,369.01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324,369.01</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1,607,505.12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1,607,505.12</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243,000.00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2,174,874.13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2,174,874.13</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spacing w:line="487" w:lineRule="auto" w:before="36"/>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16"/>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600" w:lineRule="atLeast" w:before="12"/>
        <w:ind w:left="152" w:right="11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40" w:lineRule="auto" w:before="75"/>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6" w:firstLine="420"/>
        <w:jc w:val="left"/>
      </w:pPr>
      <w:r>
        <w:rPr>
          <w:spacing w:val="-3"/>
        </w:rPr>
        <w:t>交易基本信息、交易构成反向购买的依据、上市公司保留的资产、负债是否构成业务及其依据、合并</w:t>
      </w:r>
      <w:r>
        <w:rPr>
          <w:w w:val="100"/>
        </w:rPr>
        <w:t> </w:t>
      </w:r>
      <w:r>
        <w:rPr/>
        <w:t>成本的确定、按照权益性交易处理时调整权益的金额及其计算：</w:t>
      </w:r>
    </w:p>
    <w:p>
      <w:pPr>
        <w:spacing w:line="600" w:lineRule="atLeast" w:before="0"/>
        <w:ind w:left="152" w:right="55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b/>
          <w:bCs/>
          <w:spacing w:val="-103"/>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90" w:lineRule="auto" w:before="75"/>
        <w:ind w:right="32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是否存在通过多次交易分步处置对子公司投资且在本期丧失控制权的情形</w:t>
      </w:r>
    </w:p>
    <w:p>
      <w:pPr>
        <w:pStyle w:val="BodyText"/>
        <w:spacing w:line="240" w:lineRule="auto" w:before="34"/>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16"/>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616"/>
        <w:gridCol w:w="1361"/>
        <w:gridCol w:w="847"/>
        <w:gridCol w:w="2897"/>
        <w:gridCol w:w="998"/>
        <w:gridCol w:w="869"/>
        <w:gridCol w:w="1106"/>
      </w:tblGrid>
      <w:tr>
        <w:trPr>
          <w:trHeight w:val="401" w:hRule="exact"/>
        </w:trPr>
        <w:tc>
          <w:tcPr>
            <w:tcW w:w="161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8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0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616" w:type="dxa"/>
            <w:vMerge/>
            <w:tcBorders>
              <w:left w:val="nil" w:sz="6" w:space="0" w:color="auto"/>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2897"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06"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电子设备生产销售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99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51.00%</w:t>
            </w: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激光系统组装、销售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68.50%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高投金运</w:t>
            </w:r>
            <w:r>
              <w:rPr>
                <w:rFonts w:ascii="Times New Roman" w:hAnsi="Times New Roman" w:cs="Times New Roman" w:eastAsia="Times New Roman" w:hint="default"/>
                <w:sz w:val="18"/>
                <w:szCs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股权类投资管理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CORP</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打印服务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激光设备、配件生产销售</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广告设计、制作、代理</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410" w:lineRule="auto" w:before="28"/>
        <w:ind w:right="5505"/>
        <w:jc w:val="left"/>
      </w:pPr>
      <w:r>
        <w:rPr>
          <w:spacing w:val="-2"/>
        </w:rPr>
        <w:t>在子公司的持股比例不同于表决权比例的说明：</w:t>
      </w:r>
      <w:r>
        <w:rPr>
          <w:spacing w:val="-65"/>
        </w:rPr>
        <w:t> </w:t>
      </w:r>
      <w:r>
        <w:rPr>
          <w:spacing w:val="-65"/>
        </w:rPr>
      </w:r>
      <w:r>
        <w:rPr/>
        <w:t>子公司的持股比例不同于表决权比例的原因</w:t>
      </w:r>
    </w:p>
    <w:p>
      <w:pPr>
        <w:pStyle w:val="BodyText"/>
        <w:spacing w:line="240" w:lineRule="auto" w:before="41"/>
        <w:ind w:left="573" w:right="998"/>
        <w:jc w:val="left"/>
      </w:pPr>
      <w:r>
        <w:rPr/>
        <w:t>高投金运为高投基金的基金管理公司，根据《关于共同设立武汉高投金运激光产业投资基金合伙企业</w:t>
      </w:r>
    </w:p>
    <w:p>
      <w:pPr>
        <w:pStyle w:val="BodyText"/>
        <w:spacing w:line="273" w:lineRule="auto" w:before="37"/>
        <w:ind w:right="1116"/>
        <w:jc w:val="left"/>
      </w:pPr>
      <w:r>
        <w:rPr>
          <w:spacing w:val="-2"/>
        </w:rPr>
        <w:t>（有限合伙）及湖北高投金运激光产业投资管理有限公司的发起人协议》，管理公司设董事会，本公司在</w:t>
      </w:r>
      <w:r>
        <w:rPr>
          <w:spacing w:val="-47"/>
        </w:rPr>
        <w:t> </w:t>
      </w:r>
      <w:r>
        <w:rPr>
          <w:spacing w:val="-47"/>
        </w:rPr>
      </w:r>
      <w:r>
        <w:rPr/>
        <w:t>董事会中享有</w:t>
      </w:r>
      <w:r>
        <w:rPr>
          <w:rFonts w:ascii="Times New Roman" w:hAnsi="Times New Roman" w:cs="Times New Roman" w:eastAsia="Times New Roman" w:hint="default"/>
        </w:rPr>
        <w:t>3/5</w:t>
      </w:r>
      <w:r>
        <w:rPr/>
        <w:t>的表决权，能对高投金运实施控制，故将其纳入财务报表合并范围。</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433"/>
        <w:gridCol w:w="989"/>
        <w:gridCol w:w="708"/>
        <w:gridCol w:w="1272"/>
        <w:gridCol w:w="713"/>
        <w:gridCol w:w="711"/>
        <w:gridCol w:w="1870"/>
      </w:tblGrid>
      <w:tr>
        <w:trPr>
          <w:trHeight w:val="402" w:hRule="exact"/>
        </w:trPr>
        <w:tc>
          <w:tcPr>
            <w:tcW w:w="343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70" w:type="dxa"/>
            <w:vMerge w:val="restart"/>
            <w:tcBorders>
              <w:top w:val="single" w:sz="4" w:space="0" w:color="000000"/>
              <w:left w:val="single" w:sz="4" w:space="0" w:color="000000"/>
              <w:right w:val="nil" w:sz="6" w:space="0" w:color="auto"/>
            </w:tcBorders>
            <w:shd w:val="clear" w:color="auto" w:fill="D2D2D2"/>
          </w:tcPr>
          <w:p>
            <w:pPr>
              <w:pStyle w:val="TableParagraph"/>
              <w:spacing w:line="314" w:lineRule="auto" w:before="94"/>
              <w:ind w:left="119" w:right="35" w:hanging="92"/>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2" w:hRule="exact"/>
        </w:trPr>
        <w:tc>
          <w:tcPr>
            <w:tcW w:w="3433" w:type="dxa"/>
            <w:vMerge/>
            <w:tcBorders>
              <w:left w:val="nil" w:sz="6" w:space="0" w:color="auto"/>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70" w:type="dxa"/>
            <w:vMerge/>
            <w:tcBorders>
              <w:left w:val="single" w:sz="4" w:space="0" w:color="000000"/>
              <w:bottom w:val="single" w:sz="4" w:space="0" w:color="000000"/>
              <w:right w:val="nil" w:sz="6" w:space="0" w:color="auto"/>
            </w:tcBorders>
            <w:shd w:val="clear" w:color="auto" w:fill="D2D2D2"/>
          </w:tcPr>
          <w:p>
            <w:pPr/>
          </w:p>
        </w:tc>
      </w:tr>
      <w:tr>
        <w:trPr>
          <w:trHeight w:val="40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 </w:t>
            </w:r>
            <w:r>
              <w:rPr>
                <w:rFonts w:ascii="宋体" w:hAnsi="宋体" w:cs="宋体" w:eastAsia="宋体" w:hint="default"/>
                <w:sz w:val="18"/>
                <w:szCs w:val="18"/>
              </w:rPr>
              <w:t>打印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25.00%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20.00%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新余云尚投资合伙企业（有限合伙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（曾用</w:t>
            </w:r>
            <w:r>
              <w:rPr>
                <w:rFonts w:ascii="宋体" w:hAnsi="宋体" w:cs="宋体" w:eastAsia="宋体" w:hint="default"/>
                <w:sz w:val="18"/>
                <w:szCs w:val="18"/>
              </w:rPr>
              <w:t> 名苏州云联投资合伙企业（有限合伙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43.05%</w:t>
            </w:r>
          </w:p>
        </w:tc>
        <w:tc>
          <w:tcPr>
            <w:tcW w:w="711"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股权类投资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52.20%</w:t>
            </w:r>
          </w:p>
        </w:tc>
        <w:tc>
          <w:tcPr>
            <w:tcW w:w="711"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28"/>
        <w:ind w:right="1116"/>
        <w:jc w:val="left"/>
      </w:pPr>
      <w:r>
        <w:rPr/>
        <w:t>在合营企业或联营企业的持股比例不同于表决权比例的说明：</w:t>
      </w:r>
    </w:p>
    <w:p>
      <w:pPr>
        <w:pStyle w:val="BodyText"/>
        <w:spacing w:line="240" w:lineRule="auto" w:before="75"/>
        <w:ind w:right="1116"/>
        <w:jc w:val="left"/>
      </w:pPr>
      <w:r>
        <w:rPr/>
        <w:t>持有</w:t>
      </w:r>
      <w:r>
        <w:rPr>
          <w:spacing w:val="-58"/>
        </w:rPr>
        <w:t> </w:t>
      </w:r>
      <w:r>
        <w:rPr>
          <w:rFonts w:ascii="Times New Roman" w:hAnsi="Times New Roman" w:cs="Times New Roman" w:eastAsia="Times New Roman" w:hint="default"/>
        </w:rPr>
        <w:t>20%</w:t>
      </w:r>
      <w:r>
        <w:rPr/>
        <w:t>以下表决权但具有重大影响，或者持有</w:t>
      </w:r>
      <w:r>
        <w:rPr>
          <w:spacing w:val="-58"/>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2"/>
        <w:spacing w:line="477" w:lineRule="auto"/>
        <w:ind w:right="7863"/>
        <w:jc w:val="left"/>
        <w:rPr>
          <w:b w:val="0"/>
          <w:bCs w:val="0"/>
        </w:rPr>
      </w:pPr>
      <w:r>
        <w:rPr>
          <w:rFonts w:ascii="Times New Roman" w:hAnsi="Times New Roman" w:cs="Times New Roman" w:eastAsia="Times New Roman" w:hint="default"/>
          <w:sz w:val="21"/>
          <w:szCs w:val="21"/>
        </w:rPr>
        <w:t>6</w:t>
      </w:r>
      <w:r>
        <w:rPr>
          <w:sz w:val="21"/>
          <w:szCs w:val="21"/>
        </w:rPr>
        <w:t>、其他</w:t>
      </w:r>
      <w:r>
        <w:rPr>
          <w:w w:val="100"/>
          <w:sz w:val="21"/>
          <w:szCs w:val="21"/>
        </w:rPr>
        <w:t> </w:t>
      </w:r>
      <w:r>
        <w:rPr/>
        <w:t>十、与金融工具相关的风险</w:t>
      </w:r>
      <w:r>
        <w:rPr>
          <w:w w:val="99"/>
        </w:rPr>
        <w:t> </w:t>
      </w:r>
      <w:r>
        <w:rPr/>
        <w:t>十一、公允价值的披露</w:t>
      </w:r>
      <w:r>
        <w:rPr>
          <w:b w:val="0"/>
          <w:bCs w:val="0"/>
        </w:rPr>
      </w:r>
    </w:p>
    <w:p>
      <w:pPr>
        <w:pStyle w:val="Heading3"/>
        <w:spacing w:line="240" w:lineRule="auto" w:before="85"/>
        <w:ind w:right="1116"/>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BodyText"/>
        <w:spacing w:line="240" w:lineRule="auto" w:before="36"/>
        <w:ind w:right="1116"/>
        <w:jc w:val="left"/>
      </w:pPr>
      <w:r>
        <w:rPr/>
        <w:t>本企业最终控制方是梁伟。</w:t>
      </w:r>
    </w:p>
    <w:p>
      <w:pPr>
        <w:spacing w:line="240" w:lineRule="auto" w:before="10"/>
        <w:rPr>
          <w:rFonts w:ascii="宋体" w:hAnsi="宋体" w:cs="宋体" w:eastAsia="宋体" w:hint="default"/>
          <w:sz w:val="25"/>
          <w:szCs w:val="25"/>
        </w:rPr>
      </w:pPr>
    </w:p>
    <w:p>
      <w:pPr>
        <w:spacing w:line="506" w:lineRule="auto" w:before="0"/>
        <w:ind w:left="152" w:right="3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本企业子公司的情况详见附注九（</w:t>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）在子公司中的权益。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本企业重要的合营或联营企业详见附注九（</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）在合营安排或联营企业中的权益。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6"/>
          <w:szCs w:val="6"/>
        </w:rPr>
      </w:pPr>
    </w:p>
    <w:tbl>
      <w:tblPr>
        <w:tblW w:w="0" w:type="auto"/>
        <w:jc w:val="left"/>
        <w:tblInd w:w="147"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董事长、董事、股东、总经理</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胡锋</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董事、高级管理人员</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李秉成、施先旺</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聂金萍、黄海霞、李爱静</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李丹、廖琨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r>
      <w:tr>
        <w:trPr>
          <w:trHeight w:val="404"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岳萍芳</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实际控制人梁伟的配偶</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实际控制人梁伟的姐姐</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梁浩东</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实际控制人梁伟的儿子</w:t>
            </w:r>
          </w:p>
        </w:tc>
      </w:tr>
      <w:tr>
        <w:trPr>
          <w:trHeight w:val="71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武汉金运云智能网络有限公司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97"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、实际控制人梁伟的配偶岳萍芳持 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股权的公司</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武汉金好运设备制造有限公司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的公司</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实际控制人梁伟的儿子梁浩东控制的公司</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梁芳控制的公司</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意造（中山）三维科技有限公司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长沙落地创意文化传播有限公司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武汉金块链科技有限公司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的公司</w:t>
            </w:r>
          </w:p>
        </w:tc>
      </w:tr>
      <w:tr>
        <w:trPr>
          <w:trHeight w:val="40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w:t>
            </w:r>
            <w:r>
              <w:rPr>
                <w:rFonts w:ascii="宋体" w:hAnsi="宋体" w:cs="宋体" w:eastAsia="宋体" w:hint="default"/>
                <w:sz w:val="18"/>
                <w:szCs w:val="18"/>
              </w:rPr>
              <w:t>的公司</w:t>
            </w:r>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0"/>
        <w:jc w:val="left"/>
      </w:pPr>
      <w:r>
        <w:rPr>
          <w:spacing w:val="-2"/>
        </w:rPr>
        <w:t>采购商品</w:t>
      </w:r>
      <w:r>
        <w:rPr>
          <w:rFonts w:ascii="Times New Roman" w:hAnsi="Times New Roman" w:cs="Times New Roman" w:eastAsia="Times New Roman" w:hint="default"/>
          <w:spacing w:val="-2"/>
        </w:rPr>
        <w:t>/</w:t>
      </w:r>
      <w:r>
        <w:rPr>
          <w:spacing w:val="-2"/>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25" w:space="6304"/>
            <w:col w:w="2101"/>
          </w:cols>
        </w:sectPr>
      </w:pPr>
    </w:p>
    <w:p>
      <w:pPr>
        <w:spacing w:line="240" w:lineRule="auto" w:before="8"/>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960"/>
        <w:gridCol w:w="1306"/>
        <w:gridCol w:w="1100"/>
        <w:gridCol w:w="1512"/>
        <w:gridCol w:w="1719"/>
        <w:gridCol w:w="1099"/>
      </w:tblGrid>
      <w:tr>
        <w:trPr>
          <w:trHeight w:val="401" w:hRule="exact"/>
        </w:trPr>
        <w:tc>
          <w:tcPr>
            <w:tcW w:w="29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0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10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185.05</w:t>
            </w:r>
          </w:p>
        </w:tc>
      </w:tr>
      <w:tr>
        <w:trPr>
          <w:trHeight w:val="713" w:hRule="exact"/>
        </w:trPr>
        <w:tc>
          <w:tcPr>
            <w:tcW w:w="2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材料采购</w:t>
            </w:r>
            <w:r>
              <w:rPr>
                <w:rFonts w:ascii="Times New Roman" w:hAnsi="Times New Roman" w:cs="Times New Roman" w:eastAsia="Times New Roman" w:hint="default"/>
                <w:sz w:val="18"/>
                <w:szCs w:val="18"/>
              </w:rPr>
              <w:t>/</w:t>
            </w:r>
            <w:r>
              <w:rPr>
                <w:rFonts w:ascii="宋体" w:hAnsi="宋体" w:cs="宋体" w:eastAsia="宋体" w:hint="default"/>
                <w:sz w:val="18"/>
                <w:szCs w:val="18"/>
              </w:rPr>
              <w:t>代理 费用</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4,756.64</w:t>
            </w:r>
          </w:p>
        </w:tc>
        <w:tc>
          <w:tcPr>
            <w:tcW w:w="151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9,458.85</w:t>
            </w:r>
          </w:p>
        </w:tc>
      </w:tr>
      <w:tr>
        <w:trPr>
          <w:trHeight w:val="403" w:hRule="exact"/>
        </w:trPr>
        <w:tc>
          <w:tcPr>
            <w:tcW w:w="2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4,756.64</w:t>
            </w:r>
          </w:p>
        </w:tc>
        <w:tc>
          <w:tcPr>
            <w:tcW w:w="151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9,643.90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28"/>
        <w:ind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25" w:space="6304"/>
            <w:col w:w="2101"/>
          </w:cols>
        </w:sectPr>
      </w:pP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579"/>
        <w:gridCol w:w="1450"/>
        <w:gridCol w:w="1390"/>
        <w:gridCol w:w="1277"/>
      </w:tblGrid>
      <w:tr>
        <w:trPr>
          <w:trHeight w:val="403" w:hRule="exact"/>
        </w:trPr>
        <w:tc>
          <w:tcPr>
            <w:tcW w:w="5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5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打印服务费</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7,299.68</w:t>
            </w:r>
          </w:p>
        </w:tc>
      </w:tr>
      <w:tr>
        <w:trPr>
          <w:trHeight w:val="403" w:hRule="exact"/>
        </w:trPr>
        <w:tc>
          <w:tcPr>
            <w:tcW w:w="5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371,382.26</w:t>
            </w:r>
          </w:p>
        </w:tc>
      </w:tr>
      <w:tr>
        <w:trPr>
          <w:trHeight w:val="401" w:hRule="exact"/>
        </w:trPr>
        <w:tc>
          <w:tcPr>
            <w:tcW w:w="5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武汉高投金运激光产业投资基金合伙企业（有限合伙）</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1,015,533.98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1,067,961.17</w:t>
            </w:r>
          </w:p>
        </w:tc>
      </w:tr>
      <w:tr>
        <w:trPr>
          <w:trHeight w:val="403" w:hRule="exact"/>
        </w:trPr>
        <w:tc>
          <w:tcPr>
            <w:tcW w:w="5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6,637,249.96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891,121.64</w:t>
            </w:r>
          </w:p>
        </w:tc>
      </w:tr>
      <w:tr>
        <w:trPr>
          <w:trHeight w:val="401" w:hRule="exact"/>
        </w:trPr>
        <w:tc>
          <w:tcPr>
            <w:tcW w:w="5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武汉金块链科技有限公司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6,991,566.42</w:t>
            </w: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5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14,644,350.36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2,337,764.75</w:t>
            </w:r>
          </w:p>
        </w:tc>
      </w:tr>
    </w:tbl>
    <w:p>
      <w:pPr>
        <w:pStyle w:val="BodyText"/>
        <w:spacing w:line="307" w:lineRule="auto" w:before="28"/>
        <w:ind w:right="1116"/>
        <w:jc w:val="left"/>
      </w:pPr>
      <w:r>
        <w:rPr/>
        <w:t>购销商品、提供和接受劳务的关联交易说明</w:t>
      </w:r>
      <w:r>
        <w:rPr>
          <w:w w:val="100"/>
        </w:rPr>
        <w:t> </w:t>
      </w:r>
      <w:r>
        <w:rPr>
          <w:spacing w:val="-2"/>
        </w:rPr>
        <w:t>存在控制关系且已纳入本公司合并财务报表范围的子公司，其相互间交易及母子公司交易已作抵销。</w:t>
      </w:r>
    </w:p>
    <w:p>
      <w:pPr>
        <w:spacing w:line="240" w:lineRule="auto" w:before="4"/>
        <w:rPr>
          <w:rFonts w:ascii="宋体" w:hAnsi="宋体" w:cs="宋体" w:eastAsia="宋体" w:hint="default"/>
          <w:sz w:val="21"/>
          <w:szCs w:val="21"/>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1,368,268.62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1,217,122.00</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573" w:right="998"/>
        <w:jc w:val="left"/>
        <w:rPr>
          <w:rFonts w:ascii="Times New Roman" w:hAnsi="Times New Roman" w:cs="Times New Roman" w:eastAsia="Times New Roman" w:hint="default"/>
        </w:rPr>
      </w:pPr>
      <w:r>
        <w:rPr/>
        <w:t>本公司与关联法人武汉金运云智能网络有限公司（</w:t>
      </w:r>
      <w:r>
        <w:rPr>
          <w:rFonts w:ascii="Times New Roman" w:hAnsi="Times New Roman" w:cs="Times New Roman" w:eastAsia="Times New Roman" w:hint="default"/>
        </w:rPr>
        <w:t>“</w:t>
      </w:r>
      <w:r>
        <w:rPr/>
        <w:t>金运云</w:t>
      </w:r>
      <w:r>
        <w:rPr>
          <w:rFonts w:ascii="Times New Roman" w:hAnsi="Times New Roman" w:cs="Times New Roman" w:eastAsia="Times New Roman" w:hint="default"/>
        </w:rPr>
        <w:t>”</w:t>
      </w:r>
      <w:r>
        <w:rPr/>
        <w:t>）分别于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7"/>
        </w:rPr>
        <w:t> </w:t>
      </w:r>
      <w:r>
        <w:rPr/>
        <w:t>日和</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w:t>
      </w:r>
      <w:r>
        <w:rPr>
          <w:spacing w:val="-36"/>
        </w:rPr>
        <w:t> </w:t>
      </w:r>
      <w:r>
        <w:rPr>
          <w:rFonts w:ascii="Times New Roman" w:hAnsi="Times New Roman" w:cs="Times New Roman" w:eastAsia="Times New Roman" w:hint="default"/>
        </w:rPr>
        <w:t>7</w:t>
      </w:r>
    </w:p>
    <w:p>
      <w:pPr>
        <w:pStyle w:val="BodyText"/>
        <w:spacing w:line="240" w:lineRule="auto" w:before="117"/>
        <w:ind w:right="998"/>
        <w:jc w:val="left"/>
      </w:pPr>
      <w:r>
        <w:rPr>
          <w:w w:val="100"/>
        </w:rPr>
        <w:t>月</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日</w:t>
      </w:r>
      <w:r>
        <w:rPr>
          <w:spacing w:val="-3"/>
          <w:w w:val="100"/>
        </w:rPr>
        <w:t>签</w:t>
      </w:r>
      <w:r>
        <w:rPr>
          <w:w w:val="100"/>
        </w:rPr>
        <w:t>订</w:t>
      </w:r>
      <w:r>
        <w:rPr>
          <w:spacing w:val="-8"/>
          <w:w w:val="100"/>
        </w:rPr>
        <w:t>了</w:t>
      </w:r>
      <w:r>
        <w:rPr>
          <w:w w:val="100"/>
        </w:rPr>
        <w:t>《</w:t>
      </w:r>
      <w:r>
        <w:rPr>
          <w:spacing w:val="-3"/>
          <w:w w:val="100"/>
        </w:rPr>
        <w:t>合</w:t>
      </w:r>
      <w:r>
        <w:rPr>
          <w:w w:val="100"/>
        </w:rPr>
        <w:t>作</w:t>
      </w:r>
      <w:r>
        <w:rPr>
          <w:spacing w:val="-3"/>
          <w:w w:val="100"/>
        </w:rPr>
        <w:t>建房</w:t>
      </w:r>
      <w:r>
        <w:rPr>
          <w:w w:val="100"/>
        </w:rPr>
        <w:t>协议</w:t>
      </w:r>
      <w:r>
        <w:rPr>
          <w:spacing w:val="-108"/>
          <w:w w:val="100"/>
        </w:rPr>
        <w:t>》</w:t>
      </w:r>
      <w:r>
        <w:rPr>
          <w:spacing w:val="-8"/>
          <w:w w:val="100"/>
        </w:rPr>
        <w:t>，</w:t>
      </w:r>
      <w:r>
        <w:rPr>
          <w:w w:val="100"/>
        </w:rPr>
        <w:t>建造</w:t>
      </w:r>
      <w:r>
        <w:rPr>
          <w:spacing w:val="-3"/>
          <w:w w:val="100"/>
        </w:rPr>
        <w:t>的</w:t>
      </w:r>
      <w:r>
        <w:rPr>
          <w:w w:val="100"/>
        </w:rPr>
        <w:t>宗</w:t>
      </w:r>
      <w:r>
        <w:rPr>
          <w:spacing w:val="-3"/>
          <w:w w:val="100"/>
        </w:rPr>
        <w:t>地</w:t>
      </w:r>
      <w:r>
        <w:rPr>
          <w:w w:val="100"/>
        </w:rPr>
        <w:t>面</w:t>
      </w:r>
      <w:r>
        <w:rPr>
          <w:spacing w:val="-3"/>
          <w:w w:val="100"/>
        </w:rPr>
        <w:t>积</w:t>
      </w:r>
      <w:r>
        <w:rPr>
          <w:w w:val="100"/>
        </w:rPr>
        <w:t>为</w:t>
      </w:r>
      <w:r>
        <w:rPr>
          <w:spacing w:val="-53"/>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39.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平</w:t>
      </w:r>
      <w:r>
        <w:rPr>
          <w:w w:val="100"/>
        </w:rPr>
        <w:t>方</w:t>
      </w:r>
      <w:r>
        <w:rPr>
          <w:spacing w:val="-3"/>
          <w:w w:val="100"/>
        </w:rPr>
        <w:t>米</w:t>
      </w:r>
      <w:r>
        <w:rPr>
          <w:spacing w:val="-5"/>
          <w:w w:val="100"/>
        </w:rPr>
        <w:t>，</w:t>
      </w:r>
      <w:r>
        <w:rPr>
          <w:spacing w:val="-3"/>
          <w:w w:val="100"/>
        </w:rPr>
        <w:t>建筑</w:t>
      </w:r>
      <w:r>
        <w:rPr>
          <w:w w:val="100"/>
        </w:rPr>
        <w:t>面</w:t>
      </w:r>
      <w:r>
        <w:rPr>
          <w:spacing w:val="-3"/>
          <w:w w:val="100"/>
        </w:rPr>
        <w:t>积</w:t>
      </w:r>
      <w:r>
        <w:rPr>
          <w:w w:val="100"/>
        </w:rPr>
        <w:t>为</w:t>
      </w:r>
      <w:r>
        <w:rPr>
          <w:spacing w:val="-53"/>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平</w:t>
      </w:r>
      <w:r>
        <w:rPr>
          <w:w w:val="100"/>
        </w:rPr>
        <w:t>方</w:t>
      </w:r>
      <w:r>
        <w:rPr>
          <w:spacing w:val="-3"/>
          <w:w w:val="100"/>
        </w:rPr>
        <w:t>米</w:t>
      </w:r>
      <w:r>
        <w:rPr>
          <w:spacing w:val="-8"/>
          <w:w w:val="100"/>
        </w:rPr>
        <w:t>，</w:t>
      </w:r>
      <w:r>
        <w:rPr>
          <w:w w:val="100"/>
        </w:rPr>
        <w:t>合</w:t>
      </w:r>
    </w:p>
    <w:p>
      <w:pPr>
        <w:pStyle w:val="BodyText"/>
        <w:spacing w:line="336" w:lineRule="auto" w:before="117"/>
        <w:ind w:right="1123"/>
        <w:jc w:val="left"/>
      </w:pPr>
      <w:r>
        <w:rPr/>
        <w:t>计费用预算不超过</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万元。合同约定标的厂房交付后</w:t>
      </w:r>
      <w:r>
        <w:rPr>
          <w:spacing w:val="-47"/>
        </w:rPr>
        <w:t> </w:t>
      </w:r>
      <w:r>
        <w:rPr>
          <w:rFonts w:ascii="Times New Roman" w:hAnsi="Times New Roman" w:cs="Times New Roman" w:eastAsia="Times New Roman" w:hint="default"/>
        </w:rPr>
        <w:t>120</w:t>
      </w:r>
      <w:r>
        <w:rPr>
          <w:rFonts w:ascii="Times New Roman" w:hAnsi="Times New Roman" w:cs="Times New Roman" w:eastAsia="Times New Roman" w:hint="default"/>
          <w:spacing w:val="5"/>
        </w:rPr>
        <w:t> </w:t>
      </w:r>
      <w:r>
        <w:rPr/>
        <w:t>个月协议期满终止；在协议期满前，本公司</w:t>
      </w:r>
      <w:r>
        <w:rPr>
          <w:w w:val="100"/>
        </w:rPr>
        <w:t> </w:t>
      </w:r>
      <w:r>
        <w:rPr>
          <w:spacing w:val="-2"/>
        </w:rPr>
        <w:t>占有并使用标的厂房，包括自用、控股或参股公司使用等，金运云不得占用或者使用标的厂房，也不得单</w:t>
      </w:r>
    </w:p>
    <w:p>
      <w:pPr>
        <w:spacing w:after="0" w:line="336" w:lineRule="auto"/>
        <w:jc w:val="left"/>
        <w:sectPr>
          <w:type w:val="continuous"/>
          <w:pgSz w:w="11910" w:h="16840"/>
          <w:pgMar w:top="1060" w:bottom="1160" w:left="980" w:right="0"/>
        </w:sectPr>
      </w:pPr>
    </w:p>
    <w:p>
      <w:pPr>
        <w:spacing w:line="240" w:lineRule="auto" w:before="3"/>
        <w:rPr>
          <w:rFonts w:ascii="宋体" w:hAnsi="宋体" w:cs="宋体" w:eastAsia="宋体" w:hint="default"/>
          <w:sz w:val="19"/>
          <w:szCs w:val="19"/>
        </w:rPr>
      </w:pPr>
    </w:p>
    <w:p>
      <w:pPr>
        <w:pStyle w:val="BodyText"/>
        <w:spacing w:line="340" w:lineRule="auto" w:before="36"/>
        <w:ind w:right="1105"/>
        <w:jc w:val="both"/>
      </w:pPr>
      <w:r>
        <w:rPr>
          <w:spacing w:val="-2"/>
        </w:rPr>
        <w:t>方面处置该房屋，包括不得单方面转让、设定抵押权等；在协议期满后，经双方协商一致另行签订协定，</w:t>
      </w:r>
      <w:r>
        <w:rPr>
          <w:spacing w:val="-21"/>
        </w:rPr>
        <w:t> </w:t>
      </w:r>
      <w:r>
        <w:rPr>
          <w:spacing w:val="-21"/>
        </w:rPr>
      </w:r>
      <w:r>
        <w:rPr>
          <w:spacing w:val="-4"/>
          <w:w w:val="100"/>
        </w:rPr>
        <w:t>通过以下两种方式之一终止协议：（</w:t>
      </w:r>
      <w:r>
        <w:rPr>
          <w:rFonts w:ascii="Times New Roman" w:hAnsi="Times New Roman" w:cs="Times New Roman" w:eastAsia="Times New Roman" w:hint="default"/>
          <w:spacing w:val="-4"/>
          <w:w w:val="100"/>
        </w:rPr>
        <w:t>1</w:t>
      </w:r>
      <w:r>
        <w:rPr>
          <w:spacing w:val="-4"/>
          <w:w w:val="100"/>
        </w:rPr>
        <w:t>）由本公司向金运云支付土地出让金、相关费用及财务成本获取土地</w:t>
      </w:r>
      <w:r>
        <w:rPr>
          <w:w w:val="100"/>
        </w:rPr>
        <w:t> </w:t>
      </w:r>
      <w:r>
        <w:rPr>
          <w:spacing w:val="-5"/>
          <w:w w:val="100"/>
        </w:rPr>
        <w:t>使用权；（</w:t>
      </w:r>
      <w:r>
        <w:rPr>
          <w:rFonts w:ascii="Times New Roman" w:hAnsi="Times New Roman" w:cs="Times New Roman" w:eastAsia="Times New Roman" w:hint="default"/>
          <w:spacing w:val="-5"/>
          <w:w w:val="100"/>
        </w:rPr>
        <w:t>2</w:t>
      </w:r>
      <w:r>
        <w:rPr>
          <w:spacing w:val="-5"/>
          <w:w w:val="100"/>
        </w:rPr>
        <w:t>）由本公司向金运云移交厂房，同时金运云支付原由本公司在建造厂房时承担的费用及财务成</w:t>
      </w:r>
      <w:r>
        <w:rPr>
          <w:spacing w:val="-62"/>
          <w:w w:val="100"/>
        </w:rPr>
        <w:t> </w:t>
      </w:r>
      <w:r>
        <w:rPr>
          <w:spacing w:val="-62"/>
          <w:w w:val="100"/>
        </w:rPr>
      </w:r>
      <w:r>
        <w:rPr/>
        <w:t>本，可扣除自标的厂房竣工验收之日起计算至本公司实际交付之日止本公司应承担的房租（人民币</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平方米</w:t>
      </w:r>
      <w:r>
        <w:rPr>
          <w:rFonts w:ascii="Times New Roman" w:hAnsi="Times New Roman" w:cs="Times New Roman" w:eastAsia="Times New Roman" w:hint="default"/>
        </w:rPr>
        <w:t>/</w:t>
      </w:r>
      <w:r>
        <w:rPr/>
        <w:t>月）及未拆除的房屋装修和设备的账面折旧。</w:t>
      </w:r>
    </w:p>
    <w:p>
      <w:pPr>
        <w:pStyle w:val="BodyText"/>
        <w:spacing w:line="355" w:lineRule="auto" w:before="63"/>
        <w:ind w:right="1116" w:firstLine="420"/>
        <w:jc w:val="left"/>
      </w:pPr>
      <w:r>
        <w:rPr>
          <w:spacing w:val="2"/>
        </w:rPr>
        <w:t>本公司管理层认为未来极大可能按照第二种方式进行结算，会计报表按照此种方式进行相关账务处</w:t>
      </w:r>
      <w:r>
        <w:rPr>
          <w:w w:val="100"/>
        </w:rPr>
        <w:t> </w:t>
      </w:r>
      <w:r>
        <w:rPr/>
        <w:t>理，当期计提资金利息</w:t>
      </w:r>
      <w:r>
        <w:rPr>
          <w:spacing w:val="-56"/>
        </w:rPr>
        <w:t> </w:t>
      </w:r>
      <w:r>
        <w:rPr>
          <w:rFonts w:ascii="Times New Roman" w:hAnsi="Times New Roman" w:cs="Times New Roman" w:eastAsia="Times New Roman" w:hint="default"/>
        </w:rPr>
        <w:t>705,117.84</w:t>
      </w:r>
      <w:r>
        <w:rPr>
          <w:rFonts w:ascii="Times New Roman" w:hAnsi="Times New Roman" w:cs="Times New Roman" w:eastAsia="Times New Roman" w:hint="default"/>
          <w:spacing w:val="-5"/>
        </w:rPr>
        <w:t> </w:t>
      </w:r>
      <w:r>
        <w:rPr/>
        <w:t>元及租金成本</w:t>
      </w:r>
      <w:r>
        <w:rPr>
          <w:spacing w:val="-56"/>
        </w:rPr>
        <w:t> </w:t>
      </w:r>
      <w:r>
        <w:rPr>
          <w:rFonts w:ascii="Times New Roman" w:hAnsi="Times New Roman" w:cs="Times New Roman" w:eastAsia="Times New Roman" w:hint="default"/>
        </w:rPr>
        <w:t>498,750.00</w:t>
      </w:r>
      <w:r>
        <w:rPr>
          <w:rFonts w:ascii="Times New Roman" w:hAnsi="Times New Roman" w:cs="Times New Roman" w:eastAsia="Times New Roman" w:hint="default"/>
          <w:spacing w:val="-3"/>
        </w:rPr>
        <w:t> </w:t>
      </w:r>
      <w:r>
        <w:rPr/>
        <w:t>元，已支付的合作建房款</w:t>
      </w:r>
      <w:r>
        <w:rPr>
          <w:spacing w:val="-56"/>
        </w:rPr>
        <w:t> </w:t>
      </w:r>
      <w:r>
        <w:rPr>
          <w:rFonts w:ascii="Times New Roman" w:hAnsi="Times New Roman" w:cs="Times New Roman" w:eastAsia="Times New Roman" w:hint="default"/>
        </w:rPr>
        <w:t>22,367,600.00</w:t>
      </w:r>
      <w:r>
        <w:rPr>
          <w:rFonts w:ascii="Times New Roman" w:hAnsi="Times New Roman" w:cs="Times New Roman" w:eastAsia="Times New Roman" w:hint="default"/>
          <w:spacing w:val="45"/>
        </w:rPr>
        <w:t>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Heading3"/>
        <w:spacing w:line="240" w:lineRule="auto"/>
        <w:ind w:right="0"/>
        <w:jc w:val="both"/>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48"/>
        <w:gridCol w:w="3740"/>
        <w:gridCol w:w="1203"/>
        <w:gridCol w:w="1202"/>
        <w:gridCol w:w="1203"/>
        <w:gridCol w:w="1200"/>
      </w:tblGrid>
      <w:tr>
        <w:trPr>
          <w:trHeight w:val="401" w:hRule="exact"/>
        </w:trPr>
        <w:tc>
          <w:tcPr>
            <w:tcW w:w="114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3"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148" w:type="dxa"/>
            <w:vMerge/>
            <w:tcBorders>
              <w:left w:val="nil" w:sz="6" w:space="0" w:color="auto"/>
              <w:bottom w:val="single" w:sz="4" w:space="0" w:color="000000"/>
              <w:right w:val="single" w:sz="4" w:space="0" w:color="000000"/>
            </w:tcBorders>
            <w:shd w:val="clear" w:color="auto" w:fill="D2D2D2"/>
          </w:tcPr>
          <w:p>
            <w:pPr/>
          </w:p>
        </w:tc>
        <w:tc>
          <w:tcPr>
            <w:tcW w:w="374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4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954,242.00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477,121.00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954,242.00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143,136.30</w:t>
            </w:r>
          </w:p>
        </w:tc>
      </w:tr>
      <w:tr>
        <w:trPr>
          <w:trHeight w:val="401"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721,194.95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721,194.95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725,396.79</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725,396.79</w:t>
            </w:r>
          </w:p>
        </w:tc>
      </w:tr>
      <w:tr>
        <w:trPr>
          <w:trHeight w:val="403"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296,225.44</w:t>
            </w:r>
          </w:p>
        </w:tc>
      </w:tr>
      <w:tr>
        <w:trPr>
          <w:trHeight w:val="401"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5,524,929.97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165,747.90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1,033,126.21</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30,993.79</w:t>
            </w:r>
          </w:p>
        </w:tc>
      </w:tr>
      <w:tr>
        <w:trPr>
          <w:trHeight w:val="403"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武汉金块链科技股份有限公司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5,500,470.00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165,014.10</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4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4,361,169.40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4,361,169.40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4,361,169.40</w:t>
            </w:r>
          </w:p>
        </w:tc>
      </w:tr>
      <w:tr>
        <w:trPr>
          <w:trHeight w:val="403" w:hRule="exact"/>
        </w:trPr>
        <w:tc>
          <w:tcPr>
            <w:tcW w:w="1148" w:type="dxa"/>
            <w:tcBorders>
              <w:top w:val="single" w:sz="4" w:space="0" w:color="000000"/>
              <w:left w:val="nil" w:sz="6" w:space="0" w:color="auto"/>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武汉金运云智能网络有限公司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743,629.71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22,308.89</w:t>
            </w:r>
          </w:p>
        </w:tc>
        <w:tc>
          <w:tcPr>
            <w:tcW w:w="120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65"/>
        <w:gridCol w:w="2981"/>
        <w:gridCol w:w="2424"/>
        <w:gridCol w:w="2410"/>
      </w:tblGrid>
      <w:tr>
        <w:trPr>
          <w:trHeight w:val="401" w:hRule="exact"/>
        </w:trPr>
        <w:tc>
          <w:tcPr>
            <w:tcW w:w="18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865" w:type="dxa"/>
            <w:tcBorders>
              <w:top w:val="single" w:sz="4" w:space="0" w:color="000000"/>
              <w:left w:val="nil" w:sz="6" w:space="0" w:color="auto"/>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56,362.27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56,362.27</w:t>
            </w:r>
          </w:p>
        </w:tc>
      </w:tr>
      <w:tr>
        <w:trPr>
          <w:trHeight w:val="403"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865" w:type="dxa"/>
            <w:tcBorders>
              <w:top w:val="single" w:sz="4" w:space="0" w:color="000000"/>
              <w:left w:val="nil" w:sz="6" w:space="0" w:color="auto"/>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 企业（有限合伙）</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403,315.00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1,449,315.00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882"/>
        <w:gridCol w:w="2981"/>
        <w:gridCol w:w="2424"/>
        <w:gridCol w:w="2424"/>
      </w:tblGrid>
      <w:tr>
        <w:trPr>
          <w:trHeight w:val="401" w:hRule="exact"/>
        </w:trPr>
        <w:tc>
          <w:tcPr>
            <w:tcW w:w="1882" w:type="dxa"/>
            <w:tcBorders>
              <w:top w:val="single" w:sz="4" w:space="0" w:color="000000"/>
              <w:left w:val="nil" w:sz="6" w:space="0" w:color="auto"/>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9,458.85</w:t>
            </w:r>
          </w:p>
        </w:tc>
      </w:tr>
      <w:tr>
        <w:trPr>
          <w:trHeight w:val="403" w:hRule="exact"/>
        </w:trPr>
        <w:tc>
          <w:tcPr>
            <w:tcW w:w="1882" w:type="dxa"/>
            <w:tcBorders>
              <w:top w:val="single" w:sz="4" w:space="0" w:color="000000"/>
              <w:left w:val="nil" w:sz="6" w:space="0" w:color="auto"/>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武汉金运云智能网络有限公司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1" w:right="0"/>
              <w:jc w:val="left"/>
              <w:rPr>
                <w:rFonts w:ascii="Times New Roman" w:hAnsi="Times New Roman" w:cs="Times New Roman" w:eastAsia="Times New Roman" w:hint="default"/>
                <w:sz w:val="18"/>
                <w:szCs w:val="18"/>
              </w:rPr>
            </w:pPr>
            <w:r>
              <w:rPr>
                <w:rFonts w:ascii="Times New Roman"/>
                <w:sz w:val="18"/>
              </w:rPr>
              <w:t>498,750.00</w:t>
            </w:r>
          </w:p>
        </w:tc>
        <w:tc>
          <w:tcPr>
            <w:tcW w:w="24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82"/>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79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无</w:t>
      </w:r>
    </w:p>
    <w:p>
      <w:pPr>
        <w:spacing w:line="487" w:lineRule="auto" w:before="104"/>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07" w:lineRule="auto" w:before="84"/>
        <w:ind w:left="573" w:right="1116" w:hanging="421"/>
        <w:jc w:val="left"/>
      </w:pPr>
      <w:r>
        <w:rPr/>
        <w:t>资产负债表日存在的重要承诺</w:t>
      </w:r>
      <w:r>
        <w:rPr>
          <w:w w:val="100"/>
        </w:rPr>
        <w:t> </w:t>
      </w:r>
      <w:r>
        <w:rPr>
          <w:spacing w:val="-2"/>
        </w:rPr>
        <w:t>本公司与关联法人武汉金运云智能网络有限公司（</w:t>
      </w:r>
      <w:r>
        <w:rPr>
          <w:rFonts w:ascii="Times New Roman" w:hAnsi="Times New Roman" w:cs="Times New Roman" w:eastAsia="Times New Roman" w:hint="default"/>
          <w:spacing w:val="-2"/>
        </w:rPr>
        <w:t>“</w:t>
      </w:r>
      <w:r>
        <w:rPr>
          <w:spacing w:val="-2"/>
        </w:rPr>
        <w:t>金运云</w:t>
      </w:r>
      <w:r>
        <w:rPr>
          <w:rFonts w:ascii="Times New Roman" w:hAnsi="Times New Roman" w:cs="Times New Roman" w:eastAsia="Times New Roman" w:hint="default"/>
          <w:spacing w:val="-2"/>
        </w:rPr>
        <w:t>”</w:t>
      </w:r>
      <w:r>
        <w:rPr>
          <w:spacing w:val="-2"/>
        </w:rPr>
        <w:t>）分别于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w:t>
      </w:r>
    </w:p>
    <w:p>
      <w:pPr>
        <w:pStyle w:val="BodyText"/>
        <w:spacing w:line="247" w:lineRule="exact"/>
        <w:ind w:right="998"/>
        <w:jc w:val="left"/>
      </w:pPr>
      <w:r>
        <w:rPr/>
        <w:t>签订了《合作建房协议》，建造的宗地面积为</w:t>
      </w:r>
      <w:r>
        <w:rPr>
          <w:rFonts w:ascii="Times New Roman" w:hAnsi="Times New Roman" w:cs="Times New Roman" w:eastAsia="Times New Roman" w:hint="default"/>
        </w:rPr>
        <w:t>18,739.23</w:t>
      </w:r>
      <w:r>
        <w:rPr/>
        <w:t>平方米，建筑面积为</w:t>
      </w:r>
      <w:r>
        <w:rPr>
          <w:rFonts w:ascii="Times New Roman" w:hAnsi="Times New Roman" w:cs="Times New Roman" w:eastAsia="Times New Roman" w:hint="default"/>
        </w:rPr>
        <w:t>27,574.60</w:t>
      </w:r>
      <w:r>
        <w:rPr/>
        <w:t>平方米，合计费用预</w:t>
      </w:r>
    </w:p>
    <w:p>
      <w:pPr>
        <w:pStyle w:val="BodyText"/>
        <w:spacing w:line="261" w:lineRule="auto" w:before="21"/>
        <w:ind w:right="1116"/>
        <w:jc w:val="left"/>
      </w:pPr>
      <w:r>
        <w:rPr/>
        <w:t>算不超过</w:t>
      </w:r>
      <w:r>
        <w:rPr>
          <w:rFonts w:ascii="Times New Roman" w:hAnsi="Times New Roman" w:cs="Times New Roman" w:eastAsia="Times New Roman" w:hint="default"/>
        </w:rPr>
        <w:t>4,000</w:t>
      </w:r>
      <w:r>
        <w:rPr/>
        <w:t>万元。</w:t>
      </w:r>
      <w:r>
        <w:rPr>
          <w:w w:val="100"/>
        </w:rPr>
        <w:t> </w:t>
      </w:r>
      <w:r>
        <w:rPr/>
        <w:t>标的厂房交付后</w:t>
      </w:r>
      <w:r>
        <w:rPr>
          <w:rFonts w:ascii="Times New Roman" w:hAnsi="Times New Roman" w:cs="Times New Roman" w:eastAsia="Times New Roman" w:hint="default"/>
        </w:rPr>
        <w:t>120</w:t>
      </w:r>
      <w:r>
        <w:rPr/>
        <w:t>个月协议期满终止；在协议期满前，本公司占有并使用标的厂房，包括自用、控股或</w:t>
      </w:r>
      <w:r>
        <w:rPr>
          <w:w w:val="100"/>
        </w:rPr>
        <w:t> </w:t>
      </w:r>
      <w:r>
        <w:rPr>
          <w:spacing w:val="-2"/>
        </w:rPr>
        <w:t>参股公司使用等，金运云不得占用或者使用标的厂房，也不得单方面处置该房屋，包括不得单方面转让、</w:t>
      </w:r>
      <w:r>
        <w:rPr>
          <w:spacing w:val="-21"/>
        </w:rPr>
        <w:t> </w:t>
      </w:r>
      <w:r>
        <w:rPr>
          <w:spacing w:val="-21"/>
        </w:rPr>
      </w:r>
      <w:r>
        <w:rPr/>
        <w:t>设定抵押权等；在协议期满后，经双方协商一致另行签订协定，通过以下两种方式之一终止协议：（</w:t>
      </w:r>
      <w:r>
        <w:rPr>
          <w:rFonts w:ascii="Times New Roman" w:hAnsi="Times New Roman" w:cs="Times New Roman" w:eastAsia="Times New Roman" w:hint="default"/>
        </w:rPr>
        <w:t>1</w:t>
      </w:r>
      <w:r>
        <w:rPr/>
        <w:t>）</w:t>
      </w:r>
      <w:r>
        <w:rPr>
          <w:w w:val="100"/>
        </w:rPr>
        <w:t> </w:t>
      </w:r>
      <w:r>
        <w:rPr/>
        <w:t>由本公司向金运云支付土地出让金、相关费用及财务成本获取土地使用权；（</w:t>
      </w:r>
      <w:r>
        <w:rPr>
          <w:rFonts w:ascii="Times New Roman" w:hAnsi="Times New Roman" w:cs="Times New Roman" w:eastAsia="Times New Roman" w:hint="default"/>
        </w:rPr>
        <w:t>2</w:t>
      </w:r>
      <w:r>
        <w:rPr/>
        <w:t>）由本公司向金运云移交</w:t>
      </w:r>
      <w:r>
        <w:rPr>
          <w:w w:val="100"/>
        </w:rPr>
        <w:t> </w:t>
      </w:r>
      <w:r>
        <w:rPr>
          <w:spacing w:val="-2"/>
        </w:rPr>
        <w:t>厂房，同时金运云支付原由本公司在建造厂房时承担的费用及财务成本，可扣除自标的厂房竣工验收之日</w:t>
      </w:r>
      <w:r>
        <w:rPr>
          <w:spacing w:val="-43"/>
        </w:rPr>
        <w:t> </w:t>
      </w:r>
      <w:r>
        <w:rPr>
          <w:spacing w:val="-43"/>
        </w:rPr>
      </w:r>
      <w:r>
        <w:rPr/>
        <w:t>起计算至本公司实际交付之日止本公司应承担的房租（人民币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月）及未拆除的房屋装修和设</w:t>
      </w:r>
      <w:r>
        <w:rPr>
          <w:w w:val="100"/>
        </w:rPr>
        <w:t> </w:t>
      </w:r>
      <w:r>
        <w:rPr/>
        <w:t>备的账面折旧。</w:t>
      </w:r>
    </w:p>
    <w:p>
      <w:pPr>
        <w:pStyle w:val="BodyText"/>
        <w:spacing w:line="256" w:lineRule="auto" w:before="18"/>
        <w:ind w:right="1116" w:firstLine="422"/>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日，本公司已经支付的合作建房款项为</w:t>
      </w:r>
      <w:r>
        <w:rPr>
          <w:rFonts w:ascii="Times New Roman" w:hAnsi="Times New Roman" w:cs="Times New Roman" w:eastAsia="Times New Roman" w:hint="default"/>
          <w:spacing w:val="-2"/>
        </w:rPr>
        <w:t>22,367,600.00</w:t>
      </w:r>
      <w:r>
        <w:rPr>
          <w:spacing w:val="-2"/>
        </w:rPr>
        <w:t>元，尚有部分款项未支付（以</w:t>
      </w:r>
      <w:r>
        <w:rPr>
          <w:w w:val="100"/>
        </w:rPr>
        <w:t> </w:t>
      </w:r>
      <w:r>
        <w:rPr/>
        <w:t>剩余工程竣工结算金额为准）。</w:t>
      </w:r>
    </w:p>
    <w:p>
      <w:pPr>
        <w:spacing w:after="0" w:line="256"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宋体" w:hAnsi="宋体" w:cs="宋体" w:eastAsia="宋体" w:hint="default"/>
        </w:rPr>
        <w:t>1.</w:t>
      </w:r>
      <w:r>
        <w:rPr>
          <w:rFonts w:ascii="宋体" w:hAnsi="宋体" w:cs="宋体" w:eastAsia="宋体" w:hint="default"/>
          <w:spacing w:val="44"/>
        </w:rPr>
        <w:t> </w:t>
      </w:r>
      <w:r>
        <w:rPr/>
        <w:t>未决诉讼或仲裁形成的或有事项及其财务影响</w:t>
      </w:r>
      <w:r>
        <w:rPr>
          <w:b w:val="0"/>
          <w:bCs w:val="0"/>
        </w:rPr>
      </w:r>
    </w:p>
    <w:p>
      <w:pPr>
        <w:spacing w:line="240" w:lineRule="auto" w:before="10"/>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1032"/>
        <w:gridCol w:w="1567"/>
        <w:gridCol w:w="1820"/>
        <w:gridCol w:w="2496"/>
        <w:gridCol w:w="1287"/>
        <w:gridCol w:w="1471"/>
      </w:tblGrid>
      <w:tr>
        <w:trPr>
          <w:trHeight w:val="34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标的额</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341"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7"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返还原物</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广州番禺区人民法院</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万</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34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7"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上海嘉定区人民法院</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350</w:t>
            </w:r>
            <w:r>
              <w:rPr>
                <w:rFonts w:ascii="宋体" w:hAnsi="宋体" w:cs="宋体" w:eastAsia="宋体" w:hint="default"/>
                <w:sz w:val="18"/>
                <w:szCs w:val="18"/>
              </w:rPr>
              <w:t>万</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506" w:lineRule="auto" w:before="36"/>
        <w:ind w:left="152" w:right="550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spacing w:line="487" w:lineRule="auto" w:before="104"/>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4"/>
        <w:ind w:right="1116"/>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1,638,000.00</w:t>
            </w:r>
          </w:p>
        </w:tc>
      </w:tr>
      <w:tr>
        <w:trPr>
          <w:trHeight w:val="401" w:hRule="exact"/>
        </w:trPr>
        <w:tc>
          <w:tcPr>
            <w:tcW w:w="49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1,638,000.00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3" w:right="1116"/>
        <w:jc w:val="left"/>
        <w:rPr>
          <w:b w:val="0"/>
          <w:bCs w:val="0"/>
        </w:rPr>
      </w:pPr>
      <w:r>
        <w:rPr/>
        <w:t>（一）</w:t>
      </w:r>
      <w:r>
        <w:rPr>
          <w:spacing w:val="1"/>
        </w:rPr>
        <w:t> </w:t>
      </w:r>
      <w:r>
        <w:rPr/>
        <w:t>重要的非调整事项</w:t>
      </w:r>
      <w:r>
        <w:rPr>
          <w:b w:val="0"/>
          <w:bCs w:val="0"/>
        </w:rPr>
      </w:r>
    </w:p>
    <w:p>
      <w:pPr>
        <w:pStyle w:val="BodyText"/>
        <w:spacing w:line="256" w:lineRule="auto" w:before="97"/>
        <w:ind w:right="1126" w:firstLine="420"/>
        <w:jc w:val="both"/>
      </w:pPr>
      <w:r>
        <w:rPr>
          <w:spacing w:val="-4"/>
        </w:rPr>
        <w:t>本公司的全资子公司武汉金运互动传媒有限公司（以下简称</w:t>
      </w:r>
      <w:r>
        <w:rPr>
          <w:rFonts w:ascii="Times New Roman" w:hAnsi="Times New Roman" w:cs="Times New Roman" w:eastAsia="Times New Roman" w:hint="default"/>
          <w:spacing w:val="-4"/>
        </w:rPr>
        <w:t>“</w:t>
      </w:r>
      <w:r>
        <w:rPr>
          <w:spacing w:val="-4"/>
        </w:rPr>
        <w:t>互动传媒</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17</w:t>
      </w:r>
      <w:r>
        <w:rPr>
          <w:spacing w:val="-4"/>
        </w:rPr>
        <w:t>日与与玩偶一</w:t>
      </w:r>
      <w:r>
        <w:rPr>
          <w:w w:val="100"/>
        </w:rPr>
        <w:t> </w:t>
      </w:r>
      <w:r>
        <w:rPr>
          <w:spacing w:val="-4"/>
        </w:rPr>
        <w:t>号（武汉）科技有限公司（以下简称</w:t>
      </w:r>
      <w:r>
        <w:rPr>
          <w:rFonts w:ascii="Times New Roman" w:hAnsi="Times New Roman" w:cs="Times New Roman" w:eastAsia="Times New Roman" w:hint="default"/>
          <w:spacing w:val="-4"/>
        </w:rPr>
        <w:t>“</w:t>
      </w:r>
      <w:r>
        <w:rPr>
          <w:spacing w:val="-4"/>
        </w:rPr>
        <w:t>玩偶一号</w:t>
      </w:r>
      <w:r>
        <w:rPr>
          <w:rFonts w:ascii="Times New Roman" w:hAnsi="Times New Roman" w:cs="Times New Roman" w:eastAsia="Times New Roman" w:hint="default"/>
          <w:spacing w:val="-4"/>
        </w:rPr>
        <w:t>”</w:t>
      </w:r>
      <w:r>
        <w:rPr>
          <w:spacing w:val="-4"/>
        </w:rPr>
        <w:t>）签订《托管协议》，协议于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18</w:t>
      </w:r>
      <w:r>
        <w:rPr>
          <w:spacing w:val="-4"/>
        </w:rPr>
        <w:t>日由本公司履行</w:t>
      </w:r>
      <w:r>
        <w:rPr>
          <w:spacing w:val="-19"/>
        </w:rPr>
        <w:t> </w:t>
      </w:r>
      <w:r>
        <w:rPr>
          <w:spacing w:val="-19"/>
        </w:rPr>
      </w:r>
      <w:r>
        <w:rPr/>
        <w:t>了关联交易审批程序后正式生效。</w:t>
      </w:r>
    </w:p>
    <w:p>
      <w:pPr>
        <w:pStyle w:val="BodyText"/>
        <w:spacing w:line="256" w:lineRule="auto" w:before="22"/>
        <w:ind w:right="1028" w:firstLine="420"/>
        <w:jc w:val="both"/>
      </w:pPr>
      <w:r>
        <w:rPr/>
        <w:t>根据协议：（</w:t>
      </w:r>
      <w:r>
        <w:rPr>
          <w:rFonts w:ascii="Times New Roman" w:hAnsi="Times New Roman" w:cs="Times New Roman" w:eastAsia="Times New Roman" w:hint="default"/>
        </w:rPr>
        <w:t>1</w:t>
      </w:r>
      <w:r>
        <w:rPr/>
        <w:t>）托管事项为玩偶一号将其所经营产品的线上运营、</w:t>
      </w:r>
      <w:r>
        <w:rPr>
          <w:rFonts w:ascii="Times New Roman" w:hAnsi="Times New Roman" w:cs="Times New Roman" w:eastAsia="Times New Roman" w:hint="default"/>
        </w:rPr>
        <w:t>IP</w:t>
      </w:r>
      <w:r>
        <w:rPr>
          <w:rFonts w:ascii="Times New Roman" w:hAnsi="Times New Roman" w:cs="Times New Roman" w:eastAsia="Times New Roman" w:hint="default"/>
          <w:spacing w:val="49"/>
        </w:rPr>
        <w:t> </w:t>
      </w:r>
      <w:r>
        <w:rPr/>
        <w:t>衍生品的采购和线上销售全面</w:t>
      </w:r>
      <w:r>
        <w:rPr>
          <w:w w:val="100"/>
        </w:rPr>
        <w:t> </w:t>
      </w:r>
      <w:r>
        <w:rPr>
          <w:spacing w:val="-3"/>
        </w:rPr>
        <w:t>委托给互动传媒管理、经营；（</w:t>
      </w:r>
      <w:r>
        <w:rPr>
          <w:rFonts w:ascii="Times New Roman" w:hAnsi="Times New Roman" w:cs="Times New Roman" w:eastAsia="Times New Roman" w:hint="default"/>
          <w:spacing w:val="-3"/>
        </w:rPr>
        <w:t>2</w:t>
      </w:r>
      <w:r>
        <w:rPr>
          <w:spacing w:val="-3"/>
        </w:rPr>
        <w:t>）托管期限三年，自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17  </w:t>
      </w:r>
      <w:r>
        <w:rPr/>
        <w:t>日起至 </w:t>
      </w:r>
      <w:r>
        <w:rPr>
          <w:rFonts w:ascii="Times New Roman" w:hAnsi="Times New Roman" w:cs="Times New Roman" w:eastAsia="Times New Roman" w:hint="default"/>
        </w:rPr>
        <w:t>2023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16 </w:t>
      </w:r>
      <w:r>
        <w:rPr>
          <w:rFonts w:ascii="Times New Roman" w:hAnsi="Times New Roman" w:cs="Times New Roman" w:eastAsia="Times New Roman" w:hint="default"/>
          <w:spacing w:val="45"/>
        </w:rPr>
        <w:t> </w:t>
      </w:r>
      <w:r>
        <w:rPr>
          <w:spacing w:val="-3"/>
        </w:rPr>
        <w:t>日止；</w:t>
      </w:r>
      <w:r>
        <w:rPr/>
      </w:r>
    </w:p>
    <w:p>
      <w:pPr>
        <w:pStyle w:val="BodyText"/>
        <w:spacing w:line="261" w:lineRule="auto" w:before="5"/>
        <w:ind w:right="1126"/>
        <w:jc w:val="both"/>
      </w:pPr>
      <w:r>
        <w:rPr/>
        <w:t>（</w:t>
      </w:r>
      <w:r>
        <w:rPr>
          <w:rFonts w:ascii="Times New Roman" w:hAnsi="Times New Roman" w:cs="Times New Roman" w:eastAsia="Times New Roman" w:hint="default"/>
        </w:rPr>
        <w:t>3</w:t>
      </w:r>
      <w:r>
        <w:rPr/>
        <w:t>）托管期间，玩偶一号继续独立拥有自身资产的所有权、处置权、抵押权和收益权，未经玩偶一号同</w:t>
      </w:r>
      <w:r>
        <w:rPr>
          <w:spacing w:val="-25"/>
        </w:rPr>
        <w:t> </w:t>
      </w:r>
      <w:r>
        <w:rPr>
          <w:spacing w:val="-25"/>
        </w:rPr>
      </w:r>
      <w:r>
        <w:rPr>
          <w:spacing w:val="-2"/>
        </w:rPr>
        <w:t>意，互动传媒不得对其资产进行处置。互动传媒为承担托管事项而产生的经营、管理、财务等费用、人员</w:t>
      </w:r>
      <w:r>
        <w:rPr>
          <w:spacing w:val="-43"/>
        </w:rPr>
        <w:t> </w:t>
      </w:r>
      <w:r>
        <w:rPr>
          <w:spacing w:val="-43"/>
        </w:rPr>
      </w:r>
      <w:r>
        <w:rPr>
          <w:spacing w:val="-2"/>
        </w:rPr>
        <w:t>工资等均由互动传媒独立承担，玩偶一号日常生产、管理、财务及未托管事项的经营费用和人员工资由玩</w:t>
      </w:r>
      <w:r>
        <w:rPr>
          <w:spacing w:val="-44"/>
        </w:rPr>
        <w:t> </w:t>
      </w:r>
      <w:r>
        <w:rPr>
          <w:spacing w:val="-44"/>
        </w:rPr>
      </w:r>
      <w:r>
        <w:rPr/>
        <w:t>偶一号独立承担；（</w:t>
      </w:r>
      <w:r>
        <w:rPr>
          <w:rFonts w:ascii="Times New Roman" w:hAnsi="Times New Roman" w:cs="Times New Roman" w:eastAsia="Times New Roman" w:hint="default"/>
        </w:rPr>
        <w:t>4</w:t>
      </w:r>
      <w:r>
        <w:rPr/>
        <w:t>）玩偶一号同意就该协议项下互动传媒受托管理玩偶一号采购、销售事宜，每年应</w:t>
      </w:r>
      <w:r>
        <w:rPr>
          <w:spacing w:val="-24"/>
        </w:rPr>
        <w:t> </w:t>
      </w:r>
      <w:r>
        <w:rPr>
          <w:spacing w:val="-24"/>
        </w:rPr>
      </w:r>
      <w:r>
        <w:rPr/>
        <w:t>向互动传媒支付的托管费为浮动费用： </w:t>
      </w:r>
      <w:r>
        <w:rPr>
          <w:rFonts w:ascii="Times New Roman" w:hAnsi="Times New Roman" w:cs="Times New Roman" w:eastAsia="Times New Roman" w:hint="default"/>
          <w:spacing w:val="-4"/>
        </w:rPr>
        <w:t>A</w:t>
      </w:r>
      <w:r>
        <w:rPr>
          <w:spacing w:val="-4"/>
        </w:rPr>
        <w:t>、托管经营期间，互动传媒可获得线上商品销售、会员及游戏充</w:t>
      </w:r>
      <w:r>
        <w:rPr>
          <w:spacing w:val="-69"/>
        </w:rPr>
        <w:t> </w:t>
      </w:r>
      <w:r>
        <w:rPr>
          <w:spacing w:val="-69"/>
        </w:rPr>
      </w:r>
      <w:r>
        <w:rPr>
          <w:spacing w:val="-10"/>
          <w:w w:val="100"/>
        </w:rPr>
        <w:t>值等所产生的利润（毛利）</w:t>
      </w:r>
      <w:r>
        <w:rPr>
          <w:rFonts w:ascii="Times New Roman" w:hAnsi="Times New Roman" w:cs="Times New Roman" w:eastAsia="Times New Roman" w:hint="default"/>
          <w:spacing w:val="-10"/>
          <w:w w:val="100"/>
        </w:rPr>
        <w:t>100%</w:t>
      </w:r>
      <w:r>
        <w:rPr>
          <w:spacing w:val="-10"/>
          <w:w w:val="100"/>
        </w:rPr>
        <w:t>分成；</w:t>
      </w:r>
      <w:r>
        <w:rPr>
          <w:spacing w:val="-82"/>
          <w:w w:val="100"/>
        </w:rPr>
        <w:t> </w:t>
      </w:r>
      <w:r>
        <w:rPr>
          <w:rFonts w:ascii="Times New Roman" w:hAnsi="Times New Roman" w:cs="Times New Roman" w:eastAsia="Times New Roman" w:hint="default"/>
          <w:spacing w:val="-8"/>
          <w:w w:val="100"/>
        </w:rPr>
        <w:t>B</w:t>
      </w:r>
      <w:r>
        <w:rPr>
          <w:spacing w:val="-8"/>
          <w:w w:val="100"/>
        </w:rPr>
        <w:t>、供应链管理费：按互动传媒受托经营取得的全部销售收入的</w:t>
      </w:r>
      <w:r>
        <w:rPr>
          <w:spacing w:val="16"/>
          <w:w w:val="100"/>
        </w:rPr>
        <w:t> </w:t>
      </w:r>
      <w:r>
        <w:rPr>
          <w:rFonts w:ascii="Times New Roman" w:hAnsi="Times New Roman" w:cs="Times New Roman" w:eastAsia="Times New Roman" w:hint="default"/>
          <w:spacing w:val="-3"/>
          <w:w w:val="100"/>
        </w:rPr>
        <w:t>15%</w:t>
      </w:r>
      <w:r>
        <w:rPr>
          <w:rFonts w:ascii="Times New Roman" w:hAnsi="Times New Roman" w:cs="Times New Roman" w:eastAsia="Times New Roman" w:hint="default"/>
          <w:spacing w:val="-48"/>
          <w:w w:val="100"/>
        </w:rPr>
        <w:t> </w:t>
      </w:r>
      <w:r>
        <w:rPr>
          <w:spacing w:val="-2"/>
        </w:rPr>
        <w:t>计算管理费。浮动托管费按托管时间每满半年收取一次，于每半年期满后一个月内完成结算支付，当</w:t>
      </w:r>
      <w:r>
        <w:rPr>
          <w:spacing w:val="58"/>
        </w:rPr>
        <w:t> </w:t>
      </w:r>
      <w:r>
        <w:rPr>
          <w:rFonts w:ascii="Times New Roman" w:hAnsi="Times New Roman" w:cs="Times New Roman" w:eastAsia="Times New Roman" w:hint="default"/>
        </w:rPr>
        <w:t>3</w:t>
      </w:r>
      <w:r>
        <w:rPr/>
        <w:t>年</w:t>
      </w:r>
    </w:p>
    <w:p>
      <w:pPr>
        <w:spacing w:after="0" w:line="261"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期满时于期满后一个月内完成结算支付。</w:t>
      </w:r>
    </w:p>
    <w:p>
      <w:pPr>
        <w:spacing w:line="432" w:lineRule="exact" w:before="57"/>
        <w:ind w:left="573" w:right="1116" w:hanging="195"/>
        <w:jc w:val="left"/>
        <w:rPr>
          <w:rFonts w:ascii="宋体" w:hAnsi="宋体" w:cs="宋体" w:eastAsia="宋体" w:hint="default"/>
          <w:sz w:val="21"/>
          <w:szCs w:val="21"/>
        </w:rPr>
      </w:pPr>
      <w:r>
        <w:rPr>
          <w:rFonts w:ascii="宋体" w:hAnsi="宋体" w:cs="宋体" w:eastAsia="宋体" w:hint="default"/>
          <w:b/>
          <w:bCs/>
          <w:sz w:val="21"/>
          <w:szCs w:val="21"/>
        </w:rPr>
        <w:t>（二）对新型冠状病毒肺炎疫情的影响评估</w:t>
      </w:r>
      <w:r>
        <w:rPr>
          <w:rFonts w:ascii="宋体" w:hAnsi="宋体" w:cs="宋体" w:eastAsia="宋体" w:hint="default"/>
          <w:b/>
          <w:bCs/>
          <w:w w:val="100"/>
          <w:sz w:val="21"/>
          <w:szCs w:val="21"/>
        </w:rPr>
        <w:t> </w:t>
      </w:r>
      <w:r>
        <w:rPr>
          <w:rFonts w:ascii="宋体" w:hAnsi="宋体" w:cs="宋体" w:eastAsia="宋体" w:hint="default"/>
          <w:spacing w:val="-4"/>
          <w:sz w:val="21"/>
          <w:szCs w:val="21"/>
        </w:rPr>
        <w:t>新型冠状病毒感染的肺炎疫情（以下简称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肺炎疫情</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）于</w:t>
      </w:r>
      <w:r>
        <w:rPr>
          <w:rFonts w:ascii="Times New Roman" w:hAnsi="Times New Roman" w:cs="Times New Roman" w:eastAsia="Times New Roman" w:hint="default"/>
          <w:spacing w:val="-4"/>
          <w:sz w:val="21"/>
          <w:szCs w:val="21"/>
        </w:rPr>
        <w:t>2020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月在全国爆发以来，对肺炎疫情的防</w:t>
      </w:r>
    </w:p>
    <w:p>
      <w:pPr>
        <w:pStyle w:val="BodyText"/>
        <w:spacing w:line="255" w:lineRule="exact"/>
        <w:ind w:right="1116"/>
        <w:jc w:val="left"/>
      </w:pPr>
      <w:r>
        <w:rPr/>
        <w:t>控工作正在全国范围内持续进行。</w:t>
      </w:r>
    </w:p>
    <w:p>
      <w:pPr>
        <w:pStyle w:val="BodyText"/>
        <w:spacing w:line="273" w:lineRule="auto" w:before="157"/>
        <w:ind w:right="1126" w:firstLine="420"/>
        <w:jc w:val="both"/>
      </w:pPr>
      <w:r>
        <w:rPr>
          <w:spacing w:val="-2"/>
        </w:rPr>
        <w:t>肺炎疫情将对本公司内主要经营地为湖北武汉的生产单位在一定程度上影响其正常企业经营状况，影</w:t>
      </w:r>
      <w:r>
        <w:rPr>
          <w:w w:val="100"/>
        </w:rPr>
        <w:t> </w:t>
      </w:r>
      <w:r>
        <w:rPr/>
        <w:t>响程度将取决于疫情防控的情况、持续时间以及各项调控政策的实施。</w:t>
      </w:r>
    </w:p>
    <w:p>
      <w:pPr>
        <w:pStyle w:val="BodyText"/>
        <w:spacing w:line="261" w:lineRule="auto" w:before="127"/>
        <w:ind w:right="1126" w:firstLine="420"/>
        <w:jc w:val="both"/>
      </w:pPr>
      <w:r>
        <w:rPr>
          <w:spacing w:val="-2"/>
        </w:rPr>
        <w:t>本公司将继续密切关注肺炎疫情发展情况，评估和积极应对其对本公司财务状况、经营成果等方面的</w:t>
      </w:r>
      <w:r>
        <w:rPr>
          <w:w w:val="100"/>
        </w:rPr>
        <w:t> </w:t>
      </w:r>
      <w:r>
        <w:rPr/>
        <w:t>影响。由于新冠肺炎疫情防控政策的限制，本公司</w:t>
      </w:r>
      <w:r>
        <w:rPr>
          <w:rFonts w:ascii="Times New Roman" w:hAnsi="Times New Roman" w:cs="Times New Roman" w:eastAsia="Times New Roman" w:hint="default"/>
        </w:rPr>
        <w:t>2020</w:t>
      </w:r>
      <w:r>
        <w:rPr/>
        <w:t>年第一季度营业收入较去年同期下降，亏损</w:t>
      </w:r>
      <w:r>
        <w:rPr>
          <w:rFonts w:ascii="Times New Roman" w:hAnsi="Times New Roman" w:cs="Times New Roman" w:eastAsia="Times New Roman" w:hint="default"/>
        </w:rPr>
        <w:t>538.8</w:t>
      </w:r>
      <w:r>
        <w:rPr>
          <w:rFonts w:ascii="Times New Roman" w:hAnsi="Times New Roman" w:cs="Times New Roman" w:eastAsia="Times New Roman" w:hint="default"/>
          <w:spacing w:val="24"/>
        </w:rPr>
        <w:t> </w:t>
      </w:r>
      <w:r>
        <w:rPr/>
        <w:t>万元，较去年同期下降</w:t>
      </w:r>
      <w:r>
        <w:rPr>
          <w:rFonts w:ascii="Times New Roman" w:hAnsi="Times New Roman" w:cs="Times New Roman" w:eastAsia="Times New Roman" w:hint="default"/>
        </w:rPr>
        <w:t>261.91%</w:t>
      </w:r>
      <w:r>
        <w:rPr/>
        <w:t>。因疫情的持续时间及各国政府调控政策的不确定性，公司无法预估疫情</w:t>
      </w:r>
      <w:r>
        <w:rPr>
          <w:spacing w:val="-41"/>
        </w:rPr>
        <w:t> </w:t>
      </w:r>
      <w:r>
        <w:rPr>
          <w:spacing w:val="-41"/>
        </w:rPr>
      </w:r>
      <w:r>
        <w:rPr/>
        <w:t>对公司未来业绩的具体影响。</w:t>
      </w:r>
    </w:p>
    <w:p>
      <w:pPr>
        <w:pStyle w:val="BodyText"/>
        <w:spacing w:line="273" w:lineRule="auto" w:before="138"/>
        <w:ind w:right="1126" w:firstLine="420"/>
        <w:jc w:val="both"/>
      </w:pPr>
      <w:r>
        <w:rPr>
          <w:spacing w:val="-2"/>
        </w:rPr>
        <w:t>除存在上述资产负债表日后事项外，截止财务报告批准报出日止，本公司无其他应披露未披露的重大</w:t>
      </w:r>
      <w:r>
        <w:rPr>
          <w:w w:val="100"/>
        </w:rPr>
        <w:t> </w:t>
      </w:r>
      <w:r>
        <w:rPr/>
        <w:t>资产负债表日后事项。</w:t>
      </w:r>
    </w:p>
    <w:p>
      <w:pPr>
        <w:spacing w:before="148"/>
        <w:ind w:left="378" w:right="1116" w:firstLine="0"/>
        <w:jc w:val="left"/>
        <w:rPr>
          <w:rFonts w:ascii="宋体" w:hAnsi="宋体" w:cs="宋体" w:eastAsia="宋体" w:hint="default"/>
          <w:sz w:val="18"/>
          <w:szCs w:val="18"/>
        </w:rPr>
      </w:pPr>
      <w:r>
        <w:rPr>
          <w:rFonts w:ascii="宋体" w:hAnsi="宋体" w:cs="宋体" w:eastAsia="宋体" w:hint="default"/>
          <w:b/>
          <w:bCs/>
          <w:sz w:val="18"/>
          <w:szCs w:val="18"/>
        </w:rPr>
        <w:t>（三）利润分配情况</w:t>
      </w:r>
      <w:r>
        <w:rPr>
          <w:rFonts w:ascii="宋体" w:hAnsi="宋体" w:cs="宋体" w:eastAsia="宋体" w:hint="default"/>
          <w:sz w:val="18"/>
          <w:szCs w:val="18"/>
        </w:rPr>
      </w:r>
    </w:p>
    <w:p>
      <w:pPr>
        <w:spacing w:line="240" w:lineRule="auto" w:before="11"/>
        <w:rPr>
          <w:rFonts w:ascii="宋体" w:hAnsi="宋体" w:cs="宋体" w:eastAsia="宋体" w:hint="default"/>
          <w:b/>
          <w:bCs/>
          <w:sz w:val="9"/>
          <w:szCs w:val="9"/>
        </w:rPr>
      </w:pPr>
    </w:p>
    <w:tbl>
      <w:tblPr>
        <w:tblW w:w="0" w:type="auto"/>
        <w:jc w:val="left"/>
        <w:tblInd w:w="133" w:type="dxa"/>
        <w:tblLayout w:type="fixed"/>
        <w:tblCellMar>
          <w:top w:w="0" w:type="dxa"/>
          <w:left w:w="0" w:type="dxa"/>
          <w:bottom w:w="0" w:type="dxa"/>
          <w:right w:w="0" w:type="dxa"/>
        </w:tblCellMar>
        <w:tblLook w:val="01E0"/>
      </w:tblPr>
      <w:tblGrid>
        <w:gridCol w:w="4943"/>
        <w:gridCol w:w="4928"/>
      </w:tblGrid>
      <w:tr>
        <w:trPr>
          <w:trHeight w:val="42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1,638,000.00</w:t>
            </w:r>
          </w:p>
        </w:tc>
      </w:tr>
      <w:tr>
        <w:trPr>
          <w:trHeight w:val="42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1,638,000.00</w:t>
            </w:r>
          </w:p>
        </w:tc>
      </w:tr>
    </w:tbl>
    <w:p>
      <w:pPr>
        <w:pStyle w:val="BodyText"/>
        <w:spacing w:line="256" w:lineRule="auto"/>
        <w:ind w:right="1128" w:firstLine="377"/>
        <w:jc w:val="both"/>
      </w:pPr>
      <w:r>
        <w:rPr>
          <w:spacing w:val="-3"/>
        </w:rPr>
        <w:t>根据《公司章程》的相关规定，本年度权益分派预案：以报告期末公司总股本</w:t>
      </w:r>
      <w:r>
        <w:rPr>
          <w:spacing w:val="47"/>
        </w:rPr>
        <w:t> </w:t>
      </w:r>
      <w:r>
        <w:rPr>
          <w:rFonts w:ascii="Times New Roman" w:hAnsi="Times New Roman" w:cs="Times New Roman" w:eastAsia="Times New Roman" w:hint="default"/>
        </w:rPr>
        <w:t>12,600</w:t>
      </w:r>
      <w:r>
        <w:rPr/>
        <w:t>万股为基数，向</w:t>
      </w:r>
      <w:r>
        <w:rPr>
          <w:w w:val="100"/>
        </w:rPr>
        <w:t> </w:t>
      </w:r>
      <w:r>
        <w:rPr>
          <w:spacing w:val="-2"/>
        </w:rPr>
        <w:t>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0.13</w:t>
      </w:r>
      <w:r>
        <w:rPr>
          <w:spacing w:val="-2"/>
        </w:rPr>
        <w:t>元（含税），共计派发现金人民币</w:t>
      </w:r>
      <w:r>
        <w:rPr>
          <w:rFonts w:ascii="Times New Roman" w:hAnsi="Times New Roman" w:cs="Times New Roman" w:eastAsia="Times New Roman" w:hint="default"/>
          <w:spacing w:val="-2"/>
        </w:rPr>
        <w:t>163.8</w:t>
      </w:r>
      <w:r>
        <w:rPr>
          <w:spacing w:val="-2"/>
        </w:rPr>
        <w:t>万元（含税）。本年度以资本公</w:t>
      </w:r>
      <w:r>
        <w:rPr>
          <w:spacing w:val="-34"/>
        </w:rPr>
        <w:t> </w:t>
      </w:r>
      <w:r>
        <w:rPr>
          <w:spacing w:val="-34"/>
        </w:rPr>
      </w:r>
      <w:r>
        <w:rPr/>
        <w:t>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股，剩余未分配利润结转以后年度进行分配。</w:t>
      </w:r>
    </w:p>
    <w:p>
      <w:pPr>
        <w:spacing w:line="240" w:lineRule="auto" w:before="11"/>
        <w:rPr>
          <w:rFonts w:ascii="宋体" w:hAnsi="宋体" w:cs="宋体" w:eastAsia="宋体" w:hint="default"/>
          <w:sz w:val="25"/>
          <w:szCs w:val="25"/>
        </w:rPr>
      </w:pPr>
    </w:p>
    <w:p>
      <w:pPr>
        <w:spacing w:line="316" w:lineRule="auto" w:before="0"/>
        <w:ind w:left="152" w:right="1177" w:firstLine="180"/>
        <w:jc w:val="left"/>
        <w:rPr>
          <w:rFonts w:ascii="宋体" w:hAnsi="宋体" w:cs="宋体" w:eastAsia="宋体" w:hint="default"/>
          <w:sz w:val="18"/>
          <w:szCs w:val="18"/>
        </w:rPr>
      </w:pPr>
      <w:r>
        <w:rPr>
          <w:rFonts w:ascii="宋体" w:hAnsi="宋体" w:cs="宋体" w:eastAsia="宋体" w:hint="default"/>
          <w:b/>
          <w:bCs/>
          <w:sz w:val="18"/>
          <w:szCs w:val="18"/>
        </w:rPr>
        <w:t>（四）除存在上述资产负债表日后事项外，截止财务报告批准报出日止，本公司无其他应披露未披露的重大资产负债表</w:t>
      </w:r>
      <w:r>
        <w:rPr>
          <w:rFonts w:ascii="宋体" w:hAnsi="宋体" w:cs="宋体" w:eastAsia="宋体" w:hint="default"/>
          <w:b/>
          <w:bCs/>
          <w:w w:val="99"/>
          <w:sz w:val="18"/>
          <w:szCs w:val="18"/>
        </w:rPr>
        <w:t> </w:t>
      </w:r>
      <w:r>
        <w:rPr>
          <w:rFonts w:ascii="宋体" w:hAnsi="宋体" w:cs="宋体" w:eastAsia="宋体" w:hint="default"/>
          <w:b/>
          <w:bCs/>
          <w:sz w:val="18"/>
          <w:szCs w:val="18"/>
        </w:rPr>
        <w:t>日后事项。</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19"/>
          <w:szCs w:val="19"/>
        </w:rPr>
      </w:pPr>
    </w:p>
    <w:p>
      <w:pPr>
        <w:pStyle w:val="Heading2"/>
        <w:spacing w:line="240" w:lineRule="auto" w:before="26"/>
        <w:ind w:left="952"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52"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9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left="95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546"/>
        <w:gridCol w:w="1133"/>
        <w:gridCol w:w="708"/>
        <w:gridCol w:w="1136"/>
        <w:gridCol w:w="697"/>
        <w:gridCol w:w="1092"/>
        <w:gridCol w:w="1045"/>
        <w:gridCol w:w="710"/>
        <w:gridCol w:w="1275"/>
        <w:gridCol w:w="697"/>
        <w:gridCol w:w="1275"/>
      </w:tblGrid>
      <w:tr>
        <w:trPr>
          <w:trHeight w:val="398" w:hRule="exact"/>
        </w:trPr>
        <w:tc>
          <w:tcPr>
            <w:tcW w:w="1546" w:type="dxa"/>
            <w:vMerge w:val="restart"/>
            <w:tcBorders>
              <w:top w:val="single" w:sz="4" w:space="0" w:color="000000"/>
              <w:left w:val="nil" w:sz="6" w:space="0" w:color="auto"/>
              <w:right w:val="single" w:sz="4" w:space="0" w:color="000000"/>
            </w:tcBorders>
            <w:shd w:val="clear" w:color="auto" w:fill="D2D2D2"/>
          </w:tcPr>
          <w:p>
            <w:pPr/>
          </w:p>
        </w:tc>
        <w:tc>
          <w:tcPr>
            <w:tcW w:w="47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03"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546" w:type="dxa"/>
            <w:vMerge/>
            <w:tcBorders>
              <w:left w:val="nil" w:sz="6" w:space="0" w:color="auto"/>
              <w:bottom w:val="nil" w:sz="6" w:space="0" w:color="auto"/>
              <w:right w:val="single" w:sz="4" w:space="0" w:color="000000"/>
            </w:tcBorders>
            <w:shd w:val="clear" w:color="auto" w:fill="D2D2D2"/>
          </w:tcPr>
          <w:p>
            <w:pPr/>
          </w:p>
        </w:tc>
        <w:tc>
          <w:tcPr>
            <w:tcW w:w="1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7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546"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1841" w:type="dxa"/>
            <w:gridSpan w:val="2"/>
            <w:vMerge/>
            <w:tcBorders>
              <w:left w:val="single" w:sz="4" w:space="0" w:color="000000"/>
              <w:bottom w:val="single" w:sz="4" w:space="0" w:color="000000"/>
              <w:right w:val="single" w:sz="4" w:space="0" w:color="000000"/>
            </w:tcBorders>
            <w:shd w:val="clear" w:color="auto" w:fill="D2D2D2"/>
          </w:tcPr>
          <w:p>
            <w:pPr/>
          </w:p>
        </w:tc>
        <w:tc>
          <w:tcPr>
            <w:tcW w:w="1833" w:type="dxa"/>
            <w:gridSpan w:val="2"/>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756" w:type="dxa"/>
            <w:gridSpan w:val="2"/>
            <w:vMerge/>
            <w:tcBorders>
              <w:left w:val="single" w:sz="4" w:space="0" w:color="000000"/>
              <w:bottom w:val="single" w:sz="4" w:space="0" w:color="000000"/>
              <w:right w:val="single" w:sz="4" w:space="0" w:color="000000"/>
            </w:tcBorders>
            <w:shd w:val="clear" w:color="auto" w:fill="D2D2D2"/>
          </w:tcPr>
          <w:p>
            <w:pP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nil" w:sz="6" w:space="0" w:color="auto"/>
            </w:tcBorders>
            <w:shd w:val="clear" w:color="auto" w:fill="D2D2D2"/>
          </w:tcPr>
          <w:p>
            <w:pPr/>
          </w:p>
        </w:tc>
      </w:tr>
      <w:tr>
        <w:trPr>
          <w:trHeight w:val="162" w:hRule="exact"/>
        </w:trPr>
        <w:tc>
          <w:tcPr>
            <w:tcW w:w="1546" w:type="dxa"/>
            <w:vMerge/>
            <w:tcBorders>
              <w:left w:val="nil" w:sz="6" w:space="0" w:color="auto"/>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9" w:right="6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9" w:right="6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5"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9"/>
              <w:ind w:left="2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546" w:type="dxa"/>
            <w:vMerge w:val="restart"/>
            <w:tcBorders>
              <w:top w:val="nil" w:sz="6" w:space="0" w:color="auto"/>
              <w:left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546" w:type="dxa"/>
            <w:vMerge/>
            <w:tcBorders>
              <w:left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546" w:type="dxa"/>
            <w:vMerge/>
            <w:tcBorders>
              <w:left w:val="nil" w:sz="6" w:space="0" w:color="auto"/>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nil" w:sz="6" w:space="0" w:color="auto"/>
            </w:tcBorders>
            <w:shd w:val="clear" w:color="auto" w:fill="D2D2D2"/>
          </w:tcPr>
          <w:p>
            <w:pPr/>
          </w:p>
        </w:tc>
      </w:tr>
      <w:tr>
        <w:trPr>
          <w:trHeight w:val="716" w:hRule="exact"/>
        </w:trPr>
        <w:tc>
          <w:tcPr>
            <w:tcW w:w="15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14" w:right="84"/>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11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592,240.39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592,240.39</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596,442.23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596,442.23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27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180" w:right="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551"/>
        <w:gridCol w:w="1135"/>
        <w:gridCol w:w="708"/>
        <w:gridCol w:w="1136"/>
        <w:gridCol w:w="708"/>
        <w:gridCol w:w="1080"/>
        <w:gridCol w:w="1046"/>
        <w:gridCol w:w="710"/>
        <w:gridCol w:w="1275"/>
        <w:gridCol w:w="708"/>
        <w:gridCol w:w="1264"/>
      </w:tblGrid>
      <w:tr>
        <w:trPr>
          <w:trHeight w:val="401" w:hRule="exact"/>
        </w:trPr>
        <w:tc>
          <w:tcPr>
            <w:tcW w:w="15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715" w:hRule="exact"/>
        </w:trPr>
        <w:tc>
          <w:tcPr>
            <w:tcW w:w="15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51"/>
              <w:ind w:left="21" w:right="82"/>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11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76,897,057.25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7,274,212.80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69,622,844.4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50,853,558.5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8,527,936.33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16.77%</w:t>
            </w:r>
          </w:p>
        </w:tc>
        <w:tc>
          <w:tcPr>
            <w:tcW w:w="1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42,325,622.24</w:t>
            </w:r>
          </w:p>
        </w:tc>
      </w:tr>
      <w:tr>
        <w:trPr>
          <w:trHeight w:val="401" w:hRule="exact"/>
        </w:trPr>
        <w:tc>
          <w:tcPr>
            <w:tcW w:w="15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715"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36,703,531.00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7,274,212.80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29,429,318.2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22,455,438.8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8,527,936.33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37.98%</w:t>
            </w:r>
          </w:p>
        </w:tc>
        <w:tc>
          <w:tcPr>
            <w:tcW w:w="1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13,927,502.54</w:t>
            </w:r>
          </w:p>
        </w:tc>
      </w:tr>
      <w:tr>
        <w:trPr>
          <w:trHeight w:val="713" w:hRule="exact"/>
        </w:trPr>
        <w:tc>
          <w:tcPr>
            <w:tcW w:w="155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21" w:right="82"/>
              <w:jc w:val="left"/>
              <w:rPr>
                <w:rFonts w:ascii="宋体" w:hAnsi="宋体" w:cs="宋体" w:eastAsia="宋体" w:hint="default"/>
                <w:sz w:val="18"/>
                <w:szCs w:val="18"/>
              </w:rPr>
            </w:pPr>
            <w:r>
              <w:rPr>
                <w:rFonts w:ascii="宋体" w:hAnsi="宋体" w:cs="宋体" w:eastAsia="宋体" w:hint="default"/>
                <w:sz w:val="18"/>
                <w:szCs w:val="18"/>
              </w:rPr>
              <w:t>无风险及关联方组 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40,193,526.25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51.87%</w:t>
            </w: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40,193,526.2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28,398,119.7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55.20%</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28,398,119.70</w:t>
            </w:r>
          </w:p>
        </w:tc>
      </w:tr>
      <w:tr>
        <w:trPr>
          <w:trHeight w:val="716" w:hRule="exact"/>
        </w:trPr>
        <w:tc>
          <w:tcPr>
            <w:tcW w:w="15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77,489,297.64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7,866,453.19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69,622,844.4</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51,450,000.8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9,124,378.56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17.73%</w:t>
            </w:r>
          </w:p>
        </w:tc>
        <w:tc>
          <w:tcPr>
            <w:tcW w:w="1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42,325,622.24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80" w:right="0"/>
        </w:sectPr>
      </w:pPr>
    </w:p>
    <w:p>
      <w:pPr>
        <w:pStyle w:val="BodyText"/>
        <w:spacing w:line="240" w:lineRule="auto" w:before="28"/>
        <w:ind w:left="952" w:right="0"/>
        <w:jc w:val="left"/>
      </w:pPr>
      <w:r>
        <w:rPr>
          <w:spacing w:val="-2"/>
        </w:rPr>
        <w:t>按单项计提坏账准备：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9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80" w:right="0"/>
          <w:cols w:num="2" w:equalWidth="0">
            <w:col w:w="3056" w:space="5773"/>
            <w:col w:w="2901"/>
          </w:cols>
        </w:sectPr>
      </w:pPr>
    </w:p>
    <w:p>
      <w:pPr>
        <w:spacing w:line="240" w:lineRule="auto" w:before="4"/>
        <w:rPr>
          <w:rFonts w:ascii="宋体" w:hAnsi="宋体" w:cs="宋体" w:eastAsia="宋体" w:hint="default"/>
          <w:sz w:val="8"/>
          <w:szCs w:val="8"/>
        </w:rPr>
      </w:pPr>
    </w:p>
    <w:tbl>
      <w:tblPr>
        <w:tblW w:w="0" w:type="auto"/>
        <w:jc w:val="left"/>
        <w:tblInd w:w="947" w:type="dxa"/>
        <w:tblLayout w:type="fixed"/>
        <w:tblCellMar>
          <w:top w:w="0" w:type="dxa"/>
          <w:left w:w="0" w:type="dxa"/>
          <w:bottom w:w="0" w:type="dxa"/>
          <w:right w:w="0" w:type="dxa"/>
        </w:tblCellMar>
        <w:tblLook w:val="01E0"/>
      </w:tblPr>
      <w:tblGrid>
        <w:gridCol w:w="2696"/>
        <w:gridCol w:w="1841"/>
        <w:gridCol w:w="1985"/>
        <w:gridCol w:w="1561"/>
        <w:gridCol w:w="1490"/>
      </w:tblGrid>
      <w:tr>
        <w:trPr>
          <w:trHeight w:val="403" w:hRule="exact"/>
        </w:trPr>
        <w:tc>
          <w:tcPr>
            <w:tcW w:w="269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877"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696" w:type="dxa"/>
            <w:vMerge/>
            <w:tcBorders>
              <w:left w:val="nil" w:sz="6" w:space="0" w:color="auto"/>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right="384"/>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296,014.95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296,014.95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79"/>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296,225.44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79"/>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592,240.39</w:t>
            </w:r>
          </w:p>
        </w:tc>
        <w:tc>
          <w:tcPr>
            <w:tcW w:w="19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592,240.39</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80" w:right="0"/>
        </w:sectPr>
      </w:pPr>
    </w:p>
    <w:p>
      <w:pPr>
        <w:pStyle w:val="BodyText"/>
        <w:spacing w:line="240" w:lineRule="auto" w:before="28"/>
        <w:ind w:left="952" w:right="0"/>
        <w:jc w:val="left"/>
      </w:pPr>
      <w:r>
        <w:rPr>
          <w:spacing w:val="-2"/>
        </w:rPr>
        <w:t>按组合计提坏账准备：账龄分析组合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9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80" w:right="0"/>
          <w:cols w:num="2" w:equalWidth="0">
            <w:col w:w="4319" w:space="4511"/>
            <w:col w:w="2900"/>
          </w:cols>
        </w:sectPr>
      </w:pPr>
    </w:p>
    <w:p>
      <w:pPr>
        <w:spacing w:line="240" w:lineRule="auto" w:before="4"/>
        <w:rPr>
          <w:rFonts w:ascii="宋体" w:hAnsi="宋体" w:cs="宋体" w:eastAsia="宋体" w:hint="default"/>
          <w:sz w:val="8"/>
          <w:szCs w:val="8"/>
        </w:rPr>
      </w:pPr>
    </w:p>
    <w:tbl>
      <w:tblPr>
        <w:tblW w:w="0" w:type="auto"/>
        <w:jc w:val="left"/>
        <w:tblInd w:w="947" w:type="dxa"/>
        <w:tblLayout w:type="fixed"/>
        <w:tblCellMar>
          <w:top w:w="0" w:type="dxa"/>
          <w:left w:w="0" w:type="dxa"/>
          <w:bottom w:w="0" w:type="dxa"/>
          <w:right w:w="0" w:type="dxa"/>
        </w:tblCellMar>
        <w:tblLook w:val="01E0"/>
      </w:tblPr>
      <w:tblGrid>
        <w:gridCol w:w="2393"/>
        <w:gridCol w:w="2391"/>
        <w:gridCol w:w="2393"/>
        <w:gridCol w:w="2379"/>
      </w:tblGrid>
      <w:tr>
        <w:trPr>
          <w:trHeight w:val="401" w:hRule="exact"/>
        </w:trPr>
        <w:tc>
          <w:tcPr>
            <w:tcW w:w="239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63"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nil" w:sz="6" w:space="0" w:color="auto"/>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28,198,359.39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845,950.78</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1,489,289.65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223,393.45</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1,622,026.77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811,013.39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5,393,855.19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5,393,855.19</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36,703,531.00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7,274,212.81</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80" w:right="0"/>
        </w:sectPr>
      </w:pPr>
    </w:p>
    <w:p>
      <w:pPr>
        <w:pStyle w:val="BodyText"/>
        <w:spacing w:line="307" w:lineRule="auto" w:before="28"/>
        <w:ind w:left="952" w:right="0"/>
        <w:jc w:val="left"/>
      </w:pPr>
      <w:r>
        <w:rPr/>
        <w:t>确定该组合依据的说明：</w:t>
      </w:r>
      <w:r>
        <w:rPr>
          <w:w w:val="100"/>
        </w:rPr>
        <w:t> </w:t>
      </w:r>
      <w:r>
        <w:rPr>
          <w:spacing w:val="-2"/>
        </w:rPr>
        <w:t>按账龄分析组合计提预期信用损失的应收账款。</w:t>
      </w:r>
      <w:r>
        <w:rPr>
          <w:spacing w:val="-65"/>
        </w:rPr>
        <w:t> </w:t>
      </w:r>
      <w:r>
        <w:rPr>
          <w:spacing w:val="-65"/>
        </w:rPr>
      </w:r>
      <w:r>
        <w:rPr/>
        <w:t>按组合计提坏账准备：无风险及关联方组合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9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80" w:right="0"/>
          <w:cols w:num="2" w:equalWidth="0">
            <w:col w:w="5368" w:space="3462"/>
            <w:col w:w="2900"/>
          </w:cols>
        </w:sectPr>
      </w:pPr>
    </w:p>
    <w:p>
      <w:pPr>
        <w:spacing w:line="240" w:lineRule="auto" w:before="4"/>
        <w:rPr>
          <w:rFonts w:ascii="宋体" w:hAnsi="宋体" w:cs="宋体" w:eastAsia="宋体" w:hint="default"/>
          <w:sz w:val="8"/>
          <w:szCs w:val="8"/>
        </w:rPr>
      </w:pPr>
    </w:p>
    <w:tbl>
      <w:tblPr>
        <w:tblW w:w="0" w:type="auto"/>
        <w:jc w:val="left"/>
        <w:tblInd w:w="947" w:type="dxa"/>
        <w:tblLayout w:type="fixed"/>
        <w:tblCellMar>
          <w:top w:w="0" w:type="dxa"/>
          <w:left w:w="0" w:type="dxa"/>
          <w:bottom w:w="0" w:type="dxa"/>
          <w:right w:w="0" w:type="dxa"/>
        </w:tblCellMar>
        <w:tblLook w:val="01E0"/>
      </w:tblPr>
      <w:tblGrid>
        <w:gridCol w:w="2393"/>
        <w:gridCol w:w="2391"/>
        <w:gridCol w:w="2393"/>
        <w:gridCol w:w="2379"/>
      </w:tblGrid>
      <w:tr>
        <w:trPr>
          <w:trHeight w:val="401" w:hRule="exact"/>
        </w:trPr>
        <w:tc>
          <w:tcPr>
            <w:tcW w:w="239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63"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nil" w:sz="6" w:space="0" w:color="auto"/>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34,975,259.62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3,180,257.82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1,213,539.00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824,469.81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405"/>
        <w:gridCol w:w="2367"/>
      </w:tblGrid>
      <w:tr>
        <w:trPr>
          <w:trHeight w:val="404"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40,193,526.25</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90" w:lineRule="auto" w:before="28"/>
        <w:ind w:right="1116"/>
        <w:jc w:val="left"/>
      </w:pPr>
      <w:r>
        <w:rPr/>
        <w:t>确定该组合依据的说明：</w:t>
      </w:r>
      <w:r>
        <w:rPr>
          <w:w w:val="100"/>
        </w:rPr>
        <w:t> </w:t>
      </w:r>
      <w:r>
        <w:rPr>
          <w:spacing w:val="-2"/>
        </w:rPr>
        <w:t>如是按照预期信用损失一般模型计提应收账款坏账准备，请参照其他应收款的披露方式披露坏账准备的相</w:t>
      </w:r>
      <w:r>
        <w:rPr>
          <w:spacing w:val="-43"/>
        </w:rPr>
        <w:t> </w:t>
      </w:r>
      <w:r>
        <w:rPr>
          <w:spacing w:val="-43"/>
        </w:rPr>
      </w:r>
      <w:r>
        <w:rPr/>
        <w:t>关信息：</w:t>
      </w:r>
    </w:p>
    <w:p>
      <w:pPr>
        <w:pStyle w:val="BodyText"/>
        <w:spacing w:line="290" w:lineRule="auto" w:before="34"/>
        <w:ind w:right="89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spacing w:before="5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59"/>
        <w:gridCol w:w="4783"/>
      </w:tblGrid>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39,682,510.37</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8,251,317.93</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3,284,037.02</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26,271,432.32</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15,866,791.92</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9,114,033.38</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1,290,607.02</w:t>
            </w:r>
          </w:p>
        </w:tc>
      </w:tr>
      <w:tr>
        <w:trPr>
          <w:trHeight w:val="401"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77,489,297.64</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67" w:space="6362"/>
            <w:col w:w="2101"/>
          </w:cols>
        </w:sectPr>
      </w:pP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596,442.23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592,240.39</w:t>
            </w:r>
          </w:p>
        </w:tc>
      </w:tr>
      <w:tr>
        <w:trPr>
          <w:trHeight w:val="40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8,527,936.33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1,253,723.53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7,274,212.80</w:t>
            </w:r>
          </w:p>
        </w:tc>
      </w:tr>
      <w:tr>
        <w:trPr>
          <w:trHeight w:val="403"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9,124,378.56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1,257,925.37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7,866,453.19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34,975,259.62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45.14%</w:t>
            </w:r>
          </w:p>
        </w:tc>
        <w:tc>
          <w:tcPr>
            <w:tcW w:w="239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w:t>
            </w: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231,000.00</w:t>
            </w:r>
          </w:p>
        </w:tc>
      </w:tr>
      <w:tr>
        <w:trPr>
          <w:trHeight w:val="404"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5,524,929.97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c>
          <w:tcPr>
            <w:tcW w:w="23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165,747.90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79"/>
      </w:tblGrid>
      <w:tr>
        <w:trPr>
          <w:trHeight w:val="401"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5,500,470.00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w:t>
            </w:r>
          </w:p>
        </w:tc>
        <w:tc>
          <w:tcPr>
            <w:tcW w:w="2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165,014.10</w:t>
            </w: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3,230,257.82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4.17%</w:t>
            </w:r>
          </w:p>
        </w:tc>
        <w:tc>
          <w:tcPr>
            <w:tcW w:w="237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56,930,917.41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73.48%</w:t>
            </w:r>
          </w:p>
        </w:tc>
        <w:tc>
          <w:tcPr>
            <w:tcW w:w="2379" w:type="dxa"/>
            <w:tcBorders>
              <w:top w:val="single" w:sz="4" w:space="0" w:color="000000"/>
              <w:left w:val="single" w:sz="4" w:space="0" w:color="000000"/>
              <w:bottom w:val="single" w:sz="4" w:space="0" w:color="000000"/>
              <w:right w:val="nil" w:sz="6" w:space="0" w:color="auto"/>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5"/>
        <w:gridCol w:w="3201"/>
        <w:gridCol w:w="3178"/>
      </w:tblGrid>
      <w:tr>
        <w:trPr>
          <w:trHeight w:val="401"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49,226,704.85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28,790,663.38</w:t>
            </w:r>
          </w:p>
        </w:tc>
      </w:tr>
      <w:tr>
        <w:trPr>
          <w:trHeight w:val="403" w:hRule="exact"/>
        </w:trPr>
        <w:tc>
          <w:tcPr>
            <w:tcW w:w="316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49,226,704.85</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28,790,663.38</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8"/>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41,806,429.12</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22,925,581.01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非合并内关联方往来款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10,654,772.48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8,843,837.29</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1,057,030.24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1,093,862.61</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1,560,574.76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874,200.48</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96,163.14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245,542.14</w:t>
            </w:r>
          </w:p>
        </w:tc>
      </w:tr>
      <w:tr>
        <w:trPr>
          <w:trHeight w:val="401"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735,364.21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1,037,098.41</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1,967,662.91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2,370,668.85</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57,877,996.86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37,390,790.79</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90"/>
        <w:gridCol w:w="1663"/>
        <w:gridCol w:w="2098"/>
        <w:gridCol w:w="2101"/>
        <w:gridCol w:w="1790"/>
      </w:tblGrid>
      <w:tr>
        <w:trPr>
          <w:trHeight w:val="402" w:hRule="exact"/>
        </w:trPr>
        <w:tc>
          <w:tcPr>
            <w:tcW w:w="1890" w:type="dxa"/>
            <w:tcBorders>
              <w:top w:val="single" w:sz="4" w:space="0" w:color="000000"/>
              <w:left w:val="nil" w:sz="6" w:space="0" w:color="auto"/>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79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52" w:hRule="exact"/>
        </w:trPr>
        <w:tc>
          <w:tcPr>
            <w:tcW w:w="189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9"/>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79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0" w:type="dxa"/>
            <w:tcBorders>
              <w:top w:val="nil" w:sz="6" w:space="0" w:color="auto"/>
              <w:left w:val="nil" w:sz="6" w:space="0" w:color="auto"/>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79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3,988,958.01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4,611,169.40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8,600,127.41</w:t>
            </w:r>
          </w:p>
        </w:tc>
      </w:tr>
      <w:tr>
        <w:trPr>
          <w:trHeight w:val="162" w:hRule="exact"/>
        </w:trPr>
        <w:tc>
          <w:tcPr>
            <w:tcW w:w="1890" w:type="dxa"/>
            <w:vMerge w:val="restart"/>
            <w:tcBorders>
              <w:top w:val="single" w:sz="4" w:space="0" w:color="000000"/>
              <w:left w:val="nil" w:sz="6" w:space="0" w:color="auto"/>
              <w:right w:val="single" w:sz="4" w:space="0" w:color="000000"/>
            </w:tcBorders>
            <w:shd w:val="clear" w:color="auto" w:fill="D2D2D2"/>
          </w:tcPr>
          <w:p>
            <w:pPr>
              <w:pStyle w:val="TableParagraph"/>
              <w:spacing w:line="297" w:lineRule="auto" w:before="50"/>
              <w:ind w:left="1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9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1890" w:type="dxa"/>
            <w:vMerge/>
            <w:tcBorders>
              <w:left w:val="nil" w:sz="6" w:space="0" w:color="auto"/>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9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0" w:type="dxa"/>
            <w:vMerge/>
            <w:tcBorders>
              <w:left w:val="nil" w:sz="6" w:space="0" w:color="auto"/>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1"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51,164.60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51,164.60</w:t>
            </w:r>
          </w:p>
        </w:tc>
      </w:tr>
      <w:tr>
        <w:trPr>
          <w:trHeight w:val="403" w:hRule="exact"/>
        </w:trPr>
        <w:tc>
          <w:tcPr>
            <w:tcW w:w="18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4,040,122.61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4,611,169.40</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8,651,292.01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28"/>
        <w:ind w:right="0"/>
        <w:jc w:val="left"/>
      </w:pPr>
      <w:r>
        <w:rPr>
          <w:spacing w:val="-2"/>
        </w:rPr>
        <w:t>损失准备本期变动金额重大的账面余额变动情况</w:t>
      </w:r>
    </w:p>
    <w:p>
      <w:pPr>
        <w:pStyle w:val="BodyText"/>
        <w:spacing w:line="290" w:lineRule="auto" w:before="75"/>
        <w:ind w:right="18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568" w:space="4262"/>
            <w:col w:w="2100"/>
          </w:cols>
        </w:sectPr>
      </w:pP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4759"/>
        <w:gridCol w:w="4783"/>
      </w:tblGrid>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27,872,972.24</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21,556,831.55</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105,098.24</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8,343,094.83</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2,072,383.69</w:t>
            </w:r>
          </w:p>
        </w:tc>
      </w:tr>
      <w:tr>
        <w:trPr>
          <w:trHeight w:val="402"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6,270,711.14</w:t>
            </w:r>
          </w:p>
        </w:tc>
      </w:tr>
      <w:tr>
        <w:trPr>
          <w:trHeight w:val="403" w:hRule="exact"/>
        </w:trPr>
        <w:tc>
          <w:tcPr>
            <w:tcW w:w="47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57,877,996.86</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BodyText"/>
        <w:spacing w:line="240" w:lineRule="auto" w:before="36"/>
        <w:ind w:right="0"/>
        <w:jc w:val="left"/>
      </w:pPr>
      <w:r>
        <w:rPr>
          <w:spacing w:val="-2"/>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67" w:space="6362"/>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400"/>
        <w:gridCol w:w="5017"/>
        <w:gridCol w:w="1577"/>
      </w:tblGrid>
      <w:tr>
        <w:trPr>
          <w:trHeight w:val="402" w:hRule="exact"/>
        </w:trPr>
        <w:tc>
          <w:tcPr>
            <w:tcW w:w="15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580"/>
        <w:gridCol w:w="1397"/>
        <w:gridCol w:w="1560"/>
        <w:gridCol w:w="1277"/>
        <w:gridCol w:w="1133"/>
        <w:gridCol w:w="1049"/>
        <w:gridCol w:w="1577"/>
      </w:tblGrid>
      <w:tr>
        <w:trPr>
          <w:trHeight w:val="401" w:hRule="exact"/>
        </w:trPr>
        <w:tc>
          <w:tcPr>
            <w:tcW w:w="1580" w:type="dxa"/>
            <w:tcBorders>
              <w:top w:val="single" w:sz="4" w:space="0" w:color="000000"/>
              <w:left w:val="nil" w:sz="6" w:space="0" w:color="auto"/>
              <w:bottom w:val="single" w:sz="4" w:space="0" w:color="000000"/>
              <w:right w:val="single" w:sz="4" w:space="0" w:color="000000"/>
            </w:tcBorders>
            <w:shd w:val="clear" w:color="auto" w:fill="D2D2D2"/>
          </w:tcPr>
          <w:p>
            <w:pP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3"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4,611,169.40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4,611,169.40</w:t>
            </w:r>
          </w:p>
        </w:tc>
      </w:tr>
      <w:tr>
        <w:trPr>
          <w:trHeight w:val="401"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3,988,958.01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51,164.60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4,040,122.61</w:t>
            </w:r>
          </w:p>
        </w:tc>
      </w:tr>
      <w:tr>
        <w:trPr>
          <w:trHeight w:val="403" w:hRule="exact"/>
        </w:trPr>
        <w:tc>
          <w:tcPr>
            <w:tcW w:w="15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8,600,127.41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51,164.60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8,651,292.01</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1277"/>
        <w:gridCol w:w="1560"/>
        <w:gridCol w:w="1580"/>
        <w:gridCol w:w="1423"/>
      </w:tblGrid>
      <w:tr>
        <w:trPr>
          <w:trHeight w:val="713"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42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49"/>
              <w:ind w:left="616" w:right="79"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41,442,786.68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71.60%</w:t>
            </w: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5,299,973.37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477,709.12</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6"/>
                <w:sz w:val="18"/>
                <w:szCs w:val="18"/>
              </w:rPr>
              <w:t>年以内、</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2"/>
                <w:sz w:val="18"/>
              </w:rPr>
              <w:t>4,111,169.40</w:t>
            </w:r>
          </w:p>
        </w:tc>
      </w:tr>
      <w:tr>
        <w:trPr>
          <w:trHeight w:val="401"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24"/>
                <w:sz w:val="18"/>
              </w:rPr>
              <w:t> </w:t>
            </w:r>
            <w:r>
              <w:rPr>
                <w:rFonts w:ascii="Times New Roman"/>
                <w:sz w:val="18"/>
              </w:rPr>
              <w:t>FZE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1,329,930.74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1,329,930.74</w:t>
            </w: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银行保证金利息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847,059.51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1.46%</w:t>
            </w:r>
          </w:p>
        </w:tc>
        <w:tc>
          <w:tcPr>
            <w:tcW w:w="142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6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53,030,919.70</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91.62%</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5,918,809.26</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9"/>
          <w:szCs w:val="29"/>
        </w:rPr>
      </w:pPr>
    </w:p>
    <w:p>
      <w:pPr>
        <w:pStyle w:val="Heading3"/>
        <w:spacing w:line="240" w:lineRule="auto"/>
        <w:ind w:right="1116"/>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54"/>
        <w:gridCol w:w="1369"/>
        <w:gridCol w:w="1368"/>
        <w:gridCol w:w="1366"/>
        <w:gridCol w:w="1368"/>
        <w:gridCol w:w="1366"/>
        <w:gridCol w:w="1355"/>
      </w:tblGrid>
      <w:tr>
        <w:trPr>
          <w:trHeight w:val="206" w:hRule="exact"/>
        </w:trPr>
        <w:tc>
          <w:tcPr>
            <w:tcW w:w="1354" w:type="dxa"/>
            <w:tcBorders>
              <w:top w:val="single" w:sz="4" w:space="0" w:color="000000"/>
              <w:left w:val="nil" w:sz="6" w:space="0" w:color="auto"/>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9"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089" w:type="dxa"/>
            <w:gridSpan w:val="3"/>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354" w:type="dxa"/>
            <w:vMerge/>
            <w:tcBorders>
              <w:left w:val="nil" w:sz="6" w:space="0" w:color="auto"/>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4" w:type="dxa"/>
            <w:tcBorders>
              <w:top w:val="nil" w:sz="6" w:space="0" w:color="auto"/>
              <w:left w:val="nil" w:sz="6" w:space="0" w:color="auto"/>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3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37,509,076.57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13,768,033.25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23,741,043.32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37,509,076.57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23,741,043.32</w:t>
            </w:r>
          </w:p>
        </w:tc>
      </w:tr>
      <w:tr>
        <w:trPr>
          <w:trHeight w:val="403" w:hRule="exact"/>
        </w:trPr>
        <w:tc>
          <w:tcPr>
            <w:tcW w:w="13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37,509,076.57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13,768,033.25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23,741,043.32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37,509,076.57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23,741,043.32</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254"/>
        <w:gridCol w:w="1284"/>
        <w:gridCol w:w="4112"/>
        <w:gridCol w:w="1561"/>
        <w:gridCol w:w="1333"/>
      </w:tblGrid>
      <w:tr>
        <w:trPr>
          <w:trHeight w:val="401" w:hRule="exact"/>
        </w:trPr>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p>
        </w:tc>
        <w:tc>
          <w:tcPr>
            <w:tcW w:w="133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68"/>
              <w:ind w:left="37"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7" w:type="dxa"/>
        <w:tblLayout w:type="fixed"/>
        <w:tblCellMar>
          <w:top w:w="0" w:type="dxa"/>
          <w:left w:w="0" w:type="dxa"/>
          <w:bottom w:w="0" w:type="dxa"/>
          <w:right w:w="0" w:type="dxa"/>
        </w:tblCellMar>
        <w:tblLook w:val="01E0"/>
      </w:tblPr>
      <w:tblGrid>
        <w:gridCol w:w="1268"/>
        <w:gridCol w:w="1284"/>
        <w:gridCol w:w="1049"/>
        <w:gridCol w:w="1164"/>
        <w:gridCol w:w="1167"/>
        <w:gridCol w:w="732"/>
        <w:gridCol w:w="1561"/>
        <w:gridCol w:w="1349"/>
      </w:tblGrid>
      <w:tr>
        <w:trPr>
          <w:trHeight w:val="401"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1,065,727.00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1,065,727.00</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850,000.00</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香港高汇</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8,668,033.25</w:t>
            </w: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9,725,316.32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9,725,316.32</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2,070,000.00</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产业发展</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349"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2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23,741,043.32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23,741,043.32</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13,768,033.25</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982"/>
        <w:gridCol w:w="1835"/>
        <w:gridCol w:w="1913"/>
        <w:gridCol w:w="1913"/>
        <w:gridCol w:w="1901"/>
      </w:tblGrid>
      <w:tr>
        <w:trPr>
          <w:trHeight w:val="206" w:hRule="exact"/>
        </w:trPr>
        <w:tc>
          <w:tcPr>
            <w:tcW w:w="1982" w:type="dxa"/>
            <w:tcBorders>
              <w:top w:val="single" w:sz="4" w:space="0" w:color="000000"/>
              <w:left w:val="nil" w:sz="6" w:space="0" w:color="auto"/>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4"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14"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1982" w:type="dxa"/>
            <w:vMerge/>
            <w:tcBorders>
              <w:left w:val="nil" w:sz="6" w:space="0" w:color="auto"/>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2" w:type="dxa"/>
            <w:tcBorders>
              <w:top w:val="nil" w:sz="6" w:space="0" w:color="auto"/>
              <w:left w:val="nil" w:sz="6" w:space="0" w:color="auto"/>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9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154,733,421.44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94,270,644.20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121,737,349.07</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76,100,748.15</w:t>
            </w:r>
          </w:p>
        </w:tc>
      </w:tr>
      <w:tr>
        <w:trPr>
          <w:trHeight w:val="401" w:hRule="exact"/>
        </w:trPr>
        <w:tc>
          <w:tcPr>
            <w:tcW w:w="19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14,038,381.14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9,720,394.77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15,453,875.71</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10,339,134.43</w:t>
            </w:r>
          </w:p>
        </w:tc>
      </w:tr>
      <w:tr>
        <w:trPr>
          <w:trHeight w:val="403" w:hRule="exact"/>
        </w:trPr>
        <w:tc>
          <w:tcPr>
            <w:tcW w:w="19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168,771,802.58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103,991,038.97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137,191,224.78</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86,439,882.58</w:t>
            </w:r>
          </w:p>
        </w:tc>
      </w:tr>
    </w:tbl>
    <w:p>
      <w:pPr>
        <w:pStyle w:val="BodyText"/>
        <w:spacing w:line="240" w:lineRule="auto" w:before="28"/>
        <w:ind w:right="1116"/>
        <w:jc w:val="left"/>
      </w:pPr>
      <w:r>
        <w:rPr/>
        <w:t>是否已执行新收入准则</w:t>
      </w:r>
    </w:p>
    <w:p>
      <w:pPr>
        <w:pStyle w:val="BodyText"/>
        <w:spacing w:line="290" w:lineRule="auto" w:before="75"/>
        <w:ind w:right="9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100"/>
        </w:rPr>
        <w:t> </w:t>
      </w:r>
      <w:r>
        <w:rPr/>
        <w:t>其他说明：</w:t>
      </w:r>
    </w:p>
    <w:p>
      <w:pPr>
        <w:pStyle w:val="BodyText"/>
        <w:spacing w:line="240" w:lineRule="auto" w:before="34"/>
        <w:ind w:right="1116"/>
        <w:jc w:val="left"/>
      </w:pPr>
      <w:r>
        <w:rPr>
          <w:rFonts w:ascii="Times New Roman" w:hAnsi="Times New Roman" w:cs="Times New Roman" w:eastAsia="Times New Roman" w:hint="default"/>
        </w:rPr>
        <w:t>1</w:t>
      </w:r>
      <w:r>
        <w:rPr/>
        <w:t>、主营业务（分产品）</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44"/>
        <w:gridCol w:w="1933"/>
        <w:gridCol w:w="1932"/>
        <w:gridCol w:w="1932"/>
        <w:gridCol w:w="1932"/>
      </w:tblGrid>
      <w:tr>
        <w:trPr>
          <w:trHeight w:val="341"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1944" w:type="dxa"/>
            <w:vMerge/>
            <w:tcBorders>
              <w:left w:val="nil" w:sz="6" w:space="0" w:color="auto"/>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宋体" w:hAnsi="宋体" w:cs="宋体" w:eastAsia="宋体" w:hint="default"/>
                <w:sz w:val="18"/>
                <w:szCs w:val="18"/>
              </w:rPr>
              <w:t>轴系列</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17,149,248.23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10,854,900.81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18,274,235.21</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12,049,419.43</w:t>
            </w:r>
          </w:p>
        </w:tc>
      </w:tr>
      <w:tr>
        <w:trPr>
          <w:trHeight w:val="34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14,178,507.77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11,120,862.11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14,713,644.99</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9,666,016.98</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20,754,174.05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11,107,033.40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26,160,735.54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14,863,246.22</w:t>
            </w:r>
          </w:p>
        </w:tc>
      </w:tr>
      <w:tr>
        <w:trPr>
          <w:trHeight w:val="343"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78,923,108.01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49,470,005.16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60,837,799.00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38,472,907.12</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及其他</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354,780.68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201,430.03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1,750,934.33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1,049,158.40</w:t>
            </w:r>
          </w:p>
        </w:tc>
      </w:tr>
      <w:tr>
        <w:trPr>
          <w:trHeight w:val="343"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智能零售终端系列</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23,373,602.70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11,516,412.69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154,733,421.44</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94,270,644.20</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121,737,349.07</w:t>
            </w:r>
            <w:r>
              <w:rPr>
                <w:rFonts w:ascii="Times New Roman"/>
                <w:spacing w:val="-1"/>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b/>
                <w:spacing w:val="-1"/>
                <w:sz w:val="18"/>
              </w:rPr>
              <w:t>76,100,748.15</w:t>
            </w:r>
            <w:r>
              <w:rPr>
                <w:rFonts w:ascii="Times New Roman"/>
                <w:spacing w:val="-1"/>
                <w:sz w:val="18"/>
              </w:rPr>
            </w:r>
          </w:p>
        </w:tc>
      </w:tr>
    </w:tbl>
    <w:p>
      <w:pPr>
        <w:spacing w:line="240" w:lineRule="auto" w:before="2"/>
        <w:rPr>
          <w:rFonts w:ascii="宋体" w:hAnsi="宋体" w:cs="宋体" w:eastAsia="宋体" w:hint="default"/>
          <w:sz w:val="20"/>
          <w:szCs w:val="20"/>
        </w:rPr>
      </w:pPr>
    </w:p>
    <w:p>
      <w:pPr>
        <w:pStyle w:val="BodyText"/>
        <w:spacing w:line="240" w:lineRule="auto" w:before="36"/>
        <w:ind w:right="1116"/>
        <w:jc w:val="left"/>
      </w:pPr>
      <w:r>
        <w:rPr>
          <w:rFonts w:ascii="Times New Roman" w:hAnsi="Times New Roman" w:cs="Times New Roman" w:eastAsia="Times New Roman" w:hint="default"/>
        </w:rPr>
        <w:t>2</w:t>
      </w:r>
      <w:r>
        <w:rPr/>
        <w:t>、主营业务（分地区）</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44"/>
        <w:gridCol w:w="1933"/>
        <w:gridCol w:w="1932"/>
        <w:gridCol w:w="1932"/>
        <w:gridCol w:w="1932"/>
      </w:tblGrid>
      <w:tr>
        <w:trPr>
          <w:trHeight w:val="343"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1944" w:type="dxa"/>
            <w:vMerge/>
            <w:tcBorders>
              <w:left w:val="nil" w:sz="6" w:space="0" w:color="auto"/>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5,322,140.53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4,208,489.53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6,163,409.06</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4,779,363.49</w:t>
            </w:r>
          </w:p>
        </w:tc>
      </w:tr>
      <w:tr>
        <w:trPr>
          <w:trHeight w:val="343"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-1,491,867.22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-1,095,182.14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3,063,218.53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1,838,886.91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944"/>
        <w:gridCol w:w="1933"/>
        <w:gridCol w:w="1932"/>
        <w:gridCol w:w="1932"/>
        <w:gridCol w:w="1932"/>
      </w:tblGrid>
      <w:tr>
        <w:trPr>
          <w:trHeight w:val="34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21,690,915.61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14,519,567.04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4,674,612.56</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3,415,807.57</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57" w:right="0"/>
              <w:jc w:val="left"/>
              <w:rPr>
                <w:rFonts w:ascii="Times New Roman" w:hAnsi="Times New Roman" w:cs="Times New Roman" w:eastAsia="Times New Roman" w:hint="default"/>
                <w:sz w:val="21"/>
                <w:szCs w:val="21"/>
              </w:rPr>
            </w:pPr>
            <w:r>
              <w:rPr>
                <w:rFonts w:ascii="Times New Roman"/>
                <w:sz w:val="21"/>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59" w:right="0"/>
              <w:jc w:val="left"/>
              <w:rPr>
                <w:rFonts w:ascii="Times New Roman" w:hAnsi="Times New Roman" w:cs="Times New Roman" w:eastAsia="Times New Roman" w:hint="default"/>
                <w:sz w:val="21"/>
                <w:szCs w:val="21"/>
              </w:rPr>
            </w:pPr>
            <w:r>
              <w:rPr>
                <w:rFonts w:ascii="Times New Roman"/>
                <w:sz w:val="21"/>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90,517.24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64,229.31</w:t>
            </w:r>
          </w:p>
        </w:tc>
      </w:tr>
      <w:tr>
        <w:trPr>
          <w:trHeight w:val="343"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-377,200.21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-376,024.85</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2,005,172.44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1,604,137.91</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57" w:right="0"/>
              <w:jc w:val="left"/>
              <w:rPr>
                <w:rFonts w:ascii="Times New Roman" w:hAnsi="Times New Roman" w:cs="Times New Roman" w:eastAsia="Times New Roman" w:hint="default"/>
                <w:sz w:val="21"/>
                <w:szCs w:val="21"/>
              </w:rPr>
            </w:pPr>
            <w:r>
              <w:rPr>
                <w:rFonts w:ascii="Times New Roman"/>
                <w:sz w:val="21"/>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59" w:right="0"/>
              <w:jc w:val="left"/>
              <w:rPr>
                <w:rFonts w:ascii="Times New Roman" w:hAnsi="Times New Roman" w:cs="Times New Roman" w:eastAsia="Times New Roman" w:hint="default"/>
                <w:sz w:val="21"/>
                <w:szCs w:val="21"/>
              </w:rPr>
            </w:pPr>
            <w:r>
              <w:rPr>
                <w:rFonts w:ascii="Times New Roman"/>
                <w:sz w:val="21"/>
              </w:rPr>
              <w:t>---</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102,586.21</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73,185.62</w:t>
            </w:r>
          </w:p>
        </w:tc>
      </w:tr>
      <w:tr>
        <w:trPr>
          <w:trHeight w:val="343"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9,940,266.01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4,532,467.08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806,148.84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491,241.92</w:t>
            </w:r>
          </w:p>
        </w:tc>
      </w:tr>
      <w:tr>
        <w:trPr>
          <w:trHeight w:val="341"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119,649,166.72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72,481,327.54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104,831,684.19</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63,833,895.42</w:t>
            </w:r>
          </w:p>
        </w:tc>
      </w:tr>
      <w:tr>
        <w:trPr>
          <w:trHeight w:val="343"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154,733,421.44</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94,270,644.20</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121,737,349.07</w:t>
            </w:r>
            <w:r>
              <w:rPr>
                <w:rFonts w:ascii="Times New Roman"/>
                <w:spacing w:val="-1"/>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b/>
                <w:spacing w:val="-1"/>
                <w:sz w:val="18"/>
              </w:rPr>
              <w:t>76,100,748.15</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6"/>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3318"/>
        <w:gridCol w:w="3060"/>
        <w:gridCol w:w="3173"/>
      </w:tblGrid>
      <w:tr>
        <w:trPr>
          <w:trHeight w:val="401"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-680,259.44</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-444,222.40</w:t>
            </w:r>
          </w:p>
        </w:tc>
      </w:tr>
      <w:tr>
        <w:trPr>
          <w:trHeight w:val="401"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33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17,998.99</w:t>
            </w:r>
          </w:p>
        </w:tc>
      </w:tr>
      <w:tr>
        <w:trPr>
          <w:trHeight w:val="403" w:hRule="exact"/>
        </w:trPr>
        <w:tc>
          <w:tcPr>
            <w:tcW w:w="33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-680,259.44</w:t>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-336,223.41</w:t>
            </w:r>
          </w:p>
        </w:tc>
      </w:tr>
    </w:tbl>
    <w:p>
      <w:pPr>
        <w:spacing w:line="240" w:lineRule="auto" w:before="3"/>
        <w:rPr>
          <w:rFonts w:ascii="宋体" w:hAnsi="宋体" w:cs="宋体" w:eastAsia="宋体" w:hint="default"/>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16"/>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36"/>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764" w:space="7065"/>
            <w:col w:w="2101"/>
          </w:cols>
        </w:sectPr>
      </w:pPr>
    </w:p>
    <w:p>
      <w:pPr>
        <w:spacing w:line="240" w:lineRule="auto" w:before="2"/>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300"/>
        <w:gridCol w:w="3071"/>
        <w:gridCol w:w="3173"/>
      </w:tblGrid>
      <w:tr>
        <w:trPr>
          <w:trHeight w:val="403"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-11,768.52</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1028"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4"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2,174,874.13</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58,795.87</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392,443.27</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347,193.96</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136,537.34</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3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2,100,613.45</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998"/>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40" w:lineRule="auto" w:before="21"/>
        <w:ind w:right="998"/>
        <w:jc w:val="left"/>
      </w:pPr>
      <w:r>
        <w:rPr>
          <w:spacing w:val="-2"/>
        </w:rPr>
        <w:t>益项目，以及把《公开发行证券的公司信息披露解释性公告第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号</w:t>
      </w:r>
      <w:r>
        <w:rPr>
          <w:rFonts w:ascii="Times New Roman" w:hAnsi="Times New Roman" w:cs="Times New Roman" w:eastAsia="Times New Roman" w:hint="default"/>
          <w:spacing w:val="-2"/>
        </w:rPr>
        <w:t>——</w:t>
      </w:r>
      <w:r>
        <w:rPr>
          <w:spacing w:val="-2"/>
        </w:rPr>
        <w:t>非经常性损益》中列举的非经常性</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1116"/>
        <w:jc w:val="left"/>
      </w:pPr>
      <w:r>
        <w:rPr/>
        <w:t>损益项目界定为经常性损益的项目，应说明原因。</w:t>
      </w:r>
    </w:p>
    <w:p>
      <w:pPr>
        <w:pStyle w:val="BodyText"/>
        <w:spacing w:line="240" w:lineRule="auto" w:before="78"/>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2648"/>
        <w:gridCol w:w="3083"/>
        <w:gridCol w:w="1913"/>
        <w:gridCol w:w="1899"/>
      </w:tblGrid>
      <w:tr>
        <w:trPr>
          <w:trHeight w:val="206" w:hRule="exact"/>
        </w:trPr>
        <w:tc>
          <w:tcPr>
            <w:tcW w:w="2648" w:type="dxa"/>
            <w:tcBorders>
              <w:top w:val="single" w:sz="4" w:space="0" w:color="000000"/>
              <w:left w:val="nil" w:sz="6" w:space="0" w:color="auto"/>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4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49"/>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199" w:hRule="exact"/>
        </w:trPr>
        <w:tc>
          <w:tcPr>
            <w:tcW w:w="2648" w:type="dxa"/>
            <w:vMerge/>
            <w:tcBorders>
              <w:left w:val="nil" w:sz="6" w:space="0" w:color="auto"/>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48" w:type="dxa"/>
            <w:tcBorders>
              <w:top w:val="nil" w:sz="6" w:space="0" w:color="auto"/>
              <w:left w:val="nil" w:sz="6" w:space="0" w:color="auto"/>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0.1201</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0.1201</w:t>
            </w:r>
          </w:p>
        </w:tc>
      </w:tr>
      <w:tr>
        <w:trPr>
          <w:trHeight w:val="713"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0.10</w:t>
            </w:r>
          </w:p>
        </w:tc>
      </w:tr>
    </w:tbl>
    <w:p>
      <w:pPr>
        <w:spacing w:line="240" w:lineRule="auto" w:before="3"/>
        <w:rPr>
          <w:rFonts w:ascii="宋体" w:hAnsi="宋体" w:cs="宋体" w:eastAsia="宋体" w:hint="default"/>
          <w:b/>
          <w:bCs/>
          <w:sz w:val="19"/>
          <w:szCs w:val="19"/>
        </w:rPr>
      </w:pPr>
    </w:p>
    <w:p>
      <w:pPr>
        <w:pStyle w:val="Heading3"/>
        <w:spacing w:line="240" w:lineRule="auto" w:before="36"/>
        <w:ind w:right="1116"/>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3"/>
        <w:spacing w:line="240" w:lineRule="auto"/>
        <w:ind w:right="1116"/>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3"/>
        <w:spacing w:line="259" w:lineRule="auto"/>
        <w:ind w:right="1116"/>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16"/>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365" w:right="1116"/>
        <w:jc w:val="left"/>
        <w:rPr>
          <w:b w:val="0"/>
          <w:bCs w:val="0"/>
        </w:rPr>
      </w:pPr>
      <w:bookmarkStart w:name="_bookmark12" w:id="13"/>
      <w:bookmarkEnd w:id="13"/>
      <w:r>
        <w:rPr>
          <w:b w:val="0"/>
          <w:bCs w:val="0"/>
        </w:rPr>
      </w:r>
      <w:r>
        <w:rPr/>
        <w:t>第十三节备查文件目录</w:t>
      </w:r>
      <w:r>
        <w:rPr>
          <w:b w:val="0"/>
          <w:bCs w:val="0"/>
        </w:rPr>
      </w:r>
    </w:p>
    <w:p>
      <w:pPr>
        <w:spacing w:line="240" w:lineRule="auto" w:before="12"/>
        <w:rPr>
          <w:rFonts w:ascii="宋体" w:hAnsi="宋体" w:cs="宋体" w:eastAsia="宋体" w:hint="default"/>
          <w:b/>
          <w:bCs/>
          <w:sz w:val="40"/>
          <w:szCs w:val="40"/>
        </w:rPr>
      </w:pPr>
    </w:p>
    <w:p>
      <w:pPr>
        <w:pStyle w:val="BodyText"/>
        <w:spacing w:line="273" w:lineRule="auto"/>
        <w:ind w:right="1116"/>
        <w:jc w:val="left"/>
      </w:pPr>
      <w:r>
        <w:rPr>
          <w:spacing w:val="-2"/>
        </w:rPr>
        <w:t>一、载有公司法定代表人、主管会计工作负责人、会计机构负责人签名并盖章的财务报表。</w:t>
      </w:r>
      <w:r>
        <w:rPr>
          <w:spacing w:val="-28"/>
        </w:rPr>
        <w:t> </w:t>
      </w:r>
      <w:r>
        <w:rPr>
          <w:spacing w:val="-28"/>
        </w:rPr>
      </w:r>
      <w:r>
        <w:rPr/>
        <w:t>二、载有会计师事务所盖章、注册会计师签名并盖章的审计报告原件。</w:t>
      </w:r>
      <w:r>
        <w:rPr>
          <w:w w:val="100"/>
        </w:rPr>
        <w:t> </w:t>
      </w:r>
      <w:r>
        <w:rPr/>
        <w:t>三、报告期内在中国证监会指定网站上公开披露过的所有公司文件的正本及公告的原稿。</w:t>
      </w:r>
      <w:r>
        <w:rPr>
          <w:w w:val="100"/>
        </w:rPr>
        <w:t> </w:t>
      </w:r>
      <w:r>
        <w:rPr/>
        <w:t>四、其他相关文件。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59"/>
        <w:ind w:left="7798" w:right="1116" w:hanging="528"/>
        <w:jc w:val="left"/>
      </w:pPr>
      <w:r>
        <w:rPr>
          <w:spacing w:val="-2"/>
        </w:rPr>
        <w:t>武汉金运激光股份有限公司</w:t>
      </w:r>
      <w:r>
        <w:rPr>
          <w:spacing w:val="-82"/>
        </w:rPr>
        <w:t> </w:t>
      </w:r>
      <w:r>
        <w:rPr>
          <w:spacing w:val="-82"/>
        </w:rPr>
      </w:r>
      <w:r>
        <w:rPr/>
        <w:t>法定代表人：梁萍</w:t>
      </w:r>
    </w:p>
    <w:p>
      <w:pPr>
        <w:pStyle w:val="BodyText"/>
        <w:spacing w:line="240" w:lineRule="auto" w:before="7"/>
        <w:ind w:left="0" w:right="1548"/>
        <w:jc w:val="right"/>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760" type="#_x0000_t75" stroked="false">
          <v:imagedata r:id="rId1" o:title=""/>
        </v:shape>
      </w:pict>
    </w:r>
    <w:r>
      <w:rPr/>
      <w:pict>
        <v:shape style="position:absolute;margin-left:533.099976pt;margin-top:795.637939pt;width:6.5pt;height:11pt;mso-position-horizontal-relative:page;mso-position-vertical-relative:page;z-index:-795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712" type="#_x0000_t75" stroked="false">
          <v:imagedata r:id="rId1" o:title=""/>
        </v:shape>
      </w:pict>
    </w:r>
    <w:r>
      <w:rPr/>
      <w:pict>
        <v:shape style="position:absolute;margin-left:527.659973pt;margin-top:781.957947pt;width:13.15pt;height:11pt;mso-position-horizontal-relative:page;mso-position-vertical-relative:page;z-index:-795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95640" type="#_x0000_t75" stroked="false">
          <v:imagedata r:id="rId1" o:title=""/>
        </v:shape>
      </w:pict>
    </w:r>
    <w:r>
      <w:rPr/>
      <w:pict>
        <v:shape style="position:absolute;margin-left:759.039978pt;margin-top:535.333923pt;width:13.15pt;height:11pt;mso-position-horizontal-relative:page;mso-position-vertical-relative:page;z-index:-79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544" type="#_x0000_t75" stroked="false">
          <v:imagedata r:id="rId1" o:title=""/>
        </v:shape>
      </w:pict>
    </w:r>
    <w:r>
      <w:rPr/>
      <w:pict>
        <v:shape style="position:absolute;margin-left:527.659973pt;margin-top:781.957947pt;width:13.15pt;height:11pt;mso-position-horizontal-relative:page;mso-position-vertical-relative:page;z-index:-795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496" type="#_x0000_t75" stroked="false">
          <v:imagedata r:id="rId1" o:title=""/>
        </v:shape>
      </w:pict>
    </w:r>
    <w:r>
      <w:rPr/>
      <w:pict>
        <v:shape style="position:absolute;margin-left:527.659973pt;margin-top:781.957947pt;width:13.15pt;height:11pt;mso-position-horizontal-relative:page;mso-position-vertical-relative:page;z-index:-79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448" type="#_x0000_t75" stroked="false">
          <v:imagedata r:id="rId1" o:title=""/>
        </v:shape>
      </w:pict>
    </w:r>
    <w:r>
      <w:rPr/>
      <w:pict>
        <v:shape style="position:absolute;margin-left:524.099976pt;margin-top:781.957947pt;width:15.7pt;height:11pt;mso-position-horizontal-relative:page;mso-position-vertical-relative:page;z-index:-795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400" type="#_x0000_t75" stroked="false">
          <v:imagedata r:id="rId1" o:title=""/>
        </v:shape>
      </w:pict>
    </w:r>
    <w:r>
      <w:rPr/>
      <w:pict>
        <v:shape style="position:absolute;margin-left:523.099976pt;margin-top:781.957947pt;width:17.7pt;height:11pt;mso-position-horizontal-relative:page;mso-position-vertical-relative:page;z-index:-79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352" type="#_x0000_t75" stroked="false">
          <v:imagedata r:id="rId1" o:title=""/>
        </v:shape>
      </w:pict>
    </w:r>
    <w:r>
      <w:rPr/>
      <w:pict>
        <v:shape style="position:absolute;margin-left:523.460022pt;margin-top:781.957947pt;width:17.3pt;height:11pt;mso-position-horizontal-relative:page;mso-position-vertical-relative:page;z-index:-79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5304" type="#_x0000_t75" stroked="false">
          <v:imagedata r:id="rId1" o:title=""/>
        </v:shape>
      </w:pict>
    </w:r>
    <w:r>
      <w:rPr/>
      <w:pict>
        <v:shape style="position:absolute;margin-left:523.099976pt;margin-top:781.957947pt;width:17.7pt;height:11pt;mso-position-horizontal-relative:page;mso-position-vertical-relative:page;z-index:-79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795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7pt;height:11.5pt;mso-position-horizontal-relative:page;mso-position-vertical-relative:page;z-index:-795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955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795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dm2015@163.com" TargetMode="External"/><Relationship Id="rId11" Type="http://schemas.openxmlformats.org/officeDocument/2006/relationships/hyperlink" Target="mailto:smh1399@163.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武汉金运激光股份有限公司</dc:creator>
  <dc:title>武汉金运激光股份有限公司2019年年度报告全文</dc:title>
  <dcterms:created xsi:type="dcterms:W3CDTF">2020-05-20T00:35:00Z</dcterms:created>
  <dcterms:modified xsi:type="dcterms:W3CDTF">2020-05-20T00:35:00Z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2010</vt:lpwstr>
  </property>
  <property fmtid="{D5CDD505-2E9C-101B-9397-08002B2CF9AE}" pid="4" name="LastSaved">
    <vt:filetime>2020-05-19T00:00:00Z</vt:filetime>
  </property>
</Properties>
</file>